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SD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Graham Holdings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tbl>
      <w:tblPr>
        <w:tblLayout w:type="fixed"/>
        <w:tblInd w:w="0" w:type="dxa"/>
        <w:tblCellMar>
          <w:top w:w="0" w:type="dxa"/>
          <w:left w:w="0" w:type="dxa"/>
          <w:bottom w:w="0" w:type="dxa"/>
          <w:right w:w="0" w:type="dxa"/>
        </w:tblCellMar>
      </w:tblPr>
      <w:tr>
        <w:trPr>
          <w:trHeight w:val="289"/>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Delaware</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1-6714</w:t>
            </w:r>
          </w:p>
        </w:tc>
        <w:tc>
          <w:tcPr>
            <w:tcW w:w="348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21"/>
                <w:szCs w:val="21"/>
                <w:color w:val="auto"/>
              </w:rPr>
              <w:t>53-0182885</w:t>
            </w:r>
          </w:p>
        </w:tc>
      </w:tr>
      <w:tr>
        <w:trPr>
          <w:trHeight w:val="267"/>
        </w:trPr>
        <w:tc>
          <w:tcPr>
            <w:tcW w:w="41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(State or other jurisdiction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(Commission</w:t>
            </w:r>
          </w:p>
        </w:tc>
        <w:tc>
          <w:tcPr>
            <w:tcW w:w="348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(IRS Employer</w:t>
            </w:r>
          </w:p>
        </w:tc>
      </w:tr>
      <w:tr>
        <w:trPr>
          <w:trHeight w:val="279"/>
        </w:trPr>
        <w:tc>
          <w:tcPr>
            <w:tcW w:w="41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of incorporation or organization)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File Number)</w:t>
            </w:r>
          </w:p>
        </w:tc>
        <w:tc>
          <w:tcPr>
            <w:tcW w:w="348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Identification No.)</w:t>
            </w:r>
          </w:p>
        </w:tc>
      </w:tr>
      <w:tr>
        <w:trPr>
          <w:trHeight w:val="604"/>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1300 North 17th St., Arlington, VA</w:t>
            </w:r>
          </w:p>
        </w:tc>
        <w:tc>
          <w:tcPr>
            <w:tcW w:w="3600" w:type="dxa"/>
            <w:vAlign w:val="bottom"/>
          </w:tcPr>
          <w:p>
            <w:pPr>
              <w:spacing w:after="0"/>
              <w:rPr>
                <w:sz w:val="24"/>
                <w:szCs w:val="24"/>
                <w:color w:val="auto"/>
              </w:rPr>
            </w:pPr>
          </w:p>
        </w:tc>
        <w:tc>
          <w:tcPr>
            <w:tcW w:w="348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21"/>
                <w:szCs w:val="21"/>
                <w:color w:val="auto"/>
              </w:rPr>
              <w:t>22209</w:t>
            </w:r>
          </w:p>
        </w:tc>
      </w:tr>
      <w:tr>
        <w:trPr>
          <w:trHeight w:val="274"/>
        </w:trPr>
        <w:tc>
          <w:tcPr>
            <w:tcW w:w="41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(Address of principal executive offices)</w:t>
            </w:r>
          </w:p>
        </w:tc>
        <w:tc>
          <w:tcPr>
            <w:tcW w:w="3600" w:type="dxa"/>
            <w:vAlign w:val="bottom"/>
          </w:tcPr>
          <w:p>
            <w:pPr>
              <w:spacing w:after="0"/>
              <w:rPr>
                <w:sz w:val="23"/>
                <w:szCs w:val="2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(Zip code)</w:t>
            </w:r>
          </w:p>
        </w:tc>
      </w:tr>
    </w:tbl>
    <w:p>
      <w:pPr>
        <w:spacing w:after="0" w:line="29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1"/>
          <w:szCs w:val="21"/>
          <w:color w:val="auto"/>
        </w:rPr>
        <w:t>Nicole Maddrey 703-345-6300</w:t>
      </w:r>
    </w:p>
    <w:p>
      <w:pPr>
        <w:spacing w:after="0" w:line="4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1"/>
          <w:szCs w:val="2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2640330</wp:posOffset>
            </wp:positionH>
            <wp:positionV relativeFrom="paragraph">
              <wp:posOffset>-143510</wp:posOffset>
            </wp:positionV>
            <wp:extent cx="2287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560"/>
        <w:spacing w:after="0" w:line="290" w:lineRule="auto"/>
        <w:rPr>
          <w:sz w:val="20"/>
          <w:szCs w:val="20"/>
          <w:color w:val="auto"/>
        </w:rPr>
      </w:pPr>
      <w:r>
        <w:rPr>
          <w:rFonts w:ascii="Times New Roman" w:cs="Times New Roman" w:eastAsia="Times New Roman" w:hAnsi="Times New Roman"/>
          <w:sz w:val="21"/>
          <w:szCs w:val="21"/>
          <w:color w:val="auto"/>
        </w:rPr>
        <w:t>Check the appropriate box to indicate the rule pursuant to which this form is being filed, and provide the period to which the information in this form applies:</w:t>
      </w:r>
    </w:p>
    <w:p>
      <w:pPr>
        <w:spacing w:after="0" w:line="166" w:lineRule="exact"/>
        <w:rPr>
          <w:sz w:val="24"/>
          <w:szCs w:val="24"/>
          <w:color w:val="auto"/>
        </w:rPr>
      </w:pPr>
    </w:p>
    <w:p>
      <w:pPr>
        <w:ind w:right="220" w:firstLine="7"/>
        <w:spacing w:after="0" w:line="290" w:lineRule="auto"/>
        <w:tabs>
          <w:tab w:leader="none" w:pos="35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13p-1 under the Securities Exchange Act (17 CFR 240.13p-1) for the reporting period from January 1 to December 31, 2021.</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b w:val="1"/>
          <w:bCs w:val="1"/>
          <w:color w:val="auto"/>
        </w:rPr>
        <w:t>Section 1 - Conflict Minerals Disclosure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1.01 Conflict Minerals Disclosure and Report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1.02 Exhibit</w:t>
      </w:r>
    </w:p>
    <w:p>
      <w:pPr>
        <w:spacing w:after="0" w:line="271" w:lineRule="exact"/>
        <w:rPr>
          <w:sz w:val="20"/>
          <w:szCs w:val="20"/>
          <w:color w:val="auto"/>
        </w:rPr>
      </w:pPr>
    </w:p>
    <w:p>
      <w:pPr>
        <w:ind w:right="3480"/>
        <w:spacing w:after="0" w:line="290" w:lineRule="auto"/>
        <w:rPr>
          <w:sz w:val="20"/>
          <w:szCs w:val="20"/>
          <w:color w:val="auto"/>
        </w:rPr>
      </w:pPr>
      <w:r>
        <w:rPr>
          <w:rFonts w:ascii="Times New Roman" w:cs="Times New Roman" w:eastAsia="Times New Roman" w:hAnsi="Times New Roman"/>
          <w:sz w:val="21"/>
          <w:szCs w:val="21"/>
          <w:color w:val="auto"/>
        </w:rPr>
        <w:t>A copy of our Conflict Minerals Report is filed as Exhibit 1.01 and is publicly available at http://www.ghco.com/phoenix.zhtml?c=62487&amp;p=irol-sec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2 - Exhibits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2.01 Exhibits</w:t>
      </w:r>
    </w:p>
    <w:p>
      <w:pPr>
        <w:spacing w:after="0" w:line="200" w:lineRule="exact"/>
        <w:rPr>
          <w:sz w:val="20"/>
          <w:szCs w:val="20"/>
          <w:color w:val="auto"/>
        </w:rPr>
      </w:pPr>
    </w:p>
    <w:p>
      <w:pPr>
        <w:spacing w:after="0" w:line="286" w:lineRule="exact"/>
        <w:rPr>
          <w:sz w:val="20"/>
          <w:szCs w:val="20"/>
          <w:color w:val="auto"/>
        </w:rPr>
      </w:pPr>
    </w:p>
    <w:tbl>
      <w:tblPr>
        <w:tblLayout w:type="fixed"/>
        <w:tblInd w:w="680" w:type="dxa"/>
        <w:tblCellMar>
          <w:top w:w="0" w:type="dxa"/>
          <w:left w:w="0" w:type="dxa"/>
          <w:bottom w:w="0" w:type="dxa"/>
          <w:right w:w="0" w:type="dxa"/>
        </w:tblCellMar>
      </w:tblPr>
      <w:tr>
        <w:trPr>
          <w:trHeight w:val="289"/>
        </w:trPr>
        <w:tc>
          <w:tcPr>
            <w:tcW w:w="1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Designation</w:t>
            </w:r>
          </w:p>
        </w:tc>
        <w:tc>
          <w:tcPr>
            <w:tcW w:w="3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Description</w:t>
            </w:r>
          </w:p>
        </w:tc>
        <w:tc>
          <w:tcPr>
            <w:tcW w:w="45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1"/>
                <w:szCs w:val="21"/>
                <w:color w:val="auto"/>
              </w:rPr>
              <w:t>Method of Filing</w:t>
            </w:r>
          </w:p>
        </w:tc>
      </w:tr>
      <w:tr>
        <w:trPr>
          <w:trHeight w:val="279"/>
        </w:trPr>
        <w:tc>
          <w:tcPr>
            <w:tcW w:w="17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 1.01</w:t>
            </w:r>
          </w:p>
        </w:tc>
        <w:tc>
          <w:tcPr>
            <w:tcW w:w="356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Conflict Minerals Report</w:t>
            </w:r>
          </w:p>
        </w:tc>
        <w:tc>
          <w:tcPr>
            <w:tcW w:w="458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58"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Graham Holdings Company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(Registrant)</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8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Wallace R. Cooney</w:t>
            </w:r>
          </w:p>
        </w:tc>
        <w:tc>
          <w:tcPr>
            <w:tcW w:w="298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21"/>
                <w:szCs w:val="21"/>
                <w:color w:val="auto"/>
              </w:rPr>
              <w:t>May 27, 2022</w:t>
            </w:r>
          </w:p>
        </w:tc>
      </w:tr>
      <w:tr>
        <w:trPr>
          <w:trHeight w:val="279"/>
        </w:trPr>
        <w:tc>
          <w:tcPr>
            <w:tcW w:w="82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By Wallace R. Cooney, Senior Vice President-Finance and Chief Financial Officer</w:t>
            </w:r>
          </w:p>
        </w:tc>
        <w:tc>
          <w:tcPr>
            <w:tcW w:w="2980" w:type="dxa"/>
            <w:vAlign w:val="bottom"/>
          </w:tcPr>
          <w:p>
            <w:pPr>
              <w:jc w:val="center"/>
              <w:ind w:left="313"/>
              <w:spacing w:after="0"/>
              <w:rPr>
                <w:sz w:val="20"/>
                <w:szCs w:val="20"/>
                <w:color w:val="auto"/>
              </w:rPr>
            </w:pPr>
            <w:r>
              <w:rPr>
                <w:rFonts w:ascii="Times New Roman" w:cs="Times New Roman" w:eastAsia="Times New Roman" w:hAnsi="Times New Roman"/>
                <w:sz w:val="21"/>
                <w:szCs w:val="21"/>
                <w:color w:val="auto"/>
              </w:rPr>
              <w:t>(Date)</w:t>
            </w:r>
          </w:p>
        </w:tc>
      </w:tr>
    </w:tbl>
    <w:p>
      <w:pPr>
        <w:sectPr>
          <w:pgSz w:w="11900" w:h="16838" w:orient="portrait"/>
          <w:cols w:equalWidth="0" w:num="1">
            <w:col w:w="11220"/>
          </w:cols>
          <w:pgMar w:left="320" w:top="68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Exhibit 1.01 - Graham Holdings Company Conflict Minerals Report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Introduction</w:t>
      </w:r>
    </w:p>
    <w:p>
      <w:pPr>
        <w:spacing w:after="0" w:line="2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Company and Products Overview</w:t>
      </w:r>
    </w:p>
    <w:p>
      <w:pPr>
        <w:spacing w:after="0" w:line="2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This Conflict Minerals Report (the “Report”) for the year ended December 31, 2021 (the "Reporting Period"), is presented by Graham Holdings Company (the “Company”) to comply with Rule 13p-1 under the Securities Exchange Act of 1934 (the “Conflict Minerals Rule”). The Company is a diversified education and media company, whose operations include educational services, television broadcasting; online, podcast, print and local TV news; manufacturing; home health and hospice care; and automotive dealerships. The Company’s manufacturing companies include Group Dekko Inc.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The Company did not include products that were not entered into the stream of commerce in the calendar year ended December 31, 2021, or products manufactured or contracted to be manufactured by entities acquired by the Company after April 2020 if those entities had not been public companies.</w:t>
      </w:r>
    </w:p>
    <w:p>
      <w:pPr>
        <w:spacing w:after="0" w:line="19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Dekko, Forney and Joyce manufacture products that contain small amounts of 3TG metals. These products incorporate generic components obtained from other companies that contain tantalum, tin, tungsten and gold. The 3TG in these generic components are necessary to the</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1"/>
          <w:szCs w:val="21"/>
          <w:color w:val="auto"/>
        </w:rPr>
        <w:t>functionality of Dekko’s, Forney’s and Joyce’s products. These generic components are purchased from manufacturers and distributors. Dekko, Forney and Joyce do not purchase any 3TG metals directly from mines, smelters or refiners.</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 wiring, name plates, castings and covers; products that contain tantalum are screws and nuts.</w:t>
      </w:r>
    </w:p>
    <w:p>
      <w:pPr>
        <w:spacing w:after="0" w:line="20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On June 14, 2021, the Company acquired Leaf Group Ltd. (“Leaf Group”), formerly a public company that had previously provided conflict minerals information to the SEC. Through Leaf Group’s made-to-order marketplaces, consisting of its Society6.com and Deny Designs brands, it offers consumer products in the home décor, accessories, furniture and apparel categories. The vast majority of the products sold through the Society6 website are manufactured by third parties. A small portion of Leaf Group's products are manufactured in-house by Deny Designs, a wholly owned subsidiary of Leaf Group. Leaf Group undertook due diligence to determine whether any of the materials that were necessary to the functionality or</w:t>
      </w:r>
    </w:p>
    <w:p>
      <w:pPr>
        <w:sectPr>
          <w:pgSz w:w="11900" w:h="16838" w:orient="portrait"/>
          <w:cols w:equalWidth="0" w:num="1">
            <w:col w:w="10920"/>
          </w:cols>
          <w:pgMar w:left="640" w:top="1126" w:right="339" w:bottom="0" w:gutter="0" w:footer="0" w:header="0"/>
        </w:sectPr>
      </w:pPr>
    </w:p>
    <w:bookmarkStart w:id="3" w:name="page4"/>
    <w:bookmarkEnd w:id="3"/>
    <w:p>
      <w:pPr>
        <w:spacing w:after="0" w:line="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1"/>
          <w:szCs w:val="21"/>
          <w:color w:val="auto"/>
        </w:rPr>
        <w:t>production of the finished products sold by Leaf Group in the Reporting Period contained any 3TG metals. Leaf does not purchase 3TG directly from any mine, refiner or smelter. Leaf Group's due diligence measures included conducting a supply-chain survey by polling all of the third-party manufacturers with which Leaf Group contracted to produce and manufacture the products sold by it during the Reporting Period, and all of the third-party suppliers with which it contracted to supply the materials for Deny Designs to produce and manufacture the products to be sold by it during the Reporting Period. The surveys asked such third-party manufacturers and suppliers to certify in writing whether products or materials supplied to Leaf Group contained any amounts of 3TG. All of such manufacturers and suppliers confirmed that no amount of 3TG was contained in any of the materials in the finished products sold by Leaf Group. As a result, Leaf Group does not believe that any of the products sold during the Reporting Period that were manufactured by Deny Designs or by any third-party manufacturer on its behalf contained any 3TG in the materials that were necessary to the functionality or production of its finished products. Therefore, Leaf Group did not conduct its own Reasonable Country of Origin Inquiry with regard to any of the products it sold in the Reporting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Supply Chain Overview</w:t>
      </w:r>
    </w:p>
    <w:p>
      <w:pPr>
        <w:spacing w:after="0" w:line="25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w:t>
      </w:r>
    </w:p>
    <w:p>
      <w:pPr>
        <w:spacing w:after="0" w:line="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1"/>
          <w:szCs w:val="21"/>
          <w:color w:val="auto"/>
        </w:rPr>
        <w:t>their direct suppliers and distributors to provide information on the origin of the 3TG contained in components supplied to them, including sources of 3TG that are supplied to them from lower tier suppliers. See section Section 4.1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3.1 Conflict Minerals Policy</w:t>
      </w:r>
    </w:p>
    <w:p>
      <w:pPr>
        <w:spacing w:after="0" w:line="271"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21"/>
          <w:szCs w:val="21"/>
          <w:color w:val="auto"/>
        </w:rPr>
        <w:t>Dekko, Forney and Joyce adopted conflict minerals policies that are available on each of their respective websites at: http://forneycorp.com/conflict-minerals-policy; http://joycedayton.com/about-us/certifications; and http://www.dekko.com/capabilities/#_tab4.</w:t>
      </w:r>
    </w:p>
    <w:p>
      <w:pPr>
        <w:spacing w:after="0" w:line="18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DRC. It is committed to strengthening its efforts to ensure that it refrains from, directly or indirectly, taking or supporting any action that contributes to the financing of armed groups that are committing human rights abuses in the DRC and other covered countries.</w:t>
      </w:r>
    </w:p>
    <w:p>
      <w:pPr>
        <w:spacing w:after="0" w:line="202"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Reasonable Country of Origin Inquiry (“RCOI”)</w:t>
      </w:r>
    </w:p>
    <w:p>
      <w:pPr>
        <w:spacing w:after="0" w:line="253"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4.1 Requests for Information and Survey Responses</w:t>
      </w:r>
    </w:p>
    <w:p>
      <w:pPr>
        <w:spacing w:after="0" w:line="2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are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Forney and Joyce undertook an investigation of their suppliers of the generic components to determine the sources of the minerals incorporated into those components.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found on the RMI website);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w:t>
      </w:r>
    </w:p>
    <w:p>
      <w:pPr>
        <w:spacing w:after="0" w:line="13"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21"/>
          <w:szCs w:val="21"/>
          <w:color w:val="auto"/>
        </w:rPr>
        <w:t>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spacing w:after="0" w:line="17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1"/>
          <w:szCs w:val="21"/>
          <w:color w:val="auto"/>
        </w:rPr>
        <w:t>In connection with Dekko’s due diligence efforts, including Dekko’s subsidiary Electri-Cable Assemblies (acquired in September 2016) and Furnlite (acquired in August 2018), Dekko reviewed approximately 4,400 purchase SKUs for 3TG content, identifying 230 direct “3TG suppliers” associated with these SKUs for the 2021 RCOI, 48 of which are distributors.</w:t>
      </w:r>
    </w:p>
    <w:p>
      <w:pPr>
        <w:sectPr>
          <w:pgSz w:w="11900" w:h="16878" w:orient="portrait"/>
          <w:cols w:equalWidth="0" w:num="1">
            <w:col w:w="10920"/>
          </w:cols>
          <w:pgMar w:left="640" w:top="125" w:right="339" w:bottom="0" w:gutter="0" w:footer="0" w:header="0"/>
        </w:sectPr>
      </w:pPr>
    </w:p>
    <w:bookmarkStart w:id="4" w:name="page5"/>
    <w:bookmarkEnd w:id="4"/>
    <w:p>
      <w:pPr>
        <w:spacing w:after="0" w:line="239" w:lineRule="auto"/>
        <w:rPr>
          <w:sz w:val="20"/>
          <w:szCs w:val="20"/>
          <w:color w:val="auto"/>
        </w:rPr>
      </w:pPr>
      <w:r>
        <w:rPr>
          <w:rFonts w:ascii="Times New Roman" w:cs="Times New Roman" w:eastAsia="Times New Roman" w:hAnsi="Times New Roman"/>
          <w:sz w:val="21"/>
          <w:szCs w:val="21"/>
          <w:color w:val="auto"/>
        </w:rPr>
        <w:t xml:space="preserve">Through these 48 distributors, Dekko identified an additional 81 indirect 3TG suppliers (manufacturers) resulting in a total of 311 identified 3TG supply chain entities or 167 (excluding those where applicable manufacturers were identified). Dekko solicited CMRTs from all of these identified indirect suppliers. A total of 376 smelters and refiners were identified within this supply chain as applicable to Dekko through the 3TG content of the products procured from them (confirmed and/or undetermined). A review of the CMRTs revealed that nearly all RMI recognized smelters are </w:t>
      </w:r>
      <w:r>
        <w:rPr>
          <w:rFonts w:ascii="Times New Roman" w:cs="Times New Roman" w:eastAsia="Times New Roman" w:hAnsi="Times New Roman"/>
          <w:sz w:val="21"/>
          <w:szCs w:val="21"/>
          <w:i w:val="1"/>
          <w:iCs w:val="1"/>
          <w:color w:val="auto"/>
        </w:rPr>
        <w:t>potentially</w:t>
      </w:r>
      <w:r>
        <w:rPr>
          <w:rFonts w:ascii="Times New Roman" w:cs="Times New Roman" w:eastAsia="Times New Roman" w:hAnsi="Times New Roman"/>
          <w:sz w:val="21"/>
          <w:szCs w:val="21"/>
          <w:color w:val="auto"/>
        </w:rPr>
        <w:t xml:space="preserve"> engaged within Dekko’s supply chain. With respect to Forney's due diligence measures, Forney reviewed all 222 of its purchase orders from 2021, identified and solicited CMRTs from 44 suppliers of the generic components contained in its products, and received responses from 41 suppliers. Forney re-engaged with any of the original 44 suppliers that did not respond, as well as those whose CMRT’s declaration page reflected a 50% or less manufacturer response rate, or whose CMRT reflected uncertainty as to whether their products were sourced from conflict mines. Further research revealed that of the three direct suppliers who did not respond, two were distributors and one was a manufacturer whose website included a statement confirming that goods supplied do not contain any Conflict Minerals. By reviewing the two distributors' websites, Forney identified an additional 16 manufacturers or indirect suppliers. Forney reviewed information from those manufacturers and indirect suppliers' websites and found statements or CMRTs confirming that goods supplied do not contain any Conflict Minerals. Forney also sought country of origin information directly by reviewing the policies and statements on the manufacturers’ websites addressing Conflict Minerals. In connection with Joyce's due diligence, it received responses from four out of five suppliers contacted, all of which responded that no conflict minerals were contained in products that were purchased by Joyce. Joyce Dayton reviewed all active vendors for the Reporting Period and narrowed that to 96 vendors that are at risk of supplying 3TG metals for Joyce. These vendors were contacted multiple times and Joyce received 49 responses. Of those respondents 15 identified using 3TG metals. 14 of the 15 provided the approved smelters that were used in processing of the minerals. The final vendor stated that the minerals they used (Tin) was only .07% of the total part volume and did not provide a smelter. EDrive (a Joyce subsidiary) reviewed all active vendors for the Reporting Period and narrowed that to 6 vendors that were at risk of supplying 3TG metals for EDrive. These vendors were all contacted multiple times and EDrive received four responses. Of those respondents, one identified using 3TG metals. That vendor identified the Responsible Minerals Assurance Program (RMAP) Conformant smelters that were used in the processing of the 3TG metals.</w:t>
      </w:r>
    </w:p>
    <w:p>
      <w:pPr>
        <w:spacing w:after="0" w:line="24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1"/>
          <w:szCs w:val="21"/>
          <w:color w:val="auto"/>
        </w:rPr>
        <w:t>As reported by suppliers, several of the smelters/refiners in their disclosed supply chains geographically source from mines within the defined DRC region: the vast majority of these are RMAP Conformant smelters, indicating sourcing from “conflict-free” mines. See sections 4.2 and 5.4 of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4.2 RCOI Conclusion</w:t>
      </w:r>
    </w:p>
    <w:p>
      <w:pPr>
        <w:spacing w:after="0" w:line="25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1"/>
          <w:szCs w:val="21"/>
          <w:color w:val="auto"/>
        </w:rPr>
        <w:t>Based on the Company’s reasonable country of origin inquiry, and after exercising due diligence measures that revealed that certain smelters/refiners are not RMAP conformant, the</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Company is unable to conclude that none of the Conflict Minerals that are necessary to the functionality or production of the Company’s products originated in the Covered Countries and are unable to conclude that they have not come from recycled or scrap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Due Diligence Program</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5.1 Design of Due Diligence; Conformity to a Recognized Due Diligence Framework</w:t>
      </w:r>
    </w:p>
    <w:p>
      <w:pPr>
        <w:spacing w:after="0" w:line="25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The Company’s due diligence measures have been designed to conform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5.2 Establish Strong Company Management Systems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Internal Team</w:t>
      </w:r>
    </w:p>
    <w:p>
      <w:pPr>
        <w:spacing w:after="0" w:line="271"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21"/>
          <w:szCs w:val="21"/>
          <w:color w:val="auto"/>
        </w:rPr>
        <w:t>Each of Dekko, Forney and Joyce have established a Conflicts Minerals management system that examines the potential use and source of Conflicts Minerals in product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Conflict Minerals Policy</w:t>
      </w:r>
    </w:p>
    <w:p>
      <w:pPr>
        <w:spacing w:after="0" w:line="25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21"/>
          <w:szCs w:val="21"/>
          <w:color w:val="auto"/>
        </w:rPr>
        <w:t>As noted above, Dekko, Forney and Joyce adopted policies which are designed to communicate their commitment to responsible sourcing of Conflict Minerals throughout their supply chain for products that they manufacture. The policies discuss the fact that they are putting policies and systems into place to reduce the risk that Conflict Minerals used in their products originate in the Covered Countries. The policies inform suppliers that because they do not source Conflict Minerals directly from miners, smelters or refiners, they will rely on the cooperation of their suppliers in the implementation of their</w:t>
      </w:r>
    </w:p>
    <w:p>
      <w:pPr>
        <w:sectPr>
          <w:pgSz w:w="11900" w:h="16838" w:orient="portrait"/>
          <w:cols w:equalWidth="0" w:num="1">
            <w:col w:w="10900"/>
          </w:cols>
          <w:pgMar w:left="640" w:top="112" w:right="359" w:bottom="6" w:gutter="0" w:footer="0" w:header="0"/>
        </w:sectPr>
      </w:pPr>
    </w:p>
    <w:bookmarkStart w:id="5" w:name="page6"/>
    <w:bookmarkEnd w:id="5"/>
    <w:p>
      <w:pPr>
        <w:spacing w:after="0" w:line="62" w:lineRule="exact"/>
        <w:rPr>
          <w:sz w:val="20"/>
          <w:szCs w:val="20"/>
          <w:color w:val="auto"/>
        </w:rPr>
      </w:pPr>
    </w:p>
    <w:p>
      <w:pPr>
        <w:ind w:left="320" w:right="620"/>
        <w:spacing w:after="0" w:line="290" w:lineRule="auto"/>
        <w:rPr>
          <w:sz w:val="20"/>
          <w:szCs w:val="20"/>
          <w:color w:val="auto"/>
        </w:rPr>
      </w:pPr>
      <w:r>
        <w:rPr>
          <w:rFonts w:ascii="Times New Roman" w:cs="Times New Roman" w:eastAsia="Times New Roman" w:hAnsi="Times New Roman"/>
          <w:sz w:val="21"/>
          <w:szCs w:val="21"/>
          <w:color w:val="auto"/>
        </w:rPr>
        <w:t>policies and in enabling them to meet their compliance obligations. The policies are published on each of their respective websites.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5.3 Identify and Assess Risk in the Supply Chain</w:t>
      </w:r>
    </w:p>
    <w:p>
      <w:pPr>
        <w:spacing w:after="0" w:line="271" w:lineRule="exact"/>
        <w:rPr>
          <w:sz w:val="20"/>
          <w:szCs w:val="20"/>
          <w:color w:val="auto"/>
        </w:rPr>
      </w:pPr>
    </w:p>
    <w:p>
      <w:pPr>
        <w:ind w:left="320" w:right="220"/>
        <w:spacing w:after="0" w:line="262" w:lineRule="auto"/>
        <w:rPr>
          <w:sz w:val="20"/>
          <w:szCs w:val="20"/>
          <w:color w:val="auto"/>
        </w:rPr>
      </w:pPr>
      <w:r>
        <w:rPr>
          <w:rFonts w:ascii="Times New Roman" w:cs="Times New Roman" w:eastAsia="Times New Roman" w:hAnsi="Times New Roman"/>
          <w:sz w:val="21"/>
          <w:szCs w:val="21"/>
          <w:color w:val="auto"/>
        </w:rPr>
        <w:t>As described above, Dekko and Forney and Joyce conduct a survey of all of their suppliers using the Template to obtain chain of custody declarations from their suppliers. The Template includes questions on the use and origin of Conflict Minerals in their components, supplier engagement with sub-tier suppliers and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5.4 Design and Implement a Strategy to Respond to Identified Risks</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Smelter and refiner names provided by suppliers were confirmed by comparing them to the</w:t>
      </w:r>
    </w:p>
    <w:p>
      <w:pPr>
        <w:spacing w:after="0" w:line="37" w:lineRule="exact"/>
        <w:rPr>
          <w:sz w:val="20"/>
          <w:szCs w:val="20"/>
          <w:color w:val="auto"/>
        </w:rPr>
      </w:pPr>
    </w:p>
    <w:p>
      <w:pPr>
        <w:ind w:left="320" w:right="140"/>
        <w:spacing w:after="0" w:line="259" w:lineRule="auto"/>
        <w:rPr>
          <w:sz w:val="20"/>
          <w:szCs w:val="20"/>
          <w:color w:val="auto"/>
        </w:rPr>
      </w:pPr>
      <w:r>
        <w:rPr>
          <w:rFonts w:ascii="Times New Roman" w:cs="Times New Roman" w:eastAsia="Times New Roman" w:hAnsi="Times New Roman"/>
          <w:sz w:val="21"/>
          <w:szCs w:val="21"/>
          <w:color w:val="auto"/>
        </w:rPr>
        <w:t>information contained on the Responsible Minerals Initiative website. The Company relies on RMI to determine if smelters and refiners reported by its suppliers are conformant with the Responsible Minerals Assurance Program to validate responsible sourcing.</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5.5 Carry out Independent Third Party Audit of Supply Chain Due Diligence at Identified Points in the Supply Chain</w:t>
      </w:r>
    </w:p>
    <w:p>
      <w:pPr>
        <w:spacing w:after="0" w:line="271" w:lineRule="exact"/>
        <w:rPr>
          <w:sz w:val="20"/>
          <w:szCs w:val="20"/>
          <w:color w:val="auto"/>
        </w:rPr>
      </w:pPr>
    </w:p>
    <w:p>
      <w:pPr>
        <w:ind w:left="320" w:right="220"/>
        <w:spacing w:after="0" w:line="265" w:lineRule="auto"/>
        <w:rPr>
          <w:sz w:val="20"/>
          <w:szCs w:val="20"/>
          <w:color w:val="auto"/>
        </w:rPr>
      </w:pPr>
      <w:r>
        <w:rPr>
          <w:rFonts w:ascii="Times New Roman" w:cs="Times New Roman" w:eastAsia="Times New Roman" w:hAnsi="Times New Roman"/>
          <w:sz w:val="21"/>
          <w:szCs w:val="21"/>
          <w:color w:val="auto"/>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5.6 Report on Supply Chain Due Diligence</w:t>
      </w:r>
    </w:p>
    <w:p>
      <w:pPr>
        <w:spacing w:after="0" w:line="271" w:lineRule="exact"/>
        <w:rPr>
          <w:sz w:val="20"/>
          <w:szCs w:val="20"/>
          <w:color w:val="auto"/>
        </w:rPr>
      </w:pPr>
    </w:p>
    <w:p>
      <w:pPr>
        <w:jc w:val="both"/>
        <w:ind w:left="320" w:right="320"/>
        <w:spacing w:after="0" w:line="271" w:lineRule="auto"/>
        <w:rPr>
          <w:sz w:val="20"/>
          <w:szCs w:val="20"/>
          <w:color w:val="auto"/>
        </w:rPr>
      </w:pPr>
      <w:r>
        <w:rPr>
          <w:rFonts w:ascii="Times New Roman" w:cs="Times New Roman" w:eastAsia="Times New Roman" w:hAnsi="Times New Roman"/>
          <w:sz w:val="21"/>
          <w:szCs w:val="21"/>
          <w:color w:val="auto"/>
        </w:rPr>
        <w:t>The Company’s Form SD and this Conflict Minerals Report are both available on the Company’s website at www.ghco.com. GHCO will file a Form SD with the Securities and Exchange Commission on an annual basis, pursuant to Rule 13p-1 of the Act.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6. Results of Due Diligence Review-Facilities Used to Process the Necessary Conflict Minerals</w:t>
      </w:r>
    </w:p>
    <w:p>
      <w:pPr>
        <w:spacing w:after="0" w:line="258" w:lineRule="exact"/>
        <w:rPr>
          <w:sz w:val="20"/>
          <w:szCs w:val="20"/>
          <w:color w:val="auto"/>
        </w:rPr>
      </w:pPr>
    </w:p>
    <w:p>
      <w:pPr>
        <w:ind w:left="320" w:right="100"/>
        <w:spacing w:after="0" w:line="258" w:lineRule="auto"/>
        <w:rPr>
          <w:sz w:val="20"/>
          <w:szCs w:val="20"/>
          <w:color w:val="auto"/>
        </w:rPr>
      </w:pPr>
      <w:r>
        <w:rPr>
          <w:rFonts w:ascii="Times New Roman" w:cs="Times New Roman" w:eastAsia="Times New Roman" w:hAnsi="Times New Roman"/>
          <w:sz w:val="21"/>
          <w:szCs w:val="21"/>
          <w:color w:val="auto"/>
        </w:rPr>
        <w:t>As discussed above, Dekko and Forney solicited all of their applicable (3TG) suppliers to gather information by means of the Template regarding the sourcing of 3TG in the products supplied to them. Based on the information provided by suppliers in the Templates, the smelters used to process necessary conflict minerals include those listed on the attached Schedule 1.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to the Company. As permitted by guidance from the SEC staff, the Company did not conduct an independent private sector audit of its supply chain due diligence but will do so in the future if, and to the extent, required by the SEC’s rules.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7. Steps to Mitigate Risk and Improve Due Diligence</w:t>
      </w:r>
    </w:p>
    <w:p>
      <w:pPr>
        <w:spacing w:after="0" w:line="258" w:lineRule="exact"/>
        <w:rPr>
          <w:sz w:val="20"/>
          <w:szCs w:val="20"/>
          <w:color w:val="auto"/>
        </w:rPr>
      </w:pPr>
    </w:p>
    <w:p>
      <w:pPr>
        <w:ind w:left="320" w:right="180"/>
        <w:spacing w:after="0" w:line="258" w:lineRule="auto"/>
        <w:rPr>
          <w:sz w:val="20"/>
          <w:szCs w:val="20"/>
          <w:color w:val="auto"/>
        </w:rPr>
      </w:pPr>
      <w:r>
        <w:rPr>
          <w:rFonts w:ascii="Times New Roman" w:cs="Times New Roman" w:eastAsia="Times New Roman" w:hAnsi="Times New Roman"/>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specification of conflict-free OEM supply sources by</w:t>
      </w:r>
    </w:p>
    <w:p>
      <w:pPr>
        <w:spacing w:after="0" w:line="1" w:lineRule="exact"/>
        <w:rPr>
          <w:sz w:val="20"/>
          <w:szCs w:val="20"/>
          <w:color w:val="auto"/>
        </w:rPr>
      </w:pPr>
    </w:p>
    <w:p>
      <w:pPr>
        <w:ind w:left="320" w:right="140"/>
        <w:spacing w:after="0" w:line="259" w:lineRule="auto"/>
        <w:rPr>
          <w:sz w:val="20"/>
          <w:szCs w:val="20"/>
          <w:color w:val="auto"/>
        </w:rPr>
      </w:pPr>
      <w:r>
        <w:rPr>
          <w:rFonts w:ascii="Times New Roman" w:cs="Times New Roman" w:eastAsia="Times New Roman" w:hAnsi="Times New Roman"/>
          <w:sz w:val="21"/>
          <w:szCs w:val="21"/>
          <w:color w:val="auto"/>
        </w:rPr>
        <w:t>customers, will ultimately determine the Company’s ability to mitigate risk, as well as be a factor in awarding future purchases. Dekko, Forney and Joyce will continue to work with suppliers as needed to better communicate the requirements of the Conflicts Mineral Rule and to increase transparency of mineral sourcing.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 Used to Process Conflict Minerals</w:t>
      </w:r>
    </w:p>
    <w:p>
      <w:pPr>
        <w:spacing w:after="0" w:line="99" w:lineRule="exact"/>
        <w:rPr>
          <w:sz w:val="20"/>
          <w:szCs w:val="20"/>
          <w:color w:val="auto"/>
        </w:rPr>
      </w:pPr>
    </w:p>
    <w:tbl>
      <w:tblPr>
        <w:tblLayout w:type="fixed"/>
        <w:tblInd w:w="250" w:type="dxa"/>
        <w:tblCellMar>
          <w:top w:w="0" w:type="dxa"/>
          <w:left w:w="0" w:type="dxa"/>
          <w:bottom w:w="0" w:type="dxa"/>
          <w:right w:w="0" w:type="dxa"/>
        </w:tblCellMar>
      </w:tblPr>
      <w:tr>
        <w:trPr>
          <w:trHeight w:val="149"/>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2260" w:type="dxa"/>
            <w:vAlign w:val="bottom"/>
            <w:tcBorders>
              <w:top w:val="single" w:sz="8" w:color="auto"/>
              <w:right w:val="single" w:sz="8" w:color="auto"/>
            </w:tcBorders>
          </w:tcPr>
          <w:p>
            <w:pPr>
              <w:spacing w:after="0"/>
              <w:rPr>
                <w:sz w:val="12"/>
                <w:szCs w:val="12"/>
                <w:color w:val="auto"/>
              </w:rPr>
            </w:pPr>
          </w:p>
        </w:tc>
        <w:tc>
          <w:tcPr>
            <w:tcW w:w="22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Whether Smelter</w:t>
            </w:r>
          </w:p>
        </w:tc>
        <w:tc>
          <w:tcPr>
            <w:tcW w:w="12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Whether 3TG</w:t>
            </w: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Location in</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RMAP Validation</w:t>
            </w:r>
          </w:p>
        </w:tc>
        <w:tc>
          <w:tcPr>
            <w:tcW w:w="96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Mined in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Mine Location(s), if</w:t>
            </w:r>
          </w:p>
        </w:tc>
        <w:tc>
          <w:tcPr>
            <w:tcW w:w="0" w:type="dxa"/>
            <w:vAlign w:val="bottom"/>
          </w:tcPr>
          <w:p>
            <w:pPr>
              <w:spacing w:after="0"/>
              <w:rPr>
                <w:sz w:val="1"/>
                <w:szCs w:val="1"/>
                <w:color w:val="auto"/>
              </w:rPr>
            </w:pPr>
          </w:p>
        </w:tc>
      </w:tr>
      <w:tr>
        <w:trPr>
          <w:trHeight w:val="145"/>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3TG Metal</w:t>
            </w:r>
          </w:p>
        </w:tc>
        <w:tc>
          <w:tcPr>
            <w:tcW w:w="126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Smelter Facility Location</w:t>
            </w:r>
          </w:p>
        </w:tc>
        <w:tc>
          <w:tcPr>
            <w:tcW w:w="114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2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(RMI)</w:t>
            </w:r>
          </w:p>
        </w:tc>
        <w:tc>
          <w:tcPr>
            <w:tcW w:w="226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known</w:t>
            </w: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CID000092</w:t>
            </w:r>
          </w:p>
        </w:tc>
        <w:tc>
          <w:tcPr>
            <w:tcW w:w="226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Asaka Riken Co., Ltd.</w:t>
            </w:r>
          </w:p>
        </w:tc>
        <w:tc>
          <w:tcPr>
            <w:tcW w:w="220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bl>
    <w:p>
      <w:pPr>
        <w:sectPr>
          <w:pgSz w:w="11900" w:h="16900" w:orient="portrait"/>
          <w:cols w:equalWidth="0" w:num="1">
            <w:col w:w="11340"/>
          </w:cols>
          <w:pgMar w:left="320" w:top="125" w:right="239" w:bottom="0" w:gutter="0" w:footer="0" w:header="0"/>
        </w:sectPr>
      </w:pPr>
    </w:p>
    <w:bookmarkStart w:id="6" w:name="page7"/>
    <w:bookmarkEnd w:id="6"/>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88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CID000211</w:t>
            </w:r>
          </w:p>
        </w:tc>
        <w:tc>
          <w:tcPr>
            <w:tcW w:w="226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Changsha South Tantalum Niobium</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CID000291</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Guangdong Rising Rare Metals-EO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Materials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CID000456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Exotech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CID000460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F&amp;X Electro-Materials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CID000616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XIMEI RESOURCES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(GUANGDONG) LIMITED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CID000914</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JiuJiang JinXin Nonferrous Metals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CID000917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Jiujiang Tanbre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CID001076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LSM Brasil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Metallurgical Products India Pvt.,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CID001175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Mineracao Taboca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CID001192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Mitsui Mining and Smelting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CID001200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NPM Silmet AS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ESTONIA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CID001277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Ningxia Orient Tantalum Industry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CID001508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QuantumClean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CID001522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Yanling Jincheng Tantalum &amp;</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Niobium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CID001769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Solikamsk Magnesium Works OAO</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CID001869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Taki Chemical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CID001891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Telex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CID001969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Ulba Metallurgical Plant JSC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CID002492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Hengyang King Xing Lifeng New</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Materials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 Block Metals,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FIR Metals &amp; Resource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CID002506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Jiujiang Zhongao Tantalum &amp;</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Niobium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CID002508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XinXing HaoRong Electronic</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Material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CID002512</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Jiangxi Dinghai Tantalum &amp; Niobium</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CID002539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KEMET de Mexico</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TANIOBIS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TANIOBIS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H.C. Starck Hermsdorf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H.C. Starck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TANIOBIS Japan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CID002550</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TANIOBIS Smelting GmbH &amp;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Global Advanced Metals Boyertown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CID002558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Global Advanced Metals Aizu</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CID002568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KEMET Blue Powder</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CID002707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Resind Industria e Comercio Ltda.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CID002842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Jiangxi Tuohong New Raw Material</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CID002847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 Materials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NORTH MACEDONIA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CID003191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Jiujiang Janny New Material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CID003402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CP Metals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CID000228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Chenzhou Yunxiang Mining and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Metallurgy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CID000244</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Jiangxi Ketai Advanced Material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CID000278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CNMC (Guangxi) PGMA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CID000292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Cookson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CID000306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CV Gita Pesona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CID000309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Aries Kencana Sejahtera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CID000313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Premium Tin Indonesia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CID000315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CV United Smelting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CID000402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Dowa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CID000438</w:t>
            </w: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EM Vinto</w:t>
            </w:r>
          </w:p>
        </w:tc>
        <w:tc>
          <w:tcPr>
            <w:tcW w:w="22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BOLIVIA (PLURINATIONAL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STATE OF)</w:t>
            </w: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Estanho de Rondonia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CID000468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Fenix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CID000538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Gejiu Non-Ferrous Metal Processing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CID000555</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Gejiu Zili Mining And Metallurgy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CID000760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Huichang Jinshunda Tin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CID000942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Gejiu Kai Meng Industry and Trade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LLC</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CID001070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 Tin Group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CID001105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Malaysia Smelting Corporation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(MSC)</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CID001142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Metallic Resources,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CID001173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Mineracao Taboca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Minsur</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CID001191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Mitsubishi Materials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CID001231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Jiangxi New Nanshan Technology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Novosibirsk Processing Plant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CID001314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O.M. Manufacturing (Thailand)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00"/>
        </w:trPr>
        <w:tc>
          <w:tcPr>
            <w:tcW w:w="880" w:type="dxa"/>
            <w:vAlign w:val="bottom"/>
            <w:tcBorders>
              <w:left w:val="single" w:sz="8" w:color="auto"/>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tcPr>
          <w:p>
            <w:pPr>
              <w:ind w:left="20"/>
              <w:spacing w:after="0" w:line="81" w:lineRule="exact"/>
              <w:rPr>
                <w:sz w:val="20"/>
                <w:szCs w:val="20"/>
                <w:color w:val="auto"/>
              </w:rPr>
            </w:pPr>
            <w:r>
              <w:rPr>
                <w:rFonts w:ascii="Times New Roman" w:cs="Times New Roman" w:eastAsia="Times New Roman" w:hAnsi="Times New Roman"/>
                <w:sz w:val="9"/>
                <w:szCs w:val="9"/>
                <w:color w:val="auto"/>
              </w:rPr>
              <w:t>Ltd</w:t>
            </w:r>
          </w:p>
        </w:tc>
        <w:tc>
          <w:tcPr>
            <w:tcW w:w="22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7" w:name="page8"/>
    <w:bookmarkEnd w:id="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80"/>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20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CID001337</w:t>
            </w: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Operaciones Metalurgicas S.A.</w:t>
            </w:r>
          </w:p>
        </w:tc>
        <w:tc>
          <w:tcPr>
            <w:tcW w:w="220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BOLIVIA (PLURINATIONAL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STATE OF)</w:t>
            </w: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CID001399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Artha Cipta Langgeng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CID001402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Babel Inti Perkasa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CID001406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Babel Surya Alam Lestari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CID001419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Bangka Tin Industry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CID001421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Belitung Industri Sejahtera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CID001428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Bukit Timah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CID001434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DS Jaya Abadi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CID001438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Eunindo Usaha Mandiri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Karimun Mining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CID001453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Mitra Stania Prima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Panca Mega Persada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CID001458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Prima Timah Utama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CID001460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Refined Bangka Tin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Sariwiguna Binasentosa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CID001468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Stanindo Inti Perkasa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CID001471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Sumber Jaya Indah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CID001477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Timah Tbk Kundur</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Timah Tbk Mentok</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CID001486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Timah Nusantara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CID001490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Tinindo Inter Nusa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Tommy Utama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CID001539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Rui Da Hung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TAIWAN, PROVINCE OF 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CID001758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Soft Metais Ltda.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CID001898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Thaisarco</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CID001908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Gejiu Yunxin Nonferrous Electrolysis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CID002015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VQB Mineral and Trading Group JSC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CID002036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White Solder Metalurgia e Mineracao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CID002158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Yunnan Chengfeng Non-ferrous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CID002180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Yunnan Tin Company Limited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CID002455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CV Venus Inti Perkasa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CID002468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Magnu's Minerais Metais e Ligas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CID002478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Tirus Putra Mandiri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Melt Metais e Ligas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ATD Makmur Mandiri Jaya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CID002517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O.M. Manufacturing Philippines,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CID002530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Inti Stania Prima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CID002570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CV Ayi Jaya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Electro-Mechanical Facility of the</w:t>
            </w:r>
          </w:p>
        </w:tc>
        <w:tc>
          <w:tcPr>
            <w:tcW w:w="2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CID002572</w:t>
            </w:r>
          </w:p>
        </w:tc>
        <w:tc>
          <w:tcPr>
            <w:tcW w:w="226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Cao Bang Minerals &amp; Metallurgy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Stock Company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CID002573</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Nghe Tinh Non-Ferrous Metals Joint</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Stock Company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CID002574</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Tuyen Quang Non-Ferrous Metals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Stock Company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CID002592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CV Dua Sekawan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Rajehan Ariq</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CID002703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An Vinh Joint Stock Mineral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Processing Company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CID002706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Resind Industria e Comercio Ltda.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CID002756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Super Ligas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CID002773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Metallo Belgium N.V.</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CID002774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Metallo Spain S.L.U.</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CID002776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Bangka Prima Tin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CID002816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Sukses Inti Makmur</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CID002829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Kijang Jaya Mandiri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CID002834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Thai Nguyen Mining and Metallurgy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CID002835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Menara Cipta Mulia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CID002844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HuiChang Hill Tin Industry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CID002848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Gejiu Fengming Metallurgy Chemical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CID002849</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Guanyang Guida Nonferrous Metal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Smelting 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CID002858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Modeltech Sdn Bhd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CID002870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Lautan Harmonis Sejahtera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CID003116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Guangdong Hanhe Non-Ferrous Metal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CID003190</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Chifeng Dajingzi Tin Industry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CID003205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Bangka Serumpun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CID003208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Pongpipat Company Limited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MYANMAR</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CID003325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Tin Technology &amp; Refining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CID003356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Dongguan CiEXPO Environmental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Engineering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CID003379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Ma'anshan Weitai Tin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CID003381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Rajawali Rimba Perkasa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71"/>
        </w:trPr>
        <w:tc>
          <w:tcPr>
            <w:tcW w:w="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CID003387</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Luna Smelter, Ltd.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RWANDA</w:t>
            </w:r>
          </w:p>
        </w:tc>
        <w:tc>
          <w:tcPr>
            <w:tcW w:w="1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4"/>
                <w:szCs w:val="1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6635750</wp:posOffset>
            </wp:positionH>
            <wp:positionV relativeFrom="page">
              <wp:posOffset>88900</wp:posOffset>
            </wp:positionV>
            <wp:extent cx="8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88900</wp:posOffset>
            </wp:positionV>
            <wp:extent cx="8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5257800</wp:posOffset>
            </wp:positionH>
            <wp:positionV relativeFrom="page">
              <wp:posOffset>88900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4535170</wp:posOffset>
            </wp:positionH>
            <wp:positionV relativeFrom="page">
              <wp:posOffset>88900</wp:posOffset>
            </wp:positionV>
            <wp:extent cx="8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3140710</wp:posOffset>
            </wp:positionH>
            <wp:positionV relativeFrom="page">
              <wp:posOffset>88900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1704340</wp:posOffset>
            </wp:positionH>
            <wp:positionV relativeFrom="page">
              <wp:posOffset>88900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360680</wp:posOffset>
            </wp:positionH>
            <wp:positionV relativeFrom="page">
              <wp:posOffset>88900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88900</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CID003397</w:t>
            </w:r>
          </w:p>
        </w:tc>
        <w:tc>
          <w:tcPr>
            <w:tcW w:w="226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Yunnan Yunfan Non-ferrous Metals</w:t>
            </w:r>
          </w:p>
        </w:tc>
        <w:tc>
          <w:tcPr>
            <w:tcW w:w="22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CID003409</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Precious Minerals and Smelting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Limited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CID003410</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Gejiu City Fuxiang Industry and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CID003449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Mitra Sukses Globalindo</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CRM Fundicao De Metais E</w:t>
            </w:r>
          </w:p>
        </w:tc>
        <w:tc>
          <w:tcPr>
            <w:tcW w:w="2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CID003486</w:t>
            </w:r>
          </w:p>
        </w:tc>
        <w:tc>
          <w:tcPr>
            <w:tcW w:w="226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Comercio De Equipamentos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Eletronicos Do Brasil Ltda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CID003524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CRM Synergies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Tin</w:t>
            </w:r>
          </w:p>
        </w:tc>
        <w:tc>
          <w:tcPr>
            <w:tcW w:w="126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Sizer Metals PTE</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CID000015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Advanced Chemical Company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CID000019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Aida Chemical Industries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CID000035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Allgemeine Gold-und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Silberscheideanstalt A.G.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CID000041</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Almalyk Mining and Metallurgical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UZBEKISTAN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Complex (AMMC)</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CID000058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AngloGold Ashanti Corrego do Sitio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Mineracao</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CID000077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Argor-Heraeus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Asahi Pretec Corp.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CID000090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Asaka Riken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CID000103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Atasay Kuyumculuk Sanayi Ve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Ticaret A.S.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CID000113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Aurubis AG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CID000128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Bangko Sentral ng Pilipinas (Central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Bank of the Philippines)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Boliden AB</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SWEDEN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CID000176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 Hafner GmbH + Co. KG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CID000180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Caridad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CID000185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CCR Refinery - Glencore Canada</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Corporation</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CID000189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Cendres + Metaux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CID000197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Yunnan Copper Industry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CID000233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Chimet S.p.A.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CID000264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Chugai Mining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CID000328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Daejin Indus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CID000343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Daye Non-Ferrous Metals Mining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CID000359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DSC (Do Sung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CID000362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DODUCO Contacts and Refining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GmbH</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CID000401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Dowa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CID000425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Eco-System Recycling Co., Ltd. East</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JSC Novosibirsk</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CID000522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Refinery of Seemine Gold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CID000651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Guoda Safina High-Tech</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Environmental Refinery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CID000671</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Hangzhou Fuchunjiang Smelting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CID000689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 Metal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CID000694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Heimerle + Meule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CID000707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Heraeus Metals Hong Kong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CID000711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Heraeus Germany GmbB Co. KG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CID000767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Hunan Chenzhou Mining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CID000773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Hunan Guiyang yinxing Nonferrous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Smelting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CID000778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HwaSeong CJ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CID000801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Inner Mongolia Qiankun Gold and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Silver Refinery Share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CID000807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Ishifuku Metal Industry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CID000814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Istanbul Gold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CID000823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 Mint</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CID000855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Jiangxi Copper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CID000920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Asahi Refining USA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CID000924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Asahi Refining Canada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CID000927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JSC Ekaterinburg Non-Ferrous Metal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Processing 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CID000929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JSC Uralelectromed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CID000937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JX Nippon Mining &amp; Metals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CID000956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Kazakhmys Smelting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Kazzinc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CID000969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Kennecott Utah Copper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CID000981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Kojima Chemicals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CID001029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Kyrgyzaltyn JSC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KYRGYZSTAN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CID001032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L'azurde Company For Jewelry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SAUDI ARABIA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CID001056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Lingbao Gold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CID001058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Lingbao Jinyuan Tonghui Refinery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CID001078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LS-NIKKO Copper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CID001093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Luoyang Zijin Yinhui Gold Refinery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CID001113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Materion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33" w:right="239" w:bottom="0" w:gutter="0" w:footer="0" w:header="0"/>
        </w:sectPr>
      </w:pPr>
    </w:p>
    <w:bookmarkStart w:id="9" w:name="page10"/>
    <w:bookmarkEnd w:id="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CID001119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Matsuda Sangyo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88"/>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CID001147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Metalor Technologies (Suzhou)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CID001149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Metalor Technologies (Hong Kong)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CID001152</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Metalor Technologies (Singapore)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Pte.,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CID001153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Metalor Technologies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Metalor USA Refining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CID001161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Metalurgica Met-Mex Penoles S.A.</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 C.V.</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CID001188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Mitsubishi Materials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CID001193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Mitsui Mining and Smelting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CID001204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Moscow Special Alloys Processing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CID001220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Nadir Metal Rafineri San. Ve Tic. A.S.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CID001236</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Navoi Mining and Metallurgical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UZBEKISTAN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Combinat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CID001259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Nihon Material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CID001322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Ohio Precious Metals,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CID001325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Ohura Precious Metal Industry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OJSC "The Gulidov Krasnoyarsk</w:t>
            </w:r>
          </w:p>
        </w:tc>
        <w:tc>
          <w:tcPr>
            <w:tcW w:w="22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CID001326</w:t>
            </w:r>
          </w:p>
        </w:tc>
        <w:tc>
          <w:tcPr>
            <w:tcW w:w="226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Non-Ferrous Metals Plant" (OJSC</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Krastsvetmet)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CID001352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PAMP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CID001362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Penglai Penggang Gold Industry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CID001386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Prioksky Plant of Non-Ferrous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CID001397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PT Aneka Tambang (Persero) Tbk</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CID001498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PX Precinox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CID001512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Rand Refinery (Pty)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CID001534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Royal Canadian Mint</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CID001546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Sabin Metal Corp.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CID001555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Samduck Precious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CID001562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Samwon Metals Corp.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CID001585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SEMPSA Joyeria Plateria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CID001619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Shandong Tiancheng Biological Gold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Industrial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CID001622</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Shandong Zhaojin Gold &amp; Silver</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Refinery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CID001736</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Sichuan Tianze Precious Metals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CID001756</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SOE Shyolkovsky Factory of</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Secondary Precious Metals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CID001761</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Solar Applied Materials Technology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TAIWAN, PROVINCE OF 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Corp.</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CID001798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Sumitomo Metal Mining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CID001810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Super Dragon Technology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TAIWAN, PROVINCE OF 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CID001875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Tanaka Kikinzoku Kogyo K.K.</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CID001909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Great Wall Precious Metals Co., Ltd.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CBPM</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CID001916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Shandong Gold Smelting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CID001938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Tokuriki Honten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CID001947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Tongling Nonferrous Metals Group</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CID001955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Torecom</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CID001977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Umicore Brasil Ltda.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CID001980</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Umicore S.A. Business Unit Precious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Metals Refining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CID001993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Precious Metal Refining,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CID002003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Valcambi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CID002030</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Western Australian Mint (T/a The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Perth Mint)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CID002100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Yamakin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CID002129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Yokohama Metal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CID002224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Zhongyuan Gold Smelter of Zhongjin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Gold Corporation</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CID002243</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Gold Refinery of Zijin Mining Group</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CID002282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Morris and Watson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ZEALAND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CID002290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SAFINA A.S.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CZECHIA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CID002312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Guangdong Jinding Gold Limited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CID002314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Umicore Precious Metals Thailand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CID002459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Geib Refining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MMTC-PAMP India Pvt.,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CID002510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Republic Metals Corporation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CID002511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KGHM Polska Miedz Spolka Akcyjna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POLAND</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CID002515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Fidelity Printers and Refiners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ZIMBABWE</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CID002516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Singway Technology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TAIWAN, PROVINCE OF 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CID002519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Henan Yuguang Gold &amp; Lead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CID002525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Shandong Humon Smelting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CID002527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Shenzhen Zhonghenglong Real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Industry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CID002560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 Etihad Gold Refinery DMCC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18"/>
        </w:trPr>
        <w:tc>
          <w:tcPr>
            <w:tcW w:w="8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color w:val="auto"/>
              </w:rPr>
              <w:t>Gold</w:t>
            </w:r>
          </w:p>
        </w:tc>
        <w:tc>
          <w:tcPr>
            <w:tcW w:w="126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CID002561</w:t>
            </w:r>
          </w:p>
        </w:tc>
        <w:tc>
          <w:tcPr>
            <w:tcW w:w="226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Emirates Gold DMCC</w:t>
            </w:r>
          </w:p>
        </w:tc>
        <w:tc>
          <w:tcPr>
            <w:tcW w:w="220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UNITED ARAB EMIRATES</w:t>
            </w:r>
          </w:p>
        </w:tc>
        <w:tc>
          <w:tcPr>
            <w:tcW w:w="114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No</w:t>
            </w:r>
          </w:p>
        </w:tc>
        <w:tc>
          <w:tcPr>
            <w:tcW w:w="120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Conformant</w:t>
            </w:r>
          </w:p>
        </w:tc>
        <w:tc>
          <w:tcPr>
            <w:tcW w:w="960" w:type="dxa"/>
            <w:vAlign w:val="bottom"/>
            <w:tcBorders>
              <w:right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Yes</w:t>
            </w:r>
          </w:p>
        </w:tc>
        <w:tc>
          <w:tcPr>
            <w:tcW w:w="1200" w:type="dxa"/>
            <w:vAlign w:val="bottom"/>
          </w:tcPr>
          <w:p>
            <w:pPr>
              <w:ind w:left="20"/>
              <w:spacing w:after="0" w:line="98" w:lineRule="exact"/>
              <w:rPr>
                <w:sz w:val="20"/>
                <w:szCs w:val="20"/>
                <w:color w:val="auto"/>
              </w:rPr>
            </w:pPr>
            <w:r>
              <w:rPr>
                <w:rFonts w:ascii="Times New Roman" w:cs="Times New Roman" w:eastAsia="Times New Roman" w:hAnsi="Times New Roman"/>
                <w:sz w:val="11"/>
                <w:szCs w:val="11"/>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10" w:name="page11"/>
    <w:bookmarkEnd w:id="1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CID002562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International Precious Metal Refiners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Kaloti Precious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CID002567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Sudan Gold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SUDAN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T.C.A S.p.A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REMONDIS PMR B.V.</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Fujairah Gold FZC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Industrial Refining Company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Shirpur Gold Refinery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CID002605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Zinc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CID002606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Marsam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CID002615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TOO Tau-Ken-Altyn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CID002708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Abington Reldan Metals,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CID002761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SAAMP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CID002762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L'Orfebre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ANDORRA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8853 S.p.A.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CID002765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Italpreziosi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CID002777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SAXONIA Edelmetalle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CID002778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WIELAND Edelmetalle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CID002779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Ogussa Osterreichische Gold- und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AUSTRIA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Silber-Scheideanstalt GmbH</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CID002850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 Traders and Refiners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CID002852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GCC Gujrat Gold Centre Pvt.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CID002853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Sai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CID002854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Universal Precious Metals Refining</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ZAMBIA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Zambia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Modeltech Sdn Bhd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Bangalore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CID002865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Kyshtym Copper-Electrolytic Plant</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ZAO</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CID002866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Morris and Watson Gold Coast</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CID002867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Degussa Sonne / Mond Goldhandel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GmbH</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CID002872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Pease &amp; Curren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CID002893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JALAN &amp; Company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CID002918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SungEel HiMetal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CID002919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Planta Recuperadora de Metales SpA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CHILE</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CID002973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Safimet S.p.A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CID003153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State Research Institute Center for</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LITHUANIA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Physical Sciences and Technology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CID003185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African Gold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UGANDA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CID003186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Gold Coast Refinery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GHANA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CID003189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NH Recytech Company</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CID003195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TSK Pretech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CID003324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QG Refining,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Dijllah Gold Refinery FZC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CGR Metalloys Pvt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CID003383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Sovereign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CID003421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C.I Metales Procesados Industriales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COLOMBIA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CID003424</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Eco-System Recycling Co., Ltd.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North 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CID003425</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Eco-System Recycling Co., Ltd. West</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CID003461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Augmont Enterprises Private Limited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CID003463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Kundan Care Products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CID003487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Emerald Jewel Industry India Limited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 1)</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CID003488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Emerald Jewel Industry India Limited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 2)</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CID003489</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Emerald Jewel Industry India Limited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 3)</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CID003490</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Emerald Jewel Industry India Limited</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 4)</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CID003497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 Rasmussen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NORWAY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CID003500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Alexy Metals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CID003529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Sancus ZFS (L’Orfebre, SA)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COLOMBIA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CID003540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Sellem Industries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MAURITANIA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MD Overseas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CID003557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Metallix Refining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CID003575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 Concentrators SA (Pty)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CID000004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A.L.M.T. Corp.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CID000105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Kennametal Huntsville</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CID000218</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Guangdong Xianglu Tungsten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CID000258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Chongyi Zhangyuan Tungsten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CID000281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CNMC (Guangxi) PGMA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CID000499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Fujian Jinxin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CID000568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Global Tungsten &amp; Powders Corp.</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CID000766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Hunan Chenzhou Mining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CID000769</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Hunan Chunchang Nonferrous Metals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8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color w:val="auto"/>
              </w:rPr>
              <w:t>Tungsten</w:t>
            </w:r>
          </w:p>
        </w:tc>
        <w:tc>
          <w:tcPr>
            <w:tcW w:w="126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CID000825</w:t>
            </w:r>
          </w:p>
        </w:tc>
        <w:tc>
          <w:tcPr>
            <w:tcW w:w="226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Japan New Metals Co  Ltd</w:t>
            </w:r>
          </w:p>
        </w:tc>
        <w:tc>
          <w:tcPr>
            <w:tcW w:w="220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JAPAN</w:t>
            </w:r>
          </w:p>
        </w:tc>
        <w:tc>
          <w:tcPr>
            <w:tcW w:w="114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No</w:t>
            </w:r>
          </w:p>
        </w:tc>
        <w:tc>
          <w:tcPr>
            <w:tcW w:w="1200" w:type="dxa"/>
            <w:vAlign w:val="bottom"/>
            <w:tcBorders>
              <w:right w:val="single" w:sz="8" w:color="auto"/>
            </w:tcBorders>
          </w:tcPr>
          <w:p>
            <w:pPr>
              <w:ind w:left="20"/>
              <w:spacing w:after="0" w:line="98" w:lineRule="exact"/>
              <w:rPr>
                <w:sz w:val="20"/>
                <w:szCs w:val="20"/>
                <w:color w:val="auto"/>
              </w:rPr>
            </w:pPr>
            <w:r>
              <w:rPr>
                <w:rFonts w:ascii="Times New Roman" w:cs="Times New Roman" w:eastAsia="Times New Roman" w:hAnsi="Times New Roman"/>
                <w:sz w:val="11"/>
                <w:szCs w:val="11"/>
                <w:color w:val="auto"/>
              </w:rPr>
              <w:t>Conformant</w:t>
            </w:r>
          </w:p>
        </w:tc>
        <w:tc>
          <w:tcPr>
            <w:tcW w:w="960" w:type="dxa"/>
            <w:vAlign w:val="bottom"/>
            <w:tcBorders>
              <w:right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Yes</w:t>
            </w:r>
          </w:p>
        </w:tc>
        <w:tc>
          <w:tcPr>
            <w:tcW w:w="1200" w:type="dxa"/>
            <w:vAlign w:val="bottom"/>
          </w:tcPr>
          <w:p>
            <w:pPr>
              <w:ind w:left="20"/>
              <w:spacing w:after="0" w:line="98" w:lineRule="exact"/>
              <w:rPr>
                <w:sz w:val="20"/>
                <w:szCs w:val="20"/>
                <w:color w:val="auto"/>
              </w:rPr>
            </w:pPr>
            <w:r>
              <w:rPr>
                <w:rFonts w:ascii="Times New Roman" w:cs="Times New Roman" w:eastAsia="Times New Roman" w:hAnsi="Times New Roman"/>
                <w:sz w:val="11"/>
                <w:szCs w:val="11"/>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CID000875</w:t>
            </w:r>
          </w:p>
        </w:tc>
        <w:tc>
          <w:tcPr>
            <w:tcW w:w="2260" w:type="dxa"/>
            <w:vAlign w:val="bottom"/>
            <w:tcBorders>
              <w:right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color w:val="auto"/>
              </w:rPr>
              <w:t>Ganzhou Huaxing Tungsten Products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CID000966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Kennametal Fallon</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CID001889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Tejing (Vietnam)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CID002011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Vietnam Youngsun Tungsten Industry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CID002044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Wolfram Bergbau und Hutten AG</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AUSTRIA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CID002047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WOLFRAM Company CJSC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CID002082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Xiamen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CID002095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Xinhai Rendan Shaoguan Tungsten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CID002313</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Jiangxi Minmetals Gao'an Non-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ferrous Metals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CID002315</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Ganzhou Jiangwu Ferrotungsten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CID002316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Jiangxi Yaosheng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CID002317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Jiangxi Xinsheng Tungsten Industry</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CID002318</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Jiangxi Tonggu Non-ferrous</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Metallurgical &amp; Chemical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CID002319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Malipo Haiyu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CID002320</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Xiamen Tungsten (H.C.)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CID002321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Jiangxi Gan Bei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CID002494</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Ganzhou Seadragon W &amp; Mo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CID002502</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Asia Tungsten Products Vietnam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VIETNAM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CID002513</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Chenzhou Diamond Tungsten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Products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CID002536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Ganzhou Yatai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H.C. Starck Tungsten GmbH</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CID002542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TANIOBIS Smelting GmbH &amp;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CID002543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Masan High-Tech Materials</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VIETNAM</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CID002551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Jiangwu H.C. Starck Tungsten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Products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CID002579</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Hunan Chuangda Vanadium Tungsten</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Ltd. Wuji</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CID002589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Niagara Refining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CID002641</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China Molybdenum Tungsten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CID002645</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Ganzhou Haichuang Tungsten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CID002647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Jiangxi Xianglu Tungsten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CID002649</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Hydrometallurg, JSC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CID002724</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Unecha Refractory metals plant</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CID002815</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South-East Nonferrous Metal</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Company Limited of Hengyang City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CID002827</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Philippine Chuangxin Industrial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CID002830</w:t>
            </w:r>
          </w:p>
        </w:tc>
        <w:tc>
          <w:tcPr>
            <w:tcW w:w="226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Xinfeng Huarui Tungsten &amp;</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Molybdenum New Material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CID002833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ACL Metais Eireli</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CID002843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Woltech Korea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CID002845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Moliren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CID003182</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Hunan Litian Tungsten Industry Co.,</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CID003388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KGETS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KOREA, REPUBLIC OF</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CID003401</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Fujian Ganmin RareMetal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CID003407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Lianyou Metals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TAIWAN, PROVINCE OF 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Conformant</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CID003408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JSC "Kirovgrad Hard Alloys Plant"</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CID003416</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NPP Tyazhmetprom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CID003417</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GEM Co., Ltd.</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CID003427</w:t>
            </w:r>
          </w:p>
        </w:tc>
        <w:tc>
          <w:tcPr>
            <w:tcW w:w="226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Albasteel Industria e Comercio de</w:t>
            </w: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Ligas Para Fundicao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CID003448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CP Metals Inc.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OF AMERICA</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CID003468</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Cronimet Brasil Ltda</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CID003553</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Artek LLC</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9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56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2022-05-27T08:37:17Z</dcterms:created>
  <dcterms:modified xsi:type="dcterms:W3CDTF">2022-05-27T08:37:17Z</dcterms:modified>
</cp:coreProperties>
</file>