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7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00"/>
        <w:spacing w:after="0" w:line="366" w:lineRule="auto"/>
        <w:rPr>
          <w:sz w:val="20"/>
          <w:szCs w:val="20"/>
          <w:color w:val="auto"/>
        </w:rPr>
      </w:pPr>
      <w:r>
        <w:rPr>
          <w:rFonts w:ascii="Arial" w:cs="Arial" w:eastAsia="Arial" w:hAnsi="Arial"/>
          <w:sz w:val="16"/>
          <w:szCs w:val="16"/>
          <w:color w:val="0000FF"/>
        </w:rPr>
        <w:t>THE WASHINGTON POST COMPANY 1150 15TH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9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WASHINGTON POST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WPO</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COB and CEO</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71"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WASHINGTON DC</w:t>
            </w:r>
          </w:p>
        </w:tc>
        <w:tc>
          <w:tcPr>
            <w:tcW w:w="1680" w:type="dxa"/>
            <w:vAlign w:val="bottom"/>
          </w:tcPr>
          <w:p>
            <w:pPr>
              <w:ind w:left="420"/>
              <w:spacing w:after="0"/>
              <w:rPr>
                <w:sz w:val="20"/>
                <w:szCs w:val="20"/>
                <w:color w:val="auto"/>
              </w:rPr>
            </w:pPr>
            <w:r>
              <w:rPr>
                <w:rFonts w:ascii="Arial" w:cs="Arial" w:eastAsia="Arial" w:hAnsi="Arial"/>
                <w:sz w:val="18"/>
                <w:szCs w:val="18"/>
                <w:color w:val="0000FF"/>
              </w:rPr>
              <w:t>20071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71"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8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gridSpan w:val="2"/>
            <w:vMerge w:val="restart"/>
          </w:tcPr>
          <w:p>
            <w:pPr>
              <w:ind w:left="720"/>
              <w:spacing w:after="0"/>
              <w:rPr>
                <w:sz w:val="20"/>
                <w:szCs w:val="20"/>
                <w:color w:val="auto"/>
              </w:rPr>
            </w:pPr>
            <w:r>
              <w:rPr>
                <w:rFonts w:ascii="Arial" w:cs="Arial" w:eastAsia="Arial" w:hAnsi="Arial"/>
                <w:sz w:val="18"/>
                <w:szCs w:val="18"/>
                <w:color w:val="0000FF"/>
              </w:rPr>
              <w:t>10/26/2007</w:t>
            </w: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8"/>
                <w:szCs w:val="18"/>
                <w:color w:val="0000FF"/>
                <w:w w:val="94"/>
              </w:rPr>
              <w:t>94,300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400" w:type="dxa"/>
            <w:vAlign w:val="bottom"/>
            <w:vMerge w:val="restart"/>
          </w:tcPr>
          <w:p>
            <w:pPr>
              <w:jc w:val="right"/>
              <w:ind w:right="42"/>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30,794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93"/>
              </w:rPr>
              <w:t>300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174,019</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31,800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Children</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21,800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Children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Third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10/26/2007</w:t>
            </w: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94,300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tcPr>
          <w:p>
            <w:pPr>
              <w:jc w:val="right"/>
              <w:ind w:right="42"/>
              <w:spacing w:after="0"/>
              <w:rPr>
                <w:sz w:val="20"/>
                <w:szCs w:val="20"/>
                <w:color w:val="auto"/>
              </w:rPr>
            </w:pPr>
            <w:r>
              <w:rPr>
                <w:rFonts w:ascii="Arial" w:cs="Arial" w:eastAsia="Arial" w:hAnsi="Arial"/>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121,950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Spouse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96,558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of 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339,897</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5,400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Children</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513,137</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289,678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7"/>
              </w:rPr>
              <w:t>of Trusts</w:t>
            </w:r>
            <w:r>
              <w:rPr>
                <w:rFonts w:ascii="Arial" w:cs="Arial" w:eastAsia="Arial" w:hAnsi="Arial"/>
                <w:sz w:val="22"/>
                <w:szCs w:val="22"/>
                <w:color w:val="008000"/>
                <w:w w:val="97"/>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8"/>
              </w:rPr>
              <w:t>5,400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Siblings'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Children</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5,400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Spouse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7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99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19964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08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77"/>
              </w:rPr>
              <w:t>7Title.Title andShares</w:t>
            </w:r>
          </w:p>
        </w:tc>
        <w:tc>
          <w:tcPr>
            <w:tcW w:w="78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3860" w:type="dxa"/>
            <w:vAlign w:val="bottom"/>
            <w:gridSpan w:val="4"/>
          </w:tcPr>
          <w:p>
            <w:pPr>
              <w:ind w:left="40"/>
              <w:spacing w:after="0" w:line="68" w:lineRule="exact"/>
              <w:rPr>
                <w:sz w:val="20"/>
                <w:szCs w:val="20"/>
                <w:color w:val="auto"/>
              </w:rPr>
            </w:pPr>
            <w:r>
              <w:rPr>
                <w:rFonts w:ascii="Arial" w:cs="Arial" w:eastAsia="Arial" w:hAnsi="Arial"/>
                <w:sz w:val="7"/>
                <w:szCs w:val="7"/>
                <w:color w:val="008000"/>
              </w:rPr>
              <w:t>1. Gift to Spouse and to charitable trust of which Spouse is a trustee.</w:t>
            </w:r>
          </w:p>
        </w:tc>
        <w:tc>
          <w:tcPr>
            <w:tcW w:w="840" w:type="dxa"/>
            <w:vAlign w:val="bottom"/>
          </w:tcPr>
          <w:p>
            <w:pPr>
              <w:spacing w:after="0"/>
              <w:rPr>
                <w:sz w:val="5"/>
                <w:szCs w:val="5"/>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5"/>
                <w:szCs w:val="5"/>
                <w:color w:val="auto"/>
              </w:rPr>
            </w:pPr>
          </w:p>
        </w:tc>
        <w:tc>
          <w:tcPr>
            <w:tcW w:w="10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760" w:type="dxa"/>
            <w:vAlign w:val="bottom"/>
          </w:tcPr>
          <w:p>
            <w:pPr>
              <w:ind w:left="20"/>
              <w:spacing w:after="0" w:line="82" w:lineRule="exact"/>
              <w:rPr>
                <w:sz w:val="20"/>
                <w:szCs w:val="20"/>
                <w:color w:val="auto"/>
              </w:rPr>
            </w:pPr>
            <w:r>
              <w:rPr>
                <w:rFonts w:ascii="Arial" w:cs="Arial" w:eastAsia="Arial" w:hAnsi="Arial"/>
                <w:sz w:val="9"/>
                <w:szCs w:val="9"/>
                <w:b w:val="1"/>
                <w:bCs w:val="1"/>
                <w:color w:val="auto"/>
              </w:rPr>
              <w:t>Derivative</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0"/>
          <w:szCs w:val="10"/>
          <w:color w:val="008000"/>
        </w:rPr>
        <w:t>2. The reporting</w:t>
      </w:r>
      <w:r>
        <w:rPr>
          <w:rFonts w:ascii="Arial" w:cs="Arial" w:eastAsia="Arial" w:hAnsi="Arial"/>
          <w:sz w:val="9"/>
          <w:szCs w:val="9"/>
          <w:b w:val="1"/>
          <w:bCs w:val="1"/>
          <w:color w:val="000000"/>
        </w:rPr>
        <w:t>Security</w:t>
      </w:r>
      <w:r>
        <w:rPr>
          <w:rFonts w:ascii="Arial" w:cs="Arial" w:eastAsia="Arial" w:hAnsi="Arial"/>
          <w:sz w:val="10"/>
          <w:szCs w:val="10"/>
          <w:color w:val="008000"/>
        </w:rPr>
        <w:t>person disclaims any beneficial ownership of these shares. In addition to</w:t>
      </w:r>
      <w:r>
        <w:rPr>
          <w:rFonts w:ascii="Arial" w:cs="Arial" w:eastAsia="Arial" w:hAnsi="Arial"/>
          <w:sz w:val="9"/>
          <w:szCs w:val="9"/>
          <w:b w:val="1"/>
          <w:bCs w:val="1"/>
          <w:color w:val="000000"/>
        </w:rPr>
        <w:t>(A)</w:t>
      </w:r>
      <w:r>
        <w:rPr>
          <w:rFonts w:ascii="Arial" w:cs="Arial" w:eastAsia="Arial" w:hAnsi="Arial"/>
          <w:sz w:val="10"/>
          <w:szCs w:val="10"/>
          <w:color w:val="008000"/>
        </w:rPr>
        <w:t>the</w:t>
      </w:r>
      <w:r>
        <w:rPr>
          <w:rFonts w:ascii="Arial" w:cs="Arial" w:eastAsia="Arial" w:hAnsi="Arial"/>
          <w:sz w:val="9"/>
          <w:szCs w:val="9"/>
          <w:b w:val="1"/>
          <w:bCs w:val="1"/>
          <w:color w:val="000000"/>
        </w:rPr>
        <w:t>or</w:t>
      </w:r>
      <w:r>
        <w:rPr>
          <w:rFonts w:ascii="Arial" w:cs="Arial" w:eastAsia="Arial" w:hAnsi="Arial"/>
          <w:sz w:val="10"/>
          <w:szCs w:val="10"/>
          <w:color w:val="008000"/>
        </w:rPr>
        <w:t>direct and indirect ownership of Class</w:t>
      </w:r>
      <w:r>
        <w:rPr>
          <w:rFonts w:ascii="Arial" w:cs="Arial" w:eastAsia="Arial" w:hAnsi="Arial"/>
          <w:sz w:val="9"/>
          <w:szCs w:val="9"/>
          <w:b w:val="1"/>
          <w:bCs w:val="1"/>
          <w:color w:val="000000"/>
        </w:rPr>
        <w:t>Security</w:t>
      </w:r>
      <w:r>
        <w:rPr>
          <w:rFonts w:ascii="Arial" w:cs="Arial" w:eastAsia="Arial" w:hAnsi="Arial"/>
          <w:sz w:val="10"/>
          <w:szCs w:val="10"/>
          <w:color w:val="008000"/>
        </w:rPr>
        <w:t>Bshares</w:t>
      </w:r>
      <w:r>
        <w:rPr>
          <w:rFonts w:ascii="Arial" w:cs="Arial" w:eastAsia="Arial" w:hAnsi="Arial"/>
          <w:sz w:val="9"/>
          <w:szCs w:val="9"/>
          <w:b w:val="1"/>
          <w:bCs w:val="1"/>
          <w:color w:val="000000"/>
        </w:rPr>
        <w:t>(Instr</w:t>
      </w:r>
      <w:r>
        <w:rPr>
          <w:rFonts w:ascii="Arial" w:cs="Arial" w:eastAsia="Arial" w:hAnsi="Arial"/>
          <w:sz w:val="10"/>
          <w:szCs w:val="10"/>
          <w:color w:val="008000"/>
        </w:rPr>
        <w:t>herein,</w:t>
      </w:r>
      <w:r>
        <w:rPr>
          <w:rFonts w:ascii="Arial" w:cs="Arial" w:eastAsia="Arial" w:hAnsi="Arial"/>
          <w:sz w:val="9"/>
          <w:szCs w:val="9"/>
          <w:b w:val="1"/>
          <w:bCs w:val="1"/>
          <w:color w:val="000000"/>
        </w:rPr>
        <w:t>.3</w:t>
      </w:r>
      <w:r>
        <w:rPr>
          <w:rFonts w:ascii="Arial" w:cs="Arial" w:eastAsia="Arial" w:hAnsi="Arial"/>
          <w:sz w:val="10"/>
          <w:szCs w:val="10"/>
          <w:color w:val="008000"/>
        </w:rPr>
        <w:t xml:space="preserve"> I am one of five</w:t>
      </w:r>
      <w:r>
        <w:rPr>
          <w:rFonts w:ascii="Arial" w:cs="Arial" w:eastAsia="Arial" w:hAnsi="Arial"/>
          <w:sz w:val="9"/>
          <w:szCs w:val="9"/>
          <w:b w:val="1"/>
          <w:bCs w:val="1"/>
          <w:color w:val="000000"/>
        </w:rPr>
        <w:t>Following</w:t>
      </w:r>
      <w:r>
        <w:rPr>
          <w:rFonts w:ascii="Arial" w:cs="Arial" w:eastAsia="Arial" w:hAnsi="Arial"/>
          <w:sz w:val="10"/>
          <w:szCs w:val="10"/>
          <w:color w:val="008000"/>
        </w:rPr>
        <w:t>trusteesof a charitable</w:t>
      </w:r>
      <w:r>
        <w:rPr>
          <w:rFonts w:ascii="Arial" w:cs="Arial" w:eastAsia="Arial" w:hAnsi="Arial"/>
          <w:sz w:val="9"/>
          <w:szCs w:val="9"/>
          <w:b w:val="1"/>
          <w:bCs w:val="1"/>
          <w:color w:val="000000"/>
        </w:rPr>
        <w:t>(I)(Instr</w:t>
      </w:r>
      <w:r>
        <w:rPr>
          <w:rFonts w:ascii="Arial" w:cs="Arial" w:eastAsia="Arial" w:hAnsi="Arial"/>
          <w:sz w:val="10"/>
          <w:szCs w:val="10"/>
          <w:color w:val="008000"/>
        </w:rPr>
        <w:t>trust</w:t>
      </w:r>
      <w:r>
        <w:rPr>
          <w:rFonts w:ascii="Arial" w:cs="Arial" w:eastAsia="Arial" w:hAnsi="Arial"/>
          <w:sz w:val="9"/>
          <w:szCs w:val="9"/>
          <w:b w:val="1"/>
          <w:bCs w:val="1"/>
          <w:color w:val="000000"/>
        </w:rPr>
        <w:t>.4)</w:t>
      </w:r>
      <w:r>
        <w:rPr>
          <w:rFonts w:ascii="Arial" w:cs="Arial" w:eastAsia="Arial" w:hAnsi="Arial"/>
          <w:sz w:val="10"/>
          <w:szCs w:val="10"/>
          <w:color w:val="008000"/>
        </w:rPr>
        <w:t>which owns</w:t>
      </w:r>
    </w:p>
    <w:tbl>
      <w:tblPr>
        <w:tblLayout w:type="fixed"/>
        <w:tblInd w:w="40" w:type="dxa"/>
        <w:tblCellMar>
          <w:top w:w="0" w:type="dxa"/>
          <w:left w:w="0" w:type="dxa"/>
          <w:bottom w:w="0" w:type="dxa"/>
          <w:right w:w="0" w:type="dxa"/>
        </w:tblCellMar>
      </w:tblPr>
      <w:tr>
        <w:trPr>
          <w:trHeight w:val="154"/>
        </w:trPr>
        <w:tc>
          <w:tcPr>
            <w:tcW w:w="4720" w:type="dxa"/>
            <w:vAlign w:val="bottom"/>
            <w:gridSpan w:val="2"/>
          </w:tcPr>
          <w:p>
            <w:pPr>
              <w:spacing w:after="0" w:line="154" w:lineRule="exact"/>
              <w:rPr>
                <w:sz w:val="20"/>
                <w:szCs w:val="20"/>
                <w:color w:val="auto"/>
              </w:rPr>
            </w:pPr>
            <w:r>
              <w:rPr>
                <w:rFonts w:ascii="Arial" w:cs="Arial" w:eastAsia="Arial" w:hAnsi="Arial"/>
                <w:sz w:val="14"/>
                <w:szCs w:val="14"/>
                <w:color w:val="008000"/>
              </w:rPr>
              <w:t>26,339 Class B shares in which I disclaim any beneficial ownership.</w:t>
            </w:r>
          </w:p>
        </w:tc>
        <w:tc>
          <w:tcPr>
            <w:tcW w:w="1540" w:type="dxa"/>
            <w:vAlign w:val="bottom"/>
          </w:tcPr>
          <w:p>
            <w:pPr>
              <w:ind w:left="20"/>
              <w:spacing w:after="0"/>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260"/>
              <w:spacing w:after="0"/>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Reported</w:t>
            </w:r>
          </w:p>
        </w:tc>
        <w:tc>
          <w:tcPr>
            <w:tcW w:w="0" w:type="dxa"/>
            <w:vAlign w:val="bottom"/>
          </w:tcPr>
          <w:p>
            <w:pPr>
              <w:spacing w:after="0"/>
              <w:rPr>
                <w:sz w:val="1"/>
                <w:szCs w:val="1"/>
                <w:color w:val="auto"/>
              </w:rPr>
            </w:pPr>
          </w:p>
        </w:tc>
      </w:tr>
      <w:tr>
        <w:trPr>
          <w:trHeight w:val="133"/>
        </w:trPr>
        <w:tc>
          <w:tcPr>
            <w:tcW w:w="4720" w:type="dxa"/>
            <w:vAlign w:val="bottom"/>
            <w:gridSpan w:val="2"/>
            <w:vMerge w:val="restart"/>
          </w:tcPr>
          <w:p>
            <w:pPr>
              <w:spacing w:after="0"/>
              <w:rPr>
                <w:sz w:val="20"/>
                <w:szCs w:val="20"/>
                <w:color w:val="auto"/>
              </w:rPr>
            </w:pPr>
            <w:r>
              <w:rPr>
                <w:rFonts w:ascii="Arial" w:cs="Arial" w:eastAsia="Arial" w:hAnsi="Arial"/>
                <w:sz w:val="14"/>
                <w:szCs w:val="14"/>
                <w:color w:val="008000"/>
                <w:w w:val="96"/>
              </w:rPr>
              <w:t>3. The reporting person disclaims any beneficial ownership of these securities.</w:t>
            </w:r>
          </w:p>
        </w:tc>
        <w:tc>
          <w:tcPr>
            <w:tcW w:w="1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0" w:type="dxa"/>
            <w:vAlign w:val="bottom"/>
          </w:tcPr>
          <w:p>
            <w:pPr>
              <w:spacing w:after="0"/>
              <w:rPr>
                <w:sz w:val="1"/>
                <w:szCs w:val="1"/>
                <w:color w:val="auto"/>
              </w:rPr>
            </w:pPr>
          </w:p>
        </w:tc>
      </w:tr>
      <w:tr>
        <w:trPr>
          <w:trHeight w:val="110"/>
        </w:trPr>
        <w:tc>
          <w:tcPr>
            <w:tcW w:w="4720" w:type="dxa"/>
            <w:vAlign w:val="bottom"/>
            <w:gridSpan w:val="2"/>
            <w:vMerge w:val="continue"/>
          </w:tcPr>
          <w:p>
            <w:pPr>
              <w:spacing w:after="0"/>
              <w:rPr>
                <w:sz w:val="9"/>
                <w:szCs w:val="9"/>
                <w:color w:val="auto"/>
              </w:rPr>
            </w:pPr>
          </w:p>
        </w:tc>
        <w:tc>
          <w:tcPr>
            <w:tcW w:w="15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720" w:type="dxa"/>
            <w:vAlign w:val="bottom"/>
            <w:gridSpan w:val="2"/>
          </w:tcPr>
          <w:p>
            <w:pPr>
              <w:spacing w:after="0"/>
              <w:rPr>
                <w:sz w:val="20"/>
                <w:szCs w:val="20"/>
                <w:color w:val="auto"/>
              </w:rPr>
            </w:pPr>
            <w:r>
              <w:rPr>
                <w:rFonts w:ascii="Arial" w:cs="Arial" w:eastAsia="Arial" w:hAnsi="Arial"/>
                <w:sz w:val="14"/>
                <w:szCs w:val="14"/>
                <w:color w:val="008000"/>
              </w:rPr>
              <w:t>4. Not Applicable.</w:t>
            </w:r>
          </w:p>
        </w:tc>
        <w:tc>
          <w:tcPr>
            <w:tcW w:w="15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Remarks:</w:t>
            </w:r>
          </w:p>
        </w:tc>
        <w:tc>
          <w:tcPr>
            <w:tcW w:w="900" w:type="dxa"/>
            <w:vAlign w:val="bottom"/>
            <w:tcBorders>
              <w:bottom w:val="single" w:sz="8" w:color="808080"/>
            </w:tcBorders>
          </w:tcPr>
          <w:p>
            <w:pPr>
              <w:spacing w:after="0"/>
              <w:rPr>
                <w:sz w:val="2"/>
                <w:szCs w:val="2"/>
                <w:color w:val="auto"/>
              </w:rPr>
            </w:pPr>
          </w:p>
        </w:tc>
        <w:tc>
          <w:tcPr>
            <w:tcW w:w="154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8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202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w w:val="97"/>
              </w:rPr>
              <w:t>/s/ John B. Morse, Jr. obo</w:t>
            </w:r>
          </w:p>
        </w:tc>
        <w:tc>
          <w:tcPr>
            <w:tcW w:w="1080" w:type="dxa"/>
            <w:vAlign w:val="bottom"/>
            <w:gridSpan w:val="2"/>
            <w:vMerge w:val="restart"/>
          </w:tcPr>
          <w:p>
            <w:pPr>
              <w:ind w:left="280"/>
              <w:spacing w:after="0"/>
              <w:rPr>
                <w:sz w:val="20"/>
                <w:szCs w:val="20"/>
                <w:color w:val="auto"/>
              </w:rPr>
            </w:pPr>
            <w:r>
              <w:rPr>
                <w:rFonts w:ascii="Arial" w:cs="Arial" w:eastAsia="Arial" w:hAnsi="Arial"/>
                <w:sz w:val="18"/>
                <w:szCs w:val="18"/>
                <w:color w:val="0000FF"/>
                <w:highlight w:val="white"/>
                <w:w w:val="86"/>
              </w:rPr>
              <w:t>10/29/2007</w:t>
            </w:r>
          </w:p>
        </w:tc>
        <w:tc>
          <w:tcPr>
            <w:tcW w:w="0" w:type="dxa"/>
            <w:vAlign w:val="bottom"/>
          </w:tcPr>
          <w:p>
            <w:pPr>
              <w:spacing w:after="0"/>
              <w:rPr>
                <w:sz w:val="1"/>
                <w:szCs w:val="1"/>
                <w:color w:val="auto"/>
              </w:rPr>
            </w:pPr>
          </w:p>
        </w:tc>
      </w:tr>
      <w:tr>
        <w:trPr>
          <w:trHeight w:val="299"/>
        </w:trPr>
        <w:tc>
          <w:tcPr>
            <w:tcW w:w="3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2020" w:type="dxa"/>
            <w:vAlign w:val="bottom"/>
            <w:gridSpan w:val="4"/>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tcBorders>
              <w:top w:val="single" w:sz="8" w:color="auto"/>
            </w:tcBorders>
            <w:gridSpan w:val="3"/>
            <w:vMerge w:val="restart"/>
          </w:tcPr>
          <w:p>
            <w:pPr>
              <w:spacing w:after="0" w:line="182" w:lineRule="exact"/>
              <w:rPr>
                <w:sz w:val="20"/>
                <w:szCs w:val="20"/>
                <w:color w:val="auto"/>
              </w:rPr>
            </w:pPr>
            <w:r>
              <w:rPr>
                <w:rFonts w:ascii="Arial" w:cs="Arial" w:eastAsia="Arial" w:hAnsi="Arial"/>
                <w:sz w:val="18"/>
                <w:szCs w:val="18"/>
                <w:color w:val="0000FF"/>
                <w:highlight w:val="white"/>
              </w:rPr>
              <w:t>Donald E. Graham</w:t>
            </w:r>
          </w:p>
        </w:tc>
        <w:tc>
          <w:tcPr>
            <w:tcW w:w="22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15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1800" w:type="dxa"/>
            <w:vAlign w:val="bottom"/>
            <w:tcBorders>
              <w:top w:val="single" w:sz="8" w:color="auto"/>
            </w:tcBorders>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gridSpan w:val="2"/>
          </w:tcPr>
          <w:p>
            <w:pPr>
              <w:ind w:left="40"/>
              <w:spacing w:after="0" w:line="79" w:lineRule="exact"/>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or</w:t>
            </w:r>
          </w:p>
        </w:tc>
        <w:tc>
          <w:tcPr>
            <w:tcW w:w="1080" w:type="dxa"/>
            <w:vAlign w:val="bottom"/>
            <w:gridSpan w:val="2"/>
            <w:vMerge w:val="restart"/>
          </w:tcPr>
          <w:p>
            <w:pPr>
              <w:ind w:left="280"/>
              <w:spacing w:after="0" w:line="151" w:lineRule="exact"/>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20" w:type="dxa"/>
            <w:vAlign w:val="bottom"/>
            <w:gridSpan w:val="5"/>
          </w:tcPr>
          <w:p>
            <w:pPr>
              <w:ind w:left="100"/>
              <w:spacing w:after="0" w:line="27" w:lineRule="exact"/>
              <w:rPr>
                <w:sz w:val="20"/>
                <w:szCs w:val="20"/>
                <w:color w:val="auto"/>
              </w:rPr>
            </w:pPr>
            <w:r>
              <w:rPr>
                <w:rFonts w:ascii="Arial" w:cs="Arial" w:eastAsia="Arial" w:hAnsi="Arial"/>
                <w:sz w:val="3"/>
                <w:szCs w:val="3"/>
                <w:color w:val="auto"/>
              </w:rPr>
              <w:t>** Signature of Reporting Person</w:t>
            </w: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6260" w:type="dxa"/>
            <w:vAlign w:val="bottom"/>
            <w:gridSpan w:val="3"/>
            <w:vMerge w:val="restart"/>
          </w:tcPr>
          <w:p>
            <w:pPr>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ind w:left="40"/>
              <w:spacing w:after="0" w:line="120"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260" w:type="dxa"/>
            <w:vAlign w:val="bottom"/>
            <w:gridSpan w:val="3"/>
            <w:vMerge w:val="continue"/>
          </w:tcPr>
          <w:p>
            <w:pPr>
              <w:spacing w:after="0"/>
              <w:rPr>
                <w:sz w:val="7"/>
                <w:szCs w:val="7"/>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34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ind w:left="800"/>
              <w:spacing w:after="0" w:line="52" w:lineRule="exact"/>
              <w:rPr>
                <w:sz w:val="20"/>
                <w:szCs w:val="20"/>
                <w:color w:val="auto"/>
              </w:rPr>
            </w:pPr>
            <w:r>
              <w:rPr>
                <w:rFonts w:ascii="Arial" w:cs="Arial" w:eastAsia="Arial" w:hAnsi="Arial"/>
                <w:sz w:val="5"/>
                <w:szCs w:val="5"/>
                <w:b w:val="1"/>
                <w:bCs w:val="1"/>
                <w:color w:val="auto"/>
              </w:rPr>
              <w:t>Date</w:t>
            </w:r>
          </w:p>
        </w:tc>
        <w:tc>
          <w:tcPr>
            <w:tcW w:w="1240" w:type="dxa"/>
            <w:vAlign w:val="bottom"/>
            <w:gridSpan w:val="3"/>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Code  V</w:t>
            </w:r>
          </w:p>
        </w:tc>
        <w:tc>
          <w:tcPr>
            <w:tcW w:w="15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   (D)   Exercisable</w:t>
            </w: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80" w:type="dxa"/>
            <w:vAlign w:val="bottom"/>
          </w:tcPr>
          <w:p>
            <w:pPr>
              <w:ind w:left="260"/>
              <w:spacing w:after="0" w:line="124" w:lineRule="exact"/>
              <w:rPr>
                <w:sz w:val="20"/>
                <w:szCs w:val="20"/>
                <w:color w:val="auto"/>
              </w:rPr>
            </w:pPr>
            <w:r>
              <w:rPr>
                <w:rFonts w:ascii="Arial" w:cs="Arial" w:eastAsia="Arial" w:hAnsi="Arial"/>
                <w:sz w:val="12"/>
                <w:szCs w:val="12"/>
                <w:b w:val="1"/>
                <w:bCs w:val="1"/>
                <w:color w:val="auto"/>
              </w:rPr>
              <w:t>Title</w:t>
            </w:r>
          </w:p>
        </w:tc>
        <w:tc>
          <w:tcPr>
            <w:tcW w:w="13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720" w:type="dxa"/>
            <w:vAlign w:val="bottom"/>
            <w:gridSpan w:val="2"/>
          </w:tcPr>
          <w:p>
            <w:pPr>
              <w:spacing w:after="0" w:line="107" w:lineRule="exact"/>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1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40" w:right="3580" w:firstLine="9"/>
        <w:spacing w:after="0" w:line="338"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Reports Under Section 16(a) of the Securities Exchange Act of 1934</w:t>
      </w:r>
    </w:p>
    <w:p>
      <w:pPr>
        <w:spacing w:after="0" w:line="200" w:lineRule="exact"/>
        <w:rPr>
          <w:sz w:val="20"/>
          <w:szCs w:val="20"/>
          <w:color w:val="auto"/>
        </w:rPr>
      </w:pPr>
    </w:p>
    <w:p>
      <w:pPr>
        <w:spacing w:after="0" w:line="2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KNOW ALL MEN BY THESE PRESENTS that the undersigned, a director, executive officer or beneficial owner of more than ten percent of the equity securities of The Washington Post Company, a Delaware corporation (hereinafter called the Company), hereby appoints VERONICA DILLON, JOHN B. MORSE, JR., WALLACE COONEY, and DANIEL J. LYNCH,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under Section 16(a) of the Securities Exchange Act of 1934 and the rules and regulations adopted thereunder,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2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not longer required to file Forms 3, 4 and 5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2007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/s/Donald E.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2019-12-17T03:47:57Z</dcterms:created>
  <dcterms:modified xsi:type="dcterms:W3CDTF">2019-12-17T03:47:57Z</dcterms:modified>
</cp:coreProperties>
</file>