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ectPr>
          <w:pgSz w:w="12240" w:h="1566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66"/>
          <w:szCs w:val="6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t xml:space="preserve">I </w:t>
      </w:r>
      <w:r>
        <w:rPr>
          <w:rFonts w:ascii="Arial" w:cs="Arial" w:eastAsia="Arial" w:hAnsi="Arial"/>
          <w:sz w:val="31"/>
          <w:szCs w:val="31"/>
          <w:color w:val="auto"/>
        </w:rPr>
        <w:t>REVENUE BY PRINCIPAL OPERATIONS</w:t>
      </w:r>
    </w:p>
    <w:p>
      <w:pPr>
        <w:sectPr>
          <w:pgSz w:w="12240" w:h="15668" w:orient="portrait"/>
          <w:cols w:equalWidth="0" w:num="1">
            <w:col w:w="9700"/>
          </w:cols>
          <w:pgMar w:left="1120" w:top="970" w:right="1425"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320"/>
        <w:spacing w:after="0"/>
        <w:rPr>
          <w:sz w:val="20"/>
          <w:szCs w:val="20"/>
          <w:color w:val="auto"/>
        </w:rPr>
      </w:pPr>
      <w:r>
        <w:rPr>
          <w:rFonts w:ascii="Arial" w:cs="Arial" w:eastAsia="Arial" w:hAnsi="Arial"/>
          <w:sz w:val="19"/>
          <w:szCs w:val="19"/>
          <w:color w:val="auto"/>
        </w:rPr>
        <w:t>EDUCATION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80"/>
        <w:spacing w:after="0"/>
        <w:rPr>
          <w:sz w:val="20"/>
          <w:szCs w:val="20"/>
          <w:color w:val="auto"/>
        </w:rPr>
      </w:pPr>
      <w:r>
        <w:rPr>
          <w:rFonts w:ascii="Arial" w:cs="Arial" w:eastAsia="Arial" w:hAnsi="Arial"/>
          <w:sz w:val="19"/>
          <w:szCs w:val="19"/>
          <w:color w:val="auto"/>
        </w:rPr>
        <w:t>OTHER BUSINESSES</w:t>
      </w:r>
    </w:p>
    <w:p>
      <w:pPr>
        <w:spacing w:after="0" w:line="200" w:lineRule="exact"/>
        <w:rPr>
          <w:sz w:val="20"/>
          <w:szCs w:val="20"/>
          <w:color w:val="auto"/>
        </w:rPr>
      </w:pPr>
    </w:p>
    <w:p>
      <w:pPr>
        <w:spacing w:after="0" w:line="268" w:lineRule="exact"/>
        <w:rPr>
          <w:sz w:val="20"/>
          <w:szCs w:val="20"/>
          <w:color w:val="auto"/>
        </w:rPr>
      </w:pPr>
    </w:p>
    <w:p>
      <w:pPr>
        <w:ind w:left="1460"/>
        <w:spacing w:after="0"/>
        <w:rPr>
          <w:sz w:val="20"/>
          <w:szCs w:val="20"/>
          <w:color w:val="auto"/>
        </w:rPr>
      </w:pPr>
      <w:r>
        <w:rPr>
          <w:rFonts w:ascii="Arial" w:cs="Arial" w:eastAsia="Arial" w:hAnsi="Arial"/>
          <w:sz w:val="19"/>
          <w:szCs w:val="19"/>
          <w:color w:val="auto"/>
        </w:rPr>
        <w:t>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74"/>
          <w:szCs w:val="74"/>
          <w:color w:val="auto"/>
        </w:rPr>
        <w:t xml:space="preserve">G </w:t>
      </w:r>
      <w:r>
        <w:rPr>
          <w:rFonts w:ascii="Arial" w:cs="Arial" w:eastAsia="Arial" w:hAnsi="Arial"/>
          <w:sz w:val="15"/>
          <w:szCs w:val="15"/>
          <w:color w:val="auto"/>
        </w:rPr>
        <w:t>GRAHAM</w:t>
      </w:r>
    </w:p>
    <w:p>
      <w:pPr>
        <w:ind w:left="3100"/>
        <w:spacing w:after="0" w:line="198" w:lineRule="auto"/>
        <w:tabs>
          <w:tab w:leader="none" w:pos="346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MEDIA</w:t>
      </w:r>
    </w:p>
    <w:p>
      <w:pPr>
        <w:ind w:left="3480"/>
        <w:spacing w:after="0" w:line="237" w:lineRule="auto"/>
        <w:rPr>
          <w:sz w:val="20"/>
          <w:szCs w:val="20"/>
          <w:color w:val="auto"/>
        </w:rPr>
      </w:pPr>
      <w:r>
        <w:rPr>
          <w:rFonts w:ascii="Arial" w:cs="Arial" w:eastAsia="Arial" w:hAnsi="Arial"/>
          <w:sz w:val="17"/>
          <w:szCs w:val="17"/>
          <w:color w:val="auto"/>
        </w:rPr>
        <w:t>GROUP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400"/>
        <w:spacing w:after="0"/>
        <w:rPr>
          <w:sz w:val="20"/>
          <w:szCs w:val="20"/>
          <w:color w:val="auto"/>
        </w:rPr>
      </w:pPr>
      <w:r>
        <w:rPr>
          <w:rFonts w:ascii="Arial" w:cs="Arial" w:eastAsia="Arial" w:hAnsi="Arial"/>
          <w:sz w:val="19"/>
          <w:szCs w:val="19"/>
          <w:color w:val="auto"/>
        </w:rPr>
        <w:t>AUTOMOTIVE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HEALTHCARE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BROADCASTING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320"/>
        <w:spacing w:after="0"/>
        <w:rPr>
          <w:sz w:val="20"/>
          <w:szCs w:val="20"/>
          <w:color w:val="auto"/>
        </w:rPr>
      </w:pPr>
      <w:r>
        <w:rPr>
          <w:rFonts w:ascii="Arial" w:cs="Arial" w:eastAsia="Arial" w:hAnsi="Arial"/>
          <w:sz w:val="26"/>
          <w:szCs w:val="26"/>
          <w:color w:val="auto"/>
        </w:rPr>
        <w:t>~(~AUTOMOTIVE</w:t>
      </w:r>
    </w:p>
    <w:p>
      <w:pPr>
        <w:ind w:left="1340"/>
        <w:spacing w:after="0"/>
        <w:rPr>
          <w:sz w:val="20"/>
          <w:szCs w:val="20"/>
          <w:color w:val="auto"/>
        </w:rPr>
      </w:pPr>
      <w:r>
        <w:rPr>
          <w:rFonts w:ascii="Arial" w:cs="Arial" w:eastAsia="Arial" w:hAnsi="Arial"/>
          <w:sz w:val="22"/>
          <w:szCs w:val="22"/>
          <w:color w:val="auto"/>
        </w:rPr>
        <w: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260"/>
        <w:spacing w:after="0"/>
        <w:rPr>
          <w:sz w:val="20"/>
          <w:szCs w:val="20"/>
          <w:color w:val="auto"/>
        </w:rPr>
      </w:pPr>
      <w:r>
        <w:rPr>
          <w:rFonts w:ascii="Arial" w:cs="Arial" w:eastAsia="Arial" w:hAnsi="Arial"/>
          <w:sz w:val="29"/>
          <w:szCs w:val="29"/>
          <w:color w:val="auto"/>
        </w:rPr>
        <w:t>~FORNEY</w:t>
      </w:r>
    </w:p>
    <w:p>
      <w:pPr>
        <w:spacing w:after="0" w:line="200" w:lineRule="exact"/>
        <w:rPr>
          <w:sz w:val="20"/>
          <w:szCs w:val="20"/>
          <w:color w:val="auto"/>
        </w:rPr>
      </w:pPr>
    </w:p>
    <w:p>
      <w:pPr>
        <w:sectPr>
          <w:pgSz w:w="12240" w:h="15668" w:orient="portrait"/>
          <w:cols w:equalWidth="0" w:num="2">
            <w:col w:w="5020" w:space="720"/>
            <w:col w:w="3960"/>
          </w:cols>
          <w:pgMar w:left="1120" w:top="970" w:right="1425" w:bottom="1440" w:gutter="0" w:footer="0" w:header="0"/>
          <w:type w:val="continuous"/>
        </w:sectPr>
      </w:pPr>
    </w:p>
    <w:p>
      <w:pPr>
        <w:spacing w:after="0" w:line="320" w:lineRule="exact"/>
        <w:rPr>
          <w:sz w:val="20"/>
          <w:szCs w:val="20"/>
          <w:color w:val="auto"/>
        </w:rPr>
      </w:pPr>
    </w:p>
    <w:tbl>
      <w:tblPr>
        <w:tblLayout w:type="fixed"/>
        <w:tblInd w:w="320" w:type="dxa"/>
        <w:tblCellMar>
          <w:top w:w="0" w:type="dxa"/>
          <w:left w:w="0" w:type="dxa"/>
          <w:bottom w:w="0" w:type="dxa"/>
          <w:right w:w="0" w:type="dxa"/>
        </w:tblCellMar>
      </w:tblPr>
      <w:tr>
        <w:trPr>
          <w:trHeight w:val="529"/>
        </w:trPr>
        <w:tc>
          <w:tcPr>
            <w:tcW w:w="1980" w:type="dxa"/>
            <w:vAlign w:val="bottom"/>
          </w:tcPr>
          <w:p>
            <w:pPr>
              <w:spacing w:after="0"/>
              <w:rPr>
                <w:sz w:val="20"/>
                <w:szCs w:val="20"/>
                <w:color w:val="auto"/>
              </w:rPr>
            </w:pPr>
            <w:r>
              <w:rPr>
                <w:rFonts w:ascii="Arial" w:cs="Arial" w:eastAsia="Arial" w:hAnsi="Arial"/>
                <w:sz w:val="26"/>
                <w:szCs w:val="26"/>
                <w:color w:val="auto"/>
                <w:w w:val="77"/>
              </w:rPr>
              <w:t>CODE'S</w:t>
            </w:r>
            <w:r>
              <w:rPr>
                <w:rFonts w:ascii="Times New Roman" w:cs="Times New Roman" w:eastAsia="Times New Roman" w:hAnsi="Times New Roman"/>
                <w:sz w:val="28"/>
                <w:szCs w:val="28"/>
                <w:color w:val="auto"/>
                <w:w w:val="77"/>
              </w:rPr>
              <w:t>RESIIIJRAIT</w:t>
            </w:r>
          </w:p>
        </w:tc>
        <w:tc>
          <w:tcPr>
            <w:tcW w:w="1740" w:type="dxa"/>
            <w:vAlign w:val="bottom"/>
            <w:vMerge w:val="restart"/>
          </w:tcPr>
          <w:p>
            <w:pPr>
              <w:ind w:left="300"/>
              <w:spacing w:after="0"/>
              <w:rPr>
                <w:sz w:val="20"/>
                <w:szCs w:val="20"/>
                <w:color w:val="auto"/>
              </w:rPr>
            </w:pPr>
            <w:r>
              <w:rPr>
                <w:rFonts w:ascii="Times New Roman" w:cs="Times New Roman" w:eastAsia="Times New Roman" w:hAnsi="Times New Roman"/>
                <w:sz w:val="32"/>
                <w:szCs w:val="32"/>
                <w:i w:val="1"/>
                <w:iCs w:val="1"/>
                <w:color w:val="auto"/>
              </w:rPr>
              <w:t>S0Ciety6</w:t>
            </w:r>
          </w:p>
        </w:tc>
        <w:tc>
          <w:tcPr>
            <w:tcW w:w="1940" w:type="dxa"/>
            <w:vAlign w:val="bottom"/>
          </w:tcPr>
          <w:p>
            <w:pPr>
              <w:jc w:val="right"/>
              <w:ind w:right="737"/>
              <w:spacing w:after="0"/>
              <w:rPr>
                <w:sz w:val="20"/>
                <w:szCs w:val="20"/>
                <w:color w:val="auto"/>
              </w:rPr>
            </w:pPr>
            <w:r>
              <w:rPr>
                <w:rFonts w:ascii="Arial" w:cs="Arial" w:eastAsia="Arial" w:hAnsi="Arial"/>
                <w:sz w:val="46"/>
                <w:szCs w:val="46"/>
                <w:color w:val="auto"/>
              </w:rPr>
              <w:t>0</w:t>
            </w:r>
          </w:p>
        </w:tc>
        <w:tc>
          <w:tcPr>
            <w:tcW w:w="1300" w:type="dxa"/>
            <w:vAlign w:val="bottom"/>
          </w:tcPr>
          <w:p>
            <w:pPr>
              <w:ind w:left="260"/>
              <w:spacing w:after="0"/>
              <w:rPr>
                <w:sz w:val="20"/>
                <w:szCs w:val="20"/>
                <w:color w:val="auto"/>
              </w:rPr>
            </w:pPr>
            <w:r>
              <w:rPr>
                <w:rFonts w:ascii="Times New Roman" w:cs="Times New Roman" w:eastAsia="Times New Roman" w:hAnsi="Times New Roman"/>
                <w:sz w:val="38"/>
                <w:szCs w:val="38"/>
                <w:color w:val="auto"/>
              </w:rPr>
              <w:t>World</w:t>
            </w:r>
          </w:p>
        </w:tc>
        <w:tc>
          <w:tcPr>
            <w:tcW w:w="2420" w:type="dxa"/>
            <w:vAlign w:val="bottom"/>
            <w:vMerge w:val="restart"/>
          </w:tcPr>
          <w:p>
            <w:pPr>
              <w:ind w:left="260"/>
              <w:spacing w:after="0"/>
              <w:rPr>
                <w:sz w:val="20"/>
                <w:szCs w:val="20"/>
                <w:color w:val="auto"/>
              </w:rPr>
            </w:pPr>
            <w:r>
              <w:rPr>
                <w:rFonts w:ascii="Times New Roman" w:cs="Times New Roman" w:eastAsia="Times New Roman" w:hAnsi="Times New Roman"/>
                <w:sz w:val="30"/>
                <w:szCs w:val="30"/>
                <w:color w:val="auto"/>
                <w:w w:val="99"/>
              </w:rPr>
              <w:t>FRAMEBRIDGE</w:t>
            </w:r>
          </w:p>
        </w:tc>
        <w:tc>
          <w:tcPr>
            <w:tcW w:w="0" w:type="dxa"/>
            <w:vAlign w:val="bottom"/>
          </w:tcPr>
          <w:p>
            <w:pPr>
              <w:spacing w:after="0"/>
              <w:rPr>
                <w:sz w:val="1"/>
                <w:szCs w:val="1"/>
                <w:color w:val="auto"/>
              </w:rPr>
            </w:pPr>
          </w:p>
        </w:tc>
      </w:tr>
      <w:tr>
        <w:trPr>
          <w:trHeight w:val="163"/>
        </w:trPr>
        <w:tc>
          <w:tcPr>
            <w:tcW w:w="1980" w:type="dxa"/>
            <w:vAlign w:val="bottom"/>
            <w:vMerge w:val="restart"/>
          </w:tcPr>
          <w:p>
            <w:pPr>
              <w:spacing w:after="0" w:line="333" w:lineRule="exact"/>
              <w:rPr>
                <w:sz w:val="20"/>
                <w:szCs w:val="20"/>
                <w:color w:val="auto"/>
              </w:rPr>
            </w:pPr>
            <w:r>
              <w:rPr>
                <w:rFonts w:ascii="Times New Roman" w:cs="Times New Roman" w:eastAsia="Times New Roman" w:hAnsi="Times New Roman"/>
                <w:sz w:val="30"/>
                <w:szCs w:val="30"/>
                <w:color w:val="auto"/>
              </w:rPr>
              <w:t>G·R·O·U·P</w:t>
            </w:r>
          </w:p>
        </w:tc>
        <w:tc>
          <w:tcPr>
            <w:tcW w:w="1740" w:type="dxa"/>
            <w:vAlign w:val="bottom"/>
            <w:vMerge w:val="continue"/>
          </w:tcPr>
          <w:p>
            <w:pPr>
              <w:spacing w:after="0"/>
              <w:rPr>
                <w:sz w:val="14"/>
                <w:szCs w:val="14"/>
                <w:color w:val="auto"/>
              </w:rPr>
            </w:pPr>
          </w:p>
        </w:tc>
        <w:tc>
          <w:tcPr>
            <w:tcW w:w="1940" w:type="dxa"/>
            <w:vAlign w:val="bottom"/>
            <w:vMerge w:val="restart"/>
          </w:tcPr>
          <w:p>
            <w:pPr>
              <w:jc w:val="center"/>
              <w:spacing w:after="0"/>
              <w:rPr>
                <w:sz w:val="20"/>
                <w:szCs w:val="20"/>
                <w:color w:val="auto"/>
              </w:rPr>
            </w:pPr>
            <w:r>
              <w:rPr>
                <w:rFonts w:ascii="Arial" w:cs="Arial" w:eastAsia="Arial" w:hAnsi="Arial"/>
                <w:sz w:val="20"/>
                <w:szCs w:val="20"/>
                <w:color w:val="auto"/>
              </w:rPr>
              <w:t>SAATCHI ART</w:t>
            </w:r>
          </w:p>
        </w:tc>
        <w:tc>
          <w:tcPr>
            <w:tcW w:w="1300" w:type="dxa"/>
            <w:vAlign w:val="bottom"/>
            <w:vMerge w:val="restart"/>
          </w:tcPr>
          <w:p>
            <w:pPr>
              <w:ind w:left="300"/>
              <w:spacing w:after="0" w:line="472" w:lineRule="exact"/>
              <w:rPr>
                <w:sz w:val="20"/>
                <w:szCs w:val="20"/>
                <w:color w:val="auto"/>
              </w:rPr>
            </w:pPr>
            <w:r>
              <w:rPr>
                <w:rFonts w:ascii="Times New Roman" w:cs="Times New Roman" w:eastAsia="Times New Roman" w:hAnsi="Times New Roman"/>
                <w:sz w:val="43"/>
                <w:szCs w:val="43"/>
                <w:i w:val="1"/>
                <w:iCs w:val="1"/>
                <w:color w:val="auto"/>
                <w:w w:val="99"/>
              </w:rPr>
              <w:t>Go&amp;l</w:t>
            </w:r>
          </w:p>
        </w:tc>
        <w:tc>
          <w:tcPr>
            <w:tcW w:w="2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0"/>
        </w:trPr>
        <w:tc>
          <w:tcPr>
            <w:tcW w:w="198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1300" w:type="dxa"/>
            <w:vAlign w:val="bottom"/>
            <w:vMerge w:val="continue"/>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58" w:lineRule="exact"/>
        <w:rPr>
          <w:sz w:val="20"/>
          <w:szCs w:val="20"/>
          <w:color w:val="auto"/>
        </w:rPr>
      </w:pPr>
    </w:p>
    <w:p>
      <w:pPr>
        <w:ind w:left="320"/>
        <w:spacing w:after="0"/>
        <w:rPr>
          <w:sz w:val="20"/>
          <w:szCs w:val="20"/>
          <w:color w:val="auto"/>
        </w:rPr>
      </w:pPr>
      <w:r>
        <w:rPr>
          <w:rFonts w:ascii="Arial" w:cs="Arial" w:eastAsia="Arial" w:hAnsi="Arial"/>
          <w:sz w:val="37"/>
          <w:szCs w:val="37"/>
          <w:color w:val="auto"/>
        </w:rPr>
        <w:t xml:space="preserve">~~Q.g.~~ </w:t>
      </w:r>
      <w:r>
        <w:rPr>
          <w:rFonts w:ascii="Times New Roman" w:cs="Times New Roman" w:eastAsia="Times New Roman" w:hAnsi="Times New Roman"/>
          <w:sz w:val="43"/>
          <w:szCs w:val="43"/>
          <w:color w:val="auto"/>
        </w:rPr>
        <w:t>decile</w:t>
      </w:r>
      <w:r>
        <w:rPr>
          <w:rFonts w:ascii="Arial" w:cs="Arial" w:eastAsia="Arial" w:hAnsi="Arial"/>
          <w:sz w:val="37"/>
          <w:szCs w:val="37"/>
          <w:color w:val="auto"/>
        </w:rPr>
        <w:t xml:space="preserve">  SL~TE </w:t>
      </w:r>
      <w:r>
        <w:rPr>
          <w:rFonts w:ascii="Arial" w:cs="Arial" w:eastAsia="Arial" w:hAnsi="Arial"/>
          <w:sz w:val="52"/>
          <w:szCs w:val="52"/>
          <w:color w:val="auto"/>
        </w:rPr>
        <w:t>[111</w:t>
      </w:r>
      <w:r>
        <w:rPr>
          <w:rFonts w:ascii="Arial" w:cs="Arial" w:eastAsia="Arial" w:hAnsi="Arial"/>
          <w:sz w:val="37"/>
          <w:szCs w:val="37"/>
          <w:color w:val="auto"/>
        </w:rPr>
        <w:t xml:space="preserve">  </w:t>
      </w:r>
      <w:r>
        <w:rPr>
          <w:rFonts w:ascii="Times New Roman" w:cs="Times New Roman" w:eastAsia="Times New Roman" w:hAnsi="Times New Roman"/>
          <w:sz w:val="22"/>
          <w:szCs w:val="22"/>
          <w:color w:val="auto"/>
        </w:rPr>
        <w:t>CITY CAST</w:t>
      </w:r>
      <w:r>
        <w:rPr>
          <w:rFonts w:ascii="Arial" w:cs="Arial" w:eastAsia="Arial" w:hAnsi="Arial"/>
          <w:sz w:val="37"/>
          <w:szCs w:val="37"/>
          <w:color w:val="auto"/>
        </w:rPr>
        <w:t xml:space="preserve">    </w:t>
      </w:r>
      <w:r>
        <w:rPr>
          <w:rFonts w:ascii="Times New Roman" w:cs="Times New Roman" w:eastAsia="Times New Roman" w:hAnsi="Times New Roman"/>
          <w:sz w:val="27"/>
          <w:szCs w:val="27"/>
          <w:color w:val="auto"/>
        </w:rPr>
        <w:t>·: Supporting Cast</w:t>
      </w:r>
    </w:p>
    <w:p>
      <w:pPr>
        <w:sectPr>
          <w:pgSz w:w="12240" w:h="15668" w:orient="portrait"/>
          <w:cols w:equalWidth="0" w:num="1">
            <w:col w:w="9700"/>
          </w:cols>
          <w:pgMar w:left="1120" w:top="970" w:right="1425" w:bottom="1440" w:gutter="0" w:footer="0" w:header="0"/>
          <w:type w:val="continuous"/>
        </w:sectPr>
      </w:pPr>
    </w:p>
    <w:bookmarkStart w:id="2" w:name="page3"/>
    <w:bookmarkEnd w:id="2"/>
    <w:p>
      <w:pPr>
        <w:spacing w:after="0" w:line="183" w:lineRule="auto"/>
        <w:tabs>
          <w:tab w:leader="none" w:pos="7720" w:val="left"/>
          <w:tab w:leader="none" w:pos="8160" w:val="left"/>
          <w:tab w:leader="none" w:pos="8420" w:val="left"/>
          <w:tab w:leader="none" w:pos="8520" w:val="left"/>
        </w:tabs>
        <w:rPr>
          <w:sz w:val="20"/>
          <w:szCs w:val="20"/>
          <w:color w:val="auto"/>
        </w:rPr>
      </w:pPr>
      <w:r>
        <w:rPr>
          <w:rFonts w:ascii="Times New Roman" w:cs="Times New Roman" w:eastAsia="Times New Roman" w:hAnsi="Times New Roman"/>
          <w:sz w:val="26"/>
          <w:szCs w:val="2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t>...</w:t>
      </w:r>
      <w:r>
        <w:rPr>
          <w:rFonts w:ascii="Arial" w:cs="Arial" w:eastAsia="Arial" w:hAnsi="Arial"/>
          <w:sz w:val="11"/>
          <w:szCs w:val="11"/>
          <w:color w:val="auto"/>
        </w:rPr>
        <w:t>.....</w:t>
      </w:r>
      <w:r>
        <w:rPr>
          <w:rFonts w:ascii="Times New Roman" w:cs="Times New Roman" w:eastAsia="Times New Roman" w:hAnsi="Times New Roman"/>
          <w:sz w:val="26"/>
          <w:szCs w:val="26"/>
          <w:color w:val="auto"/>
        </w:rPr>
        <w:t>:,::;,,:</w:t>
      </w:r>
      <w:r>
        <w:rPr>
          <w:rFonts w:ascii="Arial" w:cs="Arial" w:eastAsia="Arial" w:hAnsi="Arial"/>
          <w:sz w:val="11"/>
          <w:szCs w:val="11"/>
          <w:color w:val="auto"/>
        </w:rPr>
        <w:t>• ...... I II</w:t>
      </w:r>
      <w:r>
        <w:rPr>
          <w:rFonts w:ascii="Times New Roman" w:cs="Times New Roman" w:eastAsia="Times New Roman" w:hAnsi="Times New Roman"/>
          <w:sz w:val="26"/>
          <w:szCs w:val="26"/>
          <w:color w:val="auto"/>
        </w:rPr>
        <w:t xml:space="preserve"> </w:t>
      </w:r>
      <w:r>
        <w:rPr>
          <w:rFonts w:ascii="Arial" w:cs="Arial" w:eastAsia="Arial" w:hAnsi="Arial"/>
          <w:sz w:val="11"/>
          <w:szCs w:val="11"/>
          <w:color w:val="auto"/>
        </w:rPr>
        <w:t>tlli</w:t>
      </w:r>
      <w:r>
        <w:rPr>
          <w:rFonts w:ascii="Times New Roman" w:cs="Times New Roman" w:eastAsia="Times New Roman" w:hAnsi="Times New Roman"/>
          <w:sz w:val="26"/>
          <w:szCs w:val="26"/>
          <w:color w:val="auto"/>
        </w:rPr>
        <w:t xml:space="preserve"> </w:t>
      </w:r>
      <w:r>
        <w:rPr>
          <w:rFonts w:ascii="Arial" w:cs="Arial" w:eastAsia="Arial" w:hAnsi="Arial"/>
          <w:sz w:val="11"/>
          <w:szCs w:val="11"/>
          <w:color w:val="auto"/>
        </w:rPr>
        <w:t>I -; • . I I I I H I .. I  .... .</w:t>
      </w:r>
      <w:r>
        <w:rPr>
          <w:rFonts w:ascii="Times New Roman" w:cs="Times New Roman" w:eastAsia="Times New Roman" w:hAnsi="Times New Roman"/>
          <w:sz w:val="26"/>
          <w:szCs w:val="26"/>
          <w:color w:val="auto"/>
        </w:rPr>
        <w:t xml:space="preserve">  </w:t>
      </w:r>
      <w:r>
        <w:rPr>
          <w:rFonts w:ascii="Arial" w:cs="Arial" w:eastAsia="Arial" w:hAnsi="Arial"/>
          <w:sz w:val="11"/>
          <w:szCs w:val="11"/>
          <w:color w:val="auto"/>
        </w:rPr>
        <w:t>f  ••</w:t>
      </w:r>
      <w:r>
        <w:rPr>
          <w:rFonts w:ascii="Times New Roman" w:cs="Times New Roman" w:eastAsia="Times New Roman" w:hAnsi="Times New Roman"/>
          <w:sz w:val="26"/>
          <w:szCs w:val="26"/>
          <w:color w:val="auto"/>
        </w:rPr>
        <w:t xml:space="preserve">  </w:t>
      </w:r>
      <w:r>
        <w:rPr>
          <w:rFonts w:ascii="Arial" w:cs="Arial" w:eastAsia="Arial" w:hAnsi="Arial"/>
          <w:sz w:val="11"/>
          <w:szCs w:val="11"/>
          <w:b w:val="1"/>
          <w:bCs w:val="1"/>
          <w:color w:val="auto"/>
        </w:rPr>
        <w:t>t</w:t>
      </w:r>
      <w:r>
        <w:rPr>
          <w:rFonts w:ascii="Times New Roman" w:cs="Times New Roman" w:eastAsia="Times New Roman" w:hAnsi="Times New Roman"/>
          <w:sz w:val="26"/>
          <w:szCs w:val="26"/>
          <w:color w:val="auto"/>
        </w:rPr>
        <w:t xml:space="preserve">  </w:t>
      </w:r>
      <w:r>
        <w:rPr>
          <w:rFonts w:ascii="Arial" w:cs="Arial" w:eastAsia="Arial" w:hAnsi="Arial"/>
          <w:sz w:val="11"/>
          <w:szCs w:val="11"/>
          <w:color w:val="auto"/>
        </w:rPr>
        <w:t>•  •</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I</w:t>
      </w:r>
      <w:r>
        <w:rPr>
          <w:sz w:val="20"/>
          <w:szCs w:val="20"/>
          <w:color w:val="auto"/>
        </w:rPr>
        <w:tab/>
      </w:r>
      <w:r>
        <w:rPr>
          <w:rFonts w:ascii="Arial" w:cs="Arial" w:eastAsia="Arial" w:hAnsi="Arial"/>
          <w:sz w:val="9"/>
          <w:szCs w:val="9"/>
          <w:color w:val="auto"/>
        </w:rPr>
        <w:t>I</w:t>
      </w:r>
      <w:r>
        <w:rPr>
          <w:sz w:val="20"/>
          <w:szCs w:val="20"/>
          <w:color w:val="auto"/>
        </w:rPr>
        <w:tab/>
      </w:r>
      <w:r>
        <w:rPr>
          <w:rFonts w:ascii="Times New Roman" w:cs="Times New Roman" w:eastAsia="Times New Roman" w:hAnsi="Times New Roman"/>
          <w:sz w:val="26"/>
          <w:szCs w:val="26"/>
          <w:color w:val="auto"/>
        </w:rPr>
        <w:t>e</w:t>
      </w:r>
      <w:r>
        <w:rPr>
          <w:rFonts w:ascii="Arial" w:cs="Arial" w:eastAsia="Arial" w:hAnsi="Arial"/>
          <w:sz w:val="8"/>
          <w:szCs w:val="8"/>
          <w:color w:val="auto"/>
        </w:rPr>
        <w:t>I</w:t>
      </w:r>
      <w:r>
        <w:rPr>
          <w:rFonts w:ascii="Times New Roman" w:cs="Times New Roman" w:eastAsia="Times New Roman" w:hAnsi="Times New Roman"/>
          <w:sz w:val="26"/>
          <w:szCs w:val="26"/>
          <w:color w:val="auto"/>
        </w:rPr>
        <w:t>...... ..</w:t>
      </w:r>
      <w:r>
        <w:rPr>
          <w:rFonts w:ascii="Arial" w:cs="Arial" w:eastAsia="Arial" w:hAnsi="Arial"/>
          <w:sz w:val="8"/>
          <w:szCs w:val="8"/>
          <w:color w:val="auto"/>
        </w:rPr>
        <w:t>•·•</w:t>
      </w:r>
      <w:r>
        <w:rPr>
          <w:rFonts w:ascii="Times New Roman" w:cs="Times New Roman" w:eastAsia="Times New Roman" w:hAnsi="Times New Roman"/>
          <w:sz w:val="26"/>
          <w:szCs w:val="26"/>
          <w:color w:val="auto"/>
        </w:rPr>
        <w:t xml:space="preserve">, </w:t>
      </w:r>
      <w:r>
        <w:rPr>
          <w:rFonts w:ascii="Arial" w:cs="Arial" w:eastAsia="Arial" w:hAnsi="Arial"/>
          <w:sz w:val="8"/>
          <w:szCs w:val="8"/>
          <w:color w:val="auto"/>
        </w:rPr>
        <w:t>•       •       •</w:t>
      </w:r>
    </w:p>
    <w:p>
      <w:pPr>
        <w:ind w:left="980"/>
        <w:spacing w:after="0" w:line="185" w:lineRule="auto"/>
        <w:tabs>
          <w:tab w:leader="none" w:pos="11280" w:val="left"/>
        </w:tabs>
        <w:rPr>
          <w:sz w:val="20"/>
          <w:szCs w:val="20"/>
          <w:color w:val="auto"/>
        </w:rPr>
      </w:pPr>
      <w:r>
        <w:rPr>
          <w:rFonts w:ascii="Arial" w:cs="Arial" w:eastAsia="Arial" w:hAnsi="Arial"/>
          <w:sz w:val="23"/>
          <w:szCs w:val="23"/>
          <w:color w:val="auto"/>
        </w:rPr>
        <w:t xml:space="preserve">~:::•tt </w:t>
      </w:r>
      <w:r>
        <w:rPr>
          <w:rFonts w:ascii="Times New Roman" w:cs="Times New Roman" w:eastAsia="Times New Roman" w:hAnsi="Times New Roman"/>
          <w:sz w:val="14"/>
          <w:szCs w:val="14"/>
          <w:color w:val="auto"/>
        </w:rPr>
        <w:t>I t I ! !</w:t>
      </w:r>
      <w:r>
        <w:rPr>
          <w:rFonts w:ascii="Arial" w:cs="Arial" w:eastAsia="Arial" w:hAnsi="Arial"/>
          <w:sz w:val="23"/>
          <w:szCs w:val="23"/>
          <w:color w:val="auto"/>
        </w:rPr>
        <w:t xml:space="preserve">  fl."tl'tllftil.:_!f~tff'i </w:t>
      </w:r>
      <w:r>
        <w:rPr>
          <w:rFonts w:ascii="Times New Roman" w:cs="Times New Roman" w:eastAsia="Times New Roman" w:hAnsi="Times New Roman"/>
          <w:sz w:val="14"/>
          <w:szCs w:val="14"/>
          <w:b w:val="1"/>
          <w:bCs w:val="1"/>
          <w:color w:val="auto"/>
        </w:rPr>
        <w:t>1. -</w:t>
      </w:r>
      <w:r>
        <w:rPr>
          <w:rFonts w:ascii="Arial" w:cs="Arial" w:eastAsia="Arial" w:hAnsi="Arial"/>
          <w:sz w:val="23"/>
          <w:szCs w:val="23"/>
          <w:color w:val="auto"/>
        </w:rPr>
        <w:t xml:space="preserve"> </w:t>
      </w:r>
      <w:r>
        <w:rPr>
          <w:rFonts w:ascii="Arial" w:cs="Arial" w:eastAsia="Arial" w:hAnsi="Arial"/>
          <w:sz w:val="18"/>
          <w:szCs w:val="18"/>
          <w:b w:val="1"/>
          <w:bCs w:val="1"/>
          <w:color w:val="auto"/>
        </w:rPr>
        <w:t>ii _-</w:t>
      </w:r>
      <w:r>
        <w:rPr>
          <w:rFonts w:ascii="Arial" w:cs="Arial" w:eastAsia="Arial" w:hAnsi="Arial"/>
          <w:sz w:val="23"/>
          <w:szCs w:val="23"/>
          <w:color w:val="auto"/>
        </w:rPr>
        <w:t xml:space="preserve"> </w:t>
      </w:r>
      <w:r>
        <w:rPr>
          <w:rFonts w:ascii="Arial" w:cs="Arial" w:eastAsia="Arial" w:hAnsi="Arial"/>
          <w:sz w:val="15"/>
          <w:szCs w:val="15"/>
          <w:b w:val="1"/>
          <w:bCs w:val="1"/>
          <w:color w:val="auto"/>
        </w:rPr>
        <w:t>tl</w:t>
      </w:r>
      <w:r>
        <w:rPr>
          <w:rFonts w:ascii="Arial" w:cs="Arial" w:eastAsia="Arial" w:hAnsi="Arial"/>
          <w:sz w:val="23"/>
          <w:szCs w:val="23"/>
          <w:color w:val="auto"/>
        </w:rPr>
        <w:t xml:space="preserve"> </w:t>
      </w:r>
      <w:r>
        <w:rPr>
          <w:rFonts w:ascii="Times New Roman" w:cs="Times New Roman" w:eastAsia="Times New Roman" w:hAnsi="Times New Roman"/>
          <w:sz w:val="14"/>
          <w:szCs w:val="14"/>
          <w:b w:val="1"/>
          <w:bCs w:val="1"/>
          <w:color w:val="auto"/>
        </w:rPr>
        <w:t>I  I</w:t>
      </w:r>
      <w:r>
        <w:rPr>
          <w:rFonts w:ascii="Arial" w:cs="Arial" w:eastAsia="Arial" w:hAnsi="Arial"/>
          <w:sz w:val="23"/>
          <w:szCs w:val="23"/>
          <w:color w:val="auto"/>
        </w:rPr>
        <w:t xml:space="preserve"> </w:t>
      </w:r>
      <w:r>
        <w:rPr>
          <w:rFonts w:ascii="Times New Roman" w:cs="Times New Roman" w:eastAsia="Times New Roman" w:hAnsi="Times New Roman"/>
          <w:sz w:val="14"/>
          <w:szCs w:val="14"/>
          <w:color w:val="auto"/>
        </w:rPr>
        <w:t>:: :</w:t>
      </w:r>
      <w:r>
        <w:rPr>
          <w:rFonts w:ascii="Arial" w:cs="Arial" w:eastAsia="Arial" w:hAnsi="Arial"/>
          <w:sz w:val="23"/>
          <w:szCs w:val="23"/>
          <w:color w:val="auto"/>
        </w:rPr>
        <w:t xml:space="preserve">  </w:t>
      </w:r>
      <w:r>
        <w:rPr>
          <w:rFonts w:ascii="Arial" w:cs="Arial" w:eastAsia="Arial" w:hAnsi="Arial"/>
          <w:sz w:val="16"/>
          <w:szCs w:val="16"/>
          <w:color w:val="auto"/>
        </w:rPr>
        <w:t>:I I  I I  I  I</w:t>
      </w:r>
      <w:r>
        <w:rPr>
          <w:rFonts w:ascii="Arial" w:cs="Arial" w:eastAsia="Arial" w:hAnsi="Arial"/>
          <w:sz w:val="23"/>
          <w:szCs w:val="23"/>
          <w:color w:val="auto"/>
        </w:rPr>
        <w:t xml:space="preserve">  </w:t>
      </w:r>
      <w:r>
        <w:rPr>
          <w:rFonts w:ascii="Times New Roman" w:cs="Times New Roman" w:eastAsia="Times New Roman" w:hAnsi="Times New Roman"/>
          <w:sz w:val="20"/>
          <w:szCs w:val="20"/>
          <w:color w:val="auto"/>
        </w:rPr>
        <w:t>e</w:t>
      </w:r>
      <w:r>
        <w:rPr>
          <w:rFonts w:ascii="Arial" w:cs="Arial" w:eastAsia="Arial" w:hAnsi="Arial"/>
          <w:sz w:val="23"/>
          <w:szCs w:val="23"/>
          <w:color w:val="auto"/>
        </w:rPr>
        <w:t xml:space="preserve"> </w:t>
      </w:r>
      <w:r>
        <w:rPr>
          <w:rFonts w:ascii="Arial" w:cs="Arial" w:eastAsia="Arial" w:hAnsi="Arial"/>
          <w:sz w:val="16"/>
          <w:szCs w:val="16"/>
          <w:color w:val="auto"/>
        </w:rPr>
        <w:t>I</w:t>
      </w:r>
      <w:r>
        <w:rPr>
          <w:rFonts w:ascii="Arial" w:cs="Arial" w:eastAsia="Arial" w:hAnsi="Arial"/>
          <w:sz w:val="23"/>
          <w:szCs w:val="23"/>
          <w:color w:val="auto"/>
        </w:rPr>
        <w:t xml:space="preserve">  </w:t>
      </w:r>
      <w:r>
        <w:rPr>
          <w:rFonts w:ascii="Times New Roman" w:cs="Times New Roman" w:eastAsia="Times New Roman" w:hAnsi="Times New Roman"/>
          <w:sz w:val="25"/>
          <w:szCs w:val="25"/>
          <w:color w:val="auto"/>
          <w:vertAlign w:val="superscript"/>
        </w:rPr>
        <w:t>1</w:t>
      </w:r>
      <w:r>
        <w:rPr>
          <w:rFonts w:ascii="Arial" w:cs="Arial" w:eastAsia="Arial" w:hAnsi="Arial"/>
          <w:sz w:val="23"/>
          <w:szCs w:val="23"/>
          <w:color w:val="auto"/>
        </w:rPr>
        <w:t xml:space="preserve"> </w:t>
      </w:r>
      <w:r>
        <w:rPr>
          <w:rFonts w:ascii="Times New Roman" w:cs="Times New Roman" w:eastAsia="Times New Roman" w:hAnsi="Times New Roman"/>
          <w:sz w:val="14"/>
          <w:szCs w:val="14"/>
          <w:color w:val="auto"/>
        </w:rPr>
        <w:t>'</w:t>
      </w:r>
      <w:r>
        <w:rPr>
          <w:rFonts w:ascii="Arial" w:cs="Arial" w:eastAsia="Arial" w:hAnsi="Arial"/>
          <w:sz w:val="23"/>
          <w:szCs w:val="23"/>
          <w:color w:val="auto"/>
        </w:rPr>
        <w:t xml:space="preserve">  </w:t>
      </w:r>
      <w:r>
        <w:rPr>
          <w:rFonts w:ascii="Times New Roman" w:cs="Times New Roman" w:eastAsia="Times New Roman" w:hAnsi="Times New Roman"/>
          <w:sz w:val="20"/>
          <w:szCs w:val="20"/>
          <w:color w:val="auto"/>
        </w:rPr>
        <w:t>e ,, ., ••,</w:t>
      </w:r>
      <w:r>
        <w:rPr>
          <w:sz w:val="20"/>
          <w:szCs w:val="20"/>
          <w:color w:val="auto"/>
        </w:rPr>
        <w:tab/>
      </w:r>
      <w:r>
        <w:rPr>
          <w:rFonts w:ascii="Times New Roman" w:cs="Times New Roman" w:eastAsia="Times New Roman" w:hAnsi="Times New Roman"/>
          <w:sz w:val="18"/>
          <w:szCs w:val="18"/>
          <w:color w:val="auto"/>
        </w:rPr>
        <w:t xml:space="preserve">8J . , </w:t>
      </w:r>
      <w:r>
        <w:rPr>
          <w:rFonts w:ascii="Arial" w:cs="Arial" w:eastAsia="Arial" w:hAnsi="Arial"/>
          <w:sz w:val="12"/>
          <w:szCs w:val="12"/>
          <w:color w:val="auto"/>
        </w:rPr>
        <w:t>&amp;,</w:t>
      </w:r>
    </w:p>
    <w:p>
      <w:pPr>
        <w:ind w:left="3900"/>
        <w:spacing w:after="0" w:line="189" w:lineRule="auto"/>
        <w:rPr>
          <w:sz w:val="20"/>
          <w:szCs w:val="20"/>
          <w:color w:val="auto"/>
        </w:rPr>
      </w:pPr>
      <w:r>
        <w:rPr>
          <w:rFonts w:ascii="Times New Roman" w:cs="Times New Roman" w:eastAsia="Times New Roman" w:hAnsi="Times New Roman"/>
          <w:sz w:val="17"/>
          <w:szCs w:val="17"/>
          <w:b w:val="1"/>
          <w:bCs w:val="1"/>
          <w:color w:val="auto"/>
        </w:rPr>
        <w:t>1</w:t>
      </w:r>
    </w:p>
    <w:p>
      <w:pPr>
        <w:spacing w:after="0" w:line="344" w:lineRule="exact"/>
        <w:rPr>
          <w:sz w:val="20"/>
          <w:szCs w:val="20"/>
          <w:color w:val="auto"/>
        </w:rPr>
      </w:pPr>
    </w:p>
    <w:p>
      <w:pPr>
        <w:ind w:left="1420"/>
        <w:spacing w:after="0"/>
        <w:rPr>
          <w:sz w:val="20"/>
          <w:szCs w:val="20"/>
          <w:color w:val="auto"/>
        </w:rPr>
      </w:pPr>
      <w:r>
        <w:rPr>
          <w:rFonts w:ascii="Arial" w:cs="Arial" w:eastAsia="Arial" w:hAnsi="Arial"/>
          <w:sz w:val="66"/>
          <w:szCs w:val="66"/>
          <w:b w:val="1"/>
          <w:bCs w:val="1"/>
          <w:color w:val="auto"/>
        </w:rPr>
        <w:t xml:space="preserve">I </w:t>
      </w:r>
      <w:r>
        <w:rPr>
          <w:rFonts w:ascii="Arial" w:cs="Arial" w:eastAsia="Arial" w:hAnsi="Arial"/>
          <w:sz w:val="31"/>
          <w:szCs w:val="31"/>
          <w:b w:val="1"/>
          <w:bCs w:val="1"/>
          <w:color w:val="auto"/>
        </w:rPr>
        <w:t>FINANCIAL HIGHLIGHTS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1440" w:type="dxa"/>
        <w:tblCellMar>
          <w:top w:w="0" w:type="dxa"/>
          <w:left w:w="0" w:type="dxa"/>
          <w:bottom w:w="0" w:type="dxa"/>
          <w:right w:w="0" w:type="dxa"/>
        </w:tblCellMar>
      </w:tblPr>
      <w:tr>
        <w:trPr>
          <w:trHeight w:val="184"/>
        </w:trPr>
        <w:tc>
          <w:tcPr>
            <w:tcW w:w="5060" w:type="dxa"/>
            <w:vAlign w:val="bottom"/>
          </w:tcPr>
          <w:p>
            <w:pPr>
              <w:spacing w:after="0"/>
              <w:rPr>
                <w:sz w:val="20"/>
                <w:szCs w:val="20"/>
                <w:color w:val="auto"/>
              </w:rPr>
            </w:pPr>
            <w:r>
              <w:rPr>
                <w:rFonts w:ascii="Arial" w:cs="Arial" w:eastAsia="Arial" w:hAnsi="Arial"/>
                <w:sz w:val="15"/>
                <w:szCs w:val="15"/>
                <w:color w:val="auto"/>
              </w:rPr>
              <w:t>( IN THOUSANDS, EXCEPT PER SHARE AMOUNTS)</w:t>
            </w:r>
          </w:p>
        </w:tc>
        <w:tc>
          <w:tcPr>
            <w:tcW w:w="760" w:type="dxa"/>
            <w:vAlign w:val="bottom"/>
          </w:tcPr>
          <w:p>
            <w:pPr>
              <w:spacing w:after="0"/>
              <w:rPr>
                <w:sz w:val="16"/>
                <w:szCs w:val="16"/>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2024</w:t>
            </w:r>
          </w:p>
        </w:tc>
        <w:tc>
          <w:tcPr>
            <w:tcW w:w="440" w:type="dxa"/>
            <w:vAlign w:val="bottom"/>
          </w:tcPr>
          <w:p>
            <w:pPr>
              <w:spacing w:after="0"/>
              <w:rPr>
                <w:sz w:val="16"/>
                <w:szCs w:val="16"/>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2023</w:t>
            </w:r>
          </w:p>
        </w:tc>
        <w:tc>
          <w:tcPr>
            <w:tcW w:w="1000" w:type="dxa"/>
            <w:vAlign w:val="bottom"/>
          </w:tcPr>
          <w:p>
            <w:pPr>
              <w:jc w:val="right"/>
              <w:ind w:right="20"/>
              <w:spacing w:after="0"/>
              <w:rPr>
                <w:sz w:val="20"/>
                <w:szCs w:val="20"/>
                <w:color w:val="auto"/>
              </w:rPr>
            </w:pPr>
            <w:r>
              <w:rPr>
                <w:rFonts w:ascii="Arial" w:cs="Arial" w:eastAsia="Arial" w:hAnsi="Arial"/>
                <w:sz w:val="15"/>
                <w:szCs w:val="15"/>
                <w:color w:val="auto"/>
              </w:rPr>
              <w:t>CHANGE</w:t>
            </w:r>
          </w:p>
        </w:tc>
      </w:tr>
      <w:tr>
        <w:trPr>
          <w:trHeight w:val="90"/>
        </w:trPr>
        <w:tc>
          <w:tcPr>
            <w:tcW w:w="5060" w:type="dxa"/>
            <w:vAlign w:val="bottom"/>
            <w:tcBorders>
              <w:bottom w:val="single" w:sz="8" w:color="444440"/>
            </w:tcBorders>
          </w:tcPr>
          <w:p>
            <w:pPr>
              <w:spacing w:after="0"/>
              <w:rPr>
                <w:sz w:val="7"/>
                <w:szCs w:val="7"/>
                <w:color w:val="auto"/>
              </w:rPr>
            </w:pPr>
          </w:p>
        </w:tc>
        <w:tc>
          <w:tcPr>
            <w:tcW w:w="760" w:type="dxa"/>
            <w:vAlign w:val="bottom"/>
            <w:tcBorders>
              <w:bottom w:val="single" w:sz="8" w:color="444440"/>
            </w:tcBorders>
          </w:tcPr>
          <w:p>
            <w:pPr>
              <w:spacing w:after="0"/>
              <w:rPr>
                <w:sz w:val="7"/>
                <w:szCs w:val="7"/>
                <w:color w:val="auto"/>
              </w:rPr>
            </w:pPr>
          </w:p>
        </w:tc>
        <w:tc>
          <w:tcPr>
            <w:tcW w:w="1140" w:type="dxa"/>
            <w:vAlign w:val="bottom"/>
            <w:tcBorders>
              <w:bottom w:val="single" w:sz="8" w:color="444440"/>
            </w:tcBorders>
          </w:tcPr>
          <w:p>
            <w:pPr>
              <w:spacing w:after="0"/>
              <w:rPr>
                <w:sz w:val="7"/>
                <w:szCs w:val="7"/>
                <w:color w:val="auto"/>
              </w:rPr>
            </w:pPr>
          </w:p>
        </w:tc>
        <w:tc>
          <w:tcPr>
            <w:tcW w:w="440" w:type="dxa"/>
            <w:vAlign w:val="bottom"/>
            <w:tcBorders>
              <w:bottom w:val="single" w:sz="8" w:color="444440"/>
            </w:tcBorders>
          </w:tcPr>
          <w:p>
            <w:pPr>
              <w:spacing w:after="0"/>
              <w:rPr>
                <w:sz w:val="7"/>
                <w:szCs w:val="7"/>
                <w:color w:val="auto"/>
              </w:rPr>
            </w:pPr>
          </w:p>
        </w:tc>
        <w:tc>
          <w:tcPr>
            <w:tcW w:w="960" w:type="dxa"/>
            <w:vAlign w:val="bottom"/>
            <w:tcBorders>
              <w:bottom w:val="single" w:sz="8" w:color="444440"/>
            </w:tcBorders>
          </w:tcPr>
          <w:p>
            <w:pPr>
              <w:spacing w:after="0"/>
              <w:rPr>
                <w:sz w:val="7"/>
                <w:szCs w:val="7"/>
                <w:color w:val="auto"/>
              </w:rPr>
            </w:pPr>
          </w:p>
        </w:tc>
        <w:tc>
          <w:tcPr>
            <w:tcW w:w="1000" w:type="dxa"/>
            <w:vAlign w:val="bottom"/>
            <w:tcBorders>
              <w:bottom w:val="single" w:sz="8" w:color="444440"/>
            </w:tcBorders>
          </w:tcPr>
          <w:p>
            <w:pPr>
              <w:spacing w:after="0"/>
              <w:rPr>
                <w:sz w:val="7"/>
                <w:szCs w:val="7"/>
                <w:color w:val="auto"/>
              </w:rPr>
            </w:pPr>
          </w:p>
        </w:tc>
      </w:tr>
      <w:tr>
        <w:trPr>
          <w:trHeight w:val="252"/>
        </w:trPr>
        <w:tc>
          <w:tcPr>
            <w:tcW w:w="5060" w:type="dxa"/>
            <w:vAlign w:val="bottom"/>
          </w:tcPr>
          <w:p>
            <w:pPr>
              <w:spacing w:after="0"/>
              <w:rPr>
                <w:sz w:val="20"/>
                <w:szCs w:val="20"/>
                <w:color w:val="auto"/>
              </w:rPr>
            </w:pPr>
            <w:r>
              <w:rPr>
                <w:rFonts w:ascii="Arial" w:cs="Arial" w:eastAsia="Arial" w:hAnsi="Arial"/>
                <w:sz w:val="15"/>
                <w:szCs w:val="15"/>
                <w:color w:val="auto"/>
              </w:rPr>
              <w:t>Operating revenues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4,790,904</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4,414,877</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9 %</w:t>
            </w:r>
          </w:p>
        </w:tc>
      </w:tr>
      <w:tr>
        <w:trPr>
          <w:trHeight w:val="90"/>
        </w:trPr>
        <w:tc>
          <w:tcPr>
            <w:tcW w:w="5060" w:type="dxa"/>
            <w:vAlign w:val="bottom"/>
            <w:tcBorders>
              <w:bottom w:val="single" w:sz="8" w:color="202020"/>
            </w:tcBorders>
          </w:tcPr>
          <w:p>
            <w:pPr>
              <w:spacing w:after="0"/>
              <w:rPr>
                <w:sz w:val="7"/>
                <w:szCs w:val="7"/>
                <w:color w:val="auto"/>
              </w:rPr>
            </w:pPr>
          </w:p>
        </w:tc>
        <w:tc>
          <w:tcPr>
            <w:tcW w:w="760" w:type="dxa"/>
            <w:vAlign w:val="bottom"/>
            <w:tcBorders>
              <w:bottom w:val="single" w:sz="8" w:color="202020"/>
            </w:tcBorders>
          </w:tcPr>
          <w:p>
            <w:pPr>
              <w:spacing w:after="0"/>
              <w:rPr>
                <w:sz w:val="7"/>
                <w:szCs w:val="7"/>
                <w:color w:val="auto"/>
              </w:rPr>
            </w:pPr>
          </w:p>
        </w:tc>
        <w:tc>
          <w:tcPr>
            <w:tcW w:w="1140" w:type="dxa"/>
            <w:vAlign w:val="bottom"/>
            <w:tcBorders>
              <w:bottom w:val="single" w:sz="8" w:color="202020"/>
            </w:tcBorders>
          </w:tcPr>
          <w:p>
            <w:pPr>
              <w:spacing w:after="0"/>
              <w:rPr>
                <w:sz w:val="7"/>
                <w:szCs w:val="7"/>
                <w:color w:val="auto"/>
              </w:rPr>
            </w:pPr>
          </w:p>
        </w:tc>
        <w:tc>
          <w:tcPr>
            <w:tcW w:w="440" w:type="dxa"/>
            <w:vAlign w:val="bottom"/>
            <w:tcBorders>
              <w:bottom w:val="single" w:sz="8" w:color="202020"/>
            </w:tcBorders>
          </w:tcPr>
          <w:p>
            <w:pPr>
              <w:spacing w:after="0"/>
              <w:rPr>
                <w:sz w:val="7"/>
                <w:szCs w:val="7"/>
                <w:color w:val="auto"/>
              </w:rPr>
            </w:pPr>
          </w:p>
        </w:tc>
        <w:tc>
          <w:tcPr>
            <w:tcW w:w="960" w:type="dxa"/>
            <w:vAlign w:val="bottom"/>
            <w:tcBorders>
              <w:bottom w:val="single" w:sz="8" w:color="202020"/>
            </w:tcBorders>
          </w:tcPr>
          <w:p>
            <w:pPr>
              <w:spacing w:after="0"/>
              <w:rPr>
                <w:sz w:val="7"/>
                <w:szCs w:val="7"/>
                <w:color w:val="auto"/>
              </w:rPr>
            </w:pPr>
          </w:p>
        </w:tc>
        <w:tc>
          <w:tcPr>
            <w:tcW w:w="1000" w:type="dxa"/>
            <w:vAlign w:val="bottom"/>
            <w:tcBorders>
              <w:bottom w:val="single" w:sz="8" w:color="202020"/>
            </w:tcBorders>
          </w:tcPr>
          <w:p>
            <w:pPr>
              <w:spacing w:after="0"/>
              <w:rPr>
                <w:sz w:val="7"/>
                <w:szCs w:val="7"/>
                <w:color w:val="auto"/>
              </w:rPr>
            </w:pPr>
          </w:p>
        </w:tc>
      </w:tr>
      <w:tr>
        <w:trPr>
          <w:trHeight w:val="254"/>
        </w:trPr>
        <w:tc>
          <w:tcPr>
            <w:tcW w:w="5060" w:type="dxa"/>
            <w:vAlign w:val="bottom"/>
          </w:tcPr>
          <w:p>
            <w:pPr>
              <w:spacing w:after="0"/>
              <w:rPr>
                <w:sz w:val="20"/>
                <w:szCs w:val="20"/>
                <w:color w:val="auto"/>
              </w:rPr>
            </w:pPr>
            <w:r>
              <w:rPr>
                <w:rFonts w:ascii="Arial" w:cs="Arial" w:eastAsia="Arial" w:hAnsi="Arial"/>
                <w:sz w:val="15"/>
                <w:szCs w:val="15"/>
                <w:color w:val="auto"/>
              </w:rPr>
              <w:t>Income from operations</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215,504</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69,393</w:t>
            </w:r>
          </w:p>
        </w:tc>
        <w:tc>
          <w:tcPr>
            <w:tcW w:w="1000" w:type="dxa"/>
            <w:vAlign w:val="bottom"/>
          </w:tcPr>
          <w:p>
            <w:pPr>
              <w:spacing w:after="0"/>
              <w:rPr>
                <w:sz w:val="22"/>
                <w:szCs w:val="22"/>
                <w:color w:val="auto"/>
              </w:rPr>
            </w:pPr>
          </w:p>
        </w:tc>
      </w:tr>
      <w:tr>
        <w:trPr>
          <w:trHeight w:val="88"/>
        </w:trPr>
        <w:tc>
          <w:tcPr>
            <w:tcW w:w="5060" w:type="dxa"/>
            <w:vAlign w:val="bottom"/>
            <w:tcBorders>
              <w:bottom w:val="single" w:sz="8" w:color="202020"/>
            </w:tcBorders>
          </w:tcPr>
          <w:p>
            <w:pPr>
              <w:spacing w:after="0"/>
              <w:rPr>
                <w:sz w:val="7"/>
                <w:szCs w:val="7"/>
                <w:color w:val="auto"/>
              </w:rPr>
            </w:pPr>
          </w:p>
        </w:tc>
        <w:tc>
          <w:tcPr>
            <w:tcW w:w="760" w:type="dxa"/>
            <w:vAlign w:val="bottom"/>
            <w:tcBorders>
              <w:bottom w:val="single" w:sz="8" w:color="202020"/>
            </w:tcBorders>
          </w:tcPr>
          <w:p>
            <w:pPr>
              <w:spacing w:after="0"/>
              <w:rPr>
                <w:sz w:val="7"/>
                <w:szCs w:val="7"/>
                <w:color w:val="auto"/>
              </w:rPr>
            </w:pPr>
          </w:p>
        </w:tc>
        <w:tc>
          <w:tcPr>
            <w:tcW w:w="1140" w:type="dxa"/>
            <w:vAlign w:val="bottom"/>
            <w:tcBorders>
              <w:bottom w:val="single" w:sz="8" w:color="202020"/>
            </w:tcBorders>
          </w:tcPr>
          <w:p>
            <w:pPr>
              <w:spacing w:after="0"/>
              <w:rPr>
                <w:sz w:val="7"/>
                <w:szCs w:val="7"/>
                <w:color w:val="auto"/>
              </w:rPr>
            </w:pPr>
          </w:p>
        </w:tc>
        <w:tc>
          <w:tcPr>
            <w:tcW w:w="440" w:type="dxa"/>
            <w:vAlign w:val="bottom"/>
            <w:tcBorders>
              <w:bottom w:val="single" w:sz="8" w:color="202020"/>
            </w:tcBorders>
          </w:tcPr>
          <w:p>
            <w:pPr>
              <w:spacing w:after="0"/>
              <w:rPr>
                <w:sz w:val="7"/>
                <w:szCs w:val="7"/>
                <w:color w:val="auto"/>
              </w:rPr>
            </w:pPr>
          </w:p>
        </w:tc>
        <w:tc>
          <w:tcPr>
            <w:tcW w:w="960" w:type="dxa"/>
            <w:vAlign w:val="bottom"/>
            <w:tcBorders>
              <w:bottom w:val="single" w:sz="8" w:color="202020"/>
            </w:tcBorders>
          </w:tcPr>
          <w:p>
            <w:pPr>
              <w:spacing w:after="0"/>
              <w:rPr>
                <w:sz w:val="7"/>
                <w:szCs w:val="7"/>
                <w:color w:val="auto"/>
              </w:rPr>
            </w:pPr>
          </w:p>
        </w:tc>
        <w:tc>
          <w:tcPr>
            <w:tcW w:w="1000" w:type="dxa"/>
            <w:vAlign w:val="bottom"/>
            <w:tcBorders>
              <w:bottom w:val="single" w:sz="8" w:color="202020"/>
            </w:tcBorders>
          </w:tcPr>
          <w:p>
            <w:pPr>
              <w:spacing w:after="0"/>
              <w:rPr>
                <w:sz w:val="7"/>
                <w:szCs w:val="7"/>
                <w:color w:val="auto"/>
              </w:rPr>
            </w:pPr>
          </w:p>
        </w:tc>
      </w:tr>
      <w:tr>
        <w:trPr>
          <w:trHeight w:val="252"/>
        </w:trPr>
        <w:tc>
          <w:tcPr>
            <w:tcW w:w="5060" w:type="dxa"/>
            <w:vAlign w:val="bottom"/>
          </w:tcPr>
          <w:p>
            <w:pPr>
              <w:spacing w:after="0"/>
              <w:rPr>
                <w:sz w:val="20"/>
                <w:szCs w:val="20"/>
                <w:color w:val="auto"/>
              </w:rPr>
            </w:pPr>
            <w:r>
              <w:rPr>
                <w:rFonts w:ascii="Arial" w:cs="Arial" w:eastAsia="Arial" w:hAnsi="Arial"/>
                <w:sz w:val="15"/>
                <w:szCs w:val="15"/>
                <w:color w:val="auto"/>
              </w:rPr>
              <w:t>Net income attributable to common shares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724,634</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205,288</w:t>
            </w:r>
          </w:p>
        </w:tc>
        <w:tc>
          <w:tcPr>
            <w:tcW w:w="1000" w:type="dxa"/>
            <w:vAlign w:val="bottom"/>
          </w:tcPr>
          <w:p>
            <w:pPr>
              <w:spacing w:after="0"/>
              <w:rPr>
                <w:sz w:val="21"/>
                <w:szCs w:val="21"/>
                <w:color w:val="auto"/>
              </w:rPr>
            </w:pPr>
          </w:p>
        </w:tc>
      </w:tr>
      <w:tr>
        <w:trPr>
          <w:trHeight w:val="81"/>
        </w:trPr>
        <w:tc>
          <w:tcPr>
            <w:tcW w:w="5060" w:type="dxa"/>
            <w:vAlign w:val="bottom"/>
            <w:tcBorders>
              <w:bottom w:val="single" w:sz="8" w:color="5C5C5C"/>
            </w:tcBorders>
          </w:tcPr>
          <w:p>
            <w:pPr>
              <w:spacing w:after="0"/>
              <w:rPr>
                <w:sz w:val="7"/>
                <w:szCs w:val="7"/>
                <w:color w:val="auto"/>
              </w:rPr>
            </w:pPr>
          </w:p>
        </w:tc>
        <w:tc>
          <w:tcPr>
            <w:tcW w:w="760" w:type="dxa"/>
            <w:vAlign w:val="bottom"/>
            <w:tcBorders>
              <w:bottom w:val="single" w:sz="8" w:color="5C5C5C"/>
            </w:tcBorders>
          </w:tcPr>
          <w:p>
            <w:pPr>
              <w:spacing w:after="0"/>
              <w:rPr>
                <w:sz w:val="7"/>
                <w:szCs w:val="7"/>
                <w:color w:val="auto"/>
              </w:rPr>
            </w:pPr>
          </w:p>
        </w:tc>
        <w:tc>
          <w:tcPr>
            <w:tcW w:w="1140" w:type="dxa"/>
            <w:vAlign w:val="bottom"/>
            <w:tcBorders>
              <w:bottom w:val="single" w:sz="8" w:color="5C5C5C"/>
            </w:tcBorders>
          </w:tcPr>
          <w:p>
            <w:pPr>
              <w:spacing w:after="0"/>
              <w:rPr>
                <w:sz w:val="7"/>
                <w:szCs w:val="7"/>
                <w:color w:val="auto"/>
              </w:rPr>
            </w:pPr>
          </w:p>
        </w:tc>
        <w:tc>
          <w:tcPr>
            <w:tcW w:w="440" w:type="dxa"/>
            <w:vAlign w:val="bottom"/>
            <w:tcBorders>
              <w:bottom w:val="single" w:sz="8" w:color="5C5C5C"/>
            </w:tcBorders>
          </w:tcPr>
          <w:p>
            <w:pPr>
              <w:spacing w:after="0"/>
              <w:rPr>
                <w:sz w:val="7"/>
                <w:szCs w:val="7"/>
                <w:color w:val="auto"/>
              </w:rPr>
            </w:pPr>
          </w:p>
        </w:tc>
        <w:tc>
          <w:tcPr>
            <w:tcW w:w="960" w:type="dxa"/>
            <w:vAlign w:val="bottom"/>
            <w:tcBorders>
              <w:bottom w:val="single" w:sz="8" w:color="5C5C5C"/>
            </w:tcBorders>
          </w:tcPr>
          <w:p>
            <w:pPr>
              <w:spacing w:after="0"/>
              <w:rPr>
                <w:sz w:val="7"/>
                <w:szCs w:val="7"/>
                <w:color w:val="auto"/>
              </w:rPr>
            </w:pPr>
          </w:p>
        </w:tc>
        <w:tc>
          <w:tcPr>
            <w:tcW w:w="1000" w:type="dxa"/>
            <w:vAlign w:val="bottom"/>
            <w:tcBorders>
              <w:bottom w:val="single" w:sz="8" w:color="5C5C5C"/>
            </w:tcBorders>
          </w:tcPr>
          <w:p>
            <w:pPr>
              <w:spacing w:after="0"/>
              <w:rPr>
                <w:sz w:val="7"/>
                <w:szCs w:val="7"/>
                <w:color w:val="auto"/>
              </w:rPr>
            </w:pPr>
          </w:p>
        </w:tc>
      </w:tr>
      <w:tr>
        <w:trPr>
          <w:trHeight w:val="262"/>
        </w:trPr>
        <w:tc>
          <w:tcPr>
            <w:tcW w:w="5060" w:type="dxa"/>
            <w:vAlign w:val="bottom"/>
          </w:tcPr>
          <w:p>
            <w:pPr>
              <w:spacing w:after="0"/>
              <w:rPr>
                <w:sz w:val="20"/>
                <w:szCs w:val="20"/>
                <w:color w:val="auto"/>
              </w:rPr>
            </w:pPr>
            <w:r>
              <w:rPr>
                <w:rFonts w:ascii="Arial" w:cs="Arial" w:eastAsia="Arial" w:hAnsi="Arial"/>
                <w:sz w:val="15"/>
                <w:szCs w:val="15"/>
                <w:color w:val="auto"/>
              </w:rPr>
              <w:t>Diluted earnings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163.40</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43.82</w:t>
            </w:r>
          </w:p>
        </w:tc>
        <w:tc>
          <w:tcPr>
            <w:tcW w:w="1000" w:type="dxa"/>
            <w:vAlign w:val="bottom"/>
          </w:tcPr>
          <w:p>
            <w:pPr>
              <w:spacing w:after="0"/>
              <w:rPr>
                <w:sz w:val="22"/>
                <w:szCs w:val="22"/>
                <w:color w:val="auto"/>
              </w:rPr>
            </w:pPr>
          </w:p>
        </w:tc>
      </w:tr>
      <w:tr>
        <w:trPr>
          <w:trHeight w:val="81"/>
        </w:trPr>
        <w:tc>
          <w:tcPr>
            <w:tcW w:w="5060" w:type="dxa"/>
            <w:vAlign w:val="bottom"/>
            <w:tcBorders>
              <w:bottom w:val="single" w:sz="8" w:color="5C5C58"/>
            </w:tcBorders>
          </w:tcPr>
          <w:p>
            <w:pPr>
              <w:spacing w:after="0"/>
              <w:rPr>
                <w:sz w:val="7"/>
                <w:szCs w:val="7"/>
                <w:color w:val="auto"/>
              </w:rPr>
            </w:pPr>
          </w:p>
        </w:tc>
        <w:tc>
          <w:tcPr>
            <w:tcW w:w="760" w:type="dxa"/>
            <w:vAlign w:val="bottom"/>
            <w:tcBorders>
              <w:bottom w:val="single" w:sz="8" w:color="5C5C58"/>
            </w:tcBorders>
          </w:tcPr>
          <w:p>
            <w:pPr>
              <w:spacing w:after="0"/>
              <w:rPr>
                <w:sz w:val="7"/>
                <w:szCs w:val="7"/>
                <w:color w:val="auto"/>
              </w:rPr>
            </w:pPr>
          </w:p>
        </w:tc>
        <w:tc>
          <w:tcPr>
            <w:tcW w:w="1140" w:type="dxa"/>
            <w:vAlign w:val="bottom"/>
            <w:tcBorders>
              <w:bottom w:val="single" w:sz="8" w:color="5C5C58"/>
            </w:tcBorders>
          </w:tcPr>
          <w:p>
            <w:pPr>
              <w:spacing w:after="0"/>
              <w:rPr>
                <w:sz w:val="7"/>
                <w:szCs w:val="7"/>
                <w:color w:val="auto"/>
              </w:rPr>
            </w:pPr>
          </w:p>
        </w:tc>
        <w:tc>
          <w:tcPr>
            <w:tcW w:w="440" w:type="dxa"/>
            <w:vAlign w:val="bottom"/>
            <w:tcBorders>
              <w:bottom w:val="single" w:sz="8" w:color="5C5C58"/>
            </w:tcBorders>
          </w:tcPr>
          <w:p>
            <w:pPr>
              <w:spacing w:after="0"/>
              <w:rPr>
                <w:sz w:val="7"/>
                <w:szCs w:val="7"/>
                <w:color w:val="auto"/>
              </w:rPr>
            </w:pPr>
          </w:p>
        </w:tc>
        <w:tc>
          <w:tcPr>
            <w:tcW w:w="960" w:type="dxa"/>
            <w:vAlign w:val="bottom"/>
            <w:tcBorders>
              <w:bottom w:val="single" w:sz="8" w:color="5C5C58"/>
            </w:tcBorders>
          </w:tcPr>
          <w:p>
            <w:pPr>
              <w:spacing w:after="0"/>
              <w:rPr>
                <w:sz w:val="7"/>
                <w:szCs w:val="7"/>
                <w:color w:val="auto"/>
              </w:rPr>
            </w:pPr>
          </w:p>
        </w:tc>
        <w:tc>
          <w:tcPr>
            <w:tcW w:w="1000" w:type="dxa"/>
            <w:vAlign w:val="bottom"/>
            <w:tcBorders>
              <w:bottom w:val="single" w:sz="8" w:color="5C5C58"/>
            </w:tcBorders>
          </w:tcPr>
          <w:p>
            <w:pPr>
              <w:spacing w:after="0"/>
              <w:rPr>
                <w:sz w:val="7"/>
                <w:szCs w:val="7"/>
                <w:color w:val="auto"/>
              </w:rPr>
            </w:pPr>
          </w:p>
        </w:tc>
      </w:tr>
      <w:tr>
        <w:trPr>
          <w:trHeight w:val="262"/>
        </w:trPr>
        <w:tc>
          <w:tcPr>
            <w:tcW w:w="5060" w:type="dxa"/>
            <w:vAlign w:val="bottom"/>
          </w:tcPr>
          <w:p>
            <w:pPr>
              <w:spacing w:after="0"/>
              <w:rPr>
                <w:sz w:val="20"/>
                <w:szCs w:val="20"/>
                <w:color w:val="auto"/>
              </w:rPr>
            </w:pPr>
            <w:r>
              <w:rPr>
                <w:rFonts w:ascii="Arial" w:cs="Arial" w:eastAsia="Arial" w:hAnsi="Arial"/>
                <w:sz w:val="15"/>
                <w:szCs w:val="15"/>
                <w:color w:val="auto"/>
              </w:rPr>
              <w:t>Dividends per common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6.88</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6.60</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4 %</w:t>
            </w:r>
          </w:p>
        </w:tc>
      </w:tr>
      <w:tr>
        <w:trPr>
          <w:trHeight w:val="81"/>
        </w:trPr>
        <w:tc>
          <w:tcPr>
            <w:tcW w:w="5060" w:type="dxa"/>
            <w:vAlign w:val="bottom"/>
            <w:tcBorders>
              <w:bottom w:val="single" w:sz="8" w:color="202020"/>
            </w:tcBorders>
          </w:tcPr>
          <w:p>
            <w:pPr>
              <w:spacing w:after="0"/>
              <w:rPr>
                <w:sz w:val="7"/>
                <w:szCs w:val="7"/>
                <w:color w:val="auto"/>
              </w:rPr>
            </w:pPr>
          </w:p>
        </w:tc>
        <w:tc>
          <w:tcPr>
            <w:tcW w:w="760" w:type="dxa"/>
            <w:vAlign w:val="bottom"/>
            <w:tcBorders>
              <w:bottom w:val="single" w:sz="8" w:color="202020"/>
            </w:tcBorders>
          </w:tcPr>
          <w:p>
            <w:pPr>
              <w:spacing w:after="0"/>
              <w:rPr>
                <w:sz w:val="7"/>
                <w:szCs w:val="7"/>
                <w:color w:val="auto"/>
              </w:rPr>
            </w:pPr>
          </w:p>
        </w:tc>
        <w:tc>
          <w:tcPr>
            <w:tcW w:w="1140" w:type="dxa"/>
            <w:vAlign w:val="bottom"/>
            <w:tcBorders>
              <w:bottom w:val="single" w:sz="8" w:color="202020"/>
            </w:tcBorders>
          </w:tcPr>
          <w:p>
            <w:pPr>
              <w:spacing w:after="0"/>
              <w:rPr>
                <w:sz w:val="7"/>
                <w:szCs w:val="7"/>
                <w:color w:val="auto"/>
              </w:rPr>
            </w:pPr>
          </w:p>
        </w:tc>
        <w:tc>
          <w:tcPr>
            <w:tcW w:w="440" w:type="dxa"/>
            <w:vAlign w:val="bottom"/>
            <w:tcBorders>
              <w:bottom w:val="single" w:sz="8" w:color="202020"/>
            </w:tcBorders>
          </w:tcPr>
          <w:p>
            <w:pPr>
              <w:spacing w:after="0"/>
              <w:rPr>
                <w:sz w:val="7"/>
                <w:szCs w:val="7"/>
                <w:color w:val="auto"/>
              </w:rPr>
            </w:pPr>
          </w:p>
        </w:tc>
        <w:tc>
          <w:tcPr>
            <w:tcW w:w="960" w:type="dxa"/>
            <w:vAlign w:val="bottom"/>
            <w:tcBorders>
              <w:bottom w:val="single" w:sz="8" w:color="202020"/>
            </w:tcBorders>
          </w:tcPr>
          <w:p>
            <w:pPr>
              <w:spacing w:after="0"/>
              <w:rPr>
                <w:sz w:val="7"/>
                <w:szCs w:val="7"/>
                <w:color w:val="auto"/>
              </w:rPr>
            </w:pPr>
          </w:p>
        </w:tc>
        <w:tc>
          <w:tcPr>
            <w:tcW w:w="1000" w:type="dxa"/>
            <w:vAlign w:val="bottom"/>
            <w:tcBorders>
              <w:bottom w:val="single" w:sz="8" w:color="202020"/>
            </w:tcBorders>
          </w:tcPr>
          <w:p>
            <w:pPr>
              <w:spacing w:after="0"/>
              <w:rPr>
                <w:sz w:val="7"/>
                <w:szCs w:val="7"/>
                <w:color w:val="auto"/>
              </w:rPr>
            </w:pPr>
          </w:p>
        </w:tc>
      </w:tr>
      <w:tr>
        <w:trPr>
          <w:trHeight w:val="252"/>
        </w:trPr>
        <w:tc>
          <w:tcPr>
            <w:tcW w:w="5060" w:type="dxa"/>
            <w:vAlign w:val="bottom"/>
          </w:tcPr>
          <w:p>
            <w:pPr>
              <w:spacing w:after="0"/>
              <w:rPr>
                <w:sz w:val="20"/>
                <w:szCs w:val="20"/>
                <w:color w:val="auto"/>
              </w:rPr>
            </w:pPr>
            <w:r>
              <w:rPr>
                <w:rFonts w:ascii="Arial" w:cs="Arial" w:eastAsia="Arial" w:hAnsi="Arial"/>
                <w:sz w:val="15"/>
                <w:szCs w:val="15"/>
                <w:color w:val="auto"/>
              </w:rPr>
              <w:t>Common stockholders'equity per share</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982.54</w:t>
            </w:r>
          </w:p>
        </w:tc>
        <w:tc>
          <w:tcPr>
            <w:tcW w:w="440" w:type="dxa"/>
            <w:vAlign w:val="bottom"/>
          </w:tcPr>
          <w:p>
            <w:pPr>
              <w:ind w:left="360"/>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887.68</w:t>
            </w:r>
          </w:p>
        </w:tc>
        <w:tc>
          <w:tcPr>
            <w:tcW w:w="10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11%</w:t>
            </w:r>
          </w:p>
        </w:tc>
      </w:tr>
      <w:tr>
        <w:trPr>
          <w:trHeight w:val="90"/>
        </w:trPr>
        <w:tc>
          <w:tcPr>
            <w:tcW w:w="5060" w:type="dxa"/>
            <w:vAlign w:val="bottom"/>
            <w:tcBorders>
              <w:bottom w:val="single" w:sz="8" w:color="202020"/>
            </w:tcBorders>
          </w:tcPr>
          <w:p>
            <w:pPr>
              <w:spacing w:after="0"/>
              <w:rPr>
                <w:sz w:val="7"/>
                <w:szCs w:val="7"/>
                <w:color w:val="auto"/>
              </w:rPr>
            </w:pPr>
          </w:p>
        </w:tc>
        <w:tc>
          <w:tcPr>
            <w:tcW w:w="760" w:type="dxa"/>
            <w:vAlign w:val="bottom"/>
            <w:tcBorders>
              <w:bottom w:val="single" w:sz="8" w:color="202020"/>
            </w:tcBorders>
          </w:tcPr>
          <w:p>
            <w:pPr>
              <w:spacing w:after="0"/>
              <w:rPr>
                <w:sz w:val="7"/>
                <w:szCs w:val="7"/>
                <w:color w:val="auto"/>
              </w:rPr>
            </w:pPr>
          </w:p>
        </w:tc>
        <w:tc>
          <w:tcPr>
            <w:tcW w:w="1140" w:type="dxa"/>
            <w:vAlign w:val="bottom"/>
            <w:tcBorders>
              <w:bottom w:val="single" w:sz="8" w:color="202020"/>
            </w:tcBorders>
          </w:tcPr>
          <w:p>
            <w:pPr>
              <w:spacing w:after="0"/>
              <w:rPr>
                <w:sz w:val="7"/>
                <w:szCs w:val="7"/>
                <w:color w:val="auto"/>
              </w:rPr>
            </w:pPr>
          </w:p>
        </w:tc>
        <w:tc>
          <w:tcPr>
            <w:tcW w:w="440" w:type="dxa"/>
            <w:vAlign w:val="bottom"/>
            <w:tcBorders>
              <w:bottom w:val="single" w:sz="8" w:color="202020"/>
            </w:tcBorders>
          </w:tcPr>
          <w:p>
            <w:pPr>
              <w:spacing w:after="0"/>
              <w:rPr>
                <w:sz w:val="7"/>
                <w:szCs w:val="7"/>
                <w:color w:val="auto"/>
              </w:rPr>
            </w:pPr>
          </w:p>
        </w:tc>
        <w:tc>
          <w:tcPr>
            <w:tcW w:w="960" w:type="dxa"/>
            <w:vAlign w:val="bottom"/>
            <w:tcBorders>
              <w:bottom w:val="single" w:sz="8" w:color="202020"/>
            </w:tcBorders>
          </w:tcPr>
          <w:p>
            <w:pPr>
              <w:spacing w:after="0"/>
              <w:rPr>
                <w:sz w:val="7"/>
                <w:szCs w:val="7"/>
                <w:color w:val="auto"/>
              </w:rPr>
            </w:pPr>
          </w:p>
        </w:tc>
        <w:tc>
          <w:tcPr>
            <w:tcW w:w="1000" w:type="dxa"/>
            <w:vAlign w:val="bottom"/>
            <w:tcBorders>
              <w:bottom w:val="single" w:sz="8" w:color="202020"/>
            </w:tcBorders>
          </w:tcPr>
          <w:p>
            <w:pPr>
              <w:spacing w:after="0"/>
              <w:rPr>
                <w:sz w:val="7"/>
                <w:szCs w:val="7"/>
                <w:color w:val="auto"/>
              </w:rPr>
            </w:pPr>
          </w:p>
        </w:tc>
      </w:tr>
      <w:tr>
        <w:trPr>
          <w:trHeight w:val="252"/>
        </w:trPr>
        <w:tc>
          <w:tcPr>
            <w:tcW w:w="5060" w:type="dxa"/>
            <w:vAlign w:val="bottom"/>
          </w:tcPr>
          <w:p>
            <w:pPr>
              <w:spacing w:after="0"/>
              <w:rPr>
                <w:sz w:val="20"/>
                <w:szCs w:val="20"/>
                <w:color w:val="auto"/>
              </w:rPr>
            </w:pPr>
            <w:r>
              <w:rPr>
                <w:rFonts w:ascii="Arial" w:cs="Arial" w:eastAsia="Arial" w:hAnsi="Arial"/>
                <w:sz w:val="15"/>
                <w:szCs w:val="15"/>
                <w:color w:val="auto"/>
              </w:rPr>
              <w:t>Diluted average number of common shares outstanding</w:t>
            </w:r>
          </w:p>
        </w:tc>
        <w:tc>
          <w:tcPr>
            <w:tcW w:w="760" w:type="dxa"/>
            <w:vAlign w:val="bottom"/>
          </w:tcPr>
          <w:p>
            <w:pPr>
              <w:spacing w:after="0"/>
              <w:rPr>
                <w:sz w:val="21"/>
                <w:szCs w:val="21"/>
                <w:color w:val="auto"/>
              </w:rPr>
            </w:pPr>
          </w:p>
        </w:tc>
        <w:tc>
          <w:tcPr>
            <w:tcW w:w="114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4,405</w:t>
            </w:r>
          </w:p>
        </w:tc>
        <w:tc>
          <w:tcPr>
            <w:tcW w:w="440" w:type="dxa"/>
            <w:vAlign w:val="bottom"/>
          </w:tcPr>
          <w:p>
            <w:pPr>
              <w:spacing w:after="0"/>
              <w:rPr>
                <w:sz w:val="21"/>
                <w:szCs w:val="21"/>
                <w:color w:val="auto"/>
              </w:rPr>
            </w:pPr>
          </w:p>
        </w:tc>
        <w:tc>
          <w:tcPr>
            <w:tcW w:w="9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4,654</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90"/>
        </w:trPr>
        <w:tc>
          <w:tcPr>
            <w:tcW w:w="5060" w:type="dxa"/>
            <w:vAlign w:val="bottom"/>
            <w:tcBorders>
              <w:bottom w:val="single" w:sz="8" w:color="242020"/>
            </w:tcBorders>
          </w:tcPr>
          <w:p>
            <w:pPr>
              <w:spacing w:after="0"/>
              <w:rPr>
                <w:sz w:val="7"/>
                <w:szCs w:val="7"/>
                <w:color w:val="auto"/>
              </w:rPr>
            </w:pPr>
          </w:p>
        </w:tc>
        <w:tc>
          <w:tcPr>
            <w:tcW w:w="760" w:type="dxa"/>
            <w:vAlign w:val="bottom"/>
            <w:tcBorders>
              <w:bottom w:val="single" w:sz="8" w:color="242020"/>
            </w:tcBorders>
          </w:tcPr>
          <w:p>
            <w:pPr>
              <w:spacing w:after="0"/>
              <w:rPr>
                <w:sz w:val="7"/>
                <w:szCs w:val="7"/>
                <w:color w:val="auto"/>
              </w:rPr>
            </w:pPr>
          </w:p>
        </w:tc>
        <w:tc>
          <w:tcPr>
            <w:tcW w:w="1140" w:type="dxa"/>
            <w:vAlign w:val="bottom"/>
            <w:tcBorders>
              <w:bottom w:val="single" w:sz="8" w:color="242020"/>
            </w:tcBorders>
          </w:tcPr>
          <w:p>
            <w:pPr>
              <w:spacing w:after="0"/>
              <w:rPr>
                <w:sz w:val="7"/>
                <w:szCs w:val="7"/>
                <w:color w:val="auto"/>
              </w:rPr>
            </w:pPr>
          </w:p>
        </w:tc>
        <w:tc>
          <w:tcPr>
            <w:tcW w:w="440" w:type="dxa"/>
            <w:vAlign w:val="bottom"/>
            <w:tcBorders>
              <w:bottom w:val="single" w:sz="8" w:color="242020"/>
            </w:tcBorders>
          </w:tcPr>
          <w:p>
            <w:pPr>
              <w:spacing w:after="0"/>
              <w:rPr>
                <w:sz w:val="7"/>
                <w:szCs w:val="7"/>
                <w:color w:val="auto"/>
              </w:rPr>
            </w:pPr>
          </w:p>
        </w:tc>
        <w:tc>
          <w:tcPr>
            <w:tcW w:w="960" w:type="dxa"/>
            <w:vAlign w:val="bottom"/>
            <w:tcBorders>
              <w:bottom w:val="single" w:sz="8" w:color="242020"/>
            </w:tcBorders>
          </w:tcPr>
          <w:p>
            <w:pPr>
              <w:spacing w:after="0"/>
              <w:rPr>
                <w:sz w:val="7"/>
                <w:szCs w:val="7"/>
                <w:color w:val="auto"/>
              </w:rPr>
            </w:pPr>
          </w:p>
        </w:tc>
        <w:tc>
          <w:tcPr>
            <w:tcW w:w="1000" w:type="dxa"/>
            <w:vAlign w:val="bottom"/>
            <w:tcBorders>
              <w:bottom w:val="single" w:sz="8" w:color="242020"/>
            </w:tcBorders>
          </w:tcPr>
          <w:p>
            <w:pPr>
              <w:spacing w:after="0"/>
              <w:rPr>
                <w:sz w:val="7"/>
                <w:szCs w:val="7"/>
                <w:color w:val="auto"/>
              </w:rPr>
            </w:pPr>
          </w:p>
        </w:tc>
      </w:tr>
    </w:tbl>
    <w:p>
      <w:pPr>
        <w:spacing w:after="0" w:line="200" w:lineRule="exact"/>
        <w:rPr>
          <w:sz w:val="20"/>
          <w:szCs w:val="20"/>
          <w:color w:val="auto"/>
        </w:rPr>
      </w:pPr>
    </w:p>
    <w:p>
      <w:pPr>
        <w:spacing w:after="0" w:line="326" w:lineRule="exact"/>
        <w:rPr>
          <w:sz w:val="20"/>
          <w:szCs w:val="20"/>
          <w:color w:val="auto"/>
        </w:rPr>
      </w:pPr>
    </w:p>
    <w:tbl>
      <w:tblPr>
        <w:tblLayout w:type="fixed"/>
        <w:tblInd w:w="14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3680" w:type="dxa"/>
            <w:vAlign w:val="bottom"/>
            <w:gridSpan w:val="7"/>
          </w:tcPr>
          <w:p>
            <w:pPr>
              <w:spacing w:after="0"/>
              <w:rPr>
                <w:sz w:val="20"/>
                <w:szCs w:val="20"/>
                <w:color w:val="auto"/>
              </w:rPr>
            </w:pPr>
            <w:r>
              <w:rPr>
                <w:rFonts w:ascii="Arial" w:cs="Arial" w:eastAsia="Arial" w:hAnsi="Arial"/>
                <w:sz w:val="15"/>
                <w:szCs w:val="15"/>
                <w:color w:val="auto"/>
              </w:rPr>
              <w:t>OPERATING REVENUES ($ in millions)</w:t>
            </w:r>
          </w:p>
        </w:tc>
        <w:tc>
          <w:tcPr>
            <w:tcW w:w="980" w:type="dxa"/>
            <w:vAlign w:val="bottom"/>
          </w:tcPr>
          <w:p>
            <w:pPr>
              <w:spacing w:after="0"/>
              <w:rPr>
                <w:sz w:val="15"/>
                <w:szCs w:val="15"/>
                <w:color w:val="auto"/>
              </w:rPr>
            </w:pPr>
          </w:p>
        </w:tc>
        <w:tc>
          <w:tcPr>
            <w:tcW w:w="4160" w:type="dxa"/>
            <w:vAlign w:val="bottom"/>
            <w:gridSpan w:val="8"/>
          </w:tcPr>
          <w:p>
            <w:pPr>
              <w:ind w:left="480"/>
              <w:spacing w:after="0"/>
              <w:rPr>
                <w:sz w:val="20"/>
                <w:szCs w:val="20"/>
                <w:color w:val="auto"/>
              </w:rPr>
            </w:pPr>
            <w:r>
              <w:rPr>
                <w:rFonts w:ascii="Arial" w:cs="Arial" w:eastAsia="Arial" w:hAnsi="Arial"/>
                <w:sz w:val="15"/>
                <w:szCs w:val="15"/>
                <w:color w:val="auto"/>
              </w:rPr>
              <w:t>INCOME FROM OPERATIONS ($ in millions)</w:t>
            </w: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Borders>
              <w:bottom w:val="single" w:sz="8" w:color="2498A4"/>
            </w:tcBorders>
          </w:tcPr>
          <w:p>
            <w:pPr>
              <w:spacing w:after="0"/>
              <w:rPr>
                <w:sz w:val="13"/>
                <w:szCs w:val="13"/>
                <w:color w:val="auto"/>
              </w:rPr>
            </w:pPr>
          </w:p>
        </w:tc>
        <w:tc>
          <w:tcPr>
            <w:tcW w:w="620" w:type="dxa"/>
            <w:vAlign w:val="bottom"/>
            <w:tcBorders>
              <w:bottom w:val="single" w:sz="8" w:color="2498A4"/>
            </w:tcBorders>
          </w:tcPr>
          <w:p>
            <w:pPr>
              <w:spacing w:after="0"/>
              <w:rPr>
                <w:sz w:val="13"/>
                <w:szCs w:val="13"/>
                <w:color w:val="auto"/>
              </w:rPr>
            </w:pPr>
          </w:p>
        </w:tc>
        <w:tc>
          <w:tcPr>
            <w:tcW w:w="360" w:type="dxa"/>
            <w:vAlign w:val="bottom"/>
            <w:tcBorders>
              <w:bottom w:val="single" w:sz="8" w:color="2498A4"/>
            </w:tcBorders>
          </w:tcPr>
          <w:p>
            <w:pPr>
              <w:spacing w:after="0"/>
              <w:rPr>
                <w:sz w:val="13"/>
                <w:szCs w:val="13"/>
                <w:color w:val="auto"/>
              </w:rPr>
            </w:pPr>
          </w:p>
        </w:tc>
        <w:tc>
          <w:tcPr>
            <w:tcW w:w="200" w:type="dxa"/>
            <w:vAlign w:val="bottom"/>
            <w:tcBorders>
              <w:bottom w:val="single" w:sz="8" w:color="2498A4"/>
            </w:tcBorders>
          </w:tcPr>
          <w:p>
            <w:pPr>
              <w:spacing w:after="0"/>
              <w:rPr>
                <w:sz w:val="13"/>
                <w:szCs w:val="13"/>
                <w:color w:val="auto"/>
              </w:rPr>
            </w:pPr>
          </w:p>
        </w:tc>
        <w:tc>
          <w:tcPr>
            <w:tcW w:w="560" w:type="dxa"/>
            <w:vAlign w:val="bottom"/>
            <w:tcBorders>
              <w:bottom w:val="single" w:sz="8" w:color="2498A4"/>
            </w:tcBorders>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4 ,791</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Borders>
              <w:bottom w:val="single" w:sz="8" w:color="2498A4"/>
            </w:tcBorders>
          </w:tcPr>
          <w:p>
            <w:pPr>
              <w:spacing w:after="0"/>
              <w:rPr>
                <w:sz w:val="13"/>
                <w:szCs w:val="13"/>
                <w:color w:val="auto"/>
              </w:rPr>
            </w:pPr>
          </w:p>
        </w:tc>
        <w:tc>
          <w:tcPr>
            <w:tcW w:w="480" w:type="dxa"/>
            <w:vAlign w:val="bottom"/>
            <w:tcBorders>
              <w:bottom w:val="single" w:sz="8" w:color="2498A4"/>
            </w:tcBorders>
          </w:tcPr>
          <w:p>
            <w:pPr>
              <w:spacing w:after="0"/>
              <w:rPr>
                <w:sz w:val="13"/>
                <w:szCs w:val="13"/>
                <w:color w:val="auto"/>
              </w:rPr>
            </w:pPr>
          </w:p>
        </w:tc>
        <w:tc>
          <w:tcPr>
            <w:tcW w:w="40" w:type="dxa"/>
            <w:vAlign w:val="bottom"/>
            <w:tcBorders>
              <w:bottom w:val="single" w:sz="8" w:color="2498A4"/>
            </w:tcBorders>
          </w:tcPr>
          <w:p>
            <w:pPr>
              <w:spacing w:after="0"/>
              <w:rPr>
                <w:sz w:val="13"/>
                <w:szCs w:val="13"/>
                <w:color w:val="auto"/>
              </w:rPr>
            </w:pPr>
          </w:p>
        </w:tc>
        <w:tc>
          <w:tcPr>
            <w:tcW w:w="480" w:type="dxa"/>
            <w:vAlign w:val="bottom"/>
            <w:tcBorders>
              <w:bottom w:val="single" w:sz="8" w:color="2498A4"/>
            </w:tcBorders>
          </w:tcPr>
          <w:p>
            <w:pPr>
              <w:spacing w:after="0"/>
              <w:rPr>
                <w:sz w:val="13"/>
                <w:szCs w:val="13"/>
                <w:color w:val="auto"/>
              </w:rPr>
            </w:pPr>
          </w:p>
        </w:tc>
        <w:tc>
          <w:tcPr>
            <w:tcW w:w="180" w:type="dxa"/>
            <w:vAlign w:val="bottom"/>
            <w:tcBorders>
              <w:bottom w:val="single" w:sz="8" w:color="2498A4"/>
            </w:tcBorders>
          </w:tcPr>
          <w:p>
            <w:pPr>
              <w:spacing w:after="0"/>
              <w:rPr>
                <w:sz w:val="13"/>
                <w:szCs w:val="13"/>
                <w:color w:val="auto"/>
              </w:rPr>
            </w:pPr>
          </w:p>
        </w:tc>
        <w:tc>
          <w:tcPr>
            <w:tcW w:w="1400" w:type="dxa"/>
            <w:vAlign w:val="bottom"/>
            <w:tcBorders>
              <w:bottom w:val="single" w:sz="8" w:color="2498A4"/>
            </w:tcBorders>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216</w:t>
            </w:r>
          </w:p>
        </w:tc>
        <w:tc>
          <w:tcPr>
            <w:tcW w:w="0" w:type="dxa"/>
            <w:vAlign w:val="bottom"/>
          </w:tcPr>
          <w:p>
            <w:pPr>
              <w:spacing w:after="0"/>
              <w:rPr>
                <w:sz w:val="1"/>
                <w:szCs w:val="1"/>
                <w:color w:val="auto"/>
              </w:rPr>
            </w:pPr>
          </w:p>
        </w:tc>
      </w:tr>
      <w:tr>
        <w:trPr>
          <w:trHeight w:val="114"/>
        </w:trPr>
        <w:tc>
          <w:tcPr>
            <w:tcW w:w="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Borders>
              <w:bottom w:val="single" w:sz="8" w:color="20988C"/>
            </w:tcBorders>
          </w:tcPr>
          <w:p>
            <w:pPr>
              <w:spacing w:after="0"/>
              <w:rPr>
                <w:sz w:val="9"/>
                <w:szCs w:val="9"/>
                <w:color w:val="auto"/>
              </w:rPr>
            </w:pPr>
          </w:p>
        </w:tc>
        <w:tc>
          <w:tcPr>
            <w:tcW w:w="40" w:type="dxa"/>
            <w:vAlign w:val="bottom"/>
            <w:tcBorders>
              <w:bottom w:val="single" w:sz="8" w:color="20988C"/>
            </w:tcBorders>
          </w:tcPr>
          <w:p>
            <w:pPr>
              <w:spacing w:after="0"/>
              <w:rPr>
                <w:sz w:val="9"/>
                <w:szCs w:val="9"/>
                <w:color w:val="auto"/>
              </w:rPr>
            </w:pPr>
          </w:p>
        </w:tc>
        <w:tc>
          <w:tcPr>
            <w:tcW w:w="480" w:type="dxa"/>
            <w:vAlign w:val="bottom"/>
            <w:tcBorders>
              <w:bottom w:val="single" w:sz="8" w:color="20988C"/>
            </w:tcBorders>
          </w:tcPr>
          <w:p>
            <w:pPr>
              <w:spacing w:after="0"/>
              <w:rPr>
                <w:sz w:val="9"/>
                <w:szCs w:val="9"/>
                <w:color w:val="auto"/>
              </w:rPr>
            </w:pPr>
          </w:p>
        </w:tc>
        <w:tc>
          <w:tcPr>
            <w:tcW w:w="180" w:type="dxa"/>
            <w:vAlign w:val="bottom"/>
            <w:tcBorders>
              <w:bottom w:val="single" w:sz="8" w:color="20988C"/>
            </w:tcBorders>
          </w:tcPr>
          <w:p>
            <w:pPr>
              <w:spacing w:after="0"/>
              <w:rPr>
                <w:sz w:val="9"/>
                <w:szCs w:val="9"/>
                <w:color w:val="auto"/>
              </w:rPr>
            </w:pPr>
          </w:p>
        </w:tc>
        <w:tc>
          <w:tcPr>
            <w:tcW w:w="1400" w:type="dxa"/>
            <w:vAlign w:val="bottom"/>
            <w:tcBorders>
              <w:bottom w:val="single" w:sz="8" w:color="20988C"/>
            </w:tcBorders>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tcPr>
          <w:p>
            <w:pPr>
              <w:spacing w:after="0"/>
              <w:rPr>
                <w:sz w:val="4"/>
                <w:szCs w:val="4"/>
                <w:color w:val="auto"/>
              </w:rPr>
            </w:pPr>
          </w:p>
        </w:tc>
        <w:tc>
          <w:tcPr>
            <w:tcW w:w="9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60" w:type="dxa"/>
            <w:vAlign w:val="bottom"/>
            <w:gridSpan w:val="3"/>
            <w:vMerge w:val="restart"/>
          </w:tcPr>
          <w:p>
            <w:pPr>
              <w:ind w:left="60"/>
              <w:spacing w:after="0" w:line="258" w:lineRule="exact"/>
              <w:rPr>
                <w:sz w:val="20"/>
                <w:szCs w:val="20"/>
                <w:color w:val="auto"/>
              </w:rPr>
            </w:pPr>
            <w:r>
              <w:rPr>
                <w:rFonts w:ascii="Arial" w:cs="Arial" w:eastAsia="Arial" w:hAnsi="Arial"/>
                <w:sz w:val="29"/>
                <w:szCs w:val="29"/>
                <w:color w:val="auto"/>
              </w:rPr>
              <w:t>•</w:t>
            </w:r>
          </w:p>
        </w:tc>
        <w:tc>
          <w:tcPr>
            <w:tcW w:w="240" w:type="dxa"/>
            <w:vAlign w:val="bottom"/>
            <w:vMerge w:val="restart"/>
          </w:tcPr>
          <w:p>
            <w:pPr>
              <w:spacing w:after="0"/>
              <w:rPr>
                <w:sz w:val="4"/>
                <w:szCs w:val="4"/>
                <w:color w:val="auto"/>
              </w:rPr>
            </w:pPr>
          </w:p>
        </w:tc>
        <w:tc>
          <w:tcPr>
            <w:tcW w:w="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2023</w:t>
            </w: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4,415</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gridSpan w:val="3"/>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69</w:t>
            </w:r>
          </w:p>
        </w:tc>
        <w:tc>
          <w:tcPr>
            <w:tcW w:w="0" w:type="dxa"/>
            <w:vAlign w:val="bottom"/>
          </w:tcPr>
          <w:p>
            <w:pPr>
              <w:spacing w:after="0"/>
              <w:rPr>
                <w:sz w:val="1"/>
                <w:szCs w:val="1"/>
                <w:color w:val="auto"/>
              </w:rPr>
            </w:pPr>
          </w:p>
        </w:tc>
      </w:tr>
      <w:tr>
        <w:trPr>
          <w:trHeight w:val="32"/>
        </w:trPr>
        <w:tc>
          <w:tcPr>
            <w:tcW w:w="44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920" w:type="dxa"/>
            <w:vAlign w:val="bottom"/>
            <w:vMerge w:val="continue"/>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vMerge w:val="restart"/>
          </w:tcPr>
          <w:p>
            <w:pPr>
              <w:spacing w:after="0"/>
              <w:rPr>
                <w:sz w:val="11"/>
                <w:szCs w:val="11"/>
                <w:color w:val="auto"/>
              </w:rPr>
            </w:pPr>
          </w:p>
        </w:tc>
        <w:tc>
          <w:tcPr>
            <w:tcW w:w="420" w:type="dxa"/>
            <w:vAlign w:val="bottom"/>
            <w:shd w:val="clear" w:color="auto" w:fill="2898B4"/>
          </w:tcPr>
          <w:p>
            <w:pPr>
              <w:spacing w:after="0"/>
              <w:rPr>
                <w:sz w:val="11"/>
                <w:szCs w:val="11"/>
                <w:color w:val="auto"/>
              </w:rPr>
            </w:pPr>
          </w:p>
        </w:tc>
        <w:tc>
          <w:tcPr>
            <w:tcW w:w="1000" w:type="dxa"/>
            <w:vAlign w:val="bottom"/>
            <w:tcBorders>
              <w:left w:val="single" w:sz="8" w:color="2898B4"/>
            </w:tcBorders>
            <w:shd w:val="clear" w:color="auto" w:fill="2898B4"/>
          </w:tcPr>
          <w:p>
            <w:pPr>
              <w:spacing w:after="0"/>
              <w:rPr>
                <w:sz w:val="11"/>
                <w:szCs w:val="11"/>
                <w:color w:val="auto"/>
              </w:rPr>
            </w:pPr>
          </w:p>
        </w:tc>
        <w:tc>
          <w:tcPr>
            <w:tcW w:w="620" w:type="dxa"/>
            <w:vAlign w:val="bottom"/>
            <w:shd w:val="clear" w:color="auto" w:fill="2898B4"/>
          </w:tcPr>
          <w:p>
            <w:pPr>
              <w:spacing w:after="0"/>
              <w:rPr>
                <w:sz w:val="11"/>
                <w:szCs w:val="11"/>
                <w:color w:val="auto"/>
              </w:rPr>
            </w:pPr>
          </w:p>
        </w:tc>
        <w:tc>
          <w:tcPr>
            <w:tcW w:w="360" w:type="dxa"/>
            <w:vAlign w:val="bottom"/>
            <w:shd w:val="clear" w:color="auto" w:fill="2898B4"/>
          </w:tcPr>
          <w:p>
            <w:pPr>
              <w:spacing w:after="0"/>
              <w:rPr>
                <w:sz w:val="11"/>
                <w:szCs w:val="11"/>
                <w:color w:val="auto"/>
              </w:rPr>
            </w:pPr>
          </w:p>
        </w:tc>
        <w:tc>
          <w:tcPr>
            <w:tcW w:w="200" w:type="dxa"/>
            <w:vAlign w:val="bottom"/>
            <w:shd w:val="clear" w:color="auto" w:fill="2898B4"/>
          </w:tcPr>
          <w:p>
            <w:pPr>
              <w:spacing w:after="0"/>
              <w:rPr>
                <w:sz w:val="11"/>
                <w:szCs w:val="11"/>
                <w:color w:val="auto"/>
              </w:rPr>
            </w:pPr>
          </w:p>
        </w:tc>
        <w:tc>
          <w:tcPr>
            <w:tcW w:w="560" w:type="dxa"/>
            <w:vAlign w:val="bottom"/>
            <w:shd w:val="clear" w:color="auto" w:fill="2898B4"/>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3,924</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2022</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84</w:t>
            </w:r>
          </w:p>
        </w:tc>
        <w:tc>
          <w:tcPr>
            <w:tcW w:w="0" w:type="dxa"/>
            <w:vAlign w:val="bottom"/>
          </w:tcPr>
          <w:p>
            <w:pPr>
              <w:spacing w:after="0"/>
              <w:rPr>
                <w:sz w:val="1"/>
                <w:szCs w:val="1"/>
                <w:color w:val="auto"/>
              </w:rPr>
            </w:pPr>
          </w:p>
        </w:tc>
      </w:tr>
      <w:tr>
        <w:trPr>
          <w:trHeight w:val="166"/>
        </w:trPr>
        <w:tc>
          <w:tcPr>
            <w:tcW w:w="20" w:type="dxa"/>
            <w:vAlign w:val="bottom"/>
            <w:vMerge w:val="continue"/>
          </w:tcPr>
          <w:p>
            <w:pPr>
              <w:spacing w:after="0"/>
              <w:rPr>
                <w:sz w:val="14"/>
                <w:szCs w:val="14"/>
                <w:color w:val="auto"/>
              </w:rPr>
            </w:pPr>
          </w:p>
        </w:tc>
        <w:tc>
          <w:tcPr>
            <w:tcW w:w="420" w:type="dxa"/>
            <w:vAlign w:val="bottom"/>
          </w:tcPr>
          <w:p>
            <w:pPr>
              <w:jc w:val="right"/>
              <w:ind w:right="24"/>
              <w:spacing w:after="0" w:line="167" w:lineRule="exact"/>
              <w:rPr>
                <w:sz w:val="20"/>
                <w:szCs w:val="20"/>
                <w:color w:val="auto"/>
              </w:rPr>
            </w:pPr>
            <w:r>
              <w:rPr>
                <w:rFonts w:ascii="Times New Roman" w:cs="Times New Roman" w:eastAsia="Times New Roman" w:hAnsi="Times New Roman"/>
                <w:sz w:val="15"/>
                <w:szCs w:val="15"/>
                <w:color w:val="auto"/>
                <w:w w:val="99"/>
              </w:rPr>
              <w:t>2022</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2021</w:t>
            </w:r>
          </w:p>
        </w:tc>
        <w:tc>
          <w:tcPr>
            <w:tcW w:w="1000" w:type="dxa"/>
            <w:vAlign w:val="bottom"/>
            <w:tcBorders>
              <w:bottom w:val="single" w:sz="8" w:color="2494B4"/>
            </w:tcBorders>
          </w:tcPr>
          <w:p>
            <w:pPr>
              <w:spacing w:after="0"/>
              <w:rPr>
                <w:sz w:val="4"/>
                <w:szCs w:val="4"/>
                <w:color w:val="auto"/>
              </w:rPr>
            </w:pPr>
          </w:p>
        </w:tc>
        <w:tc>
          <w:tcPr>
            <w:tcW w:w="620" w:type="dxa"/>
            <w:vAlign w:val="bottom"/>
            <w:tcBorders>
              <w:bottom w:val="single" w:sz="8" w:color="2494B4"/>
            </w:tcBorders>
          </w:tcPr>
          <w:p>
            <w:pPr>
              <w:spacing w:after="0"/>
              <w:rPr>
                <w:sz w:val="4"/>
                <w:szCs w:val="4"/>
                <w:color w:val="auto"/>
              </w:rPr>
            </w:pPr>
          </w:p>
        </w:tc>
        <w:tc>
          <w:tcPr>
            <w:tcW w:w="360" w:type="dxa"/>
            <w:vAlign w:val="bottom"/>
            <w:tcBorders>
              <w:bottom w:val="single" w:sz="8" w:color="2494B4"/>
            </w:tcBorders>
          </w:tcPr>
          <w:p>
            <w:pPr>
              <w:spacing w:after="0"/>
              <w:rPr>
                <w:sz w:val="4"/>
                <w:szCs w:val="4"/>
                <w:color w:val="auto"/>
              </w:rPr>
            </w:pPr>
          </w:p>
        </w:tc>
        <w:tc>
          <w:tcPr>
            <w:tcW w:w="200" w:type="dxa"/>
            <w:vAlign w:val="bottom"/>
            <w:tcBorders>
              <w:bottom w:val="single" w:sz="8" w:color="2494B4"/>
            </w:tcBorders>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3,186</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2021</w:t>
            </w: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3"/>
        </w:trPr>
        <w:tc>
          <w:tcPr>
            <w:tcW w:w="440" w:type="dxa"/>
            <w:vAlign w:val="bottom"/>
            <w:gridSpan w:val="2"/>
            <w:vMerge w:val="continue"/>
          </w:tcPr>
          <w:p>
            <w:pPr>
              <w:spacing w:after="0"/>
              <w:rPr>
                <w:sz w:val="11"/>
                <w:szCs w:val="11"/>
                <w:color w:val="auto"/>
              </w:rPr>
            </w:pPr>
          </w:p>
        </w:tc>
        <w:tc>
          <w:tcPr>
            <w:tcW w:w="1000" w:type="dxa"/>
            <w:vAlign w:val="bottom"/>
            <w:tcBorders>
              <w:bottom w:val="single" w:sz="8" w:color="2494B4"/>
            </w:tcBorders>
          </w:tcPr>
          <w:p>
            <w:pPr>
              <w:spacing w:after="0"/>
              <w:rPr>
                <w:sz w:val="11"/>
                <w:szCs w:val="11"/>
                <w:color w:val="auto"/>
              </w:rPr>
            </w:pPr>
          </w:p>
        </w:tc>
        <w:tc>
          <w:tcPr>
            <w:tcW w:w="620" w:type="dxa"/>
            <w:vAlign w:val="bottom"/>
            <w:tcBorders>
              <w:bottom w:val="single" w:sz="8" w:color="2494B4"/>
            </w:tcBorders>
          </w:tcPr>
          <w:p>
            <w:pPr>
              <w:spacing w:after="0"/>
              <w:rPr>
                <w:sz w:val="11"/>
                <w:szCs w:val="11"/>
                <w:color w:val="auto"/>
              </w:rPr>
            </w:pPr>
          </w:p>
        </w:tc>
        <w:tc>
          <w:tcPr>
            <w:tcW w:w="360" w:type="dxa"/>
            <w:vAlign w:val="bottom"/>
            <w:tcBorders>
              <w:bottom w:val="single" w:sz="8" w:color="2494B4"/>
            </w:tcBorders>
          </w:tcPr>
          <w:p>
            <w:pPr>
              <w:spacing w:after="0"/>
              <w:rPr>
                <w:sz w:val="11"/>
                <w:szCs w:val="11"/>
                <w:color w:val="auto"/>
              </w:rPr>
            </w:pPr>
          </w:p>
        </w:tc>
        <w:tc>
          <w:tcPr>
            <w:tcW w:w="200" w:type="dxa"/>
            <w:vAlign w:val="bottom"/>
            <w:tcBorders>
              <w:bottom w:val="single" w:sz="8" w:color="2494B4"/>
            </w:tcBorders>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46"/>
        </w:trPr>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2020</w:t>
            </w:r>
          </w:p>
        </w:tc>
        <w:tc>
          <w:tcPr>
            <w:tcW w:w="1000" w:type="dxa"/>
            <w:vAlign w:val="bottom"/>
            <w:tcBorders>
              <w:bottom w:val="single" w:sz="8" w:color="3098B8"/>
            </w:tcBorders>
          </w:tcPr>
          <w:p>
            <w:pPr>
              <w:spacing w:after="0"/>
              <w:rPr>
                <w:sz w:val="21"/>
                <w:szCs w:val="21"/>
                <w:color w:val="auto"/>
              </w:rPr>
            </w:pPr>
          </w:p>
        </w:tc>
        <w:tc>
          <w:tcPr>
            <w:tcW w:w="620" w:type="dxa"/>
            <w:vAlign w:val="bottom"/>
            <w:tcBorders>
              <w:bottom w:val="single" w:sz="8" w:color="3098B8"/>
            </w:tcBorders>
          </w:tcPr>
          <w:p>
            <w:pPr>
              <w:spacing w:after="0"/>
              <w:rPr>
                <w:sz w:val="21"/>
                <w:szCs w:val="21"/>
                <w:color w:val="auto"/>
              </w:rPr>
            </w:pPr>
          </w:p>
        </w:tc>
        <w:tc>
          <w:tcPr>
            <w:tcW w:w="360" w:type="dxa"/>
            <w:vAlign w:val="bottom"/>
            <w:tcBorders>
              <w:bottom w:val="single" w:sz="8" w:color="3098B8"/>
            </w:tcBorders>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rPr>
              <w:t>2,889</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2020</w:t>
            </w:r>
          </w:p>
        </w:tc>
        <w:tc>
          <w:tcPr>
            <w:tcW w:w="4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100</w:t>
            </w:r>
          </w:p>
        </w:tc>
        <w:tc>
          <w:tcPr>
            <w:tcW w:w="0" w:type="dxa"/>
            <w:vAlign w:val="bottom"/>
          </w:tcPr>
          <w:p>
            <w:pPr>
              <w:spacing w:after="0"/>
              <w:rPr>
                <w:sz w:val="1"/>
                <w:szCs w:val="1"/>
                <w:color w:val="auto"/>
              </w:rPr>
            </w:pPr>
          </w:p>
        </w:tc>
      </w:tr>
      <w:tr>
        <w:trPr>
          <w:trHeight w:val="692"/>
        </w:trPr>
        <w:tc>
          <w:tcPr>
            <w:tcW w:w="20" w:type="dxa"/>
            <w:vAlign w:val="bottom"/>
          </w:tcPr>
          <w:p>
            <w:pPr>
              <w:spacing w:after="0"/>
              <w:rPr>
                <w:sz w:val="24"/>
                <w:szCs w:val="24"/>
                <w:color w:val="auto"/>
              </w:rPr>
            </w:pPr>
          </w:p>
        </w:tc>
        <w:tc>
          <w:tcPr>
            <w:tcW w:w="3680" w:type="dxa"/>
            <w:vAlign w:val="bottom"/>
            <w:gridSpan w:val="7"/>
          </w:tcPr>
          <w:p>
            <w:pPr>
              <w:spacing w:after="0"/>
              <w:rPr>
                <w:sz w:val="20"/>
                <w:szCs w:val="20"/>
                <w:color w:val="auto"/>
              </w:rPr>
            </w:pPr>
            <w:r>
              <w:rPr>
                <w:rFonts w:ascii="Arial" w:cs="Arial" w:eastAsia="Arial" w:hAnsi="Arial"/>
                <w:sz w:val="15"/>
                <w:szCs w:val="15"/>
                <w:color w:val="auto"/>
                <w:w w:val="97"/>
              </w:rPr>
              <w:t>ADJUSTED OPERATING CASH FLOW&lt;i&gt; ($in millions)</w:t>
            </w:r>
          </w:p>
        </w:tc>
        <w:tc>
          <w:tcPr>
            <w:tcW w:w="980" w:type="dxa"/>
            <w:vAlign w:val="bottom"/>
          </w:tcPr>
          <w:p>
            <w:pPr>
              <w:spacing w:after="0"/>
              <w:rPr>
                <w:sz w:val="24"/>
                <w:szCs w:val="24"/>
                <w:color w:val="auto"/>
              </w:rPr>
            </w:pPr>
          </w:p>
        </w:tc>
        <w:tc>
          <w:tcPr>
            <w:tcW w:w="4700" w:type="dxa"/>
            <w:vAlign w:val="bottom"/>
            <w:gridSpan w:val="9"/>
          </w:tcPr>
          <w:p>
            <w:pPr>
              <w:ind w:left="480"/>
              <w:spacing w:after="0"/>
              <w:rPr>
                <w:sz w:val="20"/>
                <w:szCs w:val="20"/>
                <w:color w:val="auto"/>
              </w:rPr>
            </w:pPr>
            <w:r>
              <w:rPr>
                <w:rFonts w:ascii="Arial" w:cs="Arial" w:eastAsia="Arial" w:hAnsi="Arial"/>
                <w:sz w:val="15"/>
                <w:szCs w:val="15"/>
                <w:color w:val="auto"/>
                <w:w w:val="90"/>
              </w:rPr>
              <w:t>NE'T INCOME ATTRIBUTABLE TO COMMON SHARES($ in millions)</w:t>
            </w:r>
          </w:p>
        </w:tc>
        <w:tc>
          <w:tcPr>
            <w:tcW w:w="0" w:type="dxa"/>
            <w:vAlign w:val="bottom"/>
          </w:tcPr>
          <w:p>
            <w:pPr>
              <w:spacing w:after="0"/>
              <w:rPr>
                <w:sz w:val="1"/>
                <w:szCs w:val="1"/>
                <w:color w:val="auto"/>
              </w:rPr>
            </w:pPr>
          </w:p>
        </w:tc>
      </w:tr>
      <w:tr>
        <w:trPr>
          <w:trHeight w:val="138"/>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vMerge w:val="restart"/>
          </w:tcPr>
          <w:p>
            <w:pPr>
              <w:jc w:val="right"/>
              <w:ind w:right="385"/>
              <w:spacing w:after="0"/>
              <w:rPr>
                <w:sz w:val="20"/>
                <w:szCs w:val="20"/>
                <w:color w:val="auto"/>
              </w:rPr>
            </w:pPr>
            <w:r>
              <w:rPr>
                <w:rFonts w:ascii="Times New Roman" w:cs="Times New Roman" w:eastAsia="Times New Roman" w:hAnsi="Times New Roman"/>
                <w:sz w:val="15"/>
                <w:szCs w:val="15"/>
                <w:color w:val="auto"/>
              </w:rPr>
              <w:t>447</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2024</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176"/>
        </w:trPr>
        <w:tc>
          <w:tcPr>
            <w:tcW w:w="440" w:type="dxa"/>
            <w:vAlign w:val="bottom"/>
            <w:gridSpan w:val="2"/>
            <w:vMerge w:val="continue"/>
          </w:tcPr>
          <w:p>
            <w:pPr>
              <w:spacing w:after="0"/>
              <w:rPr>
                <w:sz w:val="15"/>
                <w:szCs w:val="15"/>
                <w:color w:val="auto"/>
              </w:rPr>
            </w:pPr>
          </w:p>
        </w:tc>
        <w:tc>
          <w:tcPr>
            <w:tcW w:w="1000" w:type="dxa"/>
            <w:vAlign w:val="bottom"/>
            <w:tcBorders>
              <w:left w:val="single" w:sz="8" w:color="2094A8"/>
              <w:bottom w:val="single" w:sz="8" w:color="2094A8"/>
            </w:tcBorders>
            <w:shd w:val="clear" w:color="auto" w:fill="2094A8"/>
          </w:tcPr>
          <w:p>
            <w:pPr>
              <w:spacing w:after="0"/>
              <w:rPr>
                <w:sz w:val="15"/>
                <w:szCs w:val="15"/>
                <w:color w:val="auto"/>
              </w:rPr>
            </w:pPr>
          </w:p>
        </w:tc>
        <w:tc>
          <w:tcPr>
            <w:tcW w:w="620" w:type="dxa"/>
            <w:vAlign w:val="bottom"/>
            <w:tcBorders>
              <w:bottom w:val="single" w:sz="8" w:color="2094A8"/>
            </w:tcBorders>
            <w:shd w:val="clear" w:color="auto" w:fill="2094A8"/>
          </w:tcPr>
          <w:p>
            <w:pPr>
              <w:spacing w:after="0"/>
              <w:rPr>
                <w:sz w:val="15"/>
                <w:szCs w:val="15"/>
                <w:color w:val="auto"/>
              </w:rPr>
            </w:pPr>
          </w:p>
        </w:tc>
        <w:tc>
          <w:tcPr>
            <w:tcW w:w="360" w:type="dxa"/>
            <w:vAlign w:val="bottom"/>
            <w:tcBorders>
              <w:bottom w:val="single" w:sz="8" w:color="2094A8"/>
            </w:tcBorders>
            <w:shd w:val="clear" w:color="auto" w:fill="2094A8"/>
          </w:tcPr>
          <w:p>
            <w:pPr>
              <w:spacing w:after="0"/>
              <w:rPr>
                <w:sz w:val="15"/>
                <w:szCs w:val="15"/>
                <w:color w:val="auto"/>
              </w:rPr>
            </w:pPr>
          </w:p>
        </w:tc>
        <w:tc>
          <w:tcPr>
            <w:tcW w:w="200" w:type="dxa"/>
            <w:vAlign w:val="bottom"/>
            <w:tcBorders>
              <w:bottom w:val="single" w:sz="8" w:color="2094A8"/>
            </w:tcBorders>
            <w:shd w:val="clear" w:color="auto" w:fill="2094A8"/>
          </w:tcPr>
          <w:p>
            <w:pPr>
              <w:spacing w:after="0"/>
              <w:rPr>
                <w:sz w:val="15"/>
                <w:szCs w:val="15"/>
                <w:color w:val="auto"/>
              </w:rPr>
            </w:pPr>
          </w:p>
        </w:tc>
        <w:tc>
          <w:tcPr>
            <w:tcW w:w="560" w:type="dxa"/>
            <w:vAlign w:val="bottom"/>
            <w:tcBorders>
              <w:bottom w:val="single" w:sz="8" w:color="2094A8"/>
            </w:tcBorders>
            <w:shd w:val="clear" w:color="auto" w:fill="2094A8"/>
          </w:tcPr>
          <w:p>
            <w:pPr>
              <w:spacing w:after="0"/>
              <w:rPr>
                <w:sz w:val="15"/>
                <w:szCs w:val="15"/>
                <w:color w:val="auto"/>
              </w:rPr>
            </w:pPr>
          </w:p>
        </w:tc>
        <w:tc>
          <w:tcPr>
            <w:tcW w:w="520" w:type="dxa"/>
            <w:vAlign w:val="bottom"/>
            <w:tcBorders>
              <w:left w:val="single" w:sz="8" w:color="2094A8"/>
              <w:bottom w:val="single" w:sz="8" w:color="2094A8"/>
            </w:tcBorders>
            <w:shd w:val="clear" w:color="auto" w:fill="2094A8"/>
          </w:tcPr>
          <w:p>
            <w:pPr>
              <w:spacing w:after="0"/>
              <w:rPr>
                <w:sz w:val="15"/>
                <w:szCs w:val="15"/>
                <w:color w:val="auto"/>
              </w:rPr>
            </w:pPr>
          </w:p>
        </w:tc>
        <w:tc>
          <w:tcPr>
            <w:tcW w:w="98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420" w:type="dxa"/>
            <w:vAlign w:val="bottom"/>
            <w:tcBorders>
              <w:left w:val="single" w:sz="8" w:color="28889C"/>
            </w:tcBorders>
            <w:shd w:val="clear" w:color="auto" w:fill="28889C"/>
          </w:tcPr>
          <w:p>
            <w:pPr>
              <w:spacing w:after="0"/>
              <w:rPr>
                <w:sz w:val="15"/>
                <w:szCs w:val="15"/>
                <w:color w:val="auto"/>
              </w:rPr>
            </w:pPr>
          </w:p>
        </w:tc>
        <w:tc>
          <w:tcPr>
            <w:tcW w:w="480" w:type="dxa"/>
            <w:vAlign w:val="bottom"/>
            <w:shd w:val="clear" w:color="auto" w:fill="28889C"/>
          </w:tcPr>
          <w:p>
            <w:pPr>
              <w:spacing w:after="0"/>
              <w:rPr>
                <w:sz w:val="15"/>
                <w:szCs w:val="15"/>
                <w:color w:val="auto"/>
              </w:rPr>
            </w:pPr>
          </w:p>
        </w:tc>
        <w:tc>
          <w:tcPr>
            <w:tcW w:w="40" w:type="dxa"/>
            <w:vAlign w:val="bottom"/>
            <w:shd w:val="clear" w:color="auto" w:fill="28889C"/>
          </w:tcPr>
          <w:p>
            <w:pPr>
              <w:spacing w:after="0"/>
              <w:rPr>
                <w:sz w:val="15"/>
                <w:szCs w:val="15"/>
                <w:color w:val="auto"/>
              </w:rPr>
            </w:pPr>
          </w:p>
        </w:tc>
        <w:tc>
          <w:tcPr>
            <w:tcW w:w="480" w:type="dxa"/>
            <w:vAlign w:val="bottom"/>
            <w:shd w:val="clear" w:color="auto" w:fill="28889C"/>
          </w:tcPr>
          <w:p>
            <w:pPr>
              <w:spacing w:after="0"/>
              <w:rPr>
                <w:sz w:val="15"/>
                <w:szCs w:val="15"/>
                <w:color w:val="auto"/>
              </w:rPr>
            </w:pPr>
          </w:p>
        </w:tc>
        <w:tc>
          <w:tcPr>
            <w:tcW w:w="180" w:type="dxa"/>
            <w:vAlign w:val="bottom"/>
            <w:shd w:val="clear" w:color="auto" w:fill="28889C"/>
          </w:tcPr>
          <w:p>
            <w:pPr>
              <w:spacing w:after="0"/>
              <w:rPr>
                <w:sz w:val="15"/>
                <w:szCs w:val="15"/>
                <w:color w:val="auto"/>
              </w:rPr>
            </w:pPr>
          </w:p>
        </w:tc>
        <w:tc>
          <w:tcPr>
            <w:tcW w:w="1400" w:type="dxa"/>
            <w:vAlign w:val="bottom"/>
            <w:shd w:val="clear" w:color="auto" w:fill="28889C"/>
          </w:tcPr>
          <w:p>
            <w:pPr>
              <w:spacing w:after="0"/>
              <w:rPr>
                <w:sz w:val="15"/>
                <w:szCs w:val="15"/>
                <w:color w:val="auto"/>
              </w:rPr>
            </w:pPr>
          </w:p>
        </w:tc>
        <w:tc>
          <w:tcPr>
            <w:tcW w:w="240" w:type="dxa"/>
            <w:vAlign w:val="bottom"/>
            <w:shd w:val="clear" w:color="auto" w:fill="28889C"/>
          </w:tcPr>
          <w:p>
            <w:pPr>
              <w:spacing w:after="0"/>
              <w:rPr>
                <w:sz w:val="15"/>
                <w:szCs w:val="15"/>
                <w:color w:val="auto"/>
              </w:rPr>
            </w:pPr>
          </w:p>
        </w:tc>
        <w:tc>
          <w:tcPr>
            <w:tcW w:w="5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2023</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tcPr>
          <w:p>
            <w:pPr>
              <w:jc w:val="right"/>
              <w:ind w:right="385"/>
              <w:spacing w:after="0"/>
              <w:rPr>
                <w:sz w:val="20"/>
                <w:szCs w:val="20"/>
                <w:color w:val="auto"/>
              </w:rPr>
            </w:pPr>
            <w:r>
              <w:rPr>
                <w:rFonts w:ascii="Times New Roman" w:cs="Times New Roman" w:eastAsia="Times New Roman" w:hAnsi="Times New Roman"/>
                <w:sz w:val="15"/>
                <w:szCs w:val="15"/>
                <w:color w:val="auto"/>
              </w:rPr>
              <w:t>338</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2498B4"/>
            </w:tcBorders>
          </w:tcPr>
          <w:p>
            <w:pPr>
              <w:spacing w:after="0"/>
              <w:rPr>
                <w:sz w:val="20"/>
                <w:szCs w:val="20"/>
                <w:color w:val="auto"/>
              </w:rPr>
            </w:pPr>
          </w:p>
        </w:tc>
        <w:tc>
          <w:tcPr>
            <w:tcW w:w="480" w:type="dxa"/>
            <w:vAlign w:val="bottom"/>
            <w:tcBorders>
              <w:bottom w:val="single" w:sz="8" w:color="2498B4"/>
            </w:tcBorders>
          </w:tcPr>
          <w:p>
            <w:pPr>
              <w:spacing w:after="0"/>
              <w:rPr>
                <w:sz w:val="20"/>
                <w:szCs w:val="20"/>
                <w:color w:val="auto"/>
              </w:rPr>
            </w:pPr>
          </w:p>
        </w:tc>
        <w:tc>
          <w:tcPr>
            <w:tcW w:w="40" w:type="dxa"/>
            <w:vAlign w:val="bottom"/>
            <w:tcBorders>
              <w:bottom w:val="single" w:sz="8" w:color="2498B4"/>
            </w:tcBorders>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205</w:t>
            </w:r>
          </w:p>
        </w:tc>
        <w:tc>
          <w:tcPr>
            <w:tcW w:w="0" w:type="dxa"/>
            <w:vAlign w:val="bottom"/>
          </w:tcPr>
          <w:p>
            <w:pPr>
              <w:spacing w:after="0"/>
              <w:rPr>
                <w:sz w:val="1"/>
                <w:szCs w:val="1"/>
                <w:color w:val="auto"/>
              </w:rPr>
            </w:pPr>
          </w:p>
        </w:tc>
      </w:tr>
      <w:tr>
        <w:trPr>
          <w:trHeight w:val="171"/>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2022</w:t>
            </w: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vMerge w:val="restart"/>
          </w:tcPr>
          <w:p>
            <w:pPr>
              <w:jc w:val="right"/>
              <w:ind w:right="385"/>
              <w:spacing w:after="0"/>
              <w:rPr>
                <w:sz w:val="20"/>
                <w:szCs w:val="20"/>
                <w:color w:val="auto"/>
              </w:rPr>
            </w:pPr>
            <w:r>
              <w:rPr>
                <w:rFonts w:ascii="Times New Roman" w:cs="Times New Roman" w:eastAsia="Times New Roman" w:hAnsi="Times New Roman"/>
                <w:sz w:val="15"/>
                <w:szCs w:val="15"/>
                <w:color w:val="auto"/>
              </w:rPr>
              <w:t>378</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2022</w:t>
            </w:r>
          </w:p>
        </w:tc>
        <w:tc>
          <w:tcPr>
            <w:tcW w:w="3240" w:type="dxa"/>
            <w:vAlign w:val="bottom"/>
            <w:gridSpan w:val="7"/>
            <w:vMerge w:val="restart"/>
          </w:tcPr>
          <w:p>
            <w:pPr>
              <w:ind w:left="20"/>
              <w:spacing w:after="0"/>
              <w:rPr>
                <w:sz w:val="20"/>
                <w:szCs w:val="20"/>
                <w:color w:val="auto"/>
              </w:rPr>
            </w:pPr>
            <w:r>
              <w:rPr>
                <w:rFonts w:ascii="Arial" w:cs="Arial" w:eastAsia="Arial" w:hAnsi="Arial"/>
                <w:sz w:val="23"/>
                <w:szCs w:val="23"/>
                <w:color w:val="auto"/>
              </w:rPr>
              <w:t>D</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128"/>
        </w:trPr>
        <w:tc>
          <w:tcPr>
            <w:tcW w:w="440" w:type="dxa"/>
            <w:vAlign w:val="bottom"/>
            <w:gridSpan w:val="2"/>
            <w:vMerge w:val="continue"/>
          </w:tcPr>
          <w:p>
            <w:pPr>
              <w:spacing w:after="0"/>
              <w:rPr>
                <w:sz w:val="11"/>
                <w:szCs w:val="11"/>
                <w:color w:val="auto"/>
              </w:rPr>
            </w:pPr>
          </w:p>
        </w:tc>
        <w:tc>
          <w:tcPr>
            <w:tcW w:w="1000" w:type="dxa"/>
            <w:vAlign w:val="bottom"/>
            <w:tcBorders>
              <w:left w:val="single" w:sz="8" w:color="50ACC4"/>
            </w:tcBorders>
            <w:shd w:val="clear" w:color="auto" w:fill="50ACC4"/>
          </w:tcPr>
          <w:p>
            <w:pPr>
              <w:spacing w:after="0"/>
              <w:rPr>
                <w:sz w:val="11"/>
                <w:szCs w:val="11"/>
                <w:color w:val="auto"/>
              </w:rPr>
            </w:pPr>
          </w:p>
        </w:tc>
        <w:tc>
          <w:tcPr>
            <w:tcW w:w="620" w:type="dxa"/>
            <w:vAlign w:val="bottom"/>
            <w:shd w:val="clear" w:color="auto" w:fill="50ACC4"/>
          </w:tcPr>
          <w:p>
            <w:pPr>
              <w:spacing w:after="0"/>
              <w:rPr>
                <w:sz w:val="11"/>
                <w:szCs w:val="11"/>
                <w:color w:val="auto"/>
              </w:rPr>
            </w:pPr>
          </w:p>
        </w:tc>
        <w:tc>
          <w:tcPr>
            <w:tcW w:w="360" w:type="dxa"/>
            <w:vAlign w:val="bottom"/>
            <w:shd w:val="clear" w:color="auto" w:fill="50ACC4"/>
          </w:tcPr>
          <w:p>
            <w:pPr>
              <w:spacing w:after="0"/>
              <w:rPr>
                <w:sz w:val="11"/>
                <w:szCs w:val="11"/>
                <w:color w:val="auto"/>
              </w:rPr>
            </w:pPr>
          </w:p>
        </w:tc>
        <w:tc>
          <w:tcPr>
            <w:tcW w:w="200" w:type="dxa"/>
            <w:vAlign w:val="bottom"/>
            <w:shd w:val="clear" w:color="auto" w:fill="50ACC4"/>
          </w:tcPr>
          <w:p>
            <w:pPr>
              <w:spacing w:after="0"/>
              <w:rPr>
                <w:sz w:val="11"/>
                <w:szCs w:val="11"/>
                <w:color w:val="auto"/>
              </w:rPr>
            </w:pPr>
          </w:p>
        </w:tc>
        <w:tc>
          <w:tcPr>
            <w:tcW w:w="560" w:type="dxa"/>
            <w:vAlign w:val="bottom"/>
            <w:shd w:val="clear" w:color="auto" w:fill="50ACC4"/>
          </w:tcPr>
          <w:p>
            <w:pPr>
              <w:spacing w:after="0"/>
              <w:rPr>
                <w:sz w:val="11"/>
                <w:szCs w:val="11"/>
                <w:color w:val="auto"/>
              </w:rPr>
            </w:pPr>
          </w:p>
        </w:tc>
        <w:tc>
          <w:tcPr>
            <w:tcW w:w="520" w:type="dxa"/>
            <w:vAlign w:val="bottom"/>
            <w:tcBorders>
              <w:left w:val="single" w:sz="8" w:color="50ACC4"/>
            </w:tcBorders>
          </w:tcPr>
          <w:p>
            <w:pPr>
              <w:spacing w:after="0"/>
              <w:rPr>
                <w:sz w:val="11"/>
                <w:szCs w:val="11"/>
                <w:color w:val="auto"/>
              </w:rPr>
            </w:pPr>
          </w:p>
        </w:tc>
        <w:tc>
          <w:tcPr>
            <w:tcW w:w="9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3240" w:type="dxa"/>
            <w:vAlign w:val="bottom"/>
            <w:gridSpan w:val="7"/>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2021</w:t>
            </w:r>
          </w:p>
        </w:tc>
        <w:tc>
          <w:tcPr>
            <w:tcW w:w="1000" w:type="dxa"/>
            <w:vAlign w:val="bottom"/>
            <w:tcBorders>
              <w:left w:val="single" w:sz="8" w:color="50ACC4"/>
            </w:tcBorders>
            <w:shd w:val="clear" w:color="auto" w:fill="50ACC4"/>
          </w:tcPr>
          <w:p>
            <w:pPr>
              <w:spacing w:after="0"/>
              <w:rPr>
                <w:sz w:val="9"/>
                <w:szCs w:val="9"/>
                <w:color w:val="auto"/>
              </w:rPr>
            </w:pPr>
          </w:p>
        </w:tc>
        <w:tc>
          <w:tcPr>
            <w:tcW w:w="620" w:type="dxa"/>
            <w:vAlign w:val="bottom"/>
            <w:shd w:val="clear" w:color="auto" w:fill="50ACC4"/>
          </w:tcPr>
          <w:p>
            <w:pPr>
              <w:spacing w:after="0"/>
              <w:rPr>
                <w:sz w:val="9"/>
                <w:szCs w:val="9"/>
                <w:color w:val="auto"/>
              </w:rPr>
            </w:pPr>
          </w:p>
        </w:tc>
        <w:tc>
          <w:tcPr>
            <w:tcW w:w="360" w:type="dxa"/>
            <w:vAlign w:val="bottom"/>
            <w:shd w:val="clear" w:color="auto" w:fill="50ACC4"/>
          </w:tcPr>
          <w:p>
            <w:pPr>
              <w:spacing w:after="0"/>
              <w:rPr>
                <w:sz w:val="9"/>
                <w:szCs w:val="9"/>
                <w:color w:val="auto"/>
              </w:rPr>
            </w:pPr>
          </w:p>
        </w:tc>
        <w:tc>
          <w:tcPr>
            <w:tcW w:w="200" w:type="dxa"/>
            <w:vAlign w:val="bottom"/>
            <w:shd w:val="clear" w:color="auto" w:fill="50ACC4"/>
          </w:tcPr>
          <w:p>
            <w:pPr>
              <w:spacing w:after="0"/>
              <w:rPr>
                <w:sz w:val="9"/>
                <w:szCs w:val="9"/>
                <w:color w:val="auto"/>
              </w:rPr>
            </w:pPr>
          </w:p>
        </w:tc>
        <w:tc>
          <w:tcPr>
            <w:tcW w:w="560" w:type="dxa"/>
            <w:vAlign w:val="bottom"/>
            <w:shd w:val="clear" w:color="auto" w:fill="50ACC4"/>
          </w:tcPr>
          <w:p>
            <w:pPr>
              <w:spacing w:after="0"/>
              <w:rPr>
                <w:sz w:val="9"/>
                <w:szCs w:val="9"/>
                <w:color w:val="auto"/>
              </w:rPr>
            </w:pPr>
          </w:p>
        </w:tc>
        <w:tc>
          <w:tcPr>
            <w:tcW w:w="520" w:type="dxa"/>
            <w:vAlign w:val="bottom"/>
            <w:tcBorders>
              <w:left w:val="single" w:sz="8" w:color="50ACC4"/>
            </w:tcBorders>
          </w:tcPr>
          <w:p>
            <w:pPr>
              <w:spacing w:after="0"/>
              <w:rPr>
                <w:sz w:val="9"/>
                <w:szCs w:val="9"/>
                <w:color w:val="auto"/>
              </w:rPr>
            </w:pPr>
          </w:p>
        </w:tc>
        <w:tc>
          <w:tcPr>
            <w:tcW w:w="980" w:type="dxa"/>
            <w:vAlign w:val="bottom"/>
            <w:vMerge w:val="restart"/>
          </w:tcPr>
          <w:p>
            <w:pPr>
              <w:jc w:val="right"/>
              <w:ind w:right="385"/>
              <w:spacing w:after="0"/>
              <w:rPr>
                <w:sz w:val="20"/>
                <w:szCs w:val="20"/>
                <w:color w:val="auto"/>
              </w:rPr>
            </w:pPr>
            <w:r>
              <w:rPr>
                <w:rFonts w:ascii="Times New Roman" w:cs="Times New Roman" w:eastAsia="Times New Roman" w:hAnsi="Times New Roman"/>
                <w:sz w:val="15"/>
                <w:szCs w:val="15"/>
                <w:color w:val="auto"/>
              </w:rPr>
              <w:t>263</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2021</w:t>
            </w: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352</w:t>
            </w:r>
          </w:p>
        </w:tc>
        <w:tc>
          <w:tcPr>
            <w:tcW w:w="0" w:type="dxa"/>
            <w:vAlign w:val="bottom"/>
          </w:tcPr>
          <w:p>
            <w:pPr>
              <w:spacing w:after="0"/>
              <w:rPr>
                <w:sz w:val="1"/>
                <w:szCs w:val="1"/>
                <w:color w:val="auto"/>
              </w:rPr>
            </w:pPr>
          </w:p>
        </w:tc>
      </w:tr>
      <w:tr>
        <w:trPr>
          <w:trHeight w:val="166"/>
        </w:trPr>
        <w:tc>
          <w:tcPr>
            <w:tcW w:w="440" w:type="dxa"/>
            <w:vAlign w:val="bottom"/>
            <w:gridSpan w:val="2"/>
            <w:vMerge w:val="continue"/>
          </w:tcPr>
          <w:p>
            <w:pPr>
              <w:spacing w:after="0"/>
              <w:rPr>
                <w:sz w:val="14"/>
                <w:szCs w:val="14"/>
                <w:color w:val="auto"/>
              </w:rPr>
            </w:pPr>
          </w:p>
        </w:tc>
        <w:tc>
          <w:tcPr>
            <w:tcW w:w="1000" w:type="dxa"/>
            <w:vAlign w:val="bottom"/>
            <w:tcBorders>
              <w:left w:val="single" w:sz="8" w:color="50ACC4"/>
              <w:bottom w:val="single" w:sz="8" w:color="50ACC4"/>
            </w:tcBorders>
            <w:shd w:val="clear" w:color="auto" w:fill="50ACC4"/>
          </w:tcPr>
          <w:p>
            <w:pPr>
              <w:spacing w:after="0"/>
              <w:rPr>
                <w:sz w:val="14"/>
                <w:szCs w:val="14"/>
                <w:color w:val="auto"/>
              </w:rPr>
            </w:pPr>
          </w:p>
        </w:tc>
        <w:tc>
          <w:tcPr>
            <w:tcW w:w="620" w:type="dxa"/>
            <w:vAlign w:val="bottom"/>
            <w:tcBorders>
              <w:bottom w:val="single" w:sz="8" w:color="50ACC4"/>
            </w:tcBorders>
            <w:shd w:val="clear" w:color="auto" w:fill="50ACC4"/>
          </w:tcPr>
          <w:p>
            <w:pPr>
              <w:spacing w:after="0"/>
              <w:rPr>
                <w:sz w:val="14"/>
                <w:szCs w:val="14"/>
                <w:color w:val="auto"/>
              </w:rPr>
            </w:pPr>
          </w:p>
        </w:tc>
        <w:tc>
          <w:tcPr>
            <w:tcW w:w="360" w:type="dxa"/>
            <w:vAlign w:val="bottom"/>
            <w:tcBorders>
              <w:bottom w:val="single" w:sz="8" w:color="50ACC4"/>
            </w:tcBorders>
            <w:shd w:val="clear" w:color="auto" w:fill="50ACC4"/>
          </w:tcPr>
          <w:p>
            <w:pPr>
              <w:spacing w:after="0"/>
              <w:rPr>
                <w:sz w:val="14"/>
                <w:szCs w:val="14"/>
                <w:color w:val="auto"/>
              </w:rPr>
            </w:pPr>
          </w:p>
        </w:tc>
        <w:tc>
          <w:tcPr>
            <w:tcW w:w="200" w:type="dxa"/>
            <w:vAlign w:val="bottom"/>
            <w:tcBorders>
              <w:bottom w:val="single" w:sz="8" w:color="50ACC4"/>
            </w:tcBorders>
            <w:shd w:val="clear" w:color="auto" w:fill="50ACC4"/>
          </w:tcPr>
          <w:p>
            <w:pPr>
              <w:spacing w:after="0"/>
              <w:rPr>
                <w:sz w:val="14"/>
                <w:szCs w:val="14"/>
                <w:color w:val="auto"/>
              </w:rPr>
            </w:pPr>
          </w:p>
        </w:tc>
        <w:tc>
          <w:tcPr>
            <w:tcW w:w="560" w:type="dxa"/>
            <w:vAlign w:val="bottom"/>
            <w:tcBorders>
              <w:bottom w:val="single" w:sz="8" w:color="50ACC4"/>
            </w:tcBorders>
            <w:shd w:val="clear" w:color="auto" w:fill="50ACC4"/>
          </w:tcPr>
          <w:p>
            <w:pPr>
              <w:spacing w:after="0"/>
              <w:rPr>
                <w:sz w:val="14"/>
                <w:szCs w:val="14"/>
                <w:color w:val="auto"/>
              </w:rPr>
            </w:pPr>
          </w:p>
        </w:tc>
        <w:tc>
          <w:tcPr>
            <w:tcW w:w="520" w:type="dxa"/>
            <w:vAlign w:val="bottom"/>
            <w:tcBorders>
              <w:left w:val="single" w:sz="8" w:color="50ACC4"/>
            </w:tcBorders>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20" w:type="dxa"/>
            <w:vAlign w:val="bottom"/>
            <w:tcBorders>
              <w:left w:val="single" w:sz="8" w:color="48A8C4"/>
              <w:bottom w:val="single" w:sz="8" w:color="48A8C4"/>
            </w:tcBorders>
            <w:shd w:val="clear" w:color="auto" w:fill="48A8C4"/>
          </w:tcPr>
          <w:p>
            <w:pPr>
              <w:spacing w:after="0"/>
              <w:rPr>
                <w:sz w:val="14"/>
                <w:szCs w:val="14"/>
                <w:color w:val="auto"/>
              </w:rPr>
            </w:pPr>
          </w:p>
        </w:tc>
        <w:tc>
          <w:tcPr>
            <w:tcW w:w="480" w:type="dxa"/>
            <w:vAlign w:val="bottom"/>
            <w:tcBorders>
              <w:bottom w:val="single" w:sz="8" w:color="48A8C4"/>
            </w:tcBorders>
            <w:shd w:val="clear" w:color="auto" w:fill="48A8C4"/>
          </w:tcPr>
          <w:p>
            <w:pPr>
              <w:spacing w:after="0"/>
              <w:rPr>
                <w:sz w:val="14"/>
                <w:szCs w:val="14"/>
                <w:color w:val="auto"/>
              </w:rPr>
            </w:pPr>
          </w:p>
        </w:tc>
        <w:tc>
          <w:tcPr>
            <w:tcW w:w="40" w:type="dxa"/>
            <w:vAlign w:val="bottom"/>
            <w:tcBorders>
              <w:bottom w:val="single" w:sz="8" w:color="48A8C4"/>
            </w:tcBorders>
            <w:shd w:val="clear" w:color="auto" w:fill="48A8C4"/>
          </w:tcPr>
          <w:p>
            <w:pPr>
              <w:spacing w:after="0"/>
              <w:rPr>
                <w:sz w:val="14"/>
                <w:szCs w:val="14"/>
                <w:color w:val="auto"/>
              </w:rPr>
            </w:pPr>
          </w:p>
        </w:tc>
        <w:tc>
          <w:tcPr>
            <w:tcW w:w="480" w:type="dxa"/>
            <w:vAlign w:val="bottom"/>
            <w:tcBorders>
              <w:bottom w:val="single" w:sz="8" w:color="48A8C4"/>
            </w:tcBorders>
            <w:shd w:val="clear" w:color="auto" w:fill="48A8C4"/>
          </w:tcPr>
          <w:p>
            <w:pPr>
              <w:spacing w:after="0"/>
              <w:rPr>
                <w:sz w:val="14"/>
                <w:szCs w:val="14"/>
                <w:color w:val="auto"/>
              </w:rPr>
            </w:pPr>
          </w:p>
        </w:tc>
        <w:tc>
          <w:tcPr>
            <w:tcW w:w="180" w:type="dxa"/>
            <w:vAlign w:val="bottom"/>
            <w:tcBorders>
              <w:bottom w:val="single" w:sz="8" w:color="48A8C4"/>
            </w:tcBorders>
            <w:shd w:val="clear" w:color="auto" w:fill="48A8C4"/>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2020</w:t>
            </w: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vMerge w:val="restart"/>
          </w:tcPr>
          <w:p>
            <w:pPr>
              <w:jc w:val="right"/>
              <w:ind w:right="385"/>
              <w:spacing w:after="0"/>
              <w:rPr>
                <w:sz w:val="20"/>
                <w:szCs w:val="20"/>
                <w:color w:val="auto"/>
              </w:rPr>
            </w:pPr>
            <w:r>
              <w:rPr>
                <w:rFonts w:ascii="Times New Roman" w:cs="Times New Roman" w:eastAsia="Times New Roman" w:hAnsi="Times New Roman"/>
                <w:sz w:val="15"/>
                <w:szCs w:val="15"/>
                <w:color w:val="auto"/>
              </w:rPr>
              <w:t>284</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2020</w:t>
            </w:r>
          </w:p>
        </w:tc>
        <w:tc>
          <w:tcPr>
            <w:tcW w:w="420" w:type="dxa"/>
            <w:vAlign w:val="bottom"/>
            <w:tcBorders>
              <w:left w:val="single" w:sz="8" w:color="48A8C4"/>
            </w:tcBorders>
            <w:shd w:val="clear" w:color="auto" w:fill="48A8C4"/>
          </w:tcPr>
          <w:p>
            <w:pPr>
              <w:spacing w:after="0"/>
              <w:rPr>
                <w:sz w:val="9"/>
                <w:szCs w:val="9"/>
                <w:color w:val="auto"/>
              </w:rPr>
            </w:pPr>
          </w:p>
        </w:tc>
        <w:tc>
          <w:tcPr>
            <w:tcW w:w="480" w:type="dxa"/>
            <w:vAlign w:val="bottom"/>
            <w:shd w:val="clear" w:color="auto" w:fill="48A8C4"/>
          </w:tcPr>
          <w:p>
            <w:pPr>
              <w:spacing w:after="0"/>
              <w:rPr>
                <w:sz w:val="9"/>
                <w:szCs w:val="9"/>
                <w:color w:val="auto"/>
              </w:rPr>
            </w:pPr>
          </w:p>
        </w:tc>
        <w:tc>
          <w:tcPr>
            <w:tcW w:w="40" w:type="dxa"/>
            <w:vAlign w:val="bottom"/>
            <w:shd w:val="clear" w:color="auto" w:fill="48A8C4"/>
          </w:tcPr>
          <w:p>
            <w:pPr>
              <w:spacing w:after="0"/>
              <w:rPr>
                <w:sz w:val="9"/>
                <w:szCs w:val="9"/>
                <w:color w:val="auto"/>
              </w:rPr>
            </w:pPr>
          </w:p>
        </w:tc>
        <w:tc>
          <w:tcPr>
            <w:tcW w:w="480" w:type="dxa"/>
            <w:vAlign w:val="bottom"/>
            <w:shd w:val="clear" w:color="auto" w:fill="48A8C4"/>
          </w:tcPr>
          <w:p>
            <w:pPr>
              <w:spacing w:after="0"/>
              <w:rPr>
                <w:sz w:val="9"/>
                <w:szCs w:val="9"/>
                <w:color w:val="auto"/>
              </w:rPr>
            </w:pPr>
          </w:p>
        </w:tc>
        <w:tc>
          <w:tcPr>
            <w:tcW w:w="180" w:type="dxa"/>
            <w:vAlign w:val="bottom"/>
            <w:shd w:val="clear" w:color="auto" w:fill="48A8C4"/>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300</w:t>
            </w:r>
          </w:p>
        </w:tc>
        <w:tc>
          <w:tcPr>
            <w:tcW w:w="0" w:type="dxa"/>
            <w:vAlign w:val="bottom"/>
          </w:tcPr>
          <w:p>
            <w:pPr>
              <w:spacing w:after="0"/>
              <w:rPr>
                <w:sz w:val="1"/>
                <w:szCs w:val="1"/>
                <w:color w:val="auto"/>
              </w:rPr>
            </w:pPr>
          </w:p>
        </w:tc>
      </w:tr>
      <w:tr>
        <w:trPr>
          <w:trHeight w:val="104"/>
        </w:trPr>
        <w:tc>
          <w:tcPr>
            <w:tcW w:w="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89"/>
        </w:trPr>
        <w:tc>
          <w:tcPr>
            <w:tcW w:w="20" w:type="dxa"/>
            <w:vAlign w:val="bottom"/>
          </w:tcPr>
          <w:p>
            <w:pPr>
              <w:spacing w:after="0"/>
              <w:rPr>
                <w:sz w:val="24"/>
                <w:szCs w:val="24"/>
                <w:color w:val="auto"/>
              </w:rPr>
            </w:pPr>
          </w:p>
        </w:tc>
        <w:tc>
          <w:tcPr>
            <w:tcW w:w="4660" w:type="dxa"/>
            <w:vAlign w:val="bottom"/>
            <w:gridSpan w:val="8"/>
          </w:tcPr>
          <w:p>
            <w:pPr>
              <w:spacing w:after="0"/>
              <w:rPr>
                <w:sz w:val="20"/>
                <w:szCs w:val="20"/>
                <w:color w:val="auto"/>
              </w:rPr>
            </w:pPr>
            <w:r>
              <w:rPr>
                <w:rFonts w:ascii="Arial" w:cs="Arial" w:eastAsia="Arial" w:hAnsi="Arial"/>
                <w:sz w:val="15"/>
                <w:szCs w:val="15"/>
                <w:color w:val="auto"/>
              </w:rPr>
              <w:t>RETURN ON AVERAGE COMIMON STOCKHOLDERS'EQUITY</w:t>
            </w:r>
          </w:p>
        </w:tc>
        <w:tc>
          <w:tcPr>
            <w:tcW w:w="4160" w:type="dxa"/>
            <w:vAlign w:val="bottom"/>
            <w:gridSpan w:val="8"/>
          </w:tcPr>
          <w:p>
            <w:pPr>
              <w:ind w:left="480"/>
              <w:spacing w:after="0"/>
              <w:rPr>
                <w:sz w:val="20"/>
                <w:szCs w:val="20"/>
                <w:color w:val="auto"/>
              </w:rPr>
            </w:pPr>
            <w:r>
              <w:rPr>
                <w:rFonts w:ascii="Arial" w:cs="Arial" w:eastAsia="Arial" w:hAnsi="Arial"/>
                <w:sz w:val="15"/>
                <w:szCs w:val="15"/>
                <w:color w:val="auto"/>
              </w:rPr>
              <w:t>DILUTED EARNINGS PER COMMON SHARE ($)</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17.6%</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2024</w:t>
            </w:r>
          </w:p>
        </w:tc>
        <w:tc>
          <w:tcPr>
            <w:tcW w:w="3780" w:type="dxa"/>
            <w:vAlign w:val="bottom"/>
            <w:gridSpan w:val="8"/>
            <w:vMerge w:val="restart"/>
          </w:tcPr>
          <w:p>
            <w:pPr>
              <w:jc w:val="right"/>
              <w:spacing w:after="0"/>
              <w:rPr>
                <w:sz w:val="20"/>
                <w:szCs w:val="20"/>
                <w:color w:val="auto"/>
              </w:rPr>
            </w:pPr>
            <w:r>
              <w:rPr>
                <w:rFonts w:ascii="Arial" w:cs="Arial" w:eastAsia="Arial" w:hAnsi="Arial"/>
                <w:sz w:val="22"/>
                <w:szCs w:val="22"/>
                <w:color w:val="auto"/>
              </w:rPr>
              <w:t>~~~~~···········163.40</w:t>
            </w:r>
          </w:p>
        </w:tc>
        <w:tc>
          <w:tcPr>
            <w:tcW w:w="0" w:type="dxa"/>
            <w:vAlign w:val="bottom"/>
          </w:tcPr>
          <w:p>
            <w:pPr>
              <w:spacing w:after="0"/>
              <w:rPr>
                <w:sz w:val="1"/>
                <w:szCs w:val="1"/>
                <w:color w:val="auto"/>
              </w:rPr>
            </w:pPr>
          </w:p>
        </w:tc>
      </w:tr>
      <w:tr>
        <w:trPr>
          <w:trHeight w:val="172"/>
        </w:trPr>
        <w:tc>
          <w:tcPr>
            <w:tcW w:w="440" w:type="dxa"/>
            <w:vAlign w:val="bottom"/>
            <w:gridSpan w:val="2"/>
            <w:vMerge w:val="continue"/>
          </w:tcPr>
          <w:p>
            <w:pPr>
              <w:spacing w:after="0"/>
              <w:rPr>
                <w:sz w:val="14"/>
                <w:szCs w:val="14"/>
                <w:color w:val="auto"/>
              </w:rPr>
            </w:pPr>
          </w:p>
        </w:tc>
        <w:tc>
          <w:tcPr>
            <w:tcW w:w="1000" w:type="dxa"/>
            <w:vAlign w:val="bottom"/>
            <w:tcBorders>
              <w:left w:val="single" w:sz="8" w:color="2094A8"/>
            </w:tcBorders>
            <w:shd w:val="clear" w:color="auto" w:fill="2094A8"/>
          </w:tcPr>
          <w:p>
            <w:pPr>
              <w:spacing w:after="0"/>
              <w:rPr>
                <w:sz w:val="14"/>
                <w:szCs w:val="14"/>
                <w:color w:val="auto"/>
              </w:rPr>
            </w:pPr>
          </w:p>
        </w:tc>
        <w:tc>
          <w:tcPr>
            <w:tcW w:w="620" w:type="dxa"/>
            <w:vAlign w:val="bottom"/>
            <w:shd w:val="clear" w:color="auto" w:fill="2094A8"/>
          </w:tcPr>
          <w:p>
            <w:pPr>
              <w:spacing w:after="0"/>
              <w:rPr>
                <w:sz w:val="14"/>
                <w:szCs w:val="14"/>
                <w:color w:val="auto"/>
              </w:rPr>
            </w:pPr>
          </w:p>
        </w:tc>
        <w:tc>
          <w:tcPr>
            <w:tcW w:w="360" w:type="dxa"/>
            <w:vAlign w:val="bottom"/>
            <w:shd w:val="clear" w:color="auto" w:fill="2094A8"/>
          </w:tcPr>
          <w:p>
            <w:pPr>
              <w:spacing w:after="0"/>
              <w:rPr>
                <w:sz w:val="14"/>
                <w:szCs w:val="14"/>
                <w:color w:val="auto"/>
              </w:rPr>
            </w:pPr>
          </w:p>
        </w:tc>
        <w:tc>
          <w:tcPr>
            <w:tcW w:w="200" w:type="dxa"/>
            <w:vAlign w:val="bottom"/>
            <w:shd w:val="clear" w:color="auto" w:fill="2094A8"/>
          </w:tcPr>
          <w:p>
            <w:pPr>
              <w:spacing w:after="0"/>
              <w:rPr>
                <w:sz w:val="14"/>
                <w:szCs w:val="14"/>
                <w:color w:val="auto"/>
              </w:rPr>
            </w:pPr>
          </w:p>
        </w:tc>
        <w:tc>
          <w:tcPr>
            <w:tcW w:w="560" w:type="dxa"/>
            <w:vAlign w:val="bottom"/>
            <w:shd w:val="clear" w:color="auto" w:fill="2094A8"/>
          </w:tcPr>
          <w:p>
            <w:pPr>
              <w:spacing w:after="0"/>
              <w:rPr>
                <w:sz w:val="14"/>
                <w:szCs w:val="14"/>
                <w:color w:val="auto"/>
              </w:rPr>
            </w:pPr>
          </w:p>
        </w:tc>
        <w:tc>
          <w:tcPr>
            <w:tcW w:w="520" w:type="dxa"/>
            <w:vAlign w:val="bottom"/>
            <w:tcBorders>
              <w:left w:val="single" w:sz="8" w:color="2094A8"/>
            </w:tcBorders>
            <w:shd w:val="clear" w:color="auto" w:fill="2094A8"/>
          </w:tcPr>
          <w:p>
            <w:pPr>
              <w:spacing w:after="0"/>
              <w:rPr>
                <w:sz w:val="14"/>
                <w:szCs w:val="14"/>
                <w:color w:val="auto"/>
              </w:rPr>
            </w:pPr>
          </w:p>
        </w:tc>
        <w:tc>
          <w:tcPr>
            <w:tcW w:w="98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3780" w:type="dxa"/>
            <w:vAlign w:val="bottom"/>
            <w:gridSpan w:val="8"/>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40" w:type="dxa"/>
            <w:vAlign w:val="bottom"/>
            <w:gridSpan w:val="2"/>
            <w:vMerge w:val="continue"/>
          </w:tcPr>
          <w:p>
            <w:pPr>
              <w:spacing w:after="0"/>
              <w:rPr>
                <w:sz w:val="8"/>
                <w:szCs w:val="8"/>
                <w:color w:val="auto"/>
              </w:rPr>
            </w:pPr>
          </w:p>
        </w:tc>
        <w:tc>
          <w:tcPr>
            <w:tcW w:w="10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378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440" w:type="dxa"/>
            <w:vAlign w:val="bottom"/>
            <w:gridSpan w:val="2"/>
          </w:tcPr>
          <w:p>
            <w:pPr>
              <w:jc w:val="right"/>
              <w:ind w:right="24"/>
              <w:spacing w:after="0" w:line="146" w:lineRule="exact"/>
              <w:rPr>
                <w:sz w:val="20"/>
                <w:szCs w:val="20"/>
                <w:color w:val="auto"/>
              </w:rPr>
            </w:pPr>
            <w:r>
              <w:rPr>
                <w:rFonts w:ascii="Times New Roman" w:cs="Times New Roman" w:eastAsia="Times New Roman" w:hAnsi="Times New Roman"/>
                <w:sz w:val="15"/>
                <w:szCs w:val="15"/>
                <w:color w:val="auto"/>
              </w:rPr>
              <w:t>2023</w:t>
            </w:r>
          </w:p>
        </w:tc>
        <w:tc>
          <w:tcPr>
            <w:tcW w:w="1000" w:type="dxa"/>
            <w:vAlign w:val="bottom"/>
            <w:tcBorders>
              <w:bottom w:val="single" w:sz="8" w:color="2494B4"/>
            </w:tcBorders>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0" w:type="dxa"/>
            <w:vAlign w:val="bottom"/>
          </w:tcPr>
          <w:p>
            <w:pPr>
              <w:jc w:val="right"/>
              <w:ind w:right="405"/>
              <w:spacing w:after="0" w:line="146" w:lineRule="exact"/>
              <w:rPr>
                <w:sz w:val="20"/>
                <w:szCs w:val="20"/>
                <w:color w:val="auto"/>
              </w:rPr>
            </w:pPr>
            <w:r>
              <w:rPr>
                <w:rFonts w:ascii="Times New Roman" w:cs="Times New Roman" w:eastAsia="Times New Roman" w:hAnsi="Times New Roman"/>
                <w:sz w:val="15"/>
                <w:szCs w:val="15"/>
                <w:color w:val="auto"/>
              </w:rPr>
              <w:t>5.3%</w:t>
            </w:r>
          </w:p>
        </w:tc>
        <w:tc>
          <w:tcPr>
            <w:tcW w:w="920" w:type="dxa"/>
            <w:vAlign w:val="bottom"/>
          </w:tcPr>
          <w:p>
            <w:pPr>
              <w:jc w:val="right"/>
              <w:ind w:right="25"/>
              <w:spacing w:after="0" w:line="146" w:lineRule="exact"/>
              <w:rPr>
                <w:sz w:val="20"/>
                <w:szCs w:val="20"/>
                <w:color w:val="auto"/>
              </w:rPr>
            </w:pPr>
            <w:r>
              <w:rPr>
                <w:rFonts w:ascii="Times New Roman" w:cs="Times New Roman" w:eastAsia="Times New Roman" w:hAnsi="Times New Roman"/>
                <w:sz w:val="15"/>
                <w:szCs w:val="15"/>
                <w:color w:val="auto"/>
              </w:rPr>
              <w:t>2023</w:t>
            </w:r>
          </w:p>
        </w:tc>
        <w:tc>
          <w:tcPr>
            <w:tcW w:w="420" w:type="dxa"/>
            <w:vAlign w:val="bottom"/>
            <w:tcBorders>
              <w:bottom w:val="single" w:sz="8" w:color="2894B4"/>
            </w:tcBorders>
          </w:tcPr>
          <w:p>
            <w:pPr>
              <w:spacing w:after="0"/>
              <w:rPr>
                <w:sz w:val="12"/>
                <w:szCs w:val="12"/>
                <w:color w:val="auto"/>
              </w:rPr>
            </w:pPr>
          </w:p>
        </w:tc>
        <w:tc>
          <w:tcPr>
            <w:tcW w:w="480" w:type="dxa"/>
            <w:vAlign w:val="bottom"/>
            <w:tcBorders>
              <w:bottom w:val="single" w:sz="8" w:color="2894B4"/>
            </w:tcBorders>
          </w:tcPr>
          <w:p>
            <w:pPr>
              <w:spacing w:after="0"/>
              <w:rPr>
                <w:sz w:val="12"/>
                <w:szCs w:val="12"/>
                <w:color w:val="auto"/>
              </w:rPr>
            </w:pPr>
          </w:p>
        </w:tc>
        <w:tc>
          <w:tcPr>
            <w:tcW w:w="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40" w:type="dxa"/>
            <w:vAlign w:val="bottom"/>
          </w:tcPr>
          <w:p>
            <w:pPr>
              <w:jc w:val="right"/>
              <w:spacing w:after="0" w:line="146" w:lineRule="exact"/>
              <w:rPr>
                <w:sz w:val="20"/>
                <w:szCs w:val="20"/>
                <w:color w:val="auto"/>
              </w:rPr>
            </w:pPr>
            <w:r>
              <w:rPr>
                <w:rFonts w:ascii="Times New Roman" w:cs="Times New Roman" w:eastAsia="Times New Roman" w:hAnsi="Times New Roman"/>
                <w:sz w:val="15"/>
                <w:szCs w:val="15"/>
                <w:color w:val="auto"/>
              </w:rPr>
              <w:t>43.82</w:t>
            </w:r>
          </w:p>
        </w:tc>
        <w:tc>
          <w:tcPr>
            <w:tcW w:w="0" w:type="dxa"/>
            <w:vAlign w:val="bottom"/>
          </w:tcPr>
          <w:p>
            <w:pPr>
              <w:spacing w:after="0"/>
              <w:rPr>
                <w:sz w:val="1"/>
                <w:szCs w:val="1"/>
                <w:color w:val="auto"/>
              </w:rPr>
            </w:pPr>
          </w:p>
        </w:tc>
      </w:tr>
      <w:tr>
        <w:trPr>
          <w:trHeight w:val="289"/>
        </w:trPr>
        <w:tc>
          <w:tcPr>
            <w:tcW w:w="440" w:type="dxa"/>
            <w:vAlign w:val="bottom"/>
            <w:gridSpan w:val="2"/>
          </w:tcPr>
          <w:p>
            <w:pPr>
              <w:jc w:val="right"/>
              <w:ind w:right="24"/>
              <w:spacing w:after="0"/>
              <w:rPr>
                <w:sz w:val="20"/>
                <w:szCs w:val="20"/>
                <w:color w:val="auto"/>
              </w:rPr>
            </w:pPr>
            <w:r>
              <w:rPr>
                <w:rFonts w:ascii="Times New Roman" w:cs="Times New Roman" w:eastAsia="Times New Roman" w:hAnsi="Times New Roman"/>
                <w:sz w:val="15"/>
                <w:szCs w:val="15"/>
                <w:color w:val="auto"/>
              </w:rPr>
              <w:t>2022</w:t>
            </w:r>
          </w:p>
        </w:tc>
        <w:tc>
          <w:tcPr>
            <w:tcW w:w="1000" w:type="dxa"/>
            <w:vAlign w:val="bottom"/>
          </w:tcPr>
          <w:p>
            <w:pPr>
              <w:jc w:val="right"/>
              <w:ind w:right="865"/>
              <w:spacing w:after="0"/>
              <w:rPr>
                <w:sz w:val="20"/>
                <w:szCs w:val="20"/>
                <w:color w:val="auto"/>
              </w:rPr>
            </w:pPr>
            <w:r>
              <w:rPr>
                <w:rFonts w:ascii="Times New Roman" w:cs="Times New Roman" w:eastAsia="Times New Roman" w:hAnsi="Times New Roman"/>
                <w:sz w:val="15"/>
                <w:szCs w:val="15"/>
                <w:color w:val="auto"/>
                <w:w w:val="79"/>
              </w:rPr>
              <w:t>-</w:t>
            </w: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jc w:val="right"/>
              <w:ind w:right="405"/>
              <w:spacing w:after="0"/>
              <w:rPr>
                <w:sz w:val="20"/>
                <w:szCs w:val="20"/>
                <w:color w:val="auto"/>
              </w:rPr>
            </w:pPr>
            <w:r>
              <w:rPr>
                <w:rFonts w:ascii="Times New Roman" w:cs="Times New Roman" w:eastAsia="Times New Roman" w:hAnsi="Times New Roman"/>
                <w:sz w:val="15"/>
                <w:szCs w:val="15"/>
                <w:color w:val="auto"/>
              </w:rPr>
              <w:t>1.7%</w:t>
            </w:r>
          </w:p>
        </w:tc>
        <w:tc>
          <w:tcPr>
            <w:tcW w:w="92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auto"/>
              </w:rPr>
              <w:t>2022</w:t>
            </w: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13.79</w:t>
            </w:r>
          </w:p>
        </w:tc>
        <w:tc>
          <w:tcPr>
            <w:tcW w:w="0" w:type="dxa"/>
            <w:vAlign w:val="bottom"/>
          </w:tcPr>
          <w:p>
            <w:pPr>
              <w:spacing w:after="0"/>
              <w:rPr>
                <w:sz w:val="1"/>
                <w:szCs w:val="1"/>
                <w:color w:val="auto"/>
              </w:rPr>
            </w:pPr>
          </w:p>
        </w:tc>
      </w:tr>
      <w:tr>
        <w:trPr>
          <w:trHeight w:val="101"/>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2021</w:t>
            </w:r>
          </w:p>
        </w:tc>
        <w:tc>
          <w:tcPr>
            <w:tcW w:w="1000" w:type="dxa"/>
            <w:vAlign w:val="bottom"/>
            <w:tcBorders>
              <w:bottom w:val="single" w:sz="8" w:color="2498B4"/>
            </w:tcBorders>
          </w:tcPr>
          <w:p>
            <w:pPr>
              <w:spacing w:after="0"/>
              <w:rPr>
                <w:sz w:val="8"/>
                <w:szCs w:val="8"/>
                <w:color w:val="auto"/>
              </w:rPr>
            </w:pPr>
          </w:p>
        </w:tc>
        <w:tc>
          <w:tcPr>
            <w:tcW w:w="620" w:type="dxa"/>
            <w:vAlign w:val="bottom"/>
            <w:tcBorders>
              <w:bottom w:val="single" w:sz="8" w:color="2498B4"/>
            </w:tcBorders>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8.6%</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2021</w:t>
            </w: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70.45</w:t>
            </w:r>
          </w:p>
        </w:tc>
        <w:tc>
          <w:tcPr>
            <w:tcW w:w="0" w:type="dxa"/>
            <w:vAlign w:val="bottom"/>
          </w:tcPr>
          <w:p>
            <w:pPr>
              <w:spacing w:after="0"/>
              <w:rPr>
                <w:sz w:val="1"/>
                <w:szCs w:val="1"/>
                <w:color w:val="auto"/>
              </w:rPr>
            </w:pPr>
          </w:p>
        </w:tc>
      </w:tr>
      <w:tr>
        <w:trPr>
          <w:trHeight w:val="156"/>
        </w:trPr>
        <w:tc>
          <w:tcPr>
            <w:tcW w:w="440" w:type="dxa"/>
            <w:vAlign w:val="bottom"/>
            <w:gridSpan w:val="2"/>
            <w:vMerge w:val="continue"/>
          </w:tcPr>
          <w:p>
            <w:pPr>
              <w:spacing w:after="0"/>
              <w:rPr>
                <w:sz w:val="13"/>
                <w:szCs w:val="13"/>
                <w:color w:val="auto"/>
              </w:rPr>
            </w:pPr>
          </w:p>
        </w:tc>
        <w:tc>
          <w:tcPr>
            <w:tcW w:w="10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420" w:type="dxa"/>
            <w:vAlign w:val="bottom"/>
            <w:tcBorders>
              <w:left w:val="single" w:sz="8" w:color="309CB8"/>
            </w:tcBorders>
            <w:shd w:val="clear" w:color="auto" w:fill="309CB8"/>
          </w:tcPr>
          <w:p>
            <w:pPr>
              <w:spacing w:after="0"/>
              <w:rPr>
                <w:sz w:val="13"/>
                <w:szCs w:val="13"/>
                <w:color w:val="auto"/>
              </w:rPr>
            </w:pPr>
          </w:p>
        </w:tc>
        <w:tc>
          <w:tcPr>
            <w:tcW w:w="480" w:type="dxa"/>
            <w:vAlign w:val="bottom"/>
            <w:shd w:val="clear" w:color="auto" w:fill="309CB8"/>
          </w:tcPr>
          <w:p>
            <w:pPr>
              <w:spacing w:after="0"/>
              <w:rPr>
                <w:sz w:val="13"/>
                <w:szCs w:val="13"/>
                <w:color w:val="auto"/>
              </w:rPr>
            </w:pPr>
          </w:p>
        </w:tc>
        <w:tc>
          <w:tcPr>
            <w:tcW w:w="40" w:type="dxa"/>
            <w:vAlign w:val="bottom"/>
            <w:shd w:val="clear" w:color="auto" w:fill="309CB8"/>
          </w:tcPr>
          <w:p>
            <w:pPr>
              <w:spacing w:after="0"/>
              <w:rPr>
                <w:sz w:val="13"/>
                <w:szCs w:val="13"/>
                <w:color w:val="auto"/>
              </w:rPr>
            </w:pPr>
          </w:p>
        </w:tc>
        <w:tc>
          <w:tcPr>
            <w:tcW w:w="480" w:type="dxa"/>
            <w:vAlign w:val="bottom"/>
            <w:shd w:val="clear" w:color="auto" w:fill="309CB8"/>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40" w:type="dxa"/>
            <w:vAlign w:val="bottom"/>
            <w:gridSpan w:val="2"/>
            <w:vMerge w:val="restart"/>
          </w:tcPr>
          <w:p>
            <w:pPr>
              <w:jc w:val="right"/>
              <w:ind w:right="24"/>
              <w:spacing w:after="0"/>
              <w:rPr>
                <w:sz w:val="20"/>
                <w:szCs w:val="20"/>
                <w:color w:val="auto"/>
              </w:rPr>
            </w:pPr>
            <w:r>
              <w:rPr>
                <w:rFonts w:ascii="Times New Roman" w:cs="Times New Roman" w:eastAsia="Times New Roman" w:hAnsi="Times New Roman"/>
                <w:sz w:val="15"/>
                <w:szCs w:val="15"/>
                <w:color w:val="auto"/>
              </w:rPr>
              <w:t>2020</w:t>
            </w:r>
          </w:p>
        </w:tc>
        <w:tc>
          <w:tcPr>
            <w:tcW w:w="1000" w:type="dxa"/>
            <w:vAlign w:val="bottom"/>
            <w:tcBorders>
              <w:left w:val="single" w:sz="8" w:color="309CB8"/>
              <w:bottom w:val="single" w:sz="8" w:color="309CB8"/>
            </w:tcBorders>
            <w:shd w:val="clear" w:color="auto" w:fill="309CB8"/>
          </w:tcPr>
          <w:p>
            <w:pPr>
              <w:spacing w:after="0"/>
              <w:rPr>
                <w:sz w:val="16"/>
                <w:szCs w:val="16"/>
                <w:color w:val="auto"/>
              </w:rPr>
            </w:pPr>
          </w:p>
        </w:tc>
        <w:tc>
          <w:tcPr>
            <w:tcW w:w="620" w:type="dxa"/>
            <w:vAlign w:val="bottom"/>
            <w:tcBorders>
              <w:bottom w:val="single" w:sz="8" w:color="309CB8"/>
            </w:tcBorders>
            <w:shd w:val="clear" w:color="auto" w:fill="309CB8"/>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vMerge w:val="restart"/>
          </w:tcPr>
          <w:p>
            <w:pPr>
              <w:jc w:val="right"/>
              <w:ind w:right="405"/>
              <w:spacing w:after="0"/>
              <w:rPr>
                <w:sz w:val="20"/>
                <w:szCs w:val="20"/>
                <w:color w:val="auto"/>
              </w:rPr>
            </w:pPr>
            <w:r>
              <w:rPr>
                <w:rFonts w:ascii="Times New Roman" w:cs="Times New Roman" w:eastAsia="Times New Roman" w:hAnsi="Times New Roman"/>
                <w:sz w:val="15"/>
                <w:szCs w:val="15"/>
                <w:color w:val="auto"/>
              </w:rPr>
              <w:t>8.5%</w:t>
            </w:r>
          </w:p>
        </w:tc>
        <w:tc>
          <w:tcPr>
            <w:tcW w:w="920" w:type="dxa"/>
            <w:vAlign w:val="bottom"/>
            <w:vMerge w:val="restart"/>
          </w:tcPr>
          <w:p>
            <w:pPr>
              <w:jc w:val="right"/>
              <w:ind w:right="25"/>
              <w:spacing w:after="0"/>
              <w:rPr>
                <w:sz w:val="20"/>
                <w:szCs w:val="20"/>
                <w:color w:val="auto"/>
              </w:rPr>
            </w:pPr>
            <w:r>
              <w:rPr>
                <w:rFonts w:ascii="Times New Roman" w:cs="Times New Roman" w:eastAsia="Times New Roman" w:hAnsi="Times New Roman"/>
                <w:sz w:val="15"/>
                <w:szCs w:val="15"/>
                <w:color w:val="auto"/>
              </w:rPr>
              <w:t>2020</w:t>
            </w:r>
          </w:p>
        </w:tc>
        <w:tc>
          <w:tcPr>
            <w:tcW w:w="420" w:type="dxa"/>
            <w:vAlign w:val="bottom"/>
            <w:tcBorders>
              <w:left w:val="single" w:sz="8" w:color="309CB8"/>
            </w:tcBorders>
            <w:shd w:val="clear" w:color="auto" w:fill="309CB8"/>
          </w:tcPr>
          <w:p>
            <w:pPr>
              <w:spacing w:after="0"/>
              <w:rPr>
                <w:sz w:val="16"/>
                <w:szCs w:val="16"/>
                <w:color w:val="auto"/>
              </w:rPr>
            </w:pPr>
          </w:p>
        </w:tc>
        <w:tc>
          <w:tcPr>
            <w:tcW w:w="480" w:type="dxa"/>
            <w:vAlign w:val="bottom"/>
            <w:shd w:val="clear" w:color="auto" w:fill="309CB8"/>
          </w:tcPr>
          <w:p>
            <w:pPr>
              <w:spacing w:after="0"/>
              <w:rPr>
                <w:sz w:val="16"/>
                <w:szCs w:val="16"/>
                <w:color w:val="auto"/>
              </w:rPr>
            </w:pPr>
          </w:p>
        </w:tc>
        <w:tc>
          <w:tcPr>
            <w:tcW w:w="40" w:type="dxa"/>
            <w:vAlign w:val="bottom"/>
            <w:shd w:val="clear" w:color="auto" w:fill="309CB8"/>
          </w:tcPr>
          <w:p>
            <w:pPr>
              <w:spacing w:after="0"/>
              <w:rPr>
                <w:sz w:val="16"/>
                <w:szCs w:val="16"/>
                <w:color w:val="auto"/>
              </w:rPr>
            </w:pPr>
          </w:p>
        </w:tc>
        <w:tc>
          <w:tcPr>
            <w:tcW w:w="480" w:type="dxa"/>
            <w:vAlign w:val="bottom"/>
            <w:shd w:val="clear" w:color="auto" w:fill="309CB8"/>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58.13</w:t>
            </w:r>
          </w:p>
        </w:tc>
        <w:tc>
          <w:tcPr>
            <w:tcW w:w="0" w:type="dxa"/>
            <w:vAlign w:val="bottom"/>
          </w:tcPr>
          <w:p>
            <w:pPr>
              <w:spacing w:after="0"/>
              <w:rPr>
                <w:sz w:val="1"/>
                <w:szCs w:val="1"/>
                <w:color w:val="auto"/>
              </w:rPr>
            </w:pPr>
          </w:p>
        </w:tc>
      </w:tr>
      <w:tr>
        <w:trPr>
          <w:trHeight w:val="51"/>
        </w:trPr>
        <w:tc>
          <w:tcPr>
            <w:tcW w:w="44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0" w:type="dxa"/>
            <w:vAlign w:val="bottom"/>
          </w:tcPr>
          <w:p>
            <w:pPr>
              <w:spacing w:after="0"/>
              <w:rPr>
                <w:sz w:val="4"/>
                <w:szCs w:val="4"/>
                <w:color w:val="auto"/>
              </w:rPr>
            </w:pPr>
          </w:p>
        </w:tc>
        <w:tc>
          <w:tcPr>
            <w:tcW w:w="5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4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tbl>
      <w:tblPr>
        <w:tblLayout w:type="fixed"/>
        <w:tblInd w:w="1700" w:type="dxa"/>
        <w:tblCellMar>
          <w:top w:w="0" w:type="dxa"/>
          <w:left w:w="0" w:type="dxa"/>
          <w:bottom w:w="0" w:type="dxa"/>
          <w:right w:w="0" w:type="dxa"/>
        </w:tblCellMar>
      </w:tblPr>
      <w:tr>
        <w:trPr>
          <w:trHeight w:val="242"/>
        </w:trPr>
        <w:tc>
          <w:tcPr>
            <w:tcW w:w="4580" w:type="dxa"/>
            <w:vAlign w:val="bottom"/>
          </w:tcPr>
          <w:p>
            <w:pPr>
              <w:spacing w:after="0"/>
              <w:rPr>
                <w:sz w:val="20"/>
                <w:szCs w:val="20"/>
                <w:color w:val="auto"/>
              </w:rPr>
            </w:pPr>
            <w:r>
              <w:rPr>
                <w:rFonts w:ascii="Times New Roman" w:cs="Times New Roman" w:eastAsia="Times New Roman" w:hAnsi="Times New Roman"/>
                <w:sz w:val="21"/>
                <w:szCs w:val="21"/>
                <w:color w:val="auto"/>
                <w:vertAlign w:val="superscript"/>
              </w:rPr>
              <w:t>0</w:t>
            </w:r>
            <w:r>
              <w:rPr>
                <w:rFonts w:ascii="Arial" w:cs="Arial" w:eastAsia="Arial" w:hAnsi="Arial"/>
                <w:sz w:val="15"/>
                <w:szCs w:val="15"/>
                <w:color w:val="auto"/>
              </w:rPr>
              <w:t xml:space="preserve"> &gt;Adjusted Operating Cash Flow (non-GAAP)</w:t>
            </w: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80" w:type="dxa"/>
            <w:vAlign w:val="bottom"/>
          </w:tcPr>
          <w:p>
            <w:pPr>
              <w:spacing w:after="0"/>
              <w:rPr>
                <w:sz w:val="21"/>
                <w:szCs w:val="21"/>
                <w:color w:val="auto"/>
              </w:rPr>
            </w:pPr>
          </w:p>
        </w:tc>
      </w:tr>
      <w:tr>
        <w:trPr>
          <w:trHeight w:val="216"/>
        </w:trPr>
        <w:tc>
          <w:tcPr>
            <w:tcW w:w="4580" w:type="dxa"/>
            <w:vAlign w:val="bottom"/>
          </w:tcPr>
          <w:p>
            <w:pPr>
              <w:spacing w:after="0"/>
              <w:rPr>
                <w:sz w:val="20"/>
                <w:szCs w:val="20"/>
                <w:color w:val="auto"/>
              </w:rPr>
            </w:pPr>
            <w:r>
              <w:rPr>
                <w:rFonts w:ascii="Arial" w:cs="Arial" w:eastAsia="Arial" w:hAnsi="Arial"/>
                <w:sz w:val="15"/>
                <w:szCs w:val="15"/>
                <w:color w:val="auto"/>
              </w:rPr>
              <w:t>(IN THOUSANDS)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8"/>
                <w:szCs w:val="18"/>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2022</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2020</w:t>
            </w:r>
          </w:p>
        </w:tc>
      </w:tr>
      <w:tr>
        <w:trPr>
          <w:trHeight w:val="52"/>
        </w:trPr>
        <w:tc>
          <w:tcPr>
            <w:tcW w:w="4580" w:type="dxa"/>
            <w:vAlign w:val="bottom"/>
            <w:tcBorders>
              <w:bottom w:val="single" w:sz="8" w:color="3C4448"/>
            </w:tcBorders>
          </w:tcPr>
          <w:p>
            <w:pPr>
              <w:spacing w:after="0"/>
              <w:rPr>
                <w:sz w:val="4"/>
                <w:szCs w:val="4"/>
                <w:color w:val="auto"/>
              </w:rPr>
            </w:pPr>
          </w:p>
        </w:tc>
        <w:tc>
          <w:tcPr>
            <w:tcW w:w="960" w:type="dxa"/>
            <w:vAlign w:val="bottom"/>
            <w:tcBorders>
              <w:bottom w:val="single" w:sz="8" w:color="3C4448"/>
            </w:tcBorders>
          </w:tcPr>
          <w:p>
            <w:pPr>
              <w:spacing w:after="0"/>
              <w:rPr>
                <w:sz w:val="4"/>
                <w:szCs w:val="4"/>
                <w:color w:val="auto"/>
              </w:rPr>
            </w:pPr>
          </w:p>
        </w:tc>
        <w:tc>
          <w:tcPr>
            <w:tcW w:w="160" w:type="dxa"/>
            <w:vAlign w:val="bottom"/>
            <w:tcBorders>
              <w:bottom w:val="single" w:sz="8" w:color="3C4448"/>
            </w:tcBorders>
          </w:tcPr>
          <w:p>
            <w:pPr>
              <w:spacing w:after="0"/>
              <w:rPr>
                <w:sz w:val="4"/>
                <w:szCs w:val="4"/>
                <w:color w:val="auto"/>
              </w:rPr>
            </w:pPr>
          </w:p>
        </w:tc>
        <w:tc>
          <w:tcPr>
            <w:tcW w:w="700" w:type="dxa"/>
            <w:vAlign w:val="bottom"/>
            <w:tcBorders>
              <w:bottom w:val="single" w:sz="8" w:color="3C4448"/>
            </w:tcBorders>
          </w:tcPr>
          <w:p>
            <w:pPr>
              <w:spacing w:after="0"/>
              <w:rPr>
                <w:sz w:val="4"/>
                <w:szCs w:val="4"/>
                <w:color w:val="auto"/>
              </w:rPr>
            </w:pPr>
          </w:p>
        </w:tc>
        <w:tc>
          <w:tcPr>
            <w:tcW w:w="160" w:type="dxa"/>
            <w:vAlign w:val="bottom"/>
            <w:tcBorders>
              <w:bottom w:val="single" w:sz="8" w:color="3C4448"/>
            </w:tcBorders>
          </w:tcPr>
          <w:p>
            <w:pPr>
              <w:spacing w:after="0"/>
              <w:rPr>
                <w:sz w:val="4"/>
                <w:szCs w:val="4"/>
                <w:color w:val="auto"/>
              </w:rPr>
            </w:pPr>
          </w:p>
        </w:tc>
        <w:tc>
          <w:tcPr>
            <w:tcW w:w="700" w:type="dxa"/>
            <w:vAlign w:val="bottom"/>
            <w:tcBorders>
              <w:bottom w:val="single" w:sz="8" w:color="3C4448"/>
            </w:tcBorders>
          </w:tcPr>
          <w:p>
            <w:pPr>
              <w:spacing w:after="0"/>
              <w:rPr>
                <w:sz w:val="4"/>
                <w:szCs w:val="4"/>
                <w:color w:val="auto"/>
              </w:rPr>
            </w:pPr>
          </w:p>
        </w:tc>
        <w:tc>
          <w:tcPr>
            <w:tcW w:w="160" w:type="dxa"/>
            <w:vAlign w:val="bottom"/>
            <w:tcBorders>
              <w:bottom w:val="single" w:sz="8" w:color="3C4448"/>
            </w:tcBorders>
          </w:tcPr>
          <w:p>
            <w:pPr>
              <w:spacing w:after="0"/>
              <w:rPr>
                <w:sz w:val="4"/>
                <w:szCs w:val="4"/>
                <w:color w:val="auto"/>
              </w:rPr>
            </w:pPr>
          </w:p>
        </w:tc>
        <w:tc>
          <w:tcPr>
            <w:tcW w:w="640" w:type="dxa"/>
            <w:vAlign w:val="bottom"/>
            <w:tcBorders>
              <w:bottom w:val="single" w:sz="8" w:color="3C4448"/>
            </w:tcBorders>
          </w:tcPr>
          <w:p>
            <w:pPr>
              <w:spacing w:after="0"/>
              <w:rPr>
                <w:sz w:val="4"/>
                <w:szCs w:val="4"/>
                <w:color w:val="auto"/>
              </w:rPr>
            </w:pPr>
          </w:p>
        </w:tc>
        <w:tc>
          <w:tcPr>
            <w:tcW w:w="780" w:type="dxa"/>
            <w:vAlign w:val="bottom"/>
            <w:tcBorders>
              <w:bottom w:val="single" w:sz="8" w:color="3C4448"/>
            </w:tcBorders>
          </w:tcPr>
          <w:p>
            <w:pPr>
              <w:spacing w:after="0"/>
              <w:rPr>
                <w:sz w:val="4"/>
                <w:szCs w:val="4"/>
                <w:color w:val="auto"/>
              </w:rPr>
            </w:pPr>
          </w:p>
        </w:tc>
      </w:tr>
      <w:tr>
        <w:trPr>
          <w:trHeight w:val="233"/>
        </w:trPr>
        <w:tc>
          <w:tcPr>
            <w:tcW w:w="4580" w:type="dxa"/>
            <w:vAlign w:val="bottom"/>
          </w:tcPr>
          <w:p>
            <w:pPr>
              <w:spacing w:after="0"/>
              <w:rPr>
                <w:sz w:val="20"/>
                <w:szCs w:val="20"/>
                <w:color w:val="auto"/>
              </w:rPr>
            </w:pPr>
            <w:r>
              <w:rPr>
                <w:rFonts w:ascii="Arial" w:cs="Arial" w:eastAsia="Arial" w:hAnsi="Arial"/>
                <w:sz w:val="15"/>
                <w:szCs w:val="15"/>
                <w:color w:val="auto"/>
              </w:rPr>
              <w:t>Operating Income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$215,504</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69,393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83,898</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77,375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$100,407</w:t>
            </w:r>
          </w:p>
        </w:tc>
      </w:tr>
      <w:tr>
        <w:trPr>
          <w:trHeight w:val="229"/>
        </w:trPr>
        <w:tc>
          <w:tcPr>
            <w:tcW w:w="4580" w:type="dxa"/>
            <w:vAlign w:val="bottom"/>
          </w:tcPr>
          <w:p>
            <w:pPr>
              <w:ind w:left="240"/>
              <w:spacing w:after="0"/>
              <w:rPr>
                <w:sz w:val="20"/>
                <w:szCs w:val="20"/>
                <w:color w:val="auto"/>
              </w:rPr>
            </w:pPr>
            <w:r>
              <w:rPr>
                <w:rFonts w:ascii="Arial" w:cs="Arial" w:eastAsia="Arial" w:hAnsi="Arial"/>
                <w:sz w:val="15"/>
                <w:szCs w:val="15"/>
                <w:color w:val="auto"/>
              </w:rPr>
              <w:t>Add: Amortization of Intangible Assets and Impairment</w:t>
            </w: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00"/>
        </w:trPr>
        <w:tc>
          <w:tcPr>
            <w:tcW w:w="4580" w:type="dxa"/>
            <w:vAlign w:val="bottom"/>
          </w:tcPr>
          <w:p>
            <w:pPr>
              <w:ind w:left="620"/>
              <w:spacing w:after="0"/>
              <w:rPr>
                <w:sz w:val="20"/>
                <w:szCs w:val="20"/>
                <w:color w:val="auto"/>
              </w:rPr>
            </w:pPr>
            <w:r>
              <w:rPr>
                <w:rFonts w:ascii="Arial" w:cs="Arial" w:eastAsia="Arial" w:hAnsi="Arial"/>
                <w:sz w:val="15"/>
                <w:szCs w:val="15"/>
                <w:color w:val="auto"/>
              </w:rPr>
              <w:t>of Goodwill and Other Long-Lived Assets</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86,941</w:t>
            </w:r>
          </w:p>
        </w:tc>
        <w:tc>
          <w:tcPr>
            <w:tcW w:w="160" w:type="dxa"/>
            <w:vAlign w:val="bottom"/>
          </w:tcPr>
          <w:p>
            <w:pPr>
              <w:spacing w:after="0"/>
              <w:rPr>
                <w:sz w:val="17"/>
                <w:szCs w:val="17"/>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149,105</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187,841</w:t>
            </w: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90,810</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86,950</w:t>
            </w:r>
          </w:p>
        </w:tc>
      </w:tr>
      <w:tr>
        <w:trPr>
          <w:trHeight w:val="229"/>
        </w:trPr>
        <w:tc>
          <w:tcPr>
            <w:tcW w:w="4580" w:type="dxa"/>
            <w:vAlign w:val="bottom"/>
          </w:tcPr>
          <w:p>
            <w:pPr>
              <w:ind w:left="240"/>
              <w:spacing w:after="0"/>
              <w:rPr>
                <w:sz w:val="20"/>
                <w:szCs w:val="20"/>
                <w:color w:val="auto"/>
              </w:rPr>
            </w:pPr>
            <w:r>
              <w:rPr>
                <w:rFonts w:ascii="Arial" w:cs="Arial" w:eastAsia="Arial" w:hAnsi="Arial"/>
                <w:sz w:val="15"/>
                <w:szCs w:val="15"/>
                <w:color w:val="auto"/>
              </w:rPr>
              <w:t>Add: Depreciation Expense</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87,046</w:t>
            </w: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86,064</w:t>
            </w:r>
          </w:p>
        </w:tc>
        <w:tc>
          <w:tcPr>
            <w:tcW w:w="160" w:type="dxa"/>
            <w:vAlign w:val="bottom"/>
          </w:tcPr>
          <w:p>
            <w:pPr>
              <w:spacing w:after="0"/>
              <w:rPr>
                <w:sz w:val="19"/>
                <w:szCs w:val="19"/>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73,297</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71,415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74,257</w:t>
            </w:r>
          </w:p>
        </w:tc>
      </w:tr>
      <w:tr>
        <w:trPr>
          <w:trHeight w:val="248"/>
        </w:trPr>
        <w:tc>
          <w:tcPr>
            <w:tcW w:w="4580" w:type="dxa"/>
            <w:vAlign w:val="bottom"/>
          </w:tcPr>
          <w:p>
            <w:pPr>
              <w:ind w:left="240"/>
              <w:spacing w:after="0"/>
              <w:rPr>
                <w:sz w:val="20"/>
                <w:szCs w:val="20"/>
                <w:color w:val="auto"/>
              </w:rPr>
            </w:pPr>
            <w:r>
              <w:rPr>
                <w:rFonts w:ascii="Arial" w:cs="Arial" w:eastAsia="Arial" w:hAnsi="Arial"/>
                <w:sz w:val="15"/>
                <w:szCs w:val="15"/>
                <w:color w:val="auto"/>
              </w:rPr>
              <w:t>Add: Pension Service Cost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57,538</w:t>
            </w:r>
          </w:p>
        </w:tc>
        <w:tc>
          <w:tcPr>
            <w:tcW w:w="16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33,787</w:t>
            </w:r>
          </w:p>
        </w:tc>
        <w:tc>
          <w:tcPr>
            <w:tcW w:w="16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32,567</w:t>
            </w: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22,991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22,656</w:t>
            </w:r>
          </w:p>
        </w:tc>
      </w:tr>
      <w:tr>
        <w:trPr>
          <w:trHeight w:val="33"/>
        </w:trPr>
        <w:tc>
          <w:tcPr>
            <w:tcW w:w="4580" w:type="dxa"/>
            <w:vAlign w:val="bottom"/>
            <w:tcBorders>
              <w:bottom w:val="single" w:sz="8" w:color="1C2024"/>
            </w:tcBorders>
          </w:tcPr>
          <w:p>
            <w:pPr>
              <w:spacing w:after="0"/>
              <w:rPr>
                <w:sz w:val="2"/>
                <w:szCs w:val="2"/>
                <w:color w:val="auto"/>
              </w:rPr>
            </w:pPr>
          </w:p>
        </w:tc>
        <w:tc>
          <w:tcPr>
            <w:tcW w:w="960" w:type="dxa"/>
            <w:vAlign w:val="bottom"/>
            <w:tcBorders>
              <w:bottom w:val="single" w:sz="8" w:color="1C2024"/>
            </w:tcBorders>
          </w:tcPr>
          <w:p>
            <w:pPr>
              <w:spacing w:after="0"/>
              <w:rPr>
                <w:sz w:val="2"/>
                <w:szCs w:val="2"/>
                <w:color w:val="auto"/>
              </w:rPr>
            </w:pPr>
          </w:p>
        </w:tc>
        <w:tc>
          <w:tcPr>
            <w:tcW w:w="160" w:type="dxa"/>
            <w:vAlign w:val="bottom"/>
            <w:tcBorders>
              <w:bottom w:val="single" w:sz="8" w:color="1C2024"/>
            </w:tcBorders>
          </w:tcPr>
          <w:p>
            <w:pPr>
              <w:spacing w:after="0"/>
              <w:rPr>
                <w:sz w:val="2"/>
                <w:szCs w:val="2"/>
                <w:color w:val="auto"/>
              </w:rPr>
            </w:pPr>
          </w:p>
        </w:tc>
        <w:tc>
          <w:tcPr>
            <w:tcW w:w="700" w:type="dxa"/>
            <w:vAlign w:val="bottom"/>
            <w:tcBorders>
              <w:bottom w:val="single" w:sz="8" w:color="1C2024"/>
            </w:tcBorders>
          </w:tcPr>
          <w:p>
            <w:pPr>
              <w:spacing w:after="0"/>
              <w:rPr>
                <w:sz w:val="2"/>
                <w:szCs w:val="2"/>
                <w:color w:val="auto"/>
              </w:rPr>
            </w:pPr>
          </w:p>
        </w:tc>
        <w:tc>
          <w:tcPr>
            <w:tcW w:w="160" w:type="dxa"/>
            <w:vAlign w:val="bottom"/>
            <w:tcBorders>
              <w:bottom w:val="single" w:sz="8" w:color="1C2024"/>
            </w:tcBorders>
          </w:tcPr>
          <w:p>
            <w:pPr>
              <w:spacing w:after="0"/>
              <w:rPr>
                <w:sz w:val="2"/>
                <w:szCs w:val="2"/>
                <w:color w:val="auto"/>
              </w:rPr>
            </w:pPr>
          </w:p>
        </w:tc>
        <w:tc>
          <w:tcPr>
            <w:tcW w:w="700" w:type="dxa"/>
            <w:vAlign w:val="bottom"/>
            <w:tcBorders>
              <w:bottom w:val="single" w:sz="8" w:color="1C2024"/>
            </w:tcBorders>
          </w:tcPr>
          <w:p>
            <w:pPr>
              <w:spacing w:after="0"/>
              <w:rPr>
                <w:sz w:val="2"/>
                <w:szCs w:val="2"/>
                <w:color w:val="auto"/>
              </w:rPr>
            </w:pPr>
          </w:p>
        </w:tc>
        <w:tc>
          <w:tcPr>
            <w:tcW w:w="160" w:type="dxa"/>
            <w:vAlign w:val="bottom"/>
            <w:tcBorders>
              <w:bottom w:val="single" w:sz="8" w:color="1C2024"/>
            </w:tcBorders>
          </w:tcPr>
          <w:p>
            <w:pPr>
              <w:spacing w:after="0"/>
              <w:rPr>
                <w:sz w:val="2"/>
                <w:szCs w:val="2"/>
                <w:color w:val="auto"/>
              </w:rPr>
            </w:pPr>
          </w:p>
        </w:tc>
        <w:tc>
          <w:tcPr>
            <w:tcW w:w="640" w:type="dxa"/>
            <w:vAlign w:val="bottom"/>
            <w:tcBorders>
              <w:bottom w:val="single" w:sz="8" w:color="1C2024"/>
            </w:tcBorders>
          </w:tcPr>
          <w:p>
            <w:pPr>
              <w:spacing w:after="0"/>
              <w:rPr>
                <w:sz w:val="2"/>
                <w:szCs w:val="2"/>
                <w:color w:val="auto"/>
              </w:rPr>
            </w:pPr>
          </w:p>
        </w:tc>
        <w:tc>
          <w:tcPr>
            <w:tcW w:w="780" w:type="dxa"/>
            <w:vAlign w:val="bottom"/>
            <w:tcBorders>
              <w:bottom w:val="single" w:sz="8" w:color="1C2024"/>
            </w:tcBorders>
          </w:tcPr>
          <w:p>
            <w:pPr>
              <w:spacing w:after="0"/>
              <w:rPr>
                <w:sz w:val="2"/>
                <w:szCs w:val="2"/>
                <w:color w:val="auto"/>
              </w:rPr>
            </w:pPr>
          </w:p>
        </w:tc>
      </w:tr>
      <w:tr>
        <w:trPr>
          <w:trHeight w:val="252"/>
        </w:trPr>
        <w:tc>
          <w:tcPr>
            <w:tcW w:w="4580" w:type="dxa"/>
            <w:vAlign w:val="bottom"/>
          </w:tcPr>
          <w:p>
            <w:pPr>
              <w:spacing w:after="0"/>
              <w:rPr>
                <w:sz w:val="20"/>
                <w:szCs w:val="20"/>
                <w:color w:val="auto"/>
              </w:rPr>
            </w:pPr>
            <w:r>
              <w:rPr>
                <w:rFonts w:ascii="Arial" w:cs="Arial" w:eastAsia="Arial" w:hAnsi="Arial"/>
                <w:sz w:val="15"/>
                <w:szCs w:val="15"/>
                <w:color w:val="auto"/>
              </w:rPr>
              <w:t>Adjusted Operating Cash Flow (non- GAAP)</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$447,029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338,349</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377,603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262,591</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$284,270</w:t>
            </w:r>
          </w:p>
        </w:tc>
      </w:tr>
      <w:tr>
        <w:trPr>
          <w:trHeight w:val="41"/>
        </w:trPr>
        <w:tc>
          <w:tcPr>
            <w:tcW w:w="4580" w:type="dxa"/>
            <w:vAlign w:val="bottom"/>
            <w:tcBorders>
              <w:bottom w:val="single" w:sz="8" w:color="4C4C50"/>
            </w:tcBorders>
          </w:tcPr>
          <w:p>
            <w:pPr>
              <w:spacing w:after="0"/>
              <w:rPr>
                <w:sz w:val="3"/>
                <w:szCs w:val="3"/>
                <w:color w:val="auto"/>
              </w:rPr>
            </w:pPr>
          </w:p>
        </w:tc>
        <w:tc>
          <w:tcPr>
            <w:tcW w:w="960" w:type="dxa"/>
            <w:vAlign w:val="bottom"/>
            <w:tcBorders>
              <w:bottom w:val="single" w:sz="8" w:color="4C4C50"/>
            </w:tcBorders>
          </w:tcPr>
          <w:p>
            <w:pPr>
              <w:spacing w:after="0"/>
              <w:rPr>
                <w:sz w:val="3"/>
                <w:szCs w:val="3"/>
                <w:color w:val="auto"/>
              </w:rPr>
            </w:pPr>
          </w:p>
        </w:tc>
        <w:tc>
          <w:tcPr>
            <w:tcW w:w="160" w:type="dxa"/>
            <w:vAlign w:val="bottom"/>
            <w:tcBorders>
              <w:bottom w:val="single" w:sz="8" w:color="4C4C50"/>
            </w:tcBorders>
          </w:tcPr>
          <w:p>
            <w:pPr>
              <w:spacing w:after="0"/>
              <w:rPr>
                <w:sz w:val="3"/>
                <w:szCs w:val="3"/>
                <w:color w:val="auto"/>
              </w:rPr>
            </w:pPr>
          </w:p>
        </w:tc>
        <w:tc>
          <w:tcPr>
            <w:tcW w:w="700" w:type="dxa"/>
            <w:vAlign w:val="bottom"/>
            <w:tcBorders>
              <w:bottom w:val="single" w:sz="8" w:color="4C4C50"/>
            </w:tcBorders>
          </w:tcPr>
          <w:p>
            <w:pPr>
              <w:spacing w:after="0"/>
              <w:rPr>
                <w:sz w:val="3"/>
                <w:szCs w:val="3"/>
                <w:color w:val="auto"/>
              </w:rPr>
            </w:pPr>
          </w:p>
        </w:tc>
        <w:tc>
          <w:tcPr>
            <w:tcW w:w="160" w:type="dxa"/>
            <w:vAlign w:val="bottom"/>
            <w:tcBorders>
              <w:bottom w:val="single" w:sz="8" w:color="4C4C50"/>
            </w:tcBorders>
          </w:tcPr>
          <w:p>
            <w:pPr>
              <w:spacing w:after="0"/>
              <w:rPr>
                <w:sz w:val="3"/>
                <w:szCs w:val="3"/>
                <w:color w:val="auto"/>
              </w:rPr>
            </w:pPr>
          </w:p>
        </w:tc>
        <w:tc>
          <w:tcPr>
            <w:tcW w:w="700" w:type="dxa"/>
            <w:vAlign w:val="bottom"/>
            <w:tcBorders>
              <w:bottom w:val="single" w:sz="8" w:color="4C4C50"/>
            </w:tcBorders>
          </w:tcPr>
          <w:p>
            <w:pPr>
              <w:spacing w:after="0"/>
              <w:rPr>
                <w:sz w:val="3"/>
                <w:szCs w:val="3"/>
                <w:color w:val="auto"/>
              </w:rPr>
            </w:pPr>
          </w:p>
        </w:tc>
        <w:tc>
          <w:tcPr>
            <w:tcW w:w="160" w:type="dxa"/>
            <w:vAlign w:val="bottom"/>
            <w:tcBorders>
              <w:bottom w:val="single" w:sz="8" w:color="4C4C50"/>
            </w:tcBorders>
          </w:tcPr>
          <w:p>
            <w:pPr>
              <w:spacing w:after="0"/>
              <w:rPr>
                <w:sz w:val="3"/>
                <w:szCs w:val="3"/>
                <w:color w:val="auto"/>
              </w:rPr>
            </w:pPr>
          </w:p>
        </w:tc>
        <w:tc>
          <w:tcPr>
            <w:tcW w:w="640" w:type="dxa"/>
            <w:vAlign w:val="bottom"/>
            <w:tcBorders>
              <w:bottom w:val="single" w:sz="8" w:color="4C4C50"/>
            </w:tcBorders>
          </w:tcPr>
          <w:p>
            <w:pPr>
              <w:spacing w:after="0"/>
              <w:rPr>
                <w:sz w:val="3"/>
                <w:szCs w:val="3"/>
                <w:color w:val="auto"/>
              </w:rPr>
            </w:pPr>
          </w:p>
        </w:tc>
        <w:tc>
          <w:tcPr>
            <w:tcW w:w="780" w:type="dxa"/>
            <w:vAlign w:val="bottom"/>
            <w:tcBorders>
              <w:bottom w:val="single" w:sz="8" w:color="4C4C50"/>
            </w:tcBorders>
          </w:tcPr>
          <w:p>
            <w:pPr>
              <w:spacing w:after="0"/>
              <w:rPr>
                <w:sz w:val="3"/>
                <w:szCs w:val="3"/>
                <w:color w:val="auto"/>
              </w:rPr>
            </w:pPr>
          </w:p>
        </w:tc>
      </w:tr>
    </w:tbl>
    <w:p>
      <w:pPr>
        <w:spacing w:after="0" w:line="73" w:lineRule="exact"/>
        <w:rPr>
          <w:sz w:val="20"/>
          <w:szCs w:val="20"/>
          <w:color w:val="auto"/>
        </w:rPr>
      </w:pPr>
    </w:p>
    <w:p>
      <w:pPr>
        <w:sectPr>
          <w:pgSz w:w="12240" w:h="15668" w:orient="portrait"/>
          <w:cols w:equalWidth="0" w:num="1">
            <w:col w:w="12160"/>
          </w:cols>
          <w:pgMar w:left="0" w:top="0" w:right="85" w:bottom="410" w:gutter="0" w:footer="0" w:header="0"/>
        </w:sectPr>
      </w:pPr>
    </w:p>
    <w:p>
      <w:pPr>
        <w:ind w:left="1700" w:right="1620"/>
        <w:spacing w:after="0" w:line="264" w:lineRule="auto"/>
        <w:rPr>
          <w:sz w:val="20"/>
          <w:szCs w:val="20"/>
          <w:color w:val="auto"/>
        </w:rPr>
      </w:pPr>
      <w:r>
        <w:rPr>
          <w:rFonts w:ascii="Arial" w:cs="Arial" w:eastAsia="Arial" w:hAnsi="Arial"/>
          <w:sz w:val="14"/>
          <w:szCs w:val="14"/>
          <w:i w:val="1"/>
          <w:iCs w:val="1"/>
          <w:color w:val="auto"/>
        </w:rPr>
        <w:t>&lt;'&gt;Adjusted Operating Cash Flow (non-GAAP) is calculated as Operating Income excluding Amortization of lntang;bte Assets and Impairment of Goodwill and Other Long-Lived Assets plus Depreciation Expense and Pension Service Cost.</w:t>
      </w:r>
    </w:p>
    <w:p>
      <w:pPr>
        <w:sectPr>
          <w:pgSz w:w="12240" w:h="15668" w:orient="portrait"/>
          <w:cols w:equalWidth="0" w:num="1">
            <w:col w:w="12160"/>
          </w:cols>
          <w:pgMar w:left="0" w:top="0" w:right="85" w:bottom="41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324"/>
        </w:trPr>
        <w:tc>
          <w:tcPr>
            <w:tcW w:w="240" w:type="dxa"/>
            <w:vAlign w:val="bottom"/>
          </w:tcPr>
          <w:p>
            <w:pPr>
              <w:ind w:left="20"/>
              <w:spacing w:after="0" w:line="323" w:lineRule="exact"/>
              <w:rPr>
                <w:sz w:val="20"/>
                <w:szCs w:val="20"/>
                <w:color w:val="auto"/>
              </w:rPr>
            </w:pPr>
            <w:r>
              <w:rPr>
                <w:rFonts w:ascii="Arial" w:cs="Arial" w:eastAsia="Arial" w:hAnsi="Arial"/>
                <w:sz w:val="34"/>
                <w:szCs w:val="34"/>
                <w:color w:val="auto"/>
              </w:rPr>
              <w:t>•</w:t>
            </w:r>
          </w:p>
        </w:tc>
        <w:tc>
          <w:tcPr>
            <w:tcW w:w="1520" w:type="dxa"/>
            <w:vAlign w:val="bottom"/>
          </w:tcPr>
          <w:p>
            <w:pPr>
              <w:ind w:left="100"/>
              <w:spacing w:after="0" w:line="323" w:lineRule="exact"/>
              <w:rPr>
                <w:sz w:val="20"/>
                <w:szCs w:val="20"/>
                <w:color w:val="auto"/>
              </w:rPr>
            </w:pPr>
            <w:r>
              <w:rPr>
                <w:rFonts w:ascii="Arial" w:cs="Arial" w:eastAsia="Arial" w:hAnsi="Arial"/>
                <w:sz w:val="34"/>
                <w:szCs w:val="34"/>
                <w:b w:val="1"/>
                <w:bCs w:val="1"/>
                <w:color w:val="auto"/>
              </w:rPr>
              <w:t xml:space="preserve">e </w:t>
            </w:r>
            <w:r>
              <w:rPr>
                <w:rFonts w:ascii="Arial" w:cs="Arial" w:eastAsia="Arial" w:hAnsi="Arial"/>
                <w:sz w:val="34"/>
                <w:szCs w:val="34"/>
                <w:color w:val="auto"/>
              </w:rPr>
              <w:t>. , .,</w:t>
            </w:r>
            <w:r>
              <w:rPr>
                <w:rFonts w:ascii="Arial" w:cs="Arial" w:eastAsia="Arial" w:hAnsi="Arial"/>
                <w:sz w:val="34"/>
                <w:szCs w:val="34"/>
                <w:b w:val="1"/>
                <w:bCs w:val="1"/>
                <w:color w:val="auto"/>
              </w:rPr>
              <w:t xml:space="preserve"> </w:t>
            </w:r>
            <w:r>
              <w:rPr>
                <w:rFonts w:ascii="Times New Roman" w:cs="Times New Roman" w:eastAsia="Times New Roman" w:hAnsi="Times New Roman"/>
                <w:sz w:val="30"/>
                <w:szCs w:val="30"/>
                <w:b w:val="1"/>
                <w:bCs w:val="1"/>
                <w:color w:val="auto"/>
              </w:rPr>
              <w:t>e</w:t>
            </w:r>
          </w:p>
        </w:tc>
        <w:tc>
          <w:tcPr>
            <w:tcW w:w="3600" w:type="dxa"/>
            <w:vAlign w:val="bottom"/>
            <w:vMerge w:val="restart"/>
          </w:tcPr>
          <w:p>
            <w:pPr>
              <w:ind w:left="360"/>
              <w:spacing w:after="0" w:line="324" w:lineRule="exact"/>
              <w:rPr>
                <w:sz w:val="20"/>
                <w:szCs w:val="20"/>
                <w:color w:val="auto"/>
              </w:rPr>
            </w:pPr>
            <w:r>
              <w:rPr>
                <w:rFonts w:ascii="Arial" w:cs="Arial" w:eastAsia="Arial" w:hAnsi="Arial"/>
                <w:sz w:val="27"/>
                <w:szCs w:val="27"/>
                <w:b w:val="1"/>
                <w:bCs w:val="1"/>
                <w:color w:val="auto"/>
              </w:rPr>
              <w:t xml:space="preserve">8 </w:t>
            </w:r>
            <w:r>
              <w:rPr>
                <w:rFonts w:ascii="Times New Roman" w:cs="Times New Roman" w:eastAsia="Times New Roman" w:hAnsi="Times New Roman"/>
                <w:sz w:val="37"/>
                <w:szCs w:val="37"/>
                <w:b w:val="1"/>
                <w:bCs w:val="1"/>
                <w:color w:val="auto"/>
              </w:rPr>
              <w:t>e e e e</w:t>
            </w:r>
            <w:r>
              <w:rPr>
                <w:rFonts w:ascii="Arial" w:cs="Arial" w:eastAsia="Arial" w:hAnsi="Arial"/>
                <w:sz w:val="27"/>
                <w:szCs w:val="27"/>
                <w:b w:val="1"/>
                <w:bCs w:val="1"/>
                <w:color w:val="auto"/>
              </w:rPr>
              <w:t xml:space="preserve"> </w:t>
            </w:r>
            <w:r>
              <w:rPr>
                <w:rFonts w:ascii="Times New Roman" w:cs="Times New Roman" w:eastAsia="Times New Roman" w:hAnsi="Times New Roman"/>
                <w:sz w:val="37"/>
                <w:szCs w:val="37"/>
                <w:color w:val="auto"/>
              </w:rPr>
              <w:t>• • • ••</w:t>
            </w:r>
          </w:p>
        </w:tc>
        <w:tc>
          <w:tcPr>
            <w:tcW w:w="2180" w:type="dxa"/>
            <w:vAlign w:val="bottom"/>
            <w:vMerge w:val="restart"/>
          </w:tcPr>
          <w:p>
            <w:pPr>
              <w:ind w:left="1200"/>
              <w:spacing w:after="0" w:line="324" w:lineRule="exact"/>
              <w:rPr>
                <w:sz w:val="20"/>
                <w:szCs w:val="20"/>
                <w:color w:val="auto"/>
              </w:rPr>
            </w:pPr>
            <w:r>
              <w:rPr>
                <w:rFonts w:ascii="Arial" w:cs="Arial" w:eastAsia="Arial" w:hAnsi="Arial"/>
                <w:sz w:val="18"/>
                <w:szCs w:val="18"/>
                <w:color w:val="auto"/>
              </w:rPr>
              <w:t xml:space="preserve">.. •, </w:t>
            </w:r>
            <w:r>
              <w:rPr>
                <w:rFonts w:ascii="Times New Roman" w:cs="Times New Roman" w:eastAsia="Times New Roman" w:hAnsi="Times New Roman"/>
                <w:sz w:val="34"/>
                <w:szCs w:val="34"/>
                <w:color w:val="auto"/>
                <w:vertAlign w:val="subscript"/>
              </w:rPr>
              <w:t>1 1</w:t>
            </w:r>
          </w:p>
        </w:tc>
        <w:tc>
          <w:tcPr>
            <w:tcW w:w="140" w:type="dxa"/>
            <w:vAlign w:val="bottom"/>
          </w:tcPr>
          <w:p>
            <w:pPr>
              <w:spacing w:after="0"/>
              <w:rPr>
                <w:sz w:val="24"/>
                <w:szCs w:val="24"/>
                <w:color w:val="auto"/>
              </w:rPr>
            </w:pPr>
          </w:p>
        </w:tc>
        <w:tc>
          <w:tcPr>
            <w:tcW w:w="480" w:type="dxa"/>
            <w:vAlign w:val="bottom"/>
          </w:tcPr>
          <w:p>
            <w:pPr>
              <w:jc w:val="right"/>
              <w:ind w:right="24"/>
              <w:spacing w:after="0" w:line="324" w:lineRule="exact"/>
              <w:rPr>
                <w:sz w:val="20"/>
                <w:szCs w:val="20"/>
                <w:color w:val="auto"/>
              </w:rPr>
            </w:pPr>
            <w:r>
              <w:rPr>
                <w:rFonts w:ascii="Times New Roman" w:cs="Times New Roman" w:eastAsia="Times New Roman" w:hAnsi="Times New Roman"/>
                <w:sz w:val="15"/>
                <w:szCs w:val="15"/>
                <w:color w:val="auto"/>
              </w:rPr>
              <w:t xml:space="preserve">1  1 </w:t>
            </w:r>
            <w:r>
              <w:rPr>
                <w:rFonts w:ascii="Times New Roman" w:cs="Times New Roman" w:eastAsia="Times New Roman" w:hAnsi="Times New Roman"/>
                <w:sz w:val="30"/>
                <w:szCs w:val="30"/>
                <w:color w:val="auto"/>
                <w:vertAlign w:val="superscript"/>
              </w:rPr>
              <w:t>,</w:t>
            </w:r>
          </w:p>
        </w:tc>
        <w:tc>
          <w:tcPr>
            <w:tcW w:w="3980" w:type="dxa"/>
            <w:vAlign w:val="bottom"/>
          </w:tcPr>
          <w:p>
            <w:pPr>
              <w:ind w:left="40"/>
              <w:spacing w:after="0" w:line="324" w:lineRule="exact"/>
              <w:rPr>
                <w:sz w:val="20"/>
                <w:szCs w:val="20"/>
                <w:color w:val="auto"/>
              </w:rPr>
            </w:pPr>
            <w:r>
              <w:rPr>
                <w:rFonts w:ascii="Times New Roman" w:cs="Times New Roman" w:eastAsia="Times New Roman" w:hAnsi="Times New Roman"/>
                <w:sz w:val="30"/>
                <w:szCs w:val="30"/>
                <w:color w:val="auto"/>
                <w:vertAlign w:val="subscript"/>
              </w:rPr>
              <w:t>1 1 1 11 1</w:t>
            </w:r>
            <w:r>
              <w:rPr>
                <w:rFonts w:ascii="Times New Roman" w:cs="Times New Roman" w:eastAsia="Times New Roman" w:hAnsi="Times New Roman"/>
                <w:sz w:val="15"/>
                <w:szCs w:val="15"/>
                <w:color w:val="auto"/>
              </w:rPr>
              <w:t xml:space="preserve"> 11 </w:t>
            </w:r>
            <w:r>
              <w:rPr>
                <w:rFonts w:ascii="Times New Roman" w:cs="Times New Roman" w:eastAsia="Times New Roman" w:hAnsi="Times New Roman"/>
                <w:sz w:val="15"/>
                <w:szCs w:val="15"/>
                <w:b w:val="1"/>
                <w:bCs w:val="1"/>
                <w:color w:val="auto"/>
              </w:rPr>
              <w:t>:t 't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6"/>
                <w:szCs w:val="16"/>
                <w:b w:val="1"/>
                <w:bCs w:val="1"/>
                <w:color w:val="auto"/>
              </w:rPr>
              <w:t>11</w:t>
            </w:r>
            <w:r>
              <w:rPr>
                <w:rFonts w:ascii="Times New Roman" w:cs="Times New Roman" w:eastAsia="Times New Roman" w:hAnsi="Times New Roman"/>
                <w:sz w:val="15"/>
                <w:szCs w:val="15"/>
                <w:color w:val="auto"/>
              </w:rPr>
              <w:t xml:space="preserve"> </w:t>
            </w:r>
            <w:r>
              <w:rPr>
                <w:rFonts w:ascii="Arial" w:cs="Arial" w:eastAsia="Arial" w:hAnsi="Arial"/>
                <w:sz w:val="20"/>
                <w:szCs w:val="20"/>
                <w:color w:val="auto"/>
              </w:rPr>
              <w:t>~~ntii iiHt~t</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0"/>
        </w:trPr>
        <w:tc>
          <w:tcPr>
            <w:tcW w:w="240" w:type="dxa"/>
            <w:vAlign w:val="bottom"/>
          </w:tcPr>
          <w:p>
            <w:pPr>
              <w:spacing w:after="0" w:line="1" w:lineRule="exact"/>
              <w:rPr>
                <w:sz w:val="20"/>
                <w:szCs w:val="20"/>
                <w:color w:val="auto"/>
              </w:rPr>
            </w:pPr>
            <w:r>
              <w:rPr>
                <w:rFonts w:ascii="Times New Roman" w:cs="Times New Roman" w:eastAsia="Times New Roman" w:hAnsi="Times New Roman"/>
                <w:sz w:val="1"/>
                <w:szCs w:val="1"/>
                <w:b w:val="1"/>
                <w:bCs w:val="1"/>
                <w:color w:val="auto"/>
              </w:rPr>
              <w:t>a</w:t>
            </w:r>
          </w:p>
        </w:tc>
        <w:tc>
          <w:tcPr>
            <w:tcW w:w="1520" w:type="dxa"/>
            <w:vAlign w:val="bottom"/>
          </w:tcPr>
          <w:p>
            <w:pPr>
              <w:ind w:left="100"/>
              <w:spacing w:after="0" w:line="1" w:lineRule="exact"/>
              <w:rPr>
                <w:sz w:val="20"/>
                <w:szCs w:val="20"/>
                <w:color w:val="auto"/>
              </w:rPr>
            </w:pPr>
            <w:r>
              <w:rPr>
                <w:rFonts w:ascii="Times New Roman" w:cs="Times New Roman" w:eastAsia="Times New Roman" w:hAnsi="Times New Roman"/>
                <w:sz w:val="1"/>
                <w:szCs w:val="1"/>
                <w:color w:val="auto"/>
              </w:rPr>
              <w:t xml:space="preserve">. , </w:t>
            </w:r>
            <w:r>
              <w:rPr>
                <w:rFonts w:ascii="Arial" w:cs="Arial" w:eastAsia="Arial" w:hAnsi="Arial"/>
                <w:sz w:val="1"/>
                <w:szCs w:val="1"/>
                <w:color w:val="auto"/>
              </w:rPr>
              <w:t>8 , •   •</w:t>
            </w:r>
          </w:p>
        </w:tc>
        <w:tc>
          <w:tcPr>
            <w:tcW w:w="3600" w:type="dxa"/>
            <w:vAlign w:val="bottom"/>
            <w:vMerge w:val="continue"/>
          </w:tcPr>
          <w:p>
            <w:pPr>
              <w:spacing w:after="0" w:line="20" w:lineRule="exact"/>
              <w:rPr>
                <w:sz w:val="1"/>
                <w:szCs w:val="1"/>
                <w:color w:val="auto"/>
              </w:rPr>
            </w:pPr>
          </w:p>
        </w:tc>
        <w:tc>
          <w:tcPr>
            <w:tcW w:w="2180" w:type="dxa"/>
            <w:vAlign w:val="bottom"/>
            <w:vMerge w:val="continue"/>
          </w:tcPr>
          <w:p>
            <w:pPr>
              <w:spacing w:after="0" w:line="20" w:lineRule="exact"/>
              <w:rPr>
                <w:sz w:val="1"/>
                <w:szCs w:val="1"/>
                <w:color w:val="auto"/>
              </w:rPr>
            </w:pPr>
          </w:p>
        </w:tc>
        <w:tc>
          <w:tcPr>
            <w:tcW w:w="620" w:type="dxa"/>
            <w:vAlign w:val="bottom"/>
            <w:gridSpan w:val="2"/>
          </w:tcPr>
          <w:p>
            <w:pPr>
              <w:ind w:left="40"/>
              <w:spacing w:after="0" w:line="1" w:lineRule="exact"/>
              <w:rPr>
                <w:sz w:val="20"/>
                <w:szCs w:val="20"/>
                <w:color w:val="auto"/>
              </w:rPr>
            </w:pPr>
            <w:r>
              <w:rPr>
                <w:rFonts w:ascii="Times New Roman" w:cs="Times New Roman" w:eastAsia="Times New Roman" w:hAnsi="Times New Roman"/>
                <w:sz w:val="1"/>
                <w:szCs w:val="1"/>
                <w:color w:val="auto"/>
              </w:rPr>
              <w:t>••• ,1</w:t>
            </w:r>
          </w:p>
        </w:tc>
        <w:tc>
          <w:tcPr>
            <w:tcW w:w="3980" w:type="dxa"/>
            <w:vAlign w:val="bottom"/>
          </w:tcPr>
          <w:p>
            <w:pPr>
              <w:ind w:left="2660"/>
              <w:spacing w:after="0" w:line="1" w:lineRule="exact"/>
              <w:rPr>
                <w:sz w:val="20"/>
                <w:szCs w:val="20"/>
                <w:color w:val="auto"/>
              </w:rPr>
            </w:pPr>
            <w:r>
              <w:rPr>
                <w:rFonts w:ascii="Times New Roman" w:cs="Times New Roman" w:eastAsia="Times New Roman" w:hAnsi="Times New Roman"/>
                <w:sz w:val="1"/>
                <w:szCs w:val="1"/>
                <w:color w:val="auto"/>
              </w:rPr>
              <w:t xml:space="preserve">1 ,,, • </w:t>
            </w:r>
            <w:r>
              <w:rPr>
                <w:rFonts w:ascii="Times New Roman" w:cs="Times New Roman" w:eastAsia="Times New Roman" w:hAnsi="Times New Roman"/>
                <w:sz w:val="1"/>
                <w:szCs w:val="1"/>
                <w:i w:val="1"/>
                <w:iCs w:val="1"/>
                <w:color w:val="auto"/>
              </w:rPr>
              <w:t>n t•·•t•</w:t>
            </w:r>
            <w:r>
              <w:rPr>
                <w:rFonts w:ascii="Arial" w:cs="Arial" w:eastAsia="Arial" w:hAnsi="Arial"/>
                <w:sz w:val="1"/>
                <w:szCs w:val="1"/>
                <w:color w:val="auto"/>
              </w:rPr>
              <w:t>e~t'~'-'-.</w:t>
            </w:r>
            <w:r>
              <w:rPr>
                <w:rFonts w:ascii="Times New Roman" w:cs="Times New Roman" w:eastAsia="Times New Roman" w:hAnsi="Times New Roman"/>
                <w:sz w:val="1"/>
                <w:szCs w:val="1"/>
                <w:color w:val="auto"/>
              </w:rPr>
              <w:t xml:space="preserve"> _</w:t>
            </w:r>
            <w:r>
              <w:rPr>
                <w:rFonts w:ascii="Times New Roman" w:cs="Times New Roman" w:eastAsia="Times New Roman" w:hAnsi="Times New Roman"/>
                <w:sz w:val="1"/>
                <w:szCs w:val="1"/>
                <w:b w:val="1"/>
                <w:bCs w:val="1"/>
                <w:color w:val="auto"/>
              </w:rPr>
              <w:t>u•••""'"!'-</w:t>
            </w:r>
          </w:p>
        </w:tc>
        <w:tc>
          <w:tcPr>
            <w:tcW w:w="0" w:type="dxa"/>
            <w:vAlign w:val="bottom"/>
          </w:tcPr>
          <w:p>
            <w:pPr>
              <w:spacing w:after="0" w:line="20" w:lineRule="exact"/>
              <w:rPr>
                <w:sz w:val="1"/>
                <w:szCs w:val="1"/>
                <w:color w:val="auto"/>
              </w:rPr>
            </w:pPr>
          </w:p>
        </w:tc>
      </w:tr>
      <w:tr>
        <w:trPr>
          <w:trHeight w:val="208"/>
        </w:trPr>
        <w:tc>
          <w:tcPr>
            <w:tcW w:w="2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600" w:type="dxa"/>
            <w:vAlign w:val="bottom"/>
          </w:tcPr>
          <w:p>
            <w:pPr>
              <w:ind w:left="2540"/>
              <w:spacing w:after="0" w:line="201" w:lineRule="exact"/>
              <w:rPr>
                <w:sz w:val="20"/>
                <w:szCs w:val="20"/>
                <w:color w:val="auto"/>
              </w:rPr>
            </w:pPr>
            <w:r>
              <w:rPr>
                <w:rFonts w:ascii="Arial" w:cs="Arial" w:eastAsia="Arial" w:hAnsi="Arial"/>
                <w:sz w:val="18"/>
                <w:szCs w:val="18"/>
                <w:color w:val="auto"/>
              </w:rPr>
              <w:t>'   ••••</w:t>
            </w:r>
          </w:p>
        </w:tc>
        <w:tc>
          <w:tcPr>
            <w:tcW w:w="2180" w:type="dxa"/>
            <w:vAlign w:val="bottom"/>
          </w:tcPr>
          <w:p>
            <w:pPr>
              <w:ind w:left="100"/>
              <w:spacing w:after="0" w:line="207" w:lineRule="exact"/>
              <w:rPr>
                <w:sz w:val="20"/>
                <w:szCs w:val="20"/>
                <w:color w:val="auto"/>
              </w:rPr>
            </w:pPr>
            <w:r>
              <w:rPr>
                <w:rFonts w:ascii="Arial" w:cs="Arial" w:eastAsia="Arial" w:hAnsi="Arial"/>
                <w:sz w:val="18"/>
                <w:szCs w:val="18"/>
                <w:b w:val="1"/>
                <w:bCs w:val="1"/>
                <w:color w:val="auto"/>
              </w:rPr>
              <w:t xml:space="preserve">t  </w:t>
            </w:r>
            <w:r>
              <w:rPr>
                <w:rFonts w:ascii="Arial" w:cs="Arial" w:eastAsia="Arial" w:hAnsi="Arial"/>
                <w:sz w:val="18"/>
                <w:szCs w:val="18"/>
                <w:color w:val="auto"/>
              </w:rPr>
              <w:t>••••   '   ••  • •</w:t>
            </w:r>
          </w:p>
        </w:tc>
        <w:tc>
          <w:tcPr>
            <w:tcW w:w="140" w:type="dxa"/>
            <w:vAlign w:val="bottom"/>
          </w:tcPr>
          <w:p>
            <w:pPr>
              <w:ind w:left="40"/>
              <w:spacing w:after="0" w:line="201" w:lineRule="exact"/>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980" w:type="dxa"/>
            <w:vAlign w:val="bottom"/>
          </w:tcPr>
          <w:p>
            <w:pPr>
              <w:jc w:val="right"/>
              <w:ind w:right="102"/>
              <w:spacing w:after="0" w:line="201" w:lineRule="exact"/>
              <w:rPr>
                <w:sz w:val="20"/>
                <w:szCs w:val="20"/>
                <w:color w:val="auto"/>
              </w:rPr>
            </w:pPr>
            <w:r>
              <w:rPr>
                <w:rFonts w:ascii="Arial" w:cs="Arial" w:eastAsia="Arial" w:hAnsi="Arial"/>
                <w:sz w:val="18"/>
                <w:szCs w:val="18"/>
                <w:color w:val="auto"/>
              </w:rPr>
              <w:t>-  --.-- ... .. ..,.........</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353" w:lineRule="exact"/>
        <w:rPr>
          <w:sz w:val="20"/>
          <w:szCs w:val="20"/>
          <w:color w:val="auto"/>
        </w:rPr>
      </w:pPr>
    </w:p>
    <w:p>
      <w:pPr>
        <w:ind w:left="1340"/>
        <w:spacing w:after="0"/>
        <w:rPr>
          <w:sz w:val="20"/>
          <w:szCs w:val="20"/>
          <w:color w:val="auto"/>
        </w:rPr>
      </w:pPr>
      <w:r>
        <w:rPr>
          <w:rFonts w:ascii="Arial" w:cs="Arial" w:eastAsia="Arial" w:hAnsi="Arial"/>
          <w:sz w:val="66"/>
          <w:szCs w:val="66"/>
          <w:b w:val="1"/>
          <w:bCs w:val="1"/>
          <w:color w:val="auto"/>
        </w:rPr>
        <w:t xml:space="preserve">I </w:t>
      </w:r>
      <w:r>
        <w:rPr>
          <w:rFonts w:ascii="Arial" w:cs="Arial" w:eastAsia="Arial" w:hAnsi="Arial"/>
          <w:sz w:val="31"/>
          <w:szCs w:val="31"/>
          <w:b w:val="1"/>
          <w:bCs w:val="1"/>
          <w:color w:val="auto"/>
        </w:rPr>
        <w:t>TO OUR SHAREHOLDERS</w:t>
      </w:r>
    </w:p>
    <w:p>
      <w:pPr>
        <w:sectPr>
          <w:pgSz w:w="12240" w:h="15668" w:orient="portrait"/>
          <w:cols w:equalWidth="0" w:num="1">
            <w:col w:w="12140"/>
          </w:cols>
          <w:pgMar w:left="80" w:top="0" w:right="25" w:bottom="0" w:gutter="0" w:footer="0" w:header="0"/>
        </w:sectPr>
      </w:pPr>
    </w:p>
    <w:p>
      <w:pPr>
        <w:spacing w:after="0" w:line="200" w:lineRule="exact"/>
        <w:rPr>
          <w:sz w:val="20"/>
          <w:szCs w:val="20"/>
          <w:color w:val="auto"/>
        </w:rPr>
      </w:pPr>
    </w:p>
    <w:p>
      <w:pPr>
        <w:spacing w:after="0" w:line="318" w:lineRule="exact"/>
        <w:rPr>
          <w:sz w:val="20"/>
          <w:szCs w:val="20"/>
          <w:color w:val="auto"/>
        </w:rPr>
      </w:pPr>
    </w:p>
    <w:p>
      <w:pPr>
        <w:jc w:val="both"/>
        <w:ind w:left="1360"/>
        <w:spacing w:after="0" w:line="335" w:lineRule="auto"/>
        <w:rPr>
          <w:sz w:val="20"/>
          <w:szCs w:val="20"/>
          <w:color w:val="auto"/>
        </w:rPr>
      </w:pPr>
      <w:r>
        <w:rPr>
          <w:rFonts w:ascii="Arial" w:cs="Arial" w:eastAsia="Arial" w:hAnsi="Arial"/>
          <w:sz w:val="20"/>
          <w:szCs w:val="20"/>
          <w:color w:val="auto"/>
        </w:rPr>
        <w:t>2024 was quite an unusual year. We had no meaningful acquisitions and made no new sizable investments. We'dprefer the opposite to be true. but not at the prevail ing market prices. Nonetheless. it was a very productive year for Graham Holdings Company. A few items of note:</w:t>
      </w:r>
    </w:p>
    <w:p>
      <w:pPr>
        <w:spacing w:after="0" w:line="200" w:lineRule="exact"/>
        <w:rPr>
          <w:sz w:val="20"/>
          <w:szCs w:val="20"/>
          <w:color w:val="auto"/>
        </w:rPr>
      </w:pPr>
    </w:p>
    <w:p>
      <w:pPr>
        <w:spacing w:after="0" w:line="268" w:lineRule="exact"/>
        <w:rPr>
          <w:sz w:val="20"/>
          <w:szCs w:val="20"/>
          <w:color w:val="auto"/>
        </w:rPr>
      </w:pPr>
    </w:p>
    <w:p>
      <w:pPr>
        <w:jc w:val="both"/>
        <w:ind w:left="1620" w:hanging="263"/>
        <w:spacing w:after="0" w:line="335" w:lineRule="auto"/>
        <w:tabs>
          <w:tab w:leader="none" w:pos="1623" w:val="left"/>
        </w:tabs>
        <w:numPr>
          <w:ilvl w:val="0"/>
          <w:numId w:val="1"/>
        </w:numPr>
        <w:rPr>
          <w:rFonts w:ascii="Arial" w:cs="Arial" w:eastAsia="Arial" w:hAnsi="Arial"/>
          <w:sz w:val="20"/>
          <w:szCs w:val="20"/>
          <w:color w:val="auto"/>
        </w:rPr>
      </w:pPr>
      <w:r>
        <w:rPr>
          <w:rFonts w:ascii="Arial" w:cs="Arial" w:eastAsia="Arial" w:hAnsi="Arial"/>
          <w:sz w:val="20"/>
          <w:szCs w:val="20"/>
          <w:color w:val="auto"/>
        </w:rPr>
        <w:t>Approximately 153,000 shares were repur-chased, reducing shares outstanding from the beginning of the year by 3.4%. The Company has now repurchased 20.7% of outstanding shares since January 1. 2020.</w:t>
      </w:r>
    </w:p>
    <w:p>
      <w:pPr>
        <w:spacing w:after="0" w:line="159" w:lineRule="exact"/>
        <w:rPr>
          <w:rFonts w:ascii="Arial" w:cs="Arial" w:eastAsia="Arial" w:hAnsi="Arial"/>
          <w:sz w:val="20"/>
          <w:szCs w:val="20"/>
          <w:color w:val="auto"/>
        </w:rPr>
      </w:pPr>
    </w:p>
    <w:p>
      <w:pPr>
        <w:ind w:left="1620" w:right="20" w:hanging="263"/>
        <w:spacing w:after="0" w:line="326" w:lineRule="auto"/>
        <w:tabs>
          <w:tab w:leader="none" w:pos="1627" w:val="left"/>
        </w:tabs>
        <w:numPr>
          <w:ilvl w:val="0"/>
          <w:numId w:val="1"/>
        </w:numPr>
        <w:rPr>
          <w:rFonts w:ascii="Arial" w:cs="Arial" w:eastAsia="Arial" w:hAnsi="Arial"/>
          <w:sz w:val="20"/>
          <w:szCs w:val="20"/>
          <w:color w:val="auto"/>
        </w:rPr>
      </w:pPr>
      <w:r>
        <w:rPr>
          <w:rFonts w:ascii="Arial" w:cs="Arial" w:eastAsia="Arial" w:hAnsi="Arial"/>
          <w:sz w:val="20"/>
          <w:szCs w:val="20"/>
          <w:color w:val="auto"/>
        </w:rPr>
        <w:t>Debt was reduced by $64 million over the course of the year.</w:t>
      </w:r>
    </w:p>
    <w:p>
      <w:pPr>
        <w:spacing w:after="0" w:line="176" w:lineRule="exact"/>
        <w:rPr>
          <w:rFonts w:ascii="Arial" w:cs="Arial" w:eastAsia="Arial" w:hAnsi="Arial"/>
          <w:sz w:val="20"/>
          <w:szCs w:val="20"/>
          <w:color w:val="auto"/>
        </w:rPr>
      </w:pPr>
    </w:p>
    <w:p>
      <w:pPr>
        <w:jc w:val="both"/>
        <w:ind w:left="1620" w:right="20" w:hanging="263"/>
        <w:spacing w:after="0" w:line="332" w:lineRule="auto"/>
        <w:tabs>
          <w:tab w:leader="none" w:pos="1622"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opened ten new Framebridge stores, two new restaurants at Clyde'sRestaurant Group, and a new plant at Hoover.</w:t>
      </w:r>
    </w:p>
    <w:p>
      <w:pPr>
        <w:spacing w:after="0" w:line="170" w:lineRule="exact"/>
        <w:rPr>
          <w:rFonts w:ascii="Arial" w:cs="Arial" w:eastAsia="Arial" w:hAnsi="Arial"/>
          <w:sz w:val="20"/>
          <w:szCs w:val="20"/>
          <w:color w:val="auto"/>
        </w:rPr>
      </w:pPr>
    </w:p>
    <w:p>
      <w:pPr>
        <w:jc w:val="both"/>
        <w:ind w:left="1620" w:hanging="263"/>
        <w:spacing w:after="0" w:line="331" w:lineRule="auto"/>
        <w:tabs>
          <w:tab w:leader="none" w:pos="1622" w:val="left"/>
        </w:tabs>
        <w:numPr>
          <w:ilvl w:val="0"/>
          <w:numId w:val="1"/>
        </w:numPr>
        <w:rPr>
          <w:rFonts w:ascii="Arial" w:cs="Arial" w:eastAsia="Arial" w:hAnsi="Arial"/>
          <w:sz w:val="20"/>
          <w:szCs w:val="20"/>
          <w:color w:val="auto"/>
        </w:rPr>
      </w:pPr>
      <w:r>
        <w:rPr>
          <w:rFonts w:ascii="Arial" w:cs="Arial" w:eastAsia="Arial" w:hAnsi="Arial"/>
          <w:sz w:val="20"/>
          <w:szCs w:val="20"/>
          <w:color w:val="auto"/>
        </w:rPr>
        <w:t>We strengthened operations at most units, resulting in increased operating cash flows. Our adjusted operating cash flow reached $447 million in 2024.</w:t>
      </w:r>
    </w:p>
    <w:p>
      <w:pPr>
        <w:spacing w:after="0" w:line="142" w:lineRule="exact"/>
        <w:rPr>
          <w:rFonts w:ascii="Arial" w:cs="Arial" w:eastAsia="Arial" w:hAnsi="Arial"/>
          <w:sz w:val="20"/>
          <w:szCs w:val="20"/>
          <w:color w:val="auto"/>
        </w:rPr>
      </w:pPr>
    </w:p>
    <w:p>
      <w:pPr>
        <w:jc w:val="both"/>
        <w:ind w:left="1620" w:hanging="263"/>
        <w:spacing w:after="0" w:line="311" w:lineRule="auto"/>
        <w:tabs>
          <w:tab w:leader="none" w:pos="1621" w:val="left"/>
        </w:tabs>
        <w:numPr>
          <w:ilvl w:val="0"/>
          <w:numId w:val="1"/>
        </w:numPr>
        <w:rPr>
          <w:rFonts w:ascii="Arial" w:cs="Arial" w:eastAsia="Arial" w:hAnsi="Arial"/>
          <w:sz w:val="20"/>
          <w:szCs w:val="20"/>
          <w:color w:val="auto"/>
        </w:rPr>
      </w:pPr>
      <w:r>
        <w:rPr>
          <w:rFonts w:ascii="Arial" w:cs="Arial" w:eastAsia="Arial" w:hAnsi="Arial"/>
          <w:sz w:val="20"/>
          <w:szCs w:val="20"/>
          <w:color w:val="auto"/>
        </w:rPr>
        <w:t>The Company completed a pension annuity transaction. We partnered with MassMutual to transfer $458 m illion of liabilities within the pension fund along with a similar amount of assets. As a result. the funding ratio of the pension trust ended the year significantly higher.</w:t>
      </w:r>
    </w:p>
    <w:p>
      <w:pPr>
        <w:spacing w:after="0" w:line="355" w:lineRule="exact"/>
        <w:rPr>
          <w:sz w:val="20"/>
          <w:szCs w:val="20"/>
          <w:color w:val="auto"/>
        </w:rPr>
      </w:pPr>
    </w:p>
    <w:p>
      <w:pPr>
        <w:jc w:val="both"/>
        <w:ind w:left="1360" w:firstLine="7"/>
        <w:spacing w:after="0" w:line="332" w:lineRule="auto"/>
        <w:rPr>
          <w:sz w:val="20"/>
          <w:szCs w:val="20"/>
          <w:color w:val="auto"/>
        </w:rPr>
      </w:pPr>
      <w:r>
        <w:rPr>
          <w:rFonts w:ascii="Arial" w:cs="Arial" w:eastAsia="Arial" w:hAnsi="Arial"/>
          <w:sz w:val="20"/>
          <w:szCs w:val="20"/>
          <w:color w:val="auto"/>
        </w:rPr>
        <w:t>Perhaps this year is most notable for its lack of major changes. Instead. our managers came to the office each day (yes, in most cases it is still an office). and continued to make good deci-sions and steady progress to deliver for our customers and shareholders. This is our day-in and day-out motivation. and it's not a new one. It will come as second nature to longtime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8" w:lineRule="exact"/>
        <w:rPr>
          <w:sz w:val="20"/>
          <w:szCs w:val="20"/>
          <w:color w:val="auto"/>
        </w:rPr>
      </w:pPr>
    </w:p>
    <w:p>
      <w:pPr>
        <w:jc w:val="both"/>
        <w:ind w:left="3" w:right="1420"/>
        <w:spacing w:after="0" w:line="327" w:lineRule="auto"/>
        <w:rPr>
          <w:sz w:val="20"/>
          <w:szCs w:val="20"/>
          <w:color w:val="auto"/>
        </w:rPr>
      </w:pPr>
      <w:r>
        <w:rPr>
          <w:rFonts w:ascii="Arial" w:cs="Arial" w:eastAsia="Arial" w:hAnsi="Arial"/>
          <w:sz w:val="20"/>
          <w:szCs w:val="20"/>
          <w:color w:val="auto"/>
        </w:rPr>
        <w:t>shareholders, but if you're new to Graham Holdings, it might be a good time to share our core beliefs:</w:t>
      </w:r>
    </w:p>
    <w:p>
      <w:pPr>
        <w:spacing w:after="0" w:line="176" w:lineRule="exact"/>
        <w:rPr>
          <w:sz w:val="20"/>
          <w:szCs w:val="20"/>
          <w:color w:val="auto"/>
        </w:rPr>
      </w:pPr>
    </w:p>
    <w:p>
      <w:pPr>
        <w:ind w:left="283" w:right="1440" w:hanging="274"/>
        <w:spacing w:after="0" w:line="336" w:lineRule="auto"/>
        <w:tabs>
          <w:tab w:leader="none" w:pos="285" w:val="left"/>
        </w:tabs>
        <w:numPr>
          <w:ilvl w:val="0"/>
          <w:numId w:val="2"/>
        </w:numPr>
        <w:rPr>
          <w:rFonts w:ascii="Arial" w:cs="Arial" w:eastAsia="Arial" w:hAnsi="Arial"/>
          <w:sz w:val="20"/>
          <w:szCs w:val="20"/>
          <w:color w:val="auto"/>
        </w:rPr>
      </w:pPr>
      <w:r>
        <w:rPr>
          <w:rFonts w:ascii="Arial" w:cs="Arial" w:eastAsia="Arial" w:hAnsi="Arial"/>
          <w:sz w:val="20"/>
          <w:szCs w:val="20"/>
          <w:color w:val="auto"/>
        </w:rPr>
        <w:t>You are our business partners and co-owners. and we work for you.</w:t>
      </w:r>
    </w:p>
    <w:p>
      <w:pPr>
        <w:spacing w:after="0" w:line="154" w:lineRule="exact"/>
        <w:rPr>
          <w:rFonts w:ascii="Arial" w:cs="Arial" w:eastAsia="Arial" w:hAnsi="Arial"/>
          <w:sz w:val="20"/>
          <w:szCs w:val="20"/>
          <w:color w:val="auto"/>
        </w:rPr>
      </w:pPr>
    </w:p>
    <w:p>
      <w:pPr>
        <w:jc w:val="both"/>
        <w:ind w:left="283" w:right="1440" w:hanging="274"/>
        <w:spacing w:after="0" w:line="329" w:lineRule="auto"/>
        <w:tabs>
          <w:tab w:leader="none" w:pos="284" w:val="left"/>
        </w:tabs>
        <w:numPr>
          <w:ilvl w:val="0"/>
          <w:numId w:val="2"/>
        </w:numPr>
        <w:rPr>
          <w:rFonts w:ascii="Arial" w:cs="Arial" w:eastAsia="Arial" w:hAnsi="Arial"/>
          <w:sz w:val="20"/>
          <w:szCs w:val="20"/>
          <w:color w:val="auto"/>
        </w:rPr>
      </w:pPr>
      <w:r>
        <w:rPr>
          <w:rFonts w:ascii="Arial" w:cs="Arial" w:eastAsia="Arial" w:hAnsi="Arial"/>
          <w:sz w:val="20"/>
          <w:szCs w:val="20"/>
          <w:color w:val="auto"/>
        </w:rPr>
        <w:t xml:space="preserve">We aim to be the most </w:t>
      </w:r>
      <w:r>
        <w:rPr>
          <w:rFonts w:ascii="Arial" w:cs="Arial" w:eastAsia="Arial" w:hAnsi="Arial"/>
          <w:sz w:val="20"/>
          <w:szCs w:val="20"/>
          <w:i w:val="1"/>
          <w:iCs w:val="1"/>
          <w:color w:val="auto"/>
        </w:rPr>
        <w:t>long-term</w:t>
      </w:r>
      <w:r>
        <w:rPr>
          <w:rFonts w:ascii="Arial" w:cs="Arial" w:eastAsia="Arial" w:hAnsi="Arial"/>
          <w:sz w:val="20"/>
          <w:szCs w:val="20"/>
          <w:color w:val="auto"/>
        </w:rPr>
        <w:t xml:space="preserve"> focused, shareholder-friendly company you can find.</w:t>
      </w:r>
    </w:p>
    <w:p>
      <w:pPr>
        <w:spacing w:after="0" w:line="173" w:lineRule="exact"/>
        <w:rPr>
          <w:rFonts w:ascii="Arial" w:cs="Arial" w:eastAsia="Arial" w:hAnsi="Arial"/>
          <w:sz w:val="20"/>
          <w:szCs w:val="20"/>
          <w:color w:val="auto"/>
        </w:rPr>
      </w:pPr>
    </w:p>
    <w:p>
      <w:pPr>
        <w:jc w:val="both"/>
        <w:ind w:left="283" w:right="1420" w:hanging="283"/>
        <w:spacing w:after="0" w:line="334" w:lineRule="auto"/>
        <w:tabs>
          <w:tab w:leader="none" w:pos="285" w:val="left"/>
        </w:tabs>
        <w:numPr>
          <w:ilvl w:val="0"/>
          <w:numId w:val="2"/>
        </w:numPr>
        <w:rPr>
          <w:rFonts w:ascii="Arial" w:cs="Arial" w:eastAsia="Arial" w:hAnsi="Arial"/>
          <w:sz w:val="20"/>
          <w:szCs w:val="20"/>
          <w:color w:val="auto"/>
        </w:rPr>
      </w:pPr>
      <w:r>
        <w:rPr>
          <w:rFonts w:ascii="Arial" w:cs="Arial" w:eastAsia="Arial" w:hAnsi="Arial"/>
          <w:sz w:val="20"/>
          <w:szCs w:val="20"/>
          <w:color w:val="auto"/>
        </w:rPr>
        <w:t>We measure our success based on long-term financial results, satisfied customers. and a culture that allows our employees to build careers and prosper.</w:t>
      </w:r>
    </w:p>
    <w:p>
      <w:pPr>
        <w:spacing w:after="0" w:line="322" w:lineRule="exact"/>
        <w:rPr>
          <w:sz w:val="20"/>
          <w:szCs w:val="20"/>
          <w:color w:val="auto"/>
        </w:rPr>
      </w:pPr>
    </w:p>
    <w:p>
      <w:pPr>
        <w:ind w:left="3" w:right="1300" w:firstLine="1"/>
        <w:spacing w:after="0" w:line="334" w:lineRule="auto"/>
        <w:rPr>
          <w:sz w:val="20"/>
          <w:szCs w:val="20"/>
          <w:color w:val="auto"/>
        </w:rPr>
      </w:pPr>
      <w:r>
        <w:rPr>
          <w:rFonts w:ascii="Arial" w:cs="Arial" w:eastAsia="Arial" w:hAnsi="Arial"/>
          <w:sz w:val="20"/>
          <w:szCs w:val="20"/>
          <w:color w:val="auto"/>
        </w:rPr>
        <w:t>The philosophy that these core beliefs represent has allowed the Company to reinvent itself many times over its 93-year history. I've recounted in past Annual Reports how the organization has transitioned from a media company to a holding company; how Kaplan has transitioned from a test prep company, to predominately a higher education institution. to an international education leader, and finally to a diversified education services company; and. how our healthcare operations have migrated from a mid-sized regional home health and hospice provider to a national healthcare services company.</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3" w:right="1420" w:firstLine="1"/>
        <w:spacing w:after="0" w:line="333" w:lineRule="auto"/>
        <w:rPr>
          <w:sz w:val="20"/>
          <w:szCs w:val="20"/>
          <w:color w:val="auto"/>
        </w:rPr>
      </w:pPr>
      <w:r>
        <w:rPr>
          <w:rFonts w:ascii="Arial" w:cs="Arial" w:eastAsia="Arial" w:hAnsi="Arial"/>
          <w:sz w:val="20"/>
          <w:szCs w:val="20"/>
          <w:color w:val="auto"/>
        </w:rPr>
        <w:t>The path is littered with the obituaries of failed corporate attempts at similar transitions. So why has it worked at Graham Holdings when it fails at so many other places? Corporate America is filled with smart management teams. made up of hard-working, motivated people. I would sug-gest the Graham Holdings team. while talented, does not possess a secret magic formula.</w:t>
      </w:r>
    </w:p>
    <w:p>
      <w:pPr>
        <w:spacing w:after="0" w:line="327" w:lineRule="exact"/>
        <w:rPr>
          <w:sz w:val="20"/>
          <w:szCs w:val="20"/>
          <w:color w:val="auto"/>
        </w:rPr>
      </w:pPr>
    </w:p>
    <w:p>
      <w:pPr>
        <w:jc w:val="both"/>
        <w:ind w:left="23" w:right="1440" w:hanging="5"/>
        <w:spacing w:after="0" w:line="326" w:lineRule="auto"/>
        <w:rPr>
          <w:sz w:val="20"/>
          <w:szCs w:val="20"/>
          <w:color w:val="auto"/>
        </w:rPr>
      </w:pPr>
      <w:r>
        <w:rPr>
          <w:rFonts w:ascii="Arial" w:cs="Arial" w:eastAsia="Arial" w:hAnsi="Arial"/>
          <w:sz w:val="20"/>
          <w:szCs w:val="20"/>
          <w:color w:val="auto"/>
        </w:rPr>
        <w:t>We</w:t>
      </w:r>
      <w:r>
        <w:rPr>
          <w:sz w:val="20"/>
          <w:szCs w:val="20"/>
          <w:color w:val="auto"/>
        </w:rPr>
        <w:t xml:space="preserve"> </w:t>
      </w:r>
      <w:r>
        <w:rPr>
          <w:rFonts w:ascii="Arial" w:cs="Arial" w:eastAsia="Arial" w:hAnsi="Arial"/>
          <w:sz w:val="20"/>
          <w:szCs w:val="20"/>
          <w:color w:val="auto"/>
        </w:rPr>
        <w:t>succeed where others have failed because of our culture. This culture has been</w:t>
      </w:r>
    </w:p>
    <w:p>
      <w:pPr>
        <w:spacing w:after="0" w:line="182" w:lineRule="exact"/>
        <w:rPr>
          <w:sz w:val="20"/>
          <w:szCs w:val="20"/>
          <w:color w:val="auto"/>
        </w:rPr>
      </w:pPr>
    </w:p>
    <w:p>
      <w:pPr>
        <w:sectPr>
          <w:pgSz w:w="12240" w:h="15668" w:orient="portrait"/>
          <w:cols w:equalWidth="0" w:num="2">
            <w:col w:w="5780" w:space="517"/>
            <w:col w:w="5843"/>
          </w:cols>
          <w:pgMar w:left="80" w:top="0" w:right="25" w:bottom="0" w:gutter="0" w:footer="0" w:header="0"/>
          <w:type w:val="continuous"/>
        </w:sectPr>
      </w:pPr>
    </w:p>
    <w:p>
      <w:pPr>
        <w:ind w:left="1520" w:hanging="161"/>
        <w:spacing w:after="0"/>
        <w:tabs>
          <w:tab w:leader="none" w:pos="15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3"/>
          <w:szCs w:val="13"/>
          <w:color w:val="auto"/>
        </w:rPr>
        <w:t xml:space="preserve">J </w:t>
      </w:r>
      <w:r>
        <w:rPr>
          <w:rFonts w:ascii="Arial" w:cs="Arial" w:eastAsia="Arial" w:hAnsi="Arial"/>
          <w:sz w:val="13"/>
          <w:szCs w:val="13"/>
          <w:i w:val="1"/>
          <w:iCs w:val="1"/>
          <w:color w:val="auto"/>
        </w:rPr>
        <w:t>GRAHAM HOLDINGS</w:t>
      </w:r>
    </w:p>
    <w:p>
      <w:pPr>
        <w:sectPr>
          <w:pgSz w:w="12240" w:h="15668" w:orient="portrait"/>
          <w:cols w:equalWidth="0" w:num="1">
            <w:col w:w="12140"/>
          </w:cols>
          <w:pgMar w:left="80" w:top="0" w:right="25" w:bottom="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73"/>
        </w:trPr>
        <w:tc>
          <w:tcPr>
            <w:tcW w:w="4580" w:type="dxa"/>
            <w:vAlign w:val="bottom"/>
          </w:tcPr>
          <w:p>
            <w:pPr>
              <w:jc w:val="center"/>
              <w:spacing w:after="0"/>
              <w:rPr>
                <w:sz w:val="20"/>
                <w:szCs w:val="20"/>
                <w:color w:val="auto"/>
              </w:rPr>
            </w:pPr>
            <w:r>
              <w:rPr>
                <w:rFonts w:ascii="Arial" w:cs="Arial" w:eastAsia="Arial" w:hAnsi="Arial"/>
                <w:sz w:val="13"/>
                <w:szCs w:val="13"/>
                <w:color w:val="auto"/>
              </w:rPr>
              <w:t xml:space="preserve">.............. . II </w:t>
            </w:r>
            <w:r>
              <w:rPr>
                <w:rFonts w:ascii="Times New Roman" w:cs="Times New Roman" w:eastAsia="Times New Roman" w:hAnsi="Times New Roman"/>
                <w:sz w:val="15"/>
                <w:szCs w:val="15"/>
                <w:b w:val="1"/>
                <w:bCs w:val="1"/>
                <w:color w:val="auto"/>
              </w:rPr>
              <w:t>tllit-;</w:t>
            </w:r>
            <w:r>
              <w:rPr>
                <w:rFonts w:ascii="Arial" w:cs="Arial" w:eastAsia="Arial" w:hAnsi="Arial"/>
                <w:sz w:val="13"/>
                <w:szCs w:val="13"/>
                <w:color w:val="auto"/>
              </w:rPr>
              <w:t xml:space="preserve"> H i l l I  </w:t>
            </w:r>
            <w:r>
              <w:rPr>
                <w:rFonts w:ascii="Times New Roman" w:cs="Times New Roman" w:eastAsia="Times New Roman" w:hAnsi="Times New Roman"/>
                <w:sz w:val="15"/>
                <w:szCs w:val="15"/>
                <w:b w:val="1"/>
                <w:bCs w:val="1"/>
                <w:color w:val="auto"/>
              </w:rPr>
              <w:t>llt-1</w:t>
            </w:r>
            <w:r>
              <w:rPr>
                <w:rFonts w:ascii="Arial" w:cs="Arial" w:eastAsia="Arial" w:hAnsi="Arial"/>
                <w:sz w:val="13"/>
                <w:szCs w:val="13"/>
                <w:color w:val="auto"/>
              </w:rPr>
              <w:t xml:space="preserve"> I  .... .  </w:t>
            </w:r>
            <w:r>
              <w:rPr>
                <w:rFonts w:ascii="Times New Roman" w:cs="Times New Roman" w:eastAsia="Times New Roman" w:hAnsi="Times New Roman"/>
                <w:sz w:val="15"/>
                <w:szCs w:val="15"/>
                <w:b w:val="1"/>
                <w:bCs w:val="1"/>
                <w:color w:val="auto"/>
              </w:rPr>
              <w:t>f  ••</w:t>
            </w: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39"/>
                <w:szCs w:val="39"/>
                <w:color w:val="auto"/>
              </w:rPr>
              <w:t xml:space="preserve">:::: </w:t>
            </w:r>
            <w:r>
              <w:rPr>
                <w:rFonts w:ascii="Times New Roman" w:cs="Times New Roman" w:eastAsia="Times New Roman" w:hAnsi="Times New Roman"/>
                <w:sz w:val="39"/>
                <w:szCs w:val="39"/>
                <w:color w:val="auto"/>
                <w:vertAlign w:val="superscript"/>
              </w:rPr>
              <w:t>111</w:t>
            </w: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40" w:type="dxa"/>
            <w:vAlign w:val="bottom"/>
          </w:tcPr>
          <w:p>
            <w:pPr>
              <w:ind w:left="1660"/>
              <w:spacing w:after="0"/>
              <w:rPr>
                <w:sz w:val="20"/>
                <w:szCs w:val="20"/>
                <w:color w:val="auto"/>
              </w:rPr>
            </w:pPr>
            <w:r>
              <w:rPr>
                <w:rFonts w:ascii="Arial" w:cs="Arial" w:eastAsia="Arial" w:hAnsi="Arial"/>
                <w:sz w:val="13"/>
                <w:szCs w:val="13"/>
                <w:color w:val="auto"/>
              </w:rPr>
              <w:t>I</w:t>
            </w:r>
          </w:p>
        </w:tc>
        <w:tc>
          <w:tcPr>
            <w:tcW w:w="2260" w:type="dxa"/>
            <w:vAlign w:val="bottom"/>
          </w:tcPr>
          <w:p>
            <w:pPr>
              <w:ind w:left="180"/>
              <w:spacing w:after="0"/>
              <w:rPr>
                <w:sz w:val="20"/>
                <w:szCs w:val="20"/>
                <w:color w:val="auto"/>
              </w:rPr>
            </w:pPr>
            <w:r>
              <w:rPr>
                <w:rFonts w:ascii="Arial" w:cs="Arial" w:eastAsia="Arial" w:hAnsi="Arial"/>
                <w:sz w:val="9"/>
                <w:szCs w:val="9"/>
                <w:color w:val="auto"/>
                <w:w w:val="77"/>
              </w:rPr>
              <w:t>II</w:t>
            </w:r>
          </w:p>
        </w:tc>
        <w:tc>
          <w:tcPr>
            <w:tcW w:w="1640" w:type="dxa"/>
            <w:vAlign w:val="bottom"/>
          </w:tcPr>
          <w:p>
            <w:pPr>
              <w:ind w:left="160"/>
              <w:spacing w:after="0"/>
              <w:rPr>
                <w:sz w:val="20"/>
                <w:szCs w:val="20"/>
                <w:color w:val="auto"/>
              </w:rPr>
            </w:pPr>
            <w:r>
              <w:rPr>
                <w:rFonts w:ascii="Arial" w:cs="Arial" w:eastAsia="Arial" w:hAnsi="Arial"/>
                <w:sz w:val="9"/>
                <w:szCs w:val="9"/>
                <w:color w:val="auto"/>
              </w:rPr>
              <w:t>•    ·  ••••</w:t>
            </w:r>
          </w:p>
        </w:tc>
        <w:tc>
          <w:tcPr>
            <w:tcW w:w="0" w:type="dxa"/>
            <w:vAlign w:val="bottom"/>
          </w:tcPr>
          <w:p>
            <w:pPr>
              <w:spacing w:after="0"/>
              <w:rPr>
                <w:sz w:val="1"/>
                <w:szCs w:val="1"/>
                <w:color w:val="auto"/>
              </w:rPr>
            </w:pPr>
          </w:p>
        </w:tc>
      </w:tr>
      <w:tr>
        <w:trPr>
          <w:trHeight w:val="334"/>
        </w:trPr>
        <w:tc>
          <w:tcPr>
            <w:tcW w:w="4580" w:type="dxa"/>
            <w:vAlign w:val="bottom"/>
          </w:tcPr>
          <w:p>
            <w:pPr>
              <w:jc w:val="center"/>
              <w:spacing w:after="0" w:line="334" w:lineRule="exact"/>
              <w:rPr>
                <w:sz w:val="20"/>
                <w:szCs w:val="20"/>
                <w:color w:val="auto"/>
              </w:rPr>
            </w:pPr>
            <w:r>
              <w:rPr>
                <w:rFonts w:ascii="Times New Roman" w:cs="Times New Roman" w:eastAsia="Times New Roman" w:hAnsi="Times New Roman"/>
                <w:sz w:val="38"/>
                <w:szCs w:val="38"/>
                <w:color w:val="auto"/>
                <w:w w:val="84"/>
              </w:rPr>
              <w:t xml:space="preserve">... </w:t>
            </w:r>
            <w:r>
              <w:rPr>
                <w:rFonts w:ascii="Arial" w:cs="Arial" w:eastAsia="Arial" w:hAnsi="Arial"/>
                <w:sz w:val="31"/>
                <w:szCs w:val="31"/>
                <w:color w:val="auto"/>
                <w:w w:val="84"/>
              </w:rPr>
              <w:t>:,::;.,:~:::•tt•••.!!_t:t:tl'eler•~t:!f~trn</w:t>
            </w:r>
            <w:r>
              <w:rPr>
                <w:rFonts w:ascii="Times New Roman" w:cs="Times New Roman" w:eastAsia="Times New Roman" w:hAnsi="Times New Roman"/>
                <w:sz w:val="38"/>
                <w:szCs w:val="38"/>
                <w:color w:val="auto"/>
                <w:w w:val="84"/>
              </w:rPr>
              <w:t xml:space="preserve"> </w:t>
            </w:r>
            <w:r>
              <w:rPr>
                <w:rFonts w:ascii="Times New Roman" w:cs="Times New Roman" w:eastAsia="Times New Roman" w:hAnsi="Times New Roman"/>
                <w:sz w:val="25"/>
                <w:szCs w:val="25"/>
                <w:b w:val="1"/>
                <w:bCs w:val="1"/>
                <w:color w:val="auto"/>
                <w:w w:val="84"/>
              </w:rPr>
              <w:t>ulitu</w:t>
            </w:r>
          </w:p>
        </w:tc>
        <w:tc>
          <w:tcPr>
            <w:tcW w:w="1560" w:type="dxa"/>
            <w:vAlign w:val="bottom"/>
            <w:vMerge w:val="continue"/>
          </w:tcPr>
          <w:p>
            <w:pPr>
              <w:spacing w:after="0"/>
              <w:rPr>
                <w:sz w:val="24"/>
                <w:szCs w:val="24"/>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740" w:type="dxa"/>
            <w:vAlign w:val="bottom"/>
          </w:tcPr>
          <w:p>
            <w:pPr>
              <w:ind w:left="40"/>
              <w:spacing w:after="0" w:line="334" w:lineRule="exact"/>
              <w:rPr>
                <w:sz w:val="20"/>
                <w:szCs w:val="20"/>
                <w:color w:val="auto"/>
              </w:rPr>
            </w:pP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38"/>
                <w:szCs w:val="38"/>
                <w:color w:val="auto"/>
                <w:vertAlign w:val="superscript"/>
              </w:rPr>
              <w:t>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32"/>
                <w:szCs w:val="32"/>
                <w:color w:val="auto"/>
                <w:vertAlign w:val="superscript"/>
              </w:rPr>
              <w:t>11</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6"/>
                <w:szCs w:val="16"/>
                <w:color w:val="auto"/>
              </w:rPr>
              <w:t>•</w:t>
            </w:r>
            <w:r>
              <w:rPr>
                <w:rFonts w:ascii="Times New Roman" w:cs="Times New Roman" w:eastAsia="Times New Roman" w:hAnsi="Times New Roman"/>
                <w:sz w:val="19"/>
                <w:szCs w:val="19"/>
                <w:color w:val="auto"/>
              </w:rPr>
              <w:t xml:space="preserve">   </w:t>
            </w:r>
            <w:r>
              <w:rPr>
                <w:rFonts w:ascii="Arial" w:cs="Arial" w:eastAsia="Arial" w:hAnsi="Arial"/>
                <w:sz w:val="31"/>
                <w:szCs w:val="3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6"/>
                <w:szCs w:val="16"/>
                <w:color w:val="auto"/>
              </w:rPr>
              <w:t>. , •</w:t>
            </w:r>
          </w:p>
        </w:tc>
        <w:tc>
          <w:tcPr>
            <w:tcW w:w="22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 · •  ••••••</w:t>
            </w:r>
          </w:p>
        </w:tc>
        <w:tc>
          <w:tcPr>
            <w:tcW w:w="1640" w:type="dxa"/>
            <w:vAlign w:val="bottom"/>
          </w:tcPr>
          <w:p>
            <w:pPr>
              <w:ind w:left="180"/>
              <w:spacing w:after="0" w:line="334" w:lineRule="exact"/>
              <w:rPr>
                <w:sz w:val="20"/>
                <w:szCs w:val="20"/>
                <w:color w:val="auto"/>
              </w:rPr>
            </w:pPr>
            <w:r>
              <w:rPr>
                <w:rFonts w:ascii="Arial" w:cs="Arial" w:eastAsia="Arial" w:hAnsi="Arial"/>
                <w:sz w:val="38"/>
                <w:szCs w:val="38"/>
                <w:color w:val="auto"/>
                <w:vertAlign w:val="subscript"/>
              </w:rPr>
              <w:t>6</w:t>
            </w:r>
            <w:r>
              <w:rPr>
                <w:rFonts w:ascii="Arial" w:cs="Arial" w:eastAsia="Arial" w:hAnsi="Arial"/>
                <w:sz w:val="28"/>
                <w:szCs w:val="28"/>
                <w:color w:val="auto"/>
              </w:rPr>
              <w:t xml:space="preserve">  •~ </w:t>
            </w:r>
            <w:r>
              <w:rPr>
                <w:rFonts w:ascii="Arial" w:cs="Arial" w:eastAsia="Arial" w:hAnsi="Arial"/>
                <w:sz w:val="20"/>
                <w:szCs w:val="20"/>
                <w:color w:val="auto"/>
              </w:rPr>
              <w:t>•   . ,</w:t>
            </w:r>
            <w:r>
              <w:rPr>
                <w:rFonts w:ascii="Arial" w:cs="Arial" w:eastAsia="Arial" w:hAnsi="Arial"/>
                <w:sz w:val="28"/>
                <w:szCs w:val="28"/>
                <w:color w:val="auto"/>
              </w:rPr>
              <w:t xml:space="preserve"> </w:t>
            </w:r>
            <w:r>
              <w:rPr>
                <w:rFonts w:ascii="Arial" w:cs="Arial" w:eastAsia="Arial" w:hAnsi="Arial"/>
                <w:sz w:val="16"/>
                <w:szCs w:val="16"/>
                <w:color w:val="auto"/>
              </w:rPr>
              <w:t>&amp;,</w:t>
            </w:r>
          </w:p>
        </w:tc>
        <w:tc>
          <w:tcPr>
            <w:tcW w:w="0" w:type="dxa"/>
            <w:vAlign w:val="bottom"/>
          </w:tcPr>
          <w:p>
            <w:pPr>
              <w:spacing w:after="0"/>
              <w:rPr>
                <w:sz w:val="1"/>
                <w:szCs w:val="1"/>
                <w:color w:val="auto"/>
              </w:rPr>
            </w:pPr>
          </w:p>
        </w:tc>
      </w:tr>
      <w:tr>
        <w:trPr>
          <w:trHeight w:val="441"/>
        </w:trPr>
        <w:tc>
          <w:tcPr>
            <w:tcW w:w="4580" w:type="dxa"/>
            <w:vAlign w:val="bottom"/>
          </w:tcPr>
          <w:p>
            <w:pPr>
              <w:spacing w:after="0"/>
              <w:rPr>
                <w:sz w:val="24"/>
                <w:szCs w:val="24"/>
                <w:color w:val="auto"/>
              </w:rPr>
            </w:pPr>
          </w:p>
        </w:tc>
        <w:tc>
          <w:tcPr>
            <w:tcW w:w="1560" w:type="dxa"/>
            <w:vAlign w:val="bottom"/>
          </w:tcPr>
          <w:p>
            <w:pPr>
              <w:jc w:val="right"/>
              <w:ind w:right="966"/>
              <w:spacing w:after="0" w:line="440" w:lineRule="exact"/>
              <w:rPr>
                <w:sz w:val="20"/>
                <w:szCs w:val="20"/>
                <w:color w:val="auto"/>
              </w:rPr>
            </w:pPr>
            <w:r>
              <w:rPr>
                <w:rFonts w:ascii="Times New Roman" w:cs="Times New Roman" w:eastAsia="Times New Roman" w:hAnsi="Times New Roman"/>
                <w:sz w:val="39"/>
                <w:szCs w:val="39"/>
                <w:color w:val="auto"/>
                <w:w w:val="97"/>
              </w:rPr>
              <w:t>11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2220" w:right="1620" w:hanging="349"/>
        <w:spacing w:after="0" w:line="290" w:lineRule="auto"/>
        <w:rPr>
          <w:sz w:val="20"/>
          <w:szCs w:val="20"/>
          <w:color w:val="auto"/>
        </w:rPr>
      </w:pPr>
      <w:r>
        <w:rPr>
          <w:rFonts w:ascii="Arial" w:cs="Arial" w:eastAsia="Arial" w:hAnsi="Arial"/>
          <w:sz w:val="26"/>
          <w:szCs w:val="26"/>
          <w:color w:val="auto"/>
        </w:rPr>
        <w:t>''</w:t>
      </w:r>
      <w:r>
        <w:rPr>
          <w:rFonts w:ascii="Arial" w:cs="Arial" w:eastAsia="Arial" w:hAnsi="Arial"/>
          <w:sz w:val="26"/>
          <w:szCs w:val="26"/>
          <w:b w:val="1"/>
          <w:bCs w:val="1"/>
          <w:color w:val="auto"/>
        </w:rPr>
        <w:t>TheGraham Holdings culture is a hard-to-value intangible asset</w:t>
      </w:r>
      <w:r>
        <w:rPr>
          <w:rFonts w:ascii="Arial" w:cs="Arial" w:eastAsia="Arial" w:hAnsi="Arial"/>
          <w:sz w:val="26"/>
          <w:szCs w:val="26"/>
          <w:color w:val="auto"/>
        </w:rPr>
        <w:t xml:space="preserve"> </w:t>
      </w:r>
      <w:r>
        <w:rPr>
          <w:rFonts w:ascii="Arial" w:cs="Arial" w:eastAsia="Arial" w:hAnsi="Arial"/>
          <w:sz w:val="26"/>
          <w:szCs w:val="26"/>
          <w:b w:val="1"/>
          <w:bCs w:val="1"/>
          <w:color w:val="auto"/>
        </w:rPr>
        <w:t>that you'll never find on a balance sheet or in our book value. But it is of huge value to you as a shareholder, and you should view it as such.''</w:t>
      </w:r>
    </w:p>
    <w:p>
      <w:pPr>
        <w:sectPr>
          <w:pgSz w:w="12240" w:h="15668" w:orient="portrait"/>
          <w:cols w:equalWidth="0" w:num="1">
            <w:col w:w="12140"/>
          </w:cols>
          <w:pgMar w:left="20" w:top="45" w:right="85" w:bottom="0" w:gutter="0" w:footer="0" w:header="0"/>
        </w:sectPr>
      </w:pPr>
    </w:p>
    <w:p>
      <w:pPr>
        <w:spacing w:after="0" w:line="200" w:lineRule="exact"/>
        <w:rPr>
          <w:sz w:val="20"/>
          <w:szCs w:val="20"/>
          <w:color w:val="auto"/>
        </w:rPr>
      </w:pPr>
    </w:p>
    <w:p>
      <w:pPr>
        <w:spacing w:after="0" w:line="355" w:lineRule="exact"/>
        <w:rPr>
          <w:sz w:val="20"/>
          <w:szCs w:val="20"/>
          <w:color w:val="auto"/>
        </w:rPr>
      </w:pPr>
    </w:p>
    <w:p>
      <w:pPr>
        <w:jc w:val="both"/>
        <w:ind w:left="1420"/>
        <w:spacing w:after="0" w:line="334" w:lineRule="auto"/>
        <w:rPr>
          <w:sz w:val="20"/>
          <w:szCs w:val="20"/>
          <w:color w:val="auto"/>
        </w:rPr>
      </w:pPr>
      <w:r>
        <w:rPr>
          <w:rFonts w:ascii="Arial" w:cs="Arial" w:eastAsia="Arial" w:hAnsi="Arial"/>
          <w:sz w:val="20"/>
          <w:szCs w:val="20"/>
          <w:color w:val="auto"/>
        </w:rPr>
        <w:t>developed and enhanced over decades of princip led leadership, mostly led by Katharine Graham and Don Graham. Our long-term financ ial results are an output. How we treat our employees, the loyalty they give us and we give them. and how we focus on delivering quality products and services for our customers, in ways t hat are always honorable, are the inputs that drive our long-term success. The Graham Holdings culture is a hard- to-value intangible asset that you'll never f ind on a balance sheet or in our book value. But it is of huge value to you as a shareholder. and you should view it as such.</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1420" w:right="20" w:hanging="4"/>
        <w:spacing w:after="0" w:line="336" w:lineRule="auto"/>
        <w:rPr>
          <w:sz w:val="20"/>
          <w:szCs w:val="20"/>
          <w:color w:val="auto"/>
        </w:rPr>
      </w:pPr>
      <w:r>
        <w:rPr>
          <w:rFonts w:ascii="Arial" w:cs="Arial" w:eastAsia="Arial" w:hAnsi="Arial"/>
          <w:sz w:val="20"/>
          <w:szCs w:val="20"/>
          <w:color w:val="auto"/>
        </w:rPr>
        <w:t>A</w:t>
      </w:r>
      <w:r>
        <w:rPr>
          <w:sz w:val="20"/>
          <w:szCs w:val="20"/>
          <w:color w:val="auto"/>
        </w:rPr>
        <w:t xml:space="preserve"> </w:t>
      </w:r>
      <w:r>
        <w:rPr>
          <w:rFonts w:ascii="Arial" w:cs="Arial" w:eastAsia="Arial" w:hAnsi="Arial"/>
          <w:sz w:val="20"/>
          <w:szCs w:val="20"/>
          <w:color w:val="auto"/>
        </w:rPr>
        <w:t>stable foundation, when mixed with a powerful culture can be a wonderful formula</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680"/>
        <w:spacing w:after="0"/>
        <w:rPr>
          <w:sz w:val="20"/>
          <w:szCs w:val="20"/>
          <w:color w:val="auto"/>
        </w:rPr>
      </w:pPr>
      <w:r>
        <w:rPr>
          <w:rFonts w:ascii="Arial" w:cs="Arial" w:eastAsia="Arial" w:hAnsi="Arial"/>
          <w:sz w:val="15"/>
          <w:szCs w:val="15"/>
          <w:color w:val="auto"/>
        </w:rPr>
        <w:t>O&gt;Adjusted Operating Cash Flow (non-GAAP)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5" w:lineRule="exact"/>
        <w:rPr>
          <w:sz w:val="20"/>
          <w:szCs w:val="20"/>
          <w:color w:val="auto"/>
        </w:rPr>
      </w:pPr>
    </w:p>
    <w:p>
      <w:pPr>
        <w:jc w:val="both"/>
        <w:ind w:right="1360" w:firstLine="1"/>
        <w:spacing w:after="0" w:line="333" w:lineRule="auto"/>
        <w:rPr>
          <w:sz w:val="20"/>
          <w:szCs w:val="20"/>
          <w:color w:val="auto"/>
        </w:rPr>
      </w:pPr>
      <w:r>
        <w:rPr>
          <w:rFonts w:ascii="Arial" w:cs="Arial" w:eastAsia="Arial" w:hAnsi="Arial"/>
          <w:sz w:val="20"/>
          <w:szCs w:val="20"/>
          <w:color w:val="auto"/>
        </w:rPr>
        <w:t>and deliver excellent results for stakeholders. Shareholder returns since the Company went public in 1971 align with t his theory. Since 1963, there have been 12 presidents of the United States. In that same time, The Washington Post/Graham Holdings Company has had three CEOs. Your current CEO is 43 years old. With good healt h and good results. I am hopeful that the tenure gap continues to grow.</w:t>
      </w:r>
    </w:p>
    <w:p>
      <w:pPr>
        <w:spacing w:after="0" w:line="256" w:lineRule="exact"/>
        <w:rPr>
          <w:sz w:val="20"/>
          <w:szCs w:val="20"/>
          <w:color w:val="auto"/>
        </w:rPr>
      </w:pPr>
    </w:p>
    <w:p>
      <w:pPr>
        <w:ind w:left="20"/>
        <w:spacing w:after="0"/>
        <w:rPr>
          <w:sz w:val="20"/>
          <w:szCs w:val="20"/>
          <w:color w:val="auto"/>
        </w:rPr>
      </w:pPr>
      <w:r>
        <w:rPr>
          <w:rFonts w:ascii="Arial" w:cs="Arial" w:eastAsia="Arial" w:hAnsi="Arial"/>
          <w:sz w:val="27"/>
          <w:szCs w:val="27"/>
          <w:color w:val="auto"/>
        </w:rPr>
        <w:t>OPERATIONS</w:t>
      </w:r>
    </w:p>
    <w:p>
      <w:pPr>
        <w:spacing w:after="0" w:line="81" w:lineRule="exact"/>
        <w:rPr>
          <w:sz w:val="20"/>
          <w:szCs w:val="20"/>
          <w:color w:val="auto"/>
        </w:rPr>
      </w:pPr>
    </w:p>
    <w:p>
      <w:pPr>
        <w:jc w:val="both"/>
        <w:ind w:right="1360" w:hanging="1"/>
        <w:spacing w:after="0" w:line="337" w:lineRule="auto"/>
        <w:rPr>
          <w:sz w:val="20"/>
          <w:szCs w:val="20"/>
          <w:color w:val="auto"/>
        </w:rPr>
      </w:pPr>
      <w:r>
        <w:rPr>
          <w:rFonts w:ascii="Arial" w:cs="Arial" w:eastAsia="Arial" w:hAnsi="Arial"/>
          <w:sz w:val="20"/>
          <w:szCs w:val="20"/>
          <w:color w:val="auto"/>
        </w:rPr>
        <w:t>Our</w:t>
      </w:r>
      <w:r>
        <w:rPr>
          <w:sz w:val="20"/>
          <w:szCs w:val="20"/>
          <w:color w:val="auto"/>
        </w:rPr>
        <w:t xml:space="preserve"> </w:t>
      </w:r>
      <w:r>
        <w:rPr>
          <w:rFonts w:ascii="Arial" w:cs="Arial" w:eastAsia="Arial" w:hAnsi="Arial"/>
          <w:sz w:val="20"/>
          <w:szCs w:val="20"/>
          <w:color w:val="auto"/>
        </w:rPr>
        <w:t>2024 adjusted operating cash flow increased from 2023 by $109 million to $447 million. This increase was driven by election year spending on political advertising, as well as strong growth at Kaplan and Graham Healthcare Group.</w:t>
      </w:r>
    </w:p>
    <w:p>
      <w:pPr>
        <w:spacing w:after="0" w:line="1209" w:lineRule="exact"/>
        <w:rPr>
          <w:sz w:val="20"/>
          <w:szCs w:val="20"/>
          <w:color w:val="auto"/>
        </w:rPr>
      </w:pPr>
    </w:p>
    <w:p>
      <w:pPr>
        <w:sectPr>
          <w:pgSz w:w="12240" w:h="15668" w:orient="portrait"/>
          <w:cols w:equalWidth="0" w:num="2">
            <w:col w:w="5840" w:space="520"/>
            <w:col w:w="5780"/>
          </w:cols>
          <w:pgMar w:left="20" w:top="45" w:right="85" w:bottom="0" w:gutter="0" w:footer="0" w:header="0"/>
          <w:type w:val="continuous"/>
        </w:sectPr>
      </w:pPr>
    </w:p>
    <w:tbl>
      <w:tblPr>
        <w:tblLayout w:type="fixed"/>
        <w:tblInd w:w="168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020" w:type="dxa"/>
            <w:vAlign w:val="bottom"/>
          </w:tcPr>
          <w:p>
            <w:pPr>
              <w:jc w:val="right"/>
              <w:ind w:right="247"/>
              <w:spacing w:after="0"/>
              <w:rPr>
                <w:sz w:val="20"/>
                <w:szCs w:val="20"/>
                <w:color w:val="auto"/>
              </w:rPr>
            </w:pPr>
            <w:r>
              <w:rPr>
                <w:rFonts w:ascii="Arial" w:cs="Arial" w:eastAsia="Arial" w:hAnsi="Arial"/>
                <w:sz w:val="13"/>
                <w:szCs w:val="13"/>
                <w:color w:val="auto"/>
              </w:rPr>
              <w:t>Total</w:t>
            </w: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Arial" w:cs="Arial" w:eastAsia="Arial" w:hAnsi="Arial"/>
                <w:sz w:val="13"/>
                <w:szCs w:val="13"/>
                <w:color w:val="auto"/>
              </w:rPr>
              <w:t>Kaplan</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144"/>
              <w:spacing w:after="0"/>
              <w:rPr>
                <w:sz w:val="20"/>
                <w:szCs w:val="20"/>
                <w:color w:val="auto"/>
              </w:rPr>
            </w:pPr>
            <w:r>
              <w:rPr>
                <w:rFonts w:ascii="Arial" w:cs="Arial" w:eastAsia="Arial" w:hAnsi="Arial"/>
                <w:sz w:val="13"/>
                <w:szCs w:val="13"/>
                <w:color w:val="auto"/>
              </w:rPr>
              <w:t>Higher</w:t>
            </w:r>
          </w:p>
        </w:tc>
        <w:tc>
          <w:tcPr>
            <w:tcW w:w="1000" w:type="dxa"/>
            <w:vAlign w:val="bottom"/>
          </w:tcPr>
          <w:p>
            <w:pPr>
              <w:jc w:val="right"/>
              <w:spacing w:after="0"/>
              <w:rPr>
                <w:sz w:val="20"/>
                <w:szCs w:val="20"/>
                <w:color w:val="auto"/>
              </w:rPr>
            </w:pPr>
            <w:r>
              <w:rPr>
                <w:rFonts w:ascii="Arial" w:cs="Arial" w:eastAsia="Arial" w:hAnsi="Arial"/>
                <w:sz w:val="13"/>
                <w:szCs w:val="13"/>
                <w:color w:val="auto"/>
              </w:rPr>
              <w:t>Supplemental</w:t>
            </w:r>
          </w:p>
        </w:tc>
        <w:tc>
          <w:tcPr>
            <w:tcW w:w="980" w:type="dxa"/>
            <w:vAlign w:val="bottom"/>
          </w:tcPr>
          <w:p>
            <w:pPr>
              <w:jc w:val="right"/>
              <w:ind w:right="6"/>
              <w:spacing w:after="0"/>
              <w:rPr>
                <w:sz w:val="20"/>
                <w:szCs w:val="20"/>
                <w:color w:val="auto"/>
              </w:rPr>
            </w:pPr>
            <w:r>
              <w:rPr>
                <w:rFonts w:ascii="Arial" w:cs="Arial" w:eastAsia="Arial" w:hAnsi="Arial"/>
                <w:sz w:val="13"/>
                <w:szCs w:val="13"/>
                <w:color w:val="auto"/>
              </w:rPr>
              <w:t>Total Kaplan</w:t>
            </w:r>
          </w:p>
        </w:tc>
      </w:tr>
      <w:tr>
        <w:trPr>
          <w:trHeight w:val="157"/>
        </w:trPr>
        <w:tc>
          <w:tcPr>
            <w:tcW w:w="2660" w:type="dxa"/>
            <w:vAlign w:val="bottom"/>
            <w:tcBorders>
              <w:bottom w:val="single" w:sz="8" w:color="3C4448"/>
            </w:tcBorders>
          </w:tcPr>
          <w:p>
            <w:pPr>
              <w:spacing w:after="0" w:line="148" w:lineRule="exact"/>
              <w:rPr>
                <w:sz w:val="20"/>
                <w:szCs w:val="20"/>
                <w:color w:val="auto"/>
              </w:rPr>
            </w:pPr>
            <w:r>
              <w:rPr>
                <w:rFonts w:ascii="Arial" w:cs="Arial" w:eastAsia="Arial" w:hAnsi="Arial"/>
                <w:sz w:val="13"/>
                <w:szCs w:val="13"/>
                <w:color w:val="auto"/>
              </w:rPr>
              <w:t>(IN THOUSANDS)</w:t>
            </w:r>
          </w:p>
        </w:tc>
        <w:tc>
          <w:tcPr>
            <w:tcW w:w="1020" w:type="dxa"/>
            <w:vAlign w:val="bottom"/>
            <w:tcBorders>
              <w:bottom w:val="single" w:sz="8" w:color="3C4448"/>
            </w:tcBorders>
          </w:tcPr>
          <w:p>
            <w:pPr>
              <w:jc w:val="right"/>
              <w:ind w:right="107"/>
              <w:spacing w:after="0"/>
              <w:rPr>
                <w:sz w:val="20"/>
                <w:szCs w:val="20"/>
                <w:color w:val="auto"/>
              </w:rPr>
            </w:pPr>
            <w:r>
              <w:rPr>
                <w:rFonts w:ascii="Arial" w:cs="Arial" w:eastAsia="Arial" w:hAnsi="Arial"/>
                <w:sz w:val="10"/>
                <w:szCs w:val="10"/>
                <w:color w:val="auto"/>
              </w:rPr>
              <w:t>Com~any</w:t>
            </w:r>
          </w:p>
        </w:tc>
        <w:tc>
          <w:tcPr>
            <w:tcW w:w="120" w:type="dxa"/>
            <w:vAlign w:val="bottom"/>
          </w:tcPr>
          <w:p>
            <w:pPr>
              <w:spacing w:after="0"/>
              <w:rPr>
                <w:sz w:val="13"/>
                <w:szCs w:val="13"/>
                <w:color w:val="auto"/>
              </w:rPr>
            </w:pPr>
          </w:p>
        </w:tc>
        <w:tc>
          <w:tcPr>
            <w:tcW w:w="960" w:type="dxa"/>
            <w:vAlign w:val="bottom"/>
            <w:tcBorders>
              <w:bottom w:val="single" w:sz="8" w:color="404448"/>
            </w:tcBorders>
          </w:tcPr>
          <w:p>
            <w:pPr>
              <w:jc w:val="right"/>
              <w:ind w:right="95"/>
              <w:spacing w:after="0" w:line="148" w:lineRule="exact"/>
              <w:rPr>
                <w:sz w:val="20"/>
                <w:szCs w:val="20"/>
                <w:color w:val="auto"/>
              </w:rPr>
            </w:pPr>
            <w:r>
              <w:rPr>
                <w:rFonts w:ascii="Arial" w:cs="Arial" w:eastAsia="Arial" w:hAnsi="Arial"/>
                <w:sz w:val="13"/>
                <w:szCs w:val="13"/>
                <w:color w:val="auto"/>
              </w:rPr>
              <w:t>Healthcare</w:t>
            </w:r>
          </w:p>
        </w:tc>
        <w:tc>
          <w:tcPr>
            <w:tcW w:w="100" w:type="dxa"/>
            <w:vAlign w:val="bottom"/>
          </w:tcPr>
          <w:p>
            <w:pPr>
              <w:spacing w:after="0"/>
              <w:rPr>
                <w:sz w:val="13"/>
                <w:szCs w:val="13"/>
                <w:color w:val="auto"/>
              </w:rPr>
            </w:pPr>
          </w:p>
        </w:tc>
        <w:tc>
          <w:tcPr>
            <w:tcW w:w="20" w:type="dxa"/>
            <w:vAlign w:val="bottom"/>
            <w:tcBorders>
              <w:bottom w:val="single" w:sz="8" w:color="404448"/>
            </w:tcBorders>
          </w:tcPr>
          <w:p>
            <w:pPr>
              <w:spacing w:after="0"/>
              <w:rPr>
                <w:sz w:val="13"/>
                <w:szCs w:val="13"/>
                <w:color w:val="auto"/>
              </w:rPr>
            </w:pPr>
          </w:p>
        </w:tc>
        <w:tc>
          <w:tcPr>
            <w:tcW w:w="960" w:type="dxa"/>
            <w:vAlign w:val="bottom"/>
            <w:tcBorders>
              <w:bottom w:val="single" w:sz="8" w:color="404448"/>
            </w:tcBorders>
          </w:tcPr>
          <w:p>
            <w:pPr>
              <w:jc w:val="center"/>
              <w:spacing w:after="0" w:line="148" w:lineRule="exact"/>
              <w:rPr>
                <w:sz w:val="20"/>
                <w:szCs w:val="20"/>
                <w:color w:val="auto"/>
              </w:rPr>
            </w:pPr>
            <w:r>
              <w:rPr>
                <w:rFonts w:ascii="Arial" w:cs="Arial" w:eastAsia="Arial" w:hAnsi="Arial"/>
                <w:sz w:val="13"/>
                <w:szCs w:val="13"/>
                <w:color w:val="auto"/>
              </w:rPr>
              <w:t>Internat ional</w:t>
            </w:r>
          </w:p>
        </w:tc>
        <w:tc>
          <w:tcPr>
            <w:tcW w:w="100" w:type="dxa"/>
            <w:vAlign w:val="bottom"/>
          </w:tcPr>
          <w:p>
            <w:pPr>
              <w:spacing w:after="0"/>
              <w:rPr>
                <w:sz w:val="13"/>
                <w:szCs w:val="13"/>
                <w:color w:val="auto"/>
              </w:rPr>
            </w:pPr>
          </w:p>
        </w:tc>
        <w:tc>
          <w:tcPr>
            <w:tcW w:w="920" w:type="dxa"/>
            <w:vAlign w:val="bottom"/>
            <w:tcBorders>
              <w:bottom w:val="single" w:sz="8" w:color="404448"/>
            </w:tcBorders>
            <w:gridSpan w:val="2"/>
          </w:tcPr>
          <w:p>
            <w:pPr>
              <w:ind w:left="160"/>
              <w:spacing w:after="0" w:line="148" w:lineRule="exact"/>
              <w:rPr>
                <w:sz w:val="20"/>
                <w:szCs w:val="20"/>
                <w:color w:val="auto"/>
              </w:rPr>
            </w:pPr>
            <w:r>
              <w:rPr>
                <w:rFonts w:ascii="Arial" w:cs="Arial" w:eastAsia="Arial" w:hAnsi="Arial"/>
                <w:sz w:val="13"/>
                <w:szCs w:val="13"/>
                <w:color w:val="auto"/>
              </w:rPr>
              <w:t>Education</w:t>
            </w:r>
          </w:p>
        </w:tc>
        <w:tc>
          <w:tcPr>
            <w:tcW w:w="1000" w:type="dxa"/>
            <w:vAlign w:val="bottom"/>
            <w:tcBorders>
              <w:bottom w:val="single" w:sz="8" w:color="404448"/>
            </w:tcBorders>
          </w:tcPr>
          <w:p>
            <w:pPr>
              <w:jc w:val="right"/>
              <w:ind w:right="86"/>
              <w:spacing w:after="0" w:line="148" w:lineRule="exact"/>
              <w:rPr>
                <w:sz w:val="20"/>
                <w:szCs w:val="20"/>
                <w:color w:val="auto"/>
              </w:rPr>
            </w:pPr>
            <w:r>
              <w:rPr>
                <w:rFonts w:ascii="Arial" w:cs="Arial" w:eastAsia="Arial" w:hAnsi="Arial"/>
                <w:sz w:val="13"/>
                <w:szCs w:val="13"/>
                <w:color w:val="auto"/>
              </w:rPr>
              <w:t>Education</w:t>
            </w:r>
          </w:p>
        </w:tc>
        <w:tc>
          <w:tcPr>
            <w:tcW w:w="980" w:type="dxa"/>
            <w:vAlign w:val="bottom"/>
            <w:tcBorders>
              <w:bottom w:val="single" w:sz="8" w:color="404448"/>
            </w:tcBorders>
          </w:tcPr>
          <w:p>
            <w:pPr>
              <w:jc w:val="right"/>
              <w:spacing w:after="0" w:line="148" w:lineRule="exact"/>
              <w:rPr>
                <w:sz w:val="20"/>
                <w:szCs w:val="20"/>
                <w:color w:val="auto"/>
              </w:rPr>
            </w:pPr>
            <w:r>
              <w:rPr>
                <w:rFonts w:ascii="Arial" w:cs="Arial" w:eastAsia="Arial" w:hAnsi="Arial"/>
                <w:sz w:val="13"/>
                <w:szCs w:val="13"/>
                <w:color w:val="auto"/>
              </w:rPr>
              <w:t>North Am erica</w:t>
            </w:r>
          </w:p>
        </w:tc>
      </w:tr>
      <w:tr>
        <w:trPr>
          <w:trHeight w:val="186"/>
        </w:trPr>
        <w:tc>
          <w:tcPr>
            <w:tcW w:w="2660" w:type="dxa"/>
            <w:vAlign w:val="bottom"/>
          </w:tcPr>
          <w:p>
            <w:pPr>
              <w:spacing w:after="0"/>
              <w:rPr>
                <w:sz w:val="20"/>
                <w:szCs w:val="20"/>
                <w:color w:val="auto"/>
              </w:rPr>
            </w:pPr>
            <w:r>
              <w:rPr>
                <w:rFonts w:ascii="Times New Roman" w:cs="Times New Roman" w:eastAsia="Times New Roman" w:hAnsi="Times New Roman"/>
                <w:sz w:val="16"/>
                <w:szCs w:val="16"/>
                <w:color w:val="auto"/>
              </w:rPr>
              <w:t>2024</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0"/>
        </w:trPr>
        <w:tc>
          <w:tcPr>
            <w:tcW w:w="2660" w:type="dxa"/>
            <w:vAlign w:val="bottom"/>
          </w:tcPr>
          <w:p>
            <w:pPr>
              <w:spacing w:after="0"/>
              <w:rPr>
                <w:sz w:val="20"/>
                <w:szCs w:val="20"/>
                <w:color w:val="auto"/>
              </w:rPr>
            </w:pPr>
            <w:r>
              <w:rPr>
                <w:rFonts w:ascii="Arial" w:cs="Arial" w:eastAsia="Arial" w:hAnsi="Arial"/>
                <w:sz w:val="15"/>
                <w:szCs w:val="15"/>
                <w:color w:val="auto"/>
              </w:rPr>
              <w:t>Operating Income</w:t>
            </w: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$215,504</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16"/>
                <w:szCs w:val="16"/>
                <w:color w:val="auto"/>
              </w:rPr>
              <w:t>$50,885</w:t>
            </w:r>
          </w:p>
        </w:tc>
        <w:tc>
          <w:tcPr>
            <w:tcW w:w="10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$ 101,699</w:t>
            </w:r>
          </w:p>
        </w:tc>
        <w:tc>
          <w:tcPr>
            <w:tcW w:w="36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40,750</w:t>
            </w: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$26,934</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$67,684</w:t>
            </w:r>
          </w:p>
        </w:tc>
      </w:tr>
      <w:tr>
        <w:trPr>
          <w:trHeight w:val="197"/>
        </w:trPr>
        <w:tc>
          <w:tcPr>
            <w:tcW w:w="2660" w:type="dxa"/>
            <w:vAlign w:val="bottom"/>
          </w:tcPr>
          <w:p>
            <w:pPr>
              <w:ind w:left="140"/>
              <w:spacing w:after="0"/>
              <w:rPr>
                <w:sz w:val="20"/>
                <w:szCs w:val="20"/>
                <w:color w:val="auto"/>
              </w:rPr>
            </w:pPr>
            <w:r>
              <w:rPr>
                <w:rFonts w:ascii="Arial" w:cs="Arial" w:eastAsia="Arial" w:hAnsi="Arial"/>
                <w:sz w:val="15"/>
                <w:szCs w:val="15"/>
                <w:color w:val="auto"/>
              </w:rPr>
              <w:t>Add: Amortization of Intangible</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62"/>
        </w:trPr>
        <w:tc>
          <w:tcPr>
            <w:tcW w:w="2660" w:type="dxa"/>
            <w:vAlign w:val="bottom"/>
          </w:tcPr>
          <w:p>
            <w:pPr>
              <w:ind w:left="540"/>
              <w:spacing w:after="0" w:line="162" w:lineRule="exact"/>
              <w:rPr>
                <w:sz w:val="20"/>
                <w:szCs w:val="20"/>
                <w:color w:val="auto"/>
              </w:rPr>
            </w:pPr>
            <w:r>
              <w:rPr>
                <w:rFonts w:ascii="Arial" w:cs="Arial" w:eastAsia="Arial" w:hAnsi="Arial"/>
                <w:sz w:val="15"/>
                <w:szCs w:val="15"/>
                <w:color w:val="auto"/>
              </w:rPr>
              <w:t>Assets and Impairment of</w:t>
            </w: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53"/>
        </w:trPr>
        <w:tc>
          <w:tcPr>
            <w:tcW w:w="2660" w:type="dxa"/>
            <w:vAlign w:val="bottom"/>
          </w:tcPr>
          <w:p>
            <w:pPr>
              <w:ind w:left="520"/>
              <w:spacing w:after="0" w:line="153" w:lineRule="exact"/>
              <w:rPr>
                <w:sz w:val="20"/>
                <w:szCs w:val="20"/>
                <w:color w:val="auto"/>
              </w:rPr>
            </w:pPr>
            <w:r>
              <w:rPr>
                <w:rFonts w:ascii="Arial" w:cs="Arial" w:eastAsia="Arial" w:hAnsi="Arial"/>
                <w:sz w:val="15"/>
                <w:szCs w:val="15"/>
                <w:color w:val="auto"/>
              </w:rPr>
              <w:t>Goodwill and Other</w:t>
            </w: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75"/>
        </w:trPr>
        <w:tc>
          <w:tcPr>
            <w:tcW w:w="2660" w:type="dxa"/>
            <w:vAlign w:val="bottom"/>
          </w:tcPr>
          <w:p>
            <w:pPr>
              <w:ind w:left="540"/>
              <w:spacing w:after="0"/>
              <w:rPr>
                <w:sz w:val="20"/>
                <w:szCs w:val="20"/>
                <w:color w:val="auto"/>
              </w:rPr>
            </w:pPr>
            <w:r>
              <w:rPr>
                <w:rFonts w:ascii="Arial" w:cs="Arial" w:eastAsia="Arial" w:hAnsi="Arial"/>
                <w:sz w:val="15"/>
                <w:szCs w:val="15"/>
                <w:color w:val="auto"/>
              </w:rPr>
              <w:t>Long-Lived Assets</w:t>
            </w:r>
          </w:p>
        </w:tc>
        <w:tc>
          <w:tcPr>
            <w:tcW w:w="1020" w:type="dxa"/>
            <w:vAlign w:val="bottom"/>
          </w:tcPr>
          <w:p>
            <w:pPr>
              <w:jc w:val="right"/>
              <w:ind w:right="67"/>
              <w:spacing w:after="0" w:line="175" w:lineRule="exact"/>
              <w:rPr>
                <w:sz w:val="20"/>
                <w:szCs w:val="20"/>
                <w:color w:val="auto"/>
              </w:rPr>
            </w:pPr>
            <w:r>
              <w:rPr>
                <w:rFonts w:ascii="Times New Roman" w:cs="Times New Roman" w:eastAsia="Times New Roman" w:hAnsi="Times New Roman"/>
                <w:sz w:val="16"/>
                <w:szCs w:val="16"/>
                <w:color w:val="auto"/>
              </w:rPr>
              <w:t>86,941</w:t>
            </w:r>
          </w:p>
        </w:tc>
        <w:tc>
          <w:tcPr>
            <w:tcW w:w="1080" w:type="dxa"/>
            <w:vAlign w:val="bottom"/>
            <w:gridSpan w:val="2"/>
          </w:tcPr>
          <w:p>
            <w:pPr>
              <w:jc w:val="right"/>
              <w:ind w:right="115"/>
              <w:spacing w:after="0" w:line="175" w:lineRule="exact"/>
              <w:rPr>
                <w:sz w:val="20"/>
                <w:szCs w:val="20"/>
                <w:color w:val="auto"/>
              </w:rPr>
            </w:pPr>
            <w:r>
              <w:rPr>
                <w:rFonts w:ascii="Times New Roman" w:cs="Times New Roman" w:eastAsia="Times New Roman" w:hAnsi="Times New Roman"/>
                <w:sz w:val="16"/>
                <w:szCs w:val="16"/>
                <w:color w:val="auto"/>
              </w:rPr>
              <w:t>1,511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210"/>
        </w:trPr>
        <w:tc>
          <w:tcPr>
            <w:tcW w:w="2660" w:type="dxa"/>
            <w:vAlign w:val="bottom"/>
          </w:tcPr>
          <w:p>
            <w:pPr>
              <w:ind w:left="120"/>
              <w:spacing w:after="0"/>
              <w:rPr>
                <w:sz w:val="20"/>
                <w:szCs w:val="20"/>
                <w:color w:val="auto"/>
              </w:rPr>
            </w:pPr>
            <w:r>
              <w:rPr>
                <w:rFonts w:ascii="Arial" w:cs="Arial" w:eastAsia="Arial" w:hAnsi="Arial"/>
                <w:sz w:val="15"/>
                <w:szCs w:val="15"/>
                <w:color w:val="auto"/>
              </w:rPr>
              <w:t>Add: Depreciation Ex pense</w:t>
            </w: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87,046</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16"/>
                <w:szCs w:val="16"/>
                <w:color w:val="auto"/>
              </w:rPr>
              <w:t>6 .859</w:t>
            </w:r>
          </w:p>
        </w:tc>
        <w:tc>
          <w:tcPr>
            <w:tcW w:w="10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28,683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2.825</w:t>
            </w: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3.487</w:t>
            </w:r>
          </w:p>
        </w:tc>
        <w:tc>
          <w:tcPr>
            <w:tcW w:w="98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6 ,312</w:t>
            </w:r>
          </w:p>
        </w:tc>
      </w:tr>
      <w:tr>
        <w:trPr>
          <w:trHeight w:val="191"/>
        </w:trPr>
        <w:tc>
          <w:tcPr>
            <w:tcW w:w="2660" w:type="dxa"/>
            <w:vAlign w:val="bottom"/>
          </w:tcPr>
          <w:p>
            <w:pPr>
              <w:ind w:left="140"/>
              <w:spacing w:after="0"/>
              <w:rPr>
                <w:sz w:val="20"/>
                <w:szCs w:val="20"/>
                <w:color w:val="auto"/>
              </w:rPr>
            </w:pPr>
            <w:r>
              <w:rPr>
                <w:rFonts w:ascii="Arial" w:cs="Arial" w:eastAsia="Arial" w:hAnsi="Arial"/>
                <w:sz w:val="15"/>
                <w:szCs w:val="15"/>
                <w:color w:val="auto"/>
              </w:rPr>
              <w:t>Add: Pension Service Cost</w:t>
            </w:r>
          </w:p>
        </w:tc>
        <w:tc>
          <w:tcPr>
            <w:tcW w:w="1020" w:type="dxa"/>
            <w:vAlign w:val="bottom"/>
          </w:tcPr>
          <w:p>
            <w:pPr>
              <w:jc w:val="right"/>
              <w:ind w:right="67"/>
              <w:spacing w:after="0"/>
              <w:rPr>
                <w:sz w:val="20"/>
                <w:szCs w:val="20"/>
                <w:color w:val="auto"/>
              </w:rPr>
            </w:pPr>
            <w:r>
              <w:rPr>
                <w:rFonts w:ascii="Times New Roman" w:cs="Times New Roman" w:eastAsia="Times New Roman" w:hAnsi="Times New Roman"/>
                <w:sz w:val="16"/>
                <w:szCs w:val="16"/>
                <w:color w:val="auto"/>
              </w:rPr>
              <w:t>57,538</w:t>
            </w:r>
          </w:p>
        </w:tc>
        <w:tc>
          <w:tcPr>
            <w:tcW w:w="1080" w:type="dxa"/>
            <w:vAlign w:val="bottom"/>
            <w:gridSpan w:val="2"/>
          </w:tcPr>
          <w:p>
            <w:pPr>
              <w:jc w:val="right"/>
              <w:ind w:right="115"/>
              <w:spacing w:after="0"/>
              <w:rPr>
                <w:sz w:val="20"/>
                <w:szCs w:val="20"/>
                <w:color w:val="auto"/>
              </w:rPr>
            </w:pPr>
            <w:r>
              <w:rPr>
                <w:rFonts w:ascii="Times New Roman" w:cs="Times New Roman" w:eastAsia="Times New Roman" w:hAnsi="Times New Roman"/>
                <w:sz w:val="16"/>
                <w:szCs w:val="16"/>
                <w:color w:val="auto"/>
              </w:rPr>
              <w:t>19,303</w:t>
            </w:r>
          </w:p>
        </w:tc>
        <w:tc>
          <w:tcPr>
            <w:tcW w:w="1080" w:type="dxa"/>
            <w:vAlign w:val="bottom"/>
            <w:gridSpan w:val="3"/>
          </w:tcPr>
          <w:p>
            <w:pPr>
              <w:jc w:val="right"/>
              <w:ind w:right="115"/>
              <w:spacing w:after="0"/>
              <w:rPr>
                <w:sz w:val="20"/>
                <w:szCs w:val="20"/>
                <w:color w:val="auto"/>
              </w:rPr>
            </w:pPr>
            <w:r>
              <w:rPr>
                <w:rFonts w:ascii="Times New Roman" w:cs="Times New Roman" w:eastAsia="Times New Roman" w:hAnsi="Times New Roman"/>
                <w:sz w:val="16"/>
                <w:szCs w:val="16"/>
                <w:color w:val="auto"/>
              </w:rPr>
              <w:t>704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7,620</w:t>
            </w:r>
          </w:p>
        </w:tc>
        <w:tc>
          <w:tcPr>
            <w:tcW w:w="100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7,848</w:t>
            </w:r>
          </w:p>
        </w:tc>
        <w:tc>
          <w:tcPr>
            <w:tcW w:w="980" w:type="dxa"/>
            <w:vAlign w:val="bottom"/>
          </w:tcPr>
          <w:p>
            <w:pPr>
              <w:jc w:val="right"/>
              <w:ind w:right="106"/>
              <w:spacing w:after="0"/>
              <w:rPr>
                <w:sz w:val="20"/>
                <w:szCs w:val="20"/>
                <w:color w:val="auto"/>
              </w:rPr>
            </w:pPr>
            <w:r>
              <w:rPr>
                <w:rFonts w:ascii="Times New Roman" w:cs="Times New Roman" w:eastAsia="Times New Roman" w:hAnsi="Times New Roman"/>
                <w:sz w:val="16"/>
                <w:szCs w:val="16"/>
                <w:color w:val="auto"/>
              </w:rPr>
              <w:t>15,468</w:t>
            </w:r>
          </w:p>
        </w:tc>
      </w:tr>
      <w:tr>
        <w:trPr>
          <w:trHeight w:val="23"/>
        </w:trPr>
        <w:tc>
          <w:tcPr>
            <w:tcW w:w="2660" w:type="dxa"/>
            <w:vAlign w:val="bottom"/>
            <w:tcBorders>
              <w:bottom w:val="single" w:sz="8" w:color="202020"/>
            </w:tcBorders>
          </w:tcPr>
          <w:p>
            <w:pPr>
              <w:spacing w:after="0"/>
              <w:rPr>
                <w:sz w:val="2"/>
                <w:szCs w:val="2"/>
                <w:color w:val="auto"/>
              </w:rPr>
            </w:pPr>
          </w:p>
        </w:tc>
        <w:tc>
          <w:tcPr>
            <w:tcW w:w="1020" w:type="dxa"/>
            <w:vAlign w:val="bottom"/>
            <w:tcBorders>
              <w:bottom w:val="single" w:sz="8" w:color="202020"/>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24202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Borders>
              <w:bottom w:val="single" w:sz="8" w:color="20202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202020"/>
            </w:tcBorders>
          </w:tcPr>
          <w:p>
            <w:pPr>
              <w:spacing w:after="0"/>
              <w:rPr>
                <w:sz w:val="2"/>
                <w:szCs w:val="2"/>
                <w:color w:val="auto"/>
              </w:rPr>
            </w:pPr>
          </w:p>
        </w:tc>
        <w:tc>
          <w:tcPr>
            <w:tcW w:w="660" w:type="dxa"/>
            <w:vAlign w:val="bottom"/>
            <w:tcBorders>
              <w:bottom w:val="single" w:sz="8" w:color="202020"/>
            </w:tcBorders>
          </w:tcPr>
          <w:p>
            <w:pPr>
              <w:spacing w:after="0"/>
              <w:rPr>
                <w:sz w:val="2"/>
                <w:szCs w:val="2"/>
                <w:color w:val="auto"/>
              </w:rPr>
            </w:pPr>
          </w:p>
        </w:tc>
        <w:tc>
          <w:tcPr>
            <w:tcW w:w="1000" w:type="dxa"/>
            <w:vAlign w:val="bottom"/>
            <w:tcBorders>
              <w:bottom w:val="single" w:sz="8" w:color="202020"/>
            </w:tcBorders>
          </w:tcPr>
          <w:p>
            <w:pPr>
              <w:spacing w:after="0"/>
              <w:rPr>
                <w:sz w:val="2"/>
                <w:szCs w:val="2"/>
                <w:color w:val="auto"/>
              </w:rPr>
            </w:pPr>
          </w:p>
        </w:tc>
        <w:tc>
          <w:tcPr>
            <w:tcW w:w="980" w:type="dxa"/>
            <w:vAlign w:val="bottom"/>
            <w:tcBorders>
              <w:bottom w:val="single" w:sz="8" w:color="202020"/>
            </w:tcBorders>
          </w:tcPr>
          <w:p>
            <w:pPr>
              <w:spacing w:after="0"/>
              <w:rPr>
                <w:sz w:val="2"/>
                <w:szCs w:val="2"/>
                <w:color w:val="auto"/>
              </w:rPr>
            </w:pPr>
          </w:p>
        </w:tc>
      </w:tr>
      <w:tr>
        <w:trPr>
          <w:trHeight w:val="211"/>
        </w:trPr>
        <w:tc>
          <w:tcPr>
            <w:tcW w:w="2660" w:type="dxa"/>
            <w:vAlign w:val="bottom"/>
          </w:tcPr>
          <w:p>
            <w:pPr>
              <w:spacing w:after="0"/>
              <w:rPr>
                <w:sz w:val="20"/>
                <w:szCs w:val="20"/>
                <w:color w:val="auto"/>
              </w:rPr>
            </w:pPr>
            <w:r>
              <w:rPr>
                <w:rFonts w:ascii="Arial" w:cs="Arial" w:eastAsia="Arial" w:hAnsi="Arial"/>
                <w:sz w:val="15"/>
                <w:szCs w:val="15"/>
                <w:color w:val="auto"/>
              </w:rPr>
              <w:t>Adjusted Operating</w:t>
            </w: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175"/>
        </w:trPr>
        <w:tc>
          <w:tcPr>
            <w:tcW w:w="2660" w:type="dxa"/>
            <w:vAlign w:val="bottom"/>
          </w:tcPr>
          <w:p>
            <w:pPr>
              <w:spacing w:after="0"/>
              <w:rPr>
                <w:sz w:val="20"/>
                <w:szCs w:val="20"/>
                <w:color w:val="auto"/>
              </w:rPr>
            </w:pPr>
            <w:r>
              <w:rPr>
                <w:rFonts w:ascii="Arial" w:cs="Arial" w:eastAsia="Arial" w:hAnsi="Arial"/>
                <w:sz w:val="15"/>
                <w:szCs w:val="15"/>
                <w:color w:val="auto"/>
              </w:rPr>
              <w:t>Cash Flow (non-GAAP)</w:t>
            </w:r>
          </w:p>
        </w:tc>
        <w:tc>
          <w:tcPr>
            <w:tcW w:w="1020" w:type="dxa"/>
            <w:vAlign w:val="bottom"/>
          </w:tcPr>
          <w:p>
            <w:pPr>
              <w:jc w:val="right"/>
              <w:ind w:right="67"/>
              <w:spacing w:after="0" w:line="175" w:lineRule="exact"/>
              <w:rPr>
                <w:sz w:val="20"/>
                <w:szCs w:val="20"/>
                <w:color w:val="auto"/>
              </w:rPr>
            </w:pPr>
            <w:r>
              <w:rPr>
                <w:rFonts w:ascii="Times New Roman" w:cs="Times New Roman" w:eastAsia="Times New Roman" w:hAnsi="Times New Roman"/>
                <w:sz w:val="16"/>
                <w:szCs w:val="16"/>
                <w:color w:val="auto"/>
              </w:rPr>
              <w:t>$447,029</w:t>
            </w:r>
          </w:p>
        </w:tc>
        <w:tc>
          <w:tcPr>
            <w:tcW w:w="1080" w:type="dxa"/>
            <w:vAlign w:val="bottom"/>
            <w:gridSpan w:val="2"/>
          </w:tcPr>
          <w:p>
            <w:pPr>
              <w:jc w:val="right"/>
              <w:ind w:right="115"/>
              <w:spacing w:after="0" w:line="175" w:lineRule="exact"/>
              <w:rPr>
                <w:sz w:val="20"/>
                <w:szCs w:val="20"/>
                <w:color w:val="auto"/>
              </w:rPr>
            </w:pPr>
            <w:r>
              <w:rPr>
                <w:rFonts w:ascii="Times New Roman" w:cs="Times New Roman" w:eastAsia="Times New Roman" w:hAnsi="Times New Roman"/>
                <w:sz w:val="16"/>
                <w:szCs w:val="16"/>
                <w:color w:val="auto"/>
              </w:rPr>
              <w:t>$78,558</w:t>
            </w:r>
          </w:p>
        </w:tc>
        <w:tc>
          <w:tcPr>
            <w:tcW w:w="1080" w:type="dxa"/>
            <w:vAlign w:val="bottom"/>
            <w:gridSpan w:val="3"/>
          </w:tcPr>
          <w:p>
            <w:pPr>
              <w:jc w:val="center"/>
              <w:ind w:left="21"/>
              <w:spacing w:after="0" w:line="175" w:lineRule="exact"/>
              <w:rPr>
                <w:sz w:val="20"/>
                <w:szCs w:val="20"/>
                <w:color w:val="auto"/>
              </w:rPr>
            </w:pPr>
            <w:r>
              <w:rPr>
                <w:rFonts w:ascii="Times New Roman" w:cs="Times New Roman" w:eastAsia="Times New Roman" w:hAnsi="Times New Roman"/>
                <w:sz w:val="16"/>
                <w:szCs w:val="16"/>
                <w:color w:val="auto"/>
              </w:rPr>
              <w:t>$131,086</w:t>
            </w:r>
          </w:p>
        </w:tc>
        <w:tc>
          <w:tcPr>
            <w:tcW w:w="360" w:type="dxa"/>
            <w:vAlign w:val="bottom"/>
            <w:gridSpan w:val="2"/>
          </w:tcPr>
          <w:p>
            <w:pPr>
              <w:ind w:left="240"/>
              <w:spacing w:after="0" w:line="175" w:lineRule="exact"/>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4"/>
              <w:spacing w:after="0" w:line="175" w:lineRule="exact"/>
              <w:rPr>
                <w:sz w:val="20"/>
                <w:szCs w:val="20"/>
                <w:color w:val="auto"/>
              </w:rPr>
            </w:pPr>
            <w:r>
              <w:rPr>
                <w:rFonts w:ascii="Times New Roman" w:cs="Times New Roman" w:eastAsia="Times New Roman" w:hAnsi="Times New Roman"/>
                <w:sz w:val="16"/>
                <w:szCs w:val="16"/>
                <w:color w:val="auto"/>
              </w:rPr>
              <w:t>51 , 195</w:t>
            </w:r>
          </w:p>
        </w:tc>
        <w:tc>
          <w:tcPr>
            <w:tcW w:w="1000" w:type="dxa"/>
            <w:vAlign w:val="bottom"/>
          </w:tcPr>
          <w:p>
            <w:pPr>
              <w:jc w:val="right"/>
              <w:ind w:right="106"/>
              <w:spacing w:after="0" w:line="175" w:lineRule="exact"/>
              <w:rPr>
                <w:sz w:val="20"/>
                <w:szCs w:val="20"/>
                <w:color w:val="auto"/>
              </w:rPr>
            </w:pPr>
            <w:r>
              <w:rPr>
                <w:rFonts w:ascii="Times New Roman" w:cs="Times New Roman" w:eastAsia="Times New Roman" w:hAnsi="Times New Roman"/>
                <w:sz w:val="16"/>
                <w:szCs w:val="16"/>
                <w:color w:val="auto"/>
              </w:rPr>
              <w:t>$38,269</w:t>
            </w:r>
          </w:p>
        </w:tc>
        <w:tc>
          <w:tcPr>
            <w:tcW w:w="980" w:type="dxa"/>
            <w:vAlign w:val="bottom"/>
          </w:tcPr>
          <w:p>
            <w:pPr>
              <w:jc w:val="right"/>
              <w:ind w:right="106"/>
              <w:spacing w:after="0" w:line="175" w:lineRule="exact"/>
              <w:rPr>
                <w:sz w:val="20"/>
                <w:szCs w:val="20"/>
                <w:color w:val="auto"/>
              </w:rPr>
            </w:pPr>
            <w:r>
              <w:rPr>
                <w:rFonts w:ascii="Times New Roman" w:cs="Times New Roman" w:eastAsia="Times New Roman" w:hAnsi="Times New Roman"/>
                <w:sz w:val="16"/>
                <w:szCs w:val="16"/>
                <w:color w:val="auto"/>
              </w:rPr>
              <w:t>$89,464</w:t>
            </w:r>
          </w:p>
        </w:tc>
      </w:tr>
      <w:tr>
        <w:trPr>
          <w:trHeight w:val="32"/>
        </w:trPr>
        <w:tc>
          <w:tcPr>
            <w:tcW w:w="2660" w:type="dxa"/>
            <w:vAlign w:val="bottom"/>
            <w:tcBorders>
              <w:bottom w:val="single" w:sz="8" w:color="4C4C50"/>
            </w:tcBorders>
          </w:tcPr>
          <w:p>
            <w:pPr>
              <w:spacing w:after="0"/>
              <w:rPr>
                <w:sz w:val="2"/>
                <w:szCs w:val="2"/>
                <w:color w:val="auto"/>
              </w:rPr>
            </w:pPr>
          </w:p>
        </w:tc>
        <w:tc>
          <w:tcPr>
            <w:tcW w:w="1020" w:type="dxa"/>
            <w:vAlign w:val="bottom"/>
            <w:tcBorders>
              <w:bottom w:val="single" w:sz="8" w:color="4C4C50"/>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4C4C5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4C4C50"/>
            </w:tcBorders>
          </w:tcPr>
          <w:p>
            <w:pPr>
              <w:spacing w:after="0"/>
              <w:rPr>
                <w:sz w:val="2"/>
                <w:szCs w:val="2"/>
                <w:color w:val="auto"/>
              </w:rPr>
            </w:pPr>
          </w:p>
        </w:tc>
        <w:tc>
          <w:tcPr>
            <w:tcW w:w="960" w:type="dxa"/>
            <w:vAlign w:val="bottom"/>
            <w:tcBorders>
              <w:bottom w:val="single" w:sz="8" w:color="4C4C50"/>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4C4C50"/>
            </w:tcBorders>
          </w:tcPr>
          <w:p>
            <w:pPr>
              <w:spacing w:after="0"/>
              <w:rPr>
                <w:sz w:val="2"/>
                <w:szCs w:val="2"/>
                <w:color w:val="auto"/>
              </w:rPr>
            </w:pPr>
          </w:p>
        </w:tc>
        <w:tc>
          <w:tcPr>
            <w:tcW w:w="660" w:type="dxa"/>
            <w:vAlign w:val="bottom"/>
            <w:tcBorders>
              <w:bottom w:val="single" w:sz="8" w:color="4C4C50"/>
            </w:tcBorders>
          </w:tcPr>
          <w:p>
            <w:pPr>
              <w:spacing w:after="0"/>
              <w:rPr>
                <w:sz w:val="2"/>
                <w:szCs w:val="2"/>
                <w:color w:val="auto"/>
              </w:rPr>
            </w:pPr>
          </w:p>
        </w:tc>
        <w:tc>
          <w:tcPr>
            <w:tcW w:w="1000" w:type="dxa"/>
            <w:vAlign w:val="bottom"/>
            <w:tcBorders>
              <w:bottom w:val="single" w:sz="8" w:color="4C4C50"/>
            </w:tcBorders>
          </w:tcPr>
          <w:p>
            <w:pPr>
              <w:spacing w:after="0"/>
              <w:rPr>
                <w:sz w:val="2"/>
                <w:szCs w:val="2"/>
                <w:color w:val="auto"/>
              </w:rPr>
            </w:pPr>
          </w:p>
        </w:tc>
        <w:tc>
          <w:tcPr>
            <w:tcW w:w="980" w:type="dxa"/>
            <w:vAlign w:val="bottom"/>
            <w:tcBorders>
              <w:bottom w:val="single" w:sz="8" w:color="4C4C50"/>
            </w:tcBorders>
          </w:tcPr>
          <w:p>
            <w:pPr>
              <w:spacing w:after="0"/>
              <w:rPr>
                <w:sz w:val="2"/>
                <w:szCs w:val="2"/>
                <w:color w:val="auto"/>
              </w:rPr>
            </w:pPr>
          </w:p>
        </w:tc>
      </w:tr>
    </w:tbl>
    <w:p>
      <w:pPr>
        <w:spacing w:after="0" w:line="50"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18"/>
          <w:szCs w:val="18"/>
          <w:color w:val="auto"/>
        </w:rPr>
        <w:t>2023</w:t>
      </w:r>
    </w:p>
    <w:p>
      <w:pPr>
        <w:spacing w:after="0" w:line="22" w:lineRule="exact"/>
        <w:rPr>
          <w:sz w:val="20"/>
          <w:szCs w:val="20"/>
          <w:color w:val="auto"/>
        </w:rPr>
      </w:pPr>
    </w:p>
    <w:tbl>
      <w:tblPr>
        <w:tblLayout w:type="fixed"/>
        <w:tblInd w:w="1680" w:type="dxa"/>
        <w:tblCellMar>
          <w:top w:w="0" w:type="dxa"/>
          <w:left w:w="0" w:type="dxa"/>
          <w:bottom w:w="0" w:type="dxa"/>
          <w:right w:w="0" w:type="dxa"/>
        </w:tblCellMar>
      </w:tblPr>
      <w:tr>
        <w:trPr>
          <w:trHeight w:val="184"/>
        </w:trPr>
        <w:tc>
          <w:tcPr>
            <w:tcW w:w="2620" w:type="dxa"/>
            <w:vAlign w:val="bottom"/>
          </w:tcPr>
          <w:p>
            <w:pPr>
              <w:spacing w:after="0"/>
              <w:rPr>
                <w:sz w:val="20"/>
                <w:szCs w:val="20"/>
                <w:color w:val="auto"/>
              </w:rPr>
            </w:pPr>
            <w:r>
              <w:rPr>
                <w:rFonts w:ascii="Arial" w:cs="Arial" w:eastAsia="Arial" w:hAnsi="Arial"/>
                <w:sz w:val="15"/>
                <w:szCs w:val="15"/>
                <w:color w:val="auto"/>
              </w:rPr>
              <w:t>Operating Income</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  69,393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$23,845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$87,530</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$38,942</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$22.472</w:t>
            </w: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  61,414</w:t>
            </w:r>
          </w:p>
        </w:tc>
      </w:tr>
      <w:tr>
        <w:trPr>
          <w:trHeight w:val="187"/>
        </w:trPr>
        <w:tc>
          <w:tcPr>
            <w:tcW w:w="2620" w:type="dxa"/>
            <w:vAlign w:val="bottom"/>
          </w:tcPr>
          <w:p>
            <w:pPr>
              <w:ind w:left="120"/>
              <w:spacing w:after="0"/>
              <w:rPr>
                <w:sz w:val="20"/>
                <w:szCs w:val="20"/>
                <w:color w:val="auto"/>
              </w:rPr>
            </w:pPr>
            <w:r>
              <w:rPr>
                <w:rFonts w:ascii="Arial" w:cs="Arial" w:eastAsia="Arial" w:hAnsi="Arial"/>
                <w:sz w:val="15"/>
                <w:szCs w:val="15"/>
                <w:color w:val="auto"/>
              </w:rPr>
              <w:t>Add: Amortization of Intangible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53"/>
        </w:trPr>
        <w:tc>
          <w:tcPr>
            <w:tcW w:w="2620" w:type="dxa"/>
            <w:vAlign w:val="bottom"/>
          </w:tcPr>
          <w:p>
            <w:pPr>
              <w:ind w:left="540"/>
              <w:spacing w:after="0" w:line="153" w:lineRule="exact"/>
              <w:rPr>
                <w:sz w:val="20"/>
                <w:szCs w:val="20"/>
                <w:color w:val="auto"/>
              </w:rPr>
            </w:pPr>
            <w:r>
              <w:rPr>
                <w:rFonts w:ascii="Arial" w:cs="Arial" w:eastAsia="Arial" w:hAnsi="Arial"/>
                <w:sz w:val="15"/>
                <w:szCs w:val="15"/>
                <w:color w:val="auto"/>
              </w:rPr>
              <w:t>Assets and Impairment of</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52"/>
        </w:trPr>
        <w:tc>
          <w:tcPr>
            <w:tcW w:w="2620" w:type="dxa"/>
            <w:vAlign w:val="bottom"/>
          </w:tcPr>
          <w:p>
            <w:pPr>
              <w:ind w:left="520"/>
              <w:spacing w:after="0" w:line="153" w:lineRule="exact"/>
              <w:rPr>
                <w:sz w:val="20"/>
                <w:szCs w:val="20"/>
                <w:color w:val="auto"/>
              </w:rPr>
            </w:pPr>
            <w:r>
              <w:rPr>
                <w:rFonts w:ascii="Arial" w:cs="Arial" w:eastAsia="Arial" w:hAnsi="Arial"/>
                <w:sz w:val="15"/>
                <w:szCs w:val="15"/>
                <w:color w:val="auto"/>
              </w:rPr>
              <w:t>Goodwill and Other</w:t>
            </w: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85"/>
        </w:trPr>
        <w:tc>
          <w:tcPr>
            <w:tcW w:w="2620" w:type="dxa"/>
            <w:vAlign w:val="bottom"/>
          </w:tcPr>
          <w:p>
            <w:pPr>
              <w:ind w:left="540"/>
              <w:spacing w:after="0"/>
              <w:rPr>
                <w:sz w:val="20"/>
                <w:szCs w:val="20"/>
                <w:color w:val="auto"/>
              </w:rPr>
            </w:pPr>
            <w:r>
              <w:rPr>
                <w:rFonts w:ascii="Arial" w:cs="Arial" w:eastAsia="Arial" w:hAnsi="Arial"/>
                <w:sz w:val="15"/>
                <w:szCs w:val="15"/>
                <w:color w:val="auto"/>
              </w:rPr>
              <w:t>Long-Lived Assets</w:t>
            </w:r>
          </w:p>
        </w:tc>
        <w:tc>
          <w:tcPr>
            <w:tcW w:w="1060" w:type="dxa"/>
            <w:vAlign w:val="bottom"/>
          </w:tcPr>
          <w:p>
            <w:pPr>
              <w:jc w:val="right"/>
              <w:ind w:right="41"/>
              <w:spacing w:after="0" w:line="175" w:lineRule="exact"/>
              <w:rPr>
                <w:sz w:val="20"/>
                <w:szCs w:val="20"/>
                <w:color w:val="auto"/>
              </w:rPr>
            </w:pPr>
            <w:r>
              <w:rPr>
                <w:rFonts w:ascii="Times New Roman" w:cs="Times New Roman" w:eastAsia="Times New Roman" w:hAnsi="Times New Roman"/>
                <w:sz w:val="16"/>
                <w:szCs w:val="16"/>
                <w:color w:val="auto"/>
              </w:rPr>
              <w:t>149,105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3,675</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1"/>
        </w:trPr>
        <w:tc>
          <w:tcPr>
            <w:tcW w:w="2620" w:type="dxa"/>
            <w:vAlign w:val="bottom"/>
          </w:tcPr>
          <w:p>
            <w:pPr>
              <w:spacing w:after="0"/>
              <w:rPr>
                <w:sz w:val="20"/>
                <w:szCs w:val="20"/>
                <w:color w:val="auto"/>
              </w:rPr>
            </w:pPr>
            <w:r>
              <w:rPr>
                <w:rFonts w:ascii="Arial" w:cs="Arial" w:eastAsia="Arial" w:hAnsi="Arial"/>
                <w:sz w:val="15"/>
                <w:szCs w:val="15"/>
                <w:color w:val="auto"/>
              </w:rPr>
              <w:t>Add: Depreciation Expense</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86,064</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5,475</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28,501</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4,416</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5,165</w:t>
            </w:r>
          </w:p>
        </w:tc>
        <w:tc>
          <w:tcPr>
            <w:tcW w:w="96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9,581</w:t>
            </w:r>
          </w:p>
        </w:tc>
      </w:tr>
      <w:tr>
        <w:trPr>
          <w:trHeight w:val="210"/>
        </w:trPr>
        <w:tc>
          <w:tcPr>
            <w:tcW w:w="2620" w:type="dxa"/>
            <w:vAlign w:val="bottom"/>
          </w:tcPr>
          <w:p>
            <w:pPr>
              <w:spacing w:after="0"/>
              <w:rPr>
                <w:sz w:val="20"/>
                <w:szCs w:val="20"/>
                <w:color w:val="auto"/>
              </w:rPr>
            </w:pPr>
            <w:r>
              <w:rPr>
                <w:rFonts w:ascii="Arial" w:cs="Arial" w:eastAsia="Arial" w:hAnsi="Arial"/>
                <w:sz w:val="15"/>
                <w:szCs w:val="15"/>
                <w:color w:val="auto"/>
              </w:rPr>
              <w:t>Add: Pension Service Cost</w:t>
            </w:r>
          </w:p>
        </w:tc>
        <w:tc>
          <w:tcPr>
            <w:tcW w:w="10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33,787</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14,083</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325</w:t>
            </w:r>
          </w:p>
        </w:tc>
        <w:tc>
          <w:tcPr>
            <w:tcW w:w="1100" w:type="dxa"/>
            <w:vAlign w:val="bottom"/>
            <w:gridSpan w:val="2"/>
          </w:tcPr>
          <w:p>
            <w:pPr>
              <w:jc w:val="right"/>
              <w:ind w:right="160"/>
              <w:spacing w:after="0"/>
              <w:rPr>
                <w:sz w:val="20"/>
                <w:szCs w:val="20"/>
                <w:color w:val="auto"/>
              </w:rPr>
            </w:pPr>
            <w:r>
              <w:rPr>
                <w:rFonts w:ascii="Arial" w:cs="Arial" w:eastAsia="Arial" w:hAnsi="Arial"/>
                <w:sz w:val="15"/>
                <w:szCs w:val="15"/>
                <w:color w:val="auto"/>
              </w:rPr>
              <w:t>3,737</w:t>
            </w:r>
          </w:p>
        </w:tc>
        <w:tc>
          <w:tcPr>
            <w:tcW w:w="9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4,147</w:t>
            </w:r>
          </w:p>
        </w:tc>
        <w:tc>
          <w:tcPr>
            <w:tcW w:w="9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7,884</w:t>
            </w:r>
          </w:p>
        </w:tc>
      </w:tr>
      <w:tr>
        <w:trPr>
          <w:trHeight w:val="23"/>
        </w:trPr>
        <w:tc>
          <w:tcPr>
            <w:tcW w:w="2620" w:type="dxa"/>
            <w:vAlign w:val="bottom"/>
            <w:tcBorders>
              <w:bottom w:val="single" w:sz="8" w:color="202020"/>
            </w:tcBorders>
          </w:tcPr>
          <w:p>
            <w:pPr>
              <w:spacing w:after="0"/>
              <w:rPr>
                <w:sz w:val="2"/>
                <w:szCs w:val="2"/>
                <w:color w:val="auto"/>
              </w:rPr>
            </w:pPr>
          </w:p>
        </w:tc>
        <w:tc>
          <w:tcPr>
            <w:tcW w:w="1060" w:type="dxa"/>
            <w:vAlign w:val="bottom"/>
            <w:tcBorders>
              <w:bottom w:val="single" w:sz="8" w:color="202020"/>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202024"/>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1C2024"/>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1C2024"/>
            </w:tcBorders>
          </w:tcPr>
          <w:p>
            <w:pPr>
              <w:spacing w:after="0"/>
              <w:rPr>
                <w:sz w:val="2"/>
                <w:szCs w:val="2"/>
                <w:color w:val="auto"/>
              </w:rPr>
            </w:pPr>
          </w:p>
        </w:tc>
        <w:tc>
          <w:tcPr>
            <w:tcW w:w="940" w:type="dxa"/>
            <w:vAlign w:val="bottom"/>
            <w:tcBorders>
              <w:bottom w:val="single" w:sz="8" w:color="1C2024"/>
            </w:tcBorders>
          </w:tcPr>
          <w:p>
            <w:pPr>
              <w:spacing w:after="0"/>
              <w:rPr>
                <w:sz w:val="2"/>
                <w:szCs w:val="2"/>
                <w:color w:val="auto"/>
              </w:rPr>
            </w:pPr>
          </w:p>
        </w:tc>
        <w:tc>
          <w:tcPr>
            <w:tcW w:w="960" w:type="dxa"/>
            <w:vAlign w:val="bottom"/>
            <w:tcBorders>
              <w:bottom w:val="single" w:sz="8" w:color="1C2024"/>
            </w:tcBorders>
          </w:tcPr>
          <w:p>
            <w:pPr>
              <w:spacing w:after="0"/>
              <w:rPr>
                <w:sz w:val="2"/>
                <w:szCs w:val="2"/>
                <w:color w:val="auto"/>
              </w:rPr>
            </w:pPr>
          </w:p>
        </w:tc>
      </w:tr>
      <w:tr>
        <w:trPr>
          <w:trHeight w:val="220"/>
        </w:trPr>
        <w:tc>
          <w:tcPr>
            <w:tcW w:w="2620" w:type="dxa"/>
            <w:vAlign w:val="bottom"/>
          </w:tcPr>
          <w:p>
            <w:pPr>
              <w:spacing w:after="0"/>
              <w:rPr>
                <w:sz w:val="20"/>
                <w:szCs w:val="20"/>
                <w:color w:val="auto"/>
              </w:rPr>
            </w:pPr>
            <w:r>
              <w:rPr>
                <w:rFonts w:ascii="Arial" w:cs="Arial" w:eastAsia="Arial" w:hAnsi="Arial"/>
                <w:sz w:val="15"/>
                <w:szCs w:val="15"/>
                <w:color w:val="auto"/>
              </w:rPr>
              <w:t>Adjusted Operating</w:t>
            </w: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175"/>
        </w:trPr>
        <w:tc>
          <w:tcPr>
            <w:tcW w:w="2620" w:type="dxa"/>
            <w:vAlign w:val="bottom"/>
          </w:tcPr>
          <w:p>
            <w:pPr>
              <w:spacing w:after="0"/>
              <w:rPr>
                <w:sz w:val="20"/>
                <w:szCs w:val="20"/>
                <w:color w:val="auto"/>
              </w:rPr>
            </w:pPr>
            <w:r>
              <w:rPr>
                <w:rFonts w:ascii="Arial" w:cs="Arial" w:eastAsia="Arial" w:hAnsi="Arial"/>
                <w:sz w:val="15"/>
                <w:szCs w:val="15"/>
                <w:color w:val="auto"/>
              </w:rPr>
              <w:t>Cash Flow (non-GAAP)</w:t>
            </w:r>
          </w:p>
        </w:tc>
        <w:tc>
          <w:tcPr>
            <w:tcW w:w="1060" w:type="dxa"/>
            <w:vAlign w:val="bottom"/>
          </w:tcPr>
          <w:p>
            <w:pPr>
              <w:jc w:val="right"/>
              <w:ind w:right="61"/>
              <w:spacing w:after="0" w:line="175" w:lineRule="exact"/>
              <w:rPr>
                <w:sz w:val="20"/>
                <w:szCs w:val="20"/>
                <w:color w:val="auto"/>
              </w:rPr>
            </w:pPr>
            <w:r>
              <w:rPr>
                <w:rFonts w:ascii="Times New Roman" w:cs="Times New Roman" w:eastAsia="Times New Roman" w:hAnsi="Times New Roman"/>
                <w:sz w:val="16"/>
                <w:szCs w:val="16"/>
                <w:color w:val="auto"/>
              </w:rPr>
              <w:t>$338,349</w:t>
            </w:r>
          </w:p>
        </w:tc>
        <w:tc>
          <w:tcPr>
            <w:tcW w:w="10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$47,078</w:t>
            </w:r>
          </w:p>
        </w:tc>
        <w:tc>
          <w:tcPr>
            <w:tcW w:w="1080" w:type="dxa"/>
            <w:vAlign w:val="bottom"/>
            <w:gridSpan w:val="2"/>
          </w:tcPr>
          <w:p>
            <w:pPr>
              <w:jc w:val="right"/>
              <w:ind w:right="180"/>
              <w:spacing w:after="0" w:line="175" w:lineRule="exact"/>
              <w:rPr>
                <w:sz w:val="20"/>
                <w:szCs w:val="20"/>
                <w:color w:val="auto"/>
              </w:rPr>
            </w:pPr>
            <w:r>
              <w:rPr>
                <w:rFonts w:ascii="Times New Roman" w:cs="Times New Roman" w:eastAsia="Times New Roman" w:hAnsi="Times New Roman"/>
                <w:sz w:val="16"/>
                <w:szCs w:val="16"/>
                <w:color w:val="auto"/>
              </w:rPr>
              <w:t>$ 116,356</w:t>
            </w:r>
          </w:p>
        </w:tc>
        <w:tc>
          <w:tcPr>
            <w:tcW w:w="1100" w:type="dxa"/>
            <w:vAlign w:val="bottom"/>
            <w:gridSpan w:val="2"/>
          </w:tcPr>
          <w:p>
            <w:pPr>
              <w:jc w:val="right"/>
              <w:ind w:right="160"/>
              <w:spacing w:after="0" w:line="175" w:lineRule="exact"/>
              <w:rPr>
                <w:sz w:val="20"/>
                <w:szCs w:val="20"/>
                <w:color w:val="auto"/>
              </w:rPr>
            </w:pPr>
            <w:r>
              <w:rPr>
                <w:rFonts w:ascii="Times New Roman" w:cs="Times New Roman" w:eastAsia="Times New Roman" w:hAnsi="Times New Roman"/>
                <w:sz w:val="16"/>
                <w:szCs w:val="16"/>
                <w:color w:val="auto"/>
              </w:rPr>
              <w:t>$47,095</w:t>
            </w:r>
          </w:p>
        </w:tc>
        <w:tc>
          <w:tcPr>
            <w:tcW w:w="940" w:type="dxa"/>
            <w:vAlign w:val="bottom"/>
          </w:tcPr>
          <w:p>
            <w:pPr>
              <w:jc w:val="right"/>
              <w:ind w:right="121"/>
              <w:spacing w:after="0" w:line="175" w:lineRule="exact"/>
              <w:rPr>
                <w:sz w:val="20"/>
                <w:szCs w:val="20"/>
                <w:color w:val="auto"/>
              </w:rPr>
            </w:pPr>
            <w:r>
              <w:rPr>
                <w:rFonts w:ascii="Times New Roman" w:cs="Times New Roman" w:eastAsia="Times New Roman" w:hAnsi="Times New Roman"/>
                <w:sz w:val="16"/>
                <w:szCs w:val="16"/>
                <w:color w:val="auto"/>
              </w:rPr>
              <w:t>$31,784</w:t>
            </w:r>
          </w:p>
        </w:tc>
        <w:tc>
          <w:tcPr>
            <w:tcW w:w="960" w:type="dxa"/>
            <w:vAlign w:val="bottom"/>
          </w:tcPr>
          <w:p>
            <w:pPr>
              <w:jc w:val="right"/>
              <w:ind w:right="101"/>
              <w:spacing w:after="0" w:line="175" w:lineRule="exact"/>
              <w:rPr>
                <w:sz w:val="20"/>
                <w:szCs w:val="20"/>
                <w:color w:val="auto"/>
              </w:rPr>
            </w:pPr>
            <w:r>
              <w:rPr>
                <w:rFonts w:ascii="Times New Roman" w:cs="Times New Roman" w:eastAsia="Times New Roman" w:hAnsi="Times New Roman"/>
                <w:sz w:val="16"/>
                <w:szCs w:val="16"/>
                <w:color w:val="auto"/>
              </w:rPr>
              <w:t>$78,879</w:t>
            </w:r>
          </w:p>
        </w:tc>
      </w:tr>
      <w:tr>
        <w:trPr>
          <w:trHeight w:val="32"/>
        </w:trPr>
        <w:tc>
          <w:tcPr>
            <w:tcW w:w="2620" w:type="dxa"/>
            <w:vAlign w:val="bottom"/>
            <w:tcBorders>
              <w:bottom w:val="single" w:sz="8" w:color="4C4C50"/>
            </w:tcBorders>
          </w:tcPr>
          <w:p>
            <w:pPr>
              <w:spacing w:after="0"/>
              <w:rPr>
                <w:sz w:val="2"/>
                <w:szCs w:val="2"/>
                <w:color w:val="auto"/>
              </w:rPr>
            </w:pPr>
          </w:p>
        </w:tc>
        <w:tc>
          <w:tcPr>
            <w:tcW w:w="1060" w:type="dxa"/>
            <w:vAlign w:val="bottom"/>
            <w:tcBorders>
              <w:bottom w:val="single" w:sz="8" w:color="4C4C50"/>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4C4C50"/>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484C50"/>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484C50"/>
            </w:tcBorders>
          </w:tcPr>
          <w:p>
            <w:pPr>
              <w:spacing w:after="0"/>
              <w:rPr>
                <w:sz w:val="2"/>
                <w:szCs w:val="2"/>
                <w:color w:val="auto"/>
              </w:rPr>
            </w:pPr>
          </w:p>
        </w:tc>
        <w:tc>
          <w:tcPr>
            <w:tcW w:w="940" w:type="dxa"/>
            <w:vAlign w:val="bottom"/>
            <w:tcBorders>
              <w:bottom w:val="single" w:sz="8" w:color="484C50"/>
            </w:tcBorders>
          </w:tcPr>
          <w:p>
            <w:pPr>
              <w:spacing w:after="0"/>
              <w:rPr>
                <w:sz w:val="2"/>
                <w:szCs w:val="2"/>
                <w:color w:val="auto"/>
              </w:rPr>
            </w:pPr>
          </w:p>
        </w:tc>
        <w:tc>
          <w:tcPr>
            <w:tcW w:w="960" w:type="dxa"/>
            <w:vAlign w:val="bottom"/>
            <w:tcBorders>
              <w:bottom w:val="single" w:sz="8" w:color="484C50"/>
            </w:tcBorders>
          </w:tcPr>
          <w:p>
            <w:pPr>
              <w:spacing w:after="0"/>
              <w:rPr>
                <w:sz w:val="2"/>
                <w:szCs w:val="2"/>
                <w:color w:val="auto"/>
              </w:rPr>
            </w:pPr>
          </w:p>
        </w:tc>
      </w:tr>
    </w:tbl>
    <w:p>
      <w:pPr>
        <w:ind w:left="1720"/>
        <w:spacing w:after="0" w:line="182" w:lineRule="auto"/>
        <w:rPr>
          <w:sz w:val="20"/>
          <w:szCs w:val="20"/>
          <w:color w:val="auto"/>
        </w:rPr>
      </w:pPr>
      <w:r>
        <w:rPr>
          <w:rFonts w:ascii="Arial" w:cs="Arial" w:eastAsia="Arial" w:hAnsi="Arial"/>
          <w:sz w:val="13"/>
          <w:szCs w:val="13"/>
          <w:i w:val="1"/>
          <w:iCs w:val="1"/>
          <w:color w:val="auto"/>
          <w:vertAlign w:val="superscript"/>
        </w:rPr>
        <w:t>1</w:t>
      </w:r>
      <w:r>
        <w:rPr>
          <w:rFonts w:ascii="Arial" w:cs="Arial" w:eastAsia="Arial" w:hAnsi="Arial"/>
          <w:sz w:val="10"/>
          <w:szCs w:val="10"/>
          <w:i w:val="1"/>
          <w:iCs w:val="1"/>
          <w:color w:val="auto"/>
        </w:rPr>
        <w:t>&gt;Adjusted Operating Cash Flow (non-GAAP) is calculated as Operating Income excluding Amortization of Intangible Assets and</w:t>
      </w:r>
    </w:p>
    <w:p>
      <w:pPr>
        <w:ind w:left="1680"/>
        <w:spacing w:after="0" w:line="202" w:lineRule="auto"/>
        <w:rPr>
          <w:sz w:val="20"/>
          <w:szCs w:val="20"/>
          <w:color w:val="auto"/>
        </w:rPr>
      </w:pPr>
      <w:r>
        <w:rPr>
          <w:rFonts w:ascii="Arial" w:cs="Arial" w:eastAsia="Arial" w:hAnsi="Arial"/>
          <w:sz w:val="13"/>
          <w:szCs w:val="13"/>
          <w:i w:val="1"/>
          <w:iCs w:val="1"/>
          <w:color w:val="auto"/>
        </w:rPr>
        <w:t>&lt;</w:t>
      </w:r>
    </w:p>
    <w:p>
      <w:pPr>
        <w:spacing w:after="0" w:line="2" w:lineRule="exact"/>
        <w:rPr>
          <w:sz w:val="20"/>
          <w:szCs w:val="20"/>
          <w:color w:val="auto"/>
        </w:rPr>
      </w:pPr>
    </w:p>
    <w:p>
      <w:pPr>
        <w:ind w:left="1680"/>
        <w:spacing w:after="0"/>
        <w:rPr>
          <w:sz w:val="20"/>
          <w:szCs w:val="20"/>
          <w:color w:val="auto"/>
        </w:rPr>
      </w:pPr>
      <w:r>
        <w:rPr>
          <w:rFonts w:ascii="Arial" w:cs="Arial" w:eastAsia="Arial" w:hAnsi="Arial"/>
          <w:sz w:val="14"/>
          <w:szCs w:val="14"/>
          <w:i w:val="1"/>
          <w:iCs w:val="1"/>
          <w:color w:val="auto"/>
        </w:rPr>
        <w:t>Impairment of Goodwill and Other Long-Lived Assets plus Depreciation Expense and Pension Service Cost.</w:t>
      </w:r>
    </w:p>
    <w:p>
      <w:pPr>
        <w:sectPr>
          <w:pgSz w:w="12240" w:h="15668" w:orient="portrait"/>
          <w:cols w:equalWidth="0" w:num="1">
            <w:col w:w="12140"/>
          </w:cols>
          <w:pgMar w:left="20" w:top="45" w:right="85" w:bottom="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ind w:left="8780"/>
        <w:spacing w:after="0"/>
        <w:rPr>
          <w:sz w:val="20"/>
          <w:szCs w:val="20"/>
          <w:color w:val="auto"/>
        </w:rPr>
      </w:pPr>
      <w:r>
        <w:rPr>
          <w:rFonts w:ascii="Arial" w:cs="Arial" w:eastAsia="Arial" w:hAnsi="Arial"/>
          <w:sz w:val="14"/>
          <w:szCs w:val="14"/>
          <w:i w:val="1"/>
          <w:iCs w:val="1"/>
          <w:color w:val="auto"/>
        </w:rPr>
        <w:t xml:space="preserve">2024 ANNUAL REPORT </w:t>
      </w:r>
      <w:r>
        <w:rPr>
          <w:rFonts w:ascii="Arial" w:cs="Arial" w:eastAsia="Arial" w:hAnsi="Arial"/>
          <w:sz w:val="18"/>
          <w:szCs w:val="18"/>
          <w:color w:val="auto"/>
        </w:rPr>
        <w:t>I</w:t>
      </w:r>
      <w:r>
        <w:rPr>
          <w:rFonts w:ascii="Arial" w:cs="Arial" w:eastAsia="Arial" w:hAnsi="Arial"/>
          <w:sz w:val="14"/>
          <w:szCs w:val="14"/>
          <w:i w:val="1"/>
          <w:iCs w:val="1"/>
          <w:color w:val="auto"/>
        </w:rPr>
        <w:t xml:space="preserve"> </w:t>
      </w:r>
      <w:r>
        <w:rPr>
          <w:rFonts w:ascii="Times New Roman" w:cs="Times New Roman" w:eastAsia="Times New Roman" w:hAnsi="Times New Roman"/>
          <w:sz w:val="14"/>
          <w:szCs w:val="14"/>
          <w:color w:val="auto"/>
        </w:rPr>
        <w:t>3</w:t>
      </w:r>
    </w:p>
    <w:p>
      <w:pPr>
        <w:sectPr>
          <w:pgSz w:w="12240" w:h="15668" w:orient="portrait"/>
          <w:cols w:equalWidth="0" w:num="1">
            <w:col w:w="12140"/>
          </w:cols>
          <w:pgMar w:left="20" w:top="45" w:right="85"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10"/>
        </w:trPr>
        <w:tc>
          <w:tcPr>
            <w:tcW w:w="1800" w:type="dxa"/>
            <w:vAlign w:val="bottom"/>
          </w:tcPr>
          <w:p>
            <w:pPr>
              <w:spacing w:after="0"/>
              <w:rPr>
                <w:sz w:val="20"/>
                <w:szCs w:val="20"/>
                <w:color w:val="auto"/>
              </w:rPr>
            </w:pPr>
            <w:r>
              <w:rPr>
                <w:rFonts w:ascii="Arial" w:cs="Arial" w:eastAsia="Arial" w:hAnsi="Arial"/>
                <w:sz w:val="10"/>
                <w:szCs w:val="10"/>
                <w:color w:val="auto"/>
              </w:rPr>
              <w:t>•••   I   ••  ,</w:t>
            </w:r>
          </w:p>
        </w:tc>
        <w:tc>
          <w:tcPr>
            <w:tcW w:w="2980" w:type="dxa"/>
            <w:vAlign w:val="bottom"/>
          </w:tcPr>
          <w:p>
            <w:pPr>
              <w:ind w:left="1780"/>
              <w:spacing w:after="0"/>
              <w:rPr>
                <w:sz w:val="20"/>
                <w:szCs w:val="20"/>
                <w:color w:val="auto"/>
              </w:rPr>
            </w:pPr>
            <w:r>
              <w:rPr>
                <w:rFonts w:ascii="Arial" w:cs="Arial" w:eastAsia="Arial" w:hAnsi="Arial"/>
                <w:sz w:val="8"/>
                <w:szCs w:val="8"/>
                <w:color w:val="auto"/>
              </w:rPr>
              <w:t>I</w:t>
            </w:r>
          </w:p>
        </w:tc>
        <w:tc>
          <w:tcPr>
            <w:tcW w:w="3340" w:type="dxa"/>
            <w:vAlign w:val="bottom"/>
          </w:tcPr>
          <w:p>
            <w:pPr>
              <w:ind w:left="2940"/>
              <w:spacing w:after="0"/>
              <w:rPr>
                <w:sz w:val="20"/>
                <w:szCs w:val="20"/>
                <w:color w:val="auto"/>
              </w:rPr>
            </w:pPr>
            <w:r>
              <w:rPr>
                <w:rFonts w:ascii="Arial" w:cs="Arial" w:eastAsia="Arial" w:hAnsi="Arial"/>
                <w:sz w:val="8"/>
                <w:szCs w:val="8"/>
                <w:color w:val="auto"/>
              </w:rPr>
              <w:t>•••</w:t>
            </w:r>
          </w:p>
        </w:tc>
        <w:tc>
          <w:tcPr>
            <w:tcW w:w="3300" w:type="dxa"/>
            <w:vAlign w:val="bottom"/>
          </w:tcPr>
          <w:p>
            <w:pPr>
              <w:jc w:val="right"/>
              <w:ind w:right="98"/>
              <w:spacing w:after="0" w:line="209" w:lineRule="exact"/>
              <w:rPr>
                <w:sz w:val="20"/>
                <w:szCs w:val="20"/>
                <w:color w:val="auto"/>
              </w:rPr>
            </w:pPr>
            <w:r>
              <w:rPr>
                <w:rFonts w:ascii="Arial" w:cs="Arial" w:eastAsia="Arial" w:hAnsi="Arial"/>
                <w:sz w:val="8"/>
                <w:szCs w:val="8"/>
                <w:color w:val="auto"/>
              </w:rPr>
              <w:t>•   •••••</w:t>
            </w:r>
            <w:r>
              <w:rPr>
                <w:rFonts w:ascii="Arial" w:cs="Arial" w:eastAsia="Arial" w:hAnsi="Arial"/>
                <w:sz w:val="13"/>
                <w:szCs w:val="13"/>
                <w:color w:val="auto"/>
              </w:rPr>
              <w:t xml:space="preserve">I  </w:t>
            </w:r>
            <w:r>
              <w:rPr>
                <w:rFonts w:ascii="Times New Roman" w:cs="Times New Roman" w:eastAsia="Times New Roman" w:hAnsi="Times New Roman"/>
                <w:sz w:val="16"/>
                <w:szCs w:val="16"/>
                <w:b w:val="1"/>
                <w:bCs w:val="1"/>
                <w:color w:val="auto"/>
              </w:rPr>
              <w:t>1:1 '1 lit</w:t>
            </w:r>
            <w:r>
              <w:rPr>
                <w:rFonts w:ascii="Arial" w:cs="Arial" w:eastAsia="Arial" w:hAnsi="Arial"/>
                <w:sz w:val="13"/>
                <w:szCs w:val="13"/>
                <w:color w:val="auto"/>
              </w:rPr>
              <w:t xml:space="preserve"> </w:t>
            </w:r>
            <w:r>
              <w:rPr>
                <w:rFonts w:ascii="Arial" w:cs="Arial" w:eastAsia="Arial" w:hAnsi="Arial"/>
                <w:sz w:val="20"/>
                <w:szCs w:val="20"/>
                <w:color w:val="auto"/>
              </w:rPr>
              <w:t>l.t'IHII IHI~·</w:t>
            </w:r>
          </w:p>
        </w:tc>
        <w:tc>
          <w:tcPr>
            <w:tcW w:w="0" w:type="dxa"/>
            <w:vAlign w:val="bottom"/>
          </w:tcPr>
          <w:p>
            <w:pPr>
              <w:spacing w:after="0"/>
              <w:rPr>
                <w:sz w:val="1"/>
                <w:szCs w:val="1"/>
                <w:color w:val="auto"/>
              </w:rPr>
            </w:pPr>
          </w:p>
        </w:tc>
      </w:tr>
      <w:tr>
        <w:trPr>
          <w:trHeight w:val="181"/>
        </w:trPr>
        <w:tc>
          <w:tcPr>
            <w:tcW w:w="1800" w:type="dxa"/>
            <w:vAlign w:val="bottom"/>
            <w:vMerge w:val="restart"/>
          </w:tcPr>
          <w:p>
            <w:pPr>
              <w:spacing w:after="0"/>
              <w:rPr>
                <w:sz w:val="20"/>
                <w:szCs w:val="20"/>
                <w:color w:val="auto"/>
              </w:rPr>
            </w:pPr>
            <w:r>
              <w:rPr>
                <w:rFonts w:ascii="Arial" w:cs="Arial" w:eastAsia="Arial" w:hAnsi="Arial"/>
                <w:sz w:val="17"/>
                <w:szCs w:val="17"/>
                <w:color w:val="auto"/>
              </w:rPr>
              <w:t xml:space="preserve">&amp;   .  , </w:t>
            </w:r>
            <w:r>
              <w:rPr>
                <w:rFonts w:ascii="Times New Roman" w:cs="Times New Roman" w:eastAsia="Times New Roman" w:hAnsi="Times New Roman"/>
                <w:sz w:val="23"/>
                <w:szCs w:val="23"/>
                <w:color w:val="auto"/>
              </w:rPr>
              <w:t>8 1 •   •</w:t>
            </w:r>
          </w:p>
        </w:tc>
        <w:tc>
          <w:tcPr>
            <w:tcW w:w="2980" w:type="dxa"/>
            <w:vAlign w:val="bottom"/>
          </w:tcPr>
          <w:p>
            <w:pPr>
              <w:ind w:left="28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340" w:type="dxa"/>
            <w:vAlign w:val="bottom"/>
          </w:tcPr>
          <w:p>
            <w:pPr>
              <w:ind w:left="80"/>
              <w:spacing w:after="0" w:line="182" w:lineRule="exact"/>
              <w:rPr>
                <w:sz w:val="20"/>
                <w:szCs w:val="20"/>
                <w:color w:val="auto"/>
              </w:rPr>
            </w:pPr>
            <w:r>
              <w:rPr>
                <w:rFonts w:ascii="Times New Roman" w:cs="Times New Roman" w:eastAsia="Times New Roman" w:hAnsi="Times New Roman"/>
                <w:sz w:val="12"/>
                <w:szCs w:val="12"/>
                <w:b w:val="1"/>
                <w:bCs w:val="1"/>
                <w:color w:val="auto"/>
              </w:rPr>
              <w:t xml:space="preserve">e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5"/>
                <w:szCs w:val="15"/>
                <w:b w:val="1"/>
                <w:bCs w:val="1"/>
                <w:color w:val="auto"/>
              </w:rPr>
              <w:t>tIt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b w:val="1"/>
                <w:bCs w:val="1"/>
                <w:color w:val="auto"/>
              </w:rPr>
              <w:t>I  It</w:t>
            </w:r>
            <w:r>
              <w:rPr>
                <w:rFonts w:ascii="Times New Roman" w:cs="Times New Roman" w:eastAsia="Times New Roman" w:hAnsi="Times New Roman"/>
                <w:sz w:val="12"/>
                <w:szCs w:val="12"/>
                <w:b w:val="1"/>
                <w:bCs w:val="1"/>
                <w:color w:val="auto"/>
              </w:rPr>
              <w:t xml:space="preserve"> Itt It </w:t>
            </w:r>
            <w:r>
              <w:rPr>
                <w:rFonts w:ascii="Times New Roman" w:cs="Times New Roman" w:eastAsia="Times New Roman" w:hAnsi="Times New Roman"/>
                <w:sz w:val="21"/>
                <w:szCs w:val="21"/>
                <w:color w:val="auto"/>
                <w:vertAlign w:val="superscript"/>
              </w:rPr>
              <w:t>11</w:t>
            </w:r>
          </w:p>
        </w:tc>
        <w:tc>
          <w:tcPr>
            <w:tcW w:w="3300" w:type="dxa"/>
            <w:vAlign w:val="bottom"/>
          </w:tcPr>
          <w:p>
            <w:pPr>
              <w:jc w:val="right"/>
              <w:ind w:right="98"/>
              <w:spacing w:after="0" w:line="181" w:lineRule="exact"/>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0"/>
                <w:szCs w:val="10"/>
                <w:color w:val="auto"/>
              </w:rPr>
              <w:t>-_:c-</w:t>
            </w:r>
            <w:r>
              <w:rPr>
                <w:rFonts w:ascii="Arial" w:cs="Arial" w:eastAsia="Arial" w:hAnsi="Arial"/>
                <w:sz w:val="13"/>
                <w:szCs w:val="13"/>
                <w:color w:val="auto"/>
              </w:rPr>
              <w:t xml:space="preserve"> </w:t>
            </w:r>
            <w:r>
              <w:rPr>
                <w:rFonts w:ascii="Times New Roman" w:cs="Times New Roman" w:eastAsia="Times New Roman" w:hAnsi="Times New Roman"/>
                <w:sz w:val="20"/>
                <w:szCs w:val="20"/>
                <w:color w:val="auto"/>
              </w:rPr>
              <w:t>-=</w:t>
            </w:r>
            <w:r>
              <w:rPr>
                <w:rFonts w:ascii="Arial" w:cs="Arial" w:eastAsia="Arial" w:hAnsi="Arial"/>
                <w:sz w:val="13"/>
                <w:szCs w:val="13"/>
                <w:color w:val="auto"/>
              </w:rPr>
              <w:t xml:space="preserve"> </w:t>
            </w:r>
            <w:r>
              <w:rPr>
                <w:rFonts w:ascii="Times New Roman" w:cs="Times New Roman" w:eastAsia="Times New Roman" w:hAnsi="Times New Roman"/>
                <w:sz w:val="11"/>
                <w:szCs w:val="11"/>
                <w:b w:val="1"/>
                <w:bCs w:val="1"/>
                <w:color w:val="auto"/>
              </w:rPr>
              <w:t>tH I H t •tnt •</w:t>
            </w:r>
          </w:p>
        </w:tc>
        <w:tc>
          <w:tcPr>
            <w:tcW w:w="0" w:type="dxa"/>
            <w:vAlign w:val="bottom"/>
          </w:tcPr>
          <w:p>
            <w:pPr>
              <w:spacing w:after="0"/>
              <w:rPr>
                <w:sz w:val="1"/>
                <w:szCs w:val="1"/>
                <w:color w:val="auto"/>
              </w:rPr>
            </w:pPr>
          </w:p>
        </w:tc>
      </w:tr>
      <w:tr>
        <w:trPr>
          <w:trHeight w:val="273"/>
        </w:trPr>
        <w:tc>
          <w:tcPr>
            <w:tcW w:w="1800" w:type="dxa"/>
            <w:vAlign w:val="bottom"/>
            <w:vMerge w:val="continue"/>
          </w:tcPr>
          <w:p>
            <w:pPr>
              <w:spacing w:after="0"/>
              <w:rPr>
                <w:sz w:val="23"/>
                <w:szCs w:val="23"/>
                <w:color w:val="auto"/>
              </w:rPr>
            </w:pPr>
          </w:p>
        </w:tc>
        <w:tc>
          <w:tcPr>
            <w:tcW w:w="2980" w:type="dxa"/>
            <w:vAlign w:val="bottom"/>
          </w:tcPr>
          <w:p>
            <w:pPr>
              <w:ind w:left="320"/>
              <w:spacing w:after="0" w:line="262" w:lineRule="exact"/>
              <w:rPr>
                <w:sz w:val="20"/>
                <w:szCs w:val="20"/>
                <w:color w:val="auto"/>
              </w:rPr>
            </w:pPr>
            <w:r>
              <w:rPr>
                <w:rFonts w:ascii="Times New Roman" w:cs="Times New Roman" w:eastAsia="Times New Roman" w:hAnsi="Times New Roman"/>
                <w:sz w:val="24"/>
                <w:szCs w:val="24"/>
                <w:color w:val="auto"/>
              </w:rPr>
              <w:t>••••• • , •  •  ,, •</w:t>
            </w:r>
          </w:p>
        </w:tc>
        <w:tc>
          <w:tcPr>
            <w:tcW w:w="6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4  4  I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b w:val="1"/>
                <w:bCs w:val="1"/>
                <w:color w:val="auto"/>
              </w:rPr>
              <w:t>t 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rPr>
              <w:t>'I 8 ..</w:t>
            </w:r>
            <w:r>
              <w:rPr>
                <w:rFonts w:ascii="Times New Roman" w:cs="Times New Roman" w:eastAsia="Times New Roman" w:hAnsi="Times New Roman"/>
                <w:sz w:val="14"/>
                <w:szCs w:val="14"/>
                <w:b w:val="1"/>
                <w:bCs w:val="1"/>
                <w:color w:val="auto"/>
              </w:rPr>
              <w:t xml:space="preserve"> ll  </w:t>
            </w:r>
            <w:r>
              <w:rPr>
                <w:rFonts w:ascii="Arial" w:cs="Arial" w:eastAsia="Arial" w:hAnsi="Arial"/>
                <w:sz w:val="15"/>
                <w:szCs w:val="15"/>
                <w:b w:val="1"/>
                <w:bCs w:val="1"/>
                <w:color w:val="auto"/>
              </w:rPr>
              <w:t>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4"/>
                <w:szCs w:val="14"/>
                <w:b w:val="1"/>
                <w:bCs w:val="1"/>
                <w:color w:val="auto"/>
              </w:rPr>
              <w:t xml:space="preserve"> </w:t>
            </w:r>
            <w:r>
              <w:rPr>
                <w:rFonts w:ascii="Arial" w:cs="Arial" w:eastAsia="Arial" w:hAnsi="Arial"/>
                <w:sz w:val="17"/>
                <w:szCs w:val="17"/>
                <w:b w:val="1"/>
                <w:bCs w:val="1"/>
                <w:color w:val="auto"/>
              </w:rPr>
              <w:t>;f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rPr>
              <w:t>t H</w:t>
            </w:r>
            <w:r>
              <w:rPr>
                <w:rFonts w:ascii="Times New Roman" w:cs="Times New Roman" w:eastAsia="Times New Roman" w:hAnsi="Times New Roman"/>
                <w:sz w:val="14"/>
                <w:szCs w:val="14"/>
                <w:b w:val="1"/>
                <w:bCs w:val="1"/>
                <w:color w:val="auto"/>
              </w:rPr>
              <w:t xml:space="preserve">  ll 'l </w:t>
            </w:r>
            <w:r>
              <w:rPr>
                <w:rFonts w:ascii="Arial" w:cs="Arial" w:eastAsia="Arial" w:hAnsi="Arial"/>
                <w:sz w:val="21"/>
                <w:szCs w:val="21"/>
                <w:color w:val="auto"/>
              </w:rPr>
              <w:t>~~</w:t>
            </w:r>
            <w:r>
              <w:rPr>
                <w:rFonts w:ascii="Times New Roman" w:cs="Times New Roman" w:eastAsia="Times New Roman" w:hAnsi="Times New Roman"/>
                <w:sz w:val="14"/>
                <w:szCs w:val="14"/>
                <w:b w:val="1"/>
                <w:bCs w:val="1"/>
                <w:color w:val="auto"/>
              </w:rPr>
              <w:t xml:space="preserve"> _llt </w:t>
            </w:r>
            <w:r>
              <w:rPr>
                <w:rFonts w:ascii="Arial" w:cs="Arial" w:eastAsia="Arial" w:hAnsi="Arial"/>
                <w:sz w:val="21"/>
                <w:szCs w:val="2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Arial" w:cs="Arial" w:eastAsia="Arial" w:hAnsi="Arial"/>
                <w:sz w:val="15"/>
                <w:szCs w:val="15"/>
                <w:b w:val="1"/>
                <w:bCs w:val="1"/>
                <w:color w:val="auto"/>
              </w:rPr>
              <w:t xml:space="preserve">tt t </w:t>
            </w:r>
            <w:r>
              <w:rPr>
                <w:rFonts w:ascii="Times New Roman" w:cs="Times New Roman" w:eastAsia="Times New Roman" w:hAnsi="Times New Roman"/>
                <w:sz w:val="14"/>
                <w:szCs w:val="14"/>
                <w:b w:val="1"/>
                <w:bCs w:val="1"/>
                <w:color w:val="auto"/>
              </w:rPr>
              <w:t>t t 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br w:type="column"/>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t>
      </w:r>
    </w:p>
    <w:p>
      <w:pPr>
        <w:ind w:left="180"/>
        <w:spacing w:after="0" w:line="226" w:lineRule="auto"/>
        <w:rPr>
          <w:sz w:val="20"/>
          <w:szCs w:val="20"/>
          <w:color w:val="auto"/>
        </w:rPr>
      </w:pPr>
      <w:r>
        <w:rPr>
          <w:rFonts w:ascii="Times New Roman" w:cs="Times New Roman" w:eastAsia="Times New Roman" w:hAnsi="Times New Roman"/>
          <w:sz w:val="16"/>
          <w:szCs w:val="16"/>
          <w:b w:val="1"/>
          <w:bCs w:val="1"/>
          <w:color w:val="auto"/>
        </w:rPr>
        <w:t>uu</w:t>
      </w:r>
    </w:p>
    <w:p>
      <w:pPr>
        <w:spacing w:after="0" w:line="185" w:lineRule="auto"/>
        <w:rPr>
          <w:sz w:val="20"/>
          <w:szCs w:val="20"/>
          <w:color w:val="auto"/>
        </w:rPr>
      </w:pPr>
      <w:r>
        <w:rPr>
          <w:rFonts w:ascii="Times New Roman" w:cs="Times New Roman" w:eastAsia="Times New Roman" w:hAnsi="Times New Roman"/>
          <w:sz w:val="20"/>
          <w:szCs w:val="20"/>
          <w:b w:val="1"/>
          <w:bCs w:val="1"/>
          <w:color w:val="auto"/>
        </w:rPr>
        <w:t>n tll.!'</w:t>
      </w:r>
    </w:p>
    <w:p>
      <w:pPr>
        <w:spacing w:after="0" w:line="270" w:lineRule="exact"/>
        <w:rPr>
          <w:sz w:val="20"/>
          <w:szCs w:val="20"/>
          <w:color w:val="auto"/>
        </w:rPr>
      </w:pPr>
    </w:p>
    <w:p>
      <w:pPr>
        <w:sectPr>
          <w:pgSz w:w="12240" w:h="15668" w:orient="portrait"/>
          <w:cols w:equalWidth="0" w:num="2">
            <w:col w:w="11420" w:space="60"/>
            <w:col w:w="580"/>
          </w:cols>
          <w:pgMar w:left="80" w:top="0" w:right="105"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160" w:right="1940" w:hanging="347"/>
        <w:spacing w:after="0" w:line="311" w:lineRule="auto"/>
        <w:rPr>
          <w:sz w:val="20"/>
          <w:szCs w:val="20"/>
          <w:color w:val="auto"/>
        </w:rPr>
      </w:pPr>
      <w:r>
        <w:rPr>
          <w:rFonts w:ascii="Arial" w:cs="Arial" w:eastAsia="Arial" w:hAnsi="Arial"/>
          <w:sz w:val="25"/>
          <w:szCs w:val="25"/>
          <w:color w:val="auto"/>
        </w:rPr>
        <w:t>''</w:t>
      </w:r>
      <w:r>
        <w:rPr>
          <w:rFonts w:ascii="Arial" w:cs="Arial" w:eastAsia="Arial" w:hAnsi="Arial"/>
          <w:sz w:val="25"/>
          <w:szCs w:val="25"/>
          <w:b w:val="1"/>
          <w:bCs w:val="1"/>
          <w:color w:val="auto"/>
        </w:rPr>
        <w:t>While the total company results grew, it'sthe makeup of that</w:t>
      </w:r>
      <w:r>
        <w:rPr>
          <w:rFonts w:ascii="Arial" w:cs="Arial" w:eastAsia="Arial" w:hAnsi="Arial"/>
          <w:sz w:val="25"/>
          <w:szCs w:val="25"/>
          <w:color w:val="auto"/>
        </w:rPr>
        <w:t xml:space="preserve"> </w:t>
      </w:r>
      <w:r>
        <w:rPr>
          <w:rFonts w:ascii="Arial" w:cs="Arial" w:eastAsia="Arial" w:hAnsi="Arial"/>
          <w:sz w:val="25"/>
          <w:szCs w:val="25"/>
          <w:b w:val="1"/>
          <w:bCs w:val="1"/>
          <w:color w:val="auto"/>
        </w:rPr>
        <w:t>growth that should make you optimistic.''</w:t>
      </w:r>
    </w:p>
    <w:p>
      <w:pPr>
        <w:sectPr>
          <w:pgSz w:w="12240" w:h="15668" w:orient="portrait"/>
          <w:cols w:equalWidth="0" w:num="1">
            <w:col w:w="12060"/>
          </w:cols>
          <w:pgMar w:left="80" w:top="0" w:right="10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both"/>
        <w:ind w:left="1360" w:firstLine="1"/>
        <w:spacing w:after="0" w:line="329" w:lineRule="auto"/>
        <w:rPr>
          <w:sz w:val="20"/>
          <w:szCs w:val="20"/>
          <w:color w:val="auto"/>
        </w:rPr>
      </w:pPr>
      <w:r>
        <w:rPr>
          <w:rFonts w:ascii="Arial" w:cs="Arial" w:eastAsia="Arial" w:hAnsi="Arial"/>
          <w:sz w:val="20"/>
          <w:szCs w:val="20"/>
          <w:color w:val="auto"/>
        </w:rPr>
        <w:t>These high-level results do not tell the whole story. While the total company results grew, it'sthe makeup of that growth t hat should make you optimistic.</w:t>
      </w:r>
    </w:p>
    <w:p>
      <w:pPr>
        <w:spacing w:after="0" w:line="332" w:lineRule="exact"/>
        <w:rPr>
          <w:sz w:val="20"/>
          <w:szCs w:val="20"/>
          <w:color w:val="auto"/>
        </w:rPr>
      </w:pPr>
    </w:p>
    <w:p>
      <w:pPr>
        <w:jc w:val="both"/>
        <w:ind w:left="1360" w:firstLine="6"/>
        <w:spacing w:after="0" w:line="334" w:lineRule="auto"/>
        <w:rPr>
          <w:sz w:val="20"/>
          <w:szCs w:val="20"/>
          <w:color w:val="auto"/>
        </w:rPr>
      </w:pPr>
      <w:r>
        <w:rPr>
          <w:rFonts w:ascii="Arial" w:cs="Arial" w:eastAsia="Arial" w:hAnsi="Arial"/>
          <w:sz w:val="20"/>
          <w:szCs w:val="20"/>
          <w:color w:val="auto"/>
        </w:rPr>
        <w:t>In recent history, Graham Media Group (GMG) has been the largest producer of cash for the Company and was again in 2024. Catherine Badalamente and her team managed the business exceptionally well in a challenging broadcast environment. We have used most of t hat cash to grow new business lines or to repurchase shares when our stock was trading well below our view of intrinsic value (since 2020, we have spent $596 million buying back our stock at an average price of $542/share).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left="1360" w:firstLine="2"/>
        <w:spacing w:after="0" w:line="334" w:lineRule="auto"/>
        <w:rPr>
          <w:sz w:val="20"/>
          <w:szCs w:val="20"/>
          <w:color w:val="auto"/>
        </w:rPr>
      </w:pPr>
      <w:r>
        <w:rPr>
          <w:rFonts w:ascii="Arial" w:cs="Arial" w:eastAsia="Arial" w:hAnsi="Arial"/>
          <w:sz w:val="20"/>
          <w:szCs w:val="20"/>
          <w:color w:val="auto"/>
        </w:rPr>
        <w:t>While we are very happy with the results of the repurchases, the growth in the earnings power of the Company outside of GMG is even more encouraging This table. going back to 2021, shows the total adjusted operating cash flow broken into two parts: Graham Media Group and all other operations. inclusive of corporate expenses.</w:t>
      </w:r>
    </w:p>
    <w:p>
      <w:pPr>
        <w:spacing w:after="0" w:line="314" w:lineRule="exact"/>
        <w:rPr>
          <w:sz w:val="20"/>
          <w:szCs w:val="20"/>
          <w:color w:val="auto"/>
        </w:rPr>
      </w:pPr>
    </w:p>
    <w:p>
      <w:pPr>
        <w:ind w:left="1580" w:hanging="220"/>
        <w:spacing w:after="0"/>
        <w:tabs>
          <w:tab w:leader="none" w:pos="1580" w:val="left"/>
        </w:tabs>
        <w:numPr>
          <w:ilvl w:val="1"/>
          <w:numId w:val="4"/>
        </w:numPr>
        <w:rPr>
          <w:rFonts w:ascii="Arial" w:cs="Arial" w:eastAsia="Arial" w:hAnsi="Arial"/>
          <w:sz w:val="20"/>
          <w:szCs w:val="20"/>
          <w:color w:val="auto"/>
        </w:rPr>
      </w:pPr>
      <w:r>
        <w:rPr>
          <w:rFonts w:ascii="Arial" w:cs="Arial" w:eastAsia="Arial" w:hAnsi="Arial"/>
          <w:sz w:val="20"/>
          <w:szCs w:val="20"/>
          <w:color w:val="auto"/>
        </w:rPr>
        <w:t>few key takeaways:</w:t>
      </w:r>
    </w:p>
    <w:p>
      <w:pPr>
        <w:spacing w:after="0" w:line="261" w:lineRule="exact"/>
        <w:rPr>
          <w:rFonts w:ascii="Arial" w:cs="Arial" w:eastAsia="Arial" w:hAnsi="Arial"/>
          <w:sz w:val="20"/>
          <w:szCs w:val="20"/>
          <w:color w:val="auto"/>
        </w:rPr>
      </w:pPr>
    </w:p>
    <w:p>
      <w:pPr>
        <w:ind w:left="1640" w:hanging="283"/>
        <w:spacing w:after="0" w:line="323" w:lineRule="auto"/>
        <w:tabs>
          <w:tab w:leader="none" w:pos="1632" w:val="left"/>
        </w:tabs>
        <w:numPr>
          <w:ilvl w:val="0"/>
          <w:numId w:val="4"/>
        </w:numPr>
        <w:rPr>
          <w:rFonts w:ascii="Arial" w:cs="Arial" w:eastAsia="Arial" w:hAnsi="Arial"/>
          <w:sz w:val="20"/>
          <w:szCs w:val="20"/>
          <w:color w:val="auto"/>
        </w:rPr>
      </w:pPr>
      <w:r>
        <w:rPr>
          <w:rFonts w:ascii="Arial" w:cs="Arial" w:eastAsia="Arial" w:hAnsi="Arial"/>
          <w:sz w:val="20"/>
          <w:szCs w:val="20"/>
          <w:color w:val="auto"/>
        </w:rPr>
        <w:t>Graham Media Group remains an important part of our operations.</w:t>
      </w:r>
    </w:p>
    <w:p>
      <w:pPr>
        <w:spacing w:after="0" w:line="172" w:lineRule="exact"/>
        <w:rPr>
          <w:rFonts w:ascii="Arial" w:cs="Arial" w:eastAsia="Arial" w:hAnsi="Arial"/>
          <w:sz w:val="20"/>
          <w:szCs w:val="20"/>
          <w:color w:val="auto"/>
        </w:rPr>
      </w:pPr>
    </w:p>
    <w:p>
      <w:pPr>
        <w:jc w:val="both"/>
        <w:ind w:left="1620" w:hanging="263"/>
        <w:spacing w:after="0" w:line="336" w:lineRule="auto"/>
        <w:tabs>
          <w:tab w:leader="none" w:pos="1621"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importance of political advertising to GMG continues to increase. The whole company'sprofits. as well as GMG's, go way up in even numbered years (because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both"/>
        <w:ind w:left="280" w:right="1340"/>
        <w:spacing w:after="0" w:line="330" w:lineRule="auto"/>
        <w:rPr>
          <w:sz w:val="20"/>
          <w:szCs w:val="20"/>
          <w:color w:val="auto"/>
        </w:rPr>
      </w:pPr>
      <w:r>
        <w:rPr>
          <w:rFonts w:ascii="Arial" w:cs="Arial" w:eastAsia="Arial" w:hAnsi="Arial"/>
          <w:sz w:val="20"/>
          <w:szCs w:val="20"/>
          <w:color w:val="auto"/>
        </w:rPr>
        <w:t>of political advertising). and down in odd numbered years. when there are few elections.</w:t>
      </w:r>
    </w:p>
    <w:p>
      <w:pPr>
        <w:spacing w:after="0" w:line="167" w:lineRule="exact"/>
        <w:rPr>
          <w:sz w:val="20"/>
          <w:szCs w:val="20"/>
          <w:color w:val="auto"/>
        </w:rPr>
      </w:pPr>
    </w:p>
    <w:p>
      <w:pPr>
        <w:jc w:val="both"/>
        <w:ind w:left="280" w:right="1360" w:hanging="274"/>
        <w:spacing w:after="0" w:line="332" w:lineRule="auto"/>
        <w:tabs>
          <w:tab w:leader="none" w:pos="280" w:val="left"/>
        </w:tabs>
        <w:numPr>
          <w:ilvl w:val="0"/>
          <w:numId w:val="5"/>
        </w:numPr>
        <w:rPr>
          <w:rFonts w:ascii="Arial" w:cs="Arial" w:eastAsia="Arial" w:hAnsi="Arial"/>
          <w:sz w:val="20"/>
          <w:szCs w:val="20"/>
          <w:color w:val="auto"/>
        </w:rPr>
      </w:pPr>
      <w:r>
        <w:rPr>
          <w:rFonts w:ascii="Arial" w:cs="Arial" w:eastAsia="Arial" w:hAnsi="Arial"/>
          <w:sz w:val="20"/>
          <w:szCs w:val="20"/>
          <w:color w:val="auto"/>
        </w:rPr>
        <w:t>The growth in our non-media operations is very strong. In the four years beginning in 2021. adjusted operating cash flow exclud-ing GMG has increased by 148%, from $90.1 million to $223.2 million.</w:t>
      </w:r>
    </w:p>
    <w:p>
      <w:pPr>
        <w:spacing w:after="0" w:line="326" w:lineRule="exact"/>
        <w:rPr>
          <w:sz w:val="20"/>
          <w:szCs w:val="20"/>
          <w:color w:val="auto"/>
        </w:rPr>
      </w:pPr>
    </w:p>
    <w:p>
      <w:pPr>
        <w:jc w:val="both"/>
        <w:ind w:right="1340" w:firstLine="3"/>
        <w:spacing w:after="0" w:line="333" w:lineRule="auto"/>
        <w:rPr>
          <w:sz w:val="20"/>
          <w:szCs w:val="20"/>
          <w:color w:val="auto"/>
        </w:rPr>
      </w:pPr>
      <w:r>
        <w:rPr>
          <w:rFonts w:ascii="Arial" w:cs="Arial" w:eastAsia="Arial" w:hAnsi="Arial"/>
          <w:sz w:val="20"/>
          <w:szCs w:val="20"/>
          <w:color w:val="auto"/>
        </w:rPr>
        <w:t>We believe these trends in company operations will continue. For 2025, Graham Media Group will certainly decrease its earnings due (mostly) to a lack of political advertising, as well as underlying negative core trends. The rest of the Company should grow its earnings once again. It'simportant for you as a shareholder to understand this dynamic, as we think there is a good c hance these lines will "cross" in the next few years. The growth in our non-Graham Media Group businesses could drive annual earnings growth, overcoming the loss of political advertising illl odd years.</w:t>
      </w:r>
    </w:p>
    <w:p>
      <w:pPr>
        <w:spacing w:after="0" w:line="324" w:lineRule="exact"/>
        <w:rPr>
          <w:sz w:val="20"/>
          <w:szCs w:val="20"/>
          <w:color w:val="auto"/>
        </w:rPr>
      </w:pPr>
    </w:p>
    <w:p>
      <w:pPr>
        <w:jc w:val="both"/>
        <w:ind w:left="20" w:right="1340" w:firstLine="1"/>
        <w:spacing w:after="0" w:line="333" w:lineRule="auto"/>
        <w:rPr>
          <w:sz w:val="20"/>
          <w:szCs w:val="20"/>
          <w:color w:val="auto"/>
        </w:rPr>
      </w:pPr>
      <w:r>
        <w:rPr>
          <w:rFonts w:ascii="Arial" w:cs="Arial" w:eastAsia="Arial" w:hAnsi="Arial"/>
          <w:sz w:val="20"/>
          <w:szCs w:val="20"/>
          <w:color w:val="auto"/>
        </w:rPr>
        <w:t>Kaplan continues to lead this charge. Our results at both the North American and International operations were strong and we believe all of Kaplan has a promising future.</w:t>
      </w:r>
    </w:p>
    <w:p>
      <w:pPr>
        <w:spacing w:after="0" w:line="326" w:lineRule="exact"/>
        <w:rPr>
          <w:sz w:val="20"/>
          <w:szCs w:val="20"/>
          <w:color w:val="auto"/>
        </w:rPr>
      </w:pPr>
    </w:p>
    <w:p>
      <w:pPr>
        <w:jc w:val="both"/>
        <w:ind w:right="1340" w:firstLine="8"/>
        <w:spacing w:after="0" w:line="335" w:lineRule="auto"/>
        <w:rPr>
          <w:sz w:val="20"/>
          <w:szCs w:val="20"/>
          <w:color w:val="auto"/>
        </w:rPr>
      </w:pPr>
      <w:r>
        <w:rPr>
          <w:rFonts w:ascii="Arial" w:cs="Arial" w:eastAsia="Arial" w:hAnsi="Arial"/>
          <w:sz w:val="20"/>
          <w:szCs w:val="20"/>
          <w:color w:val="auto"/>
        </w:rPr>
        <w:t>Kaplan International (KI) had another strong growth year. Adjusted operating cash flow increased from $116.4 million to $131.1 million. Most of the businesses at Kl grew, with Pathways continuing to be the largest contributor to earnings, followed by our Australian Business</w:t>
      </w:r>
    </w:p>
    <w:p>
      <w:pPr>
        <w:spacing w:after="0" w:line="362" w:lineRule="exact"/>
        <w:rPr>
          <w:sz w:val="20"/>
          <w:szCs w:val="20"/>
          <w:color w:val="auto"/>
        </w:rPr>
      </w:pPr>
    </w:p>
    <w:p>
      <w:pPr>
        <w:sectPr>
          <w:pgSz w:w="12240" w:h="15668" w:orient="portrait"/>
          <w:cols w:equalWidth="0" w:num="2">
            <w:col w:w="5780" w:space="520"/>
            <w:col w:w="5760"/>
          </w:cols>
          <w:pgMar w:left="80" w:top="0" w:right="105" w:bottom="0" w:gutter="0" w:footer="0" w:header="0"/>
          <w:type w:val="continuous"/>
        </w:sectPr>
      </w:pPr>
    </w:p>
    <w:p>
      <w:pPr>
        <w:spacing w:after="0" w:line="200" w:lineRule="exact"/>
        <w:rPr>
          <w:sz w:val="20"/>
          <w:szCs w:val="20"/>
          <w:color w:val="auto"/>
        </w:rPr>
      </w:pPr>
    </w:p>
    <w:p>
      <w:pPr>
        <w:spacing w:after="0" w:line="365" w:lineRule="exact"/>
        <w:rPr>
          <w:sz w:val="20"/>
          <w:szCs w:val="20"/>
          <w:color w:val="auto"/>
        </w:rPr>
      </w:pPr>
    </w:p>
    <w:p>
      <w:pPr>
        <w:ind w:left="1520" w:hanging="161"/>
        <w:spacing w:after="0"/>
        <w:tabs>
          <w:tab w:leader="none" w:pos="1520" w:val="left"/>
        </w:tabs>
        <w:numPr>
          <w:ilvl w:val="0"/>
          <w:numId w:val="6"/>
        </w:numPr>
        <w:rPr>
          <w:rFonts w:ascii="Times New Roman" w:cs="Times New Roman" w:eastAsia="Times New Roman" w:hAnsi="Times New Roman"/>
          <w:sz w:val="14"/>
          <w:szCs w:val="14"/>
          <w:b w:val="1"/>
          <w:bCs w:val="1"/>
          <w:color w:val="auto"/>
        </w:rPr>
      </w:pPr>
      <w:r>
        <w:rPr>
          <w:rFonts w:ascii="Arial" w:cs="Arial" w:eastAsia="Arial" w:hAnsi="Arial"/>
          <w:sz w:val="18"/>
          <w:szCs w:val="18"/>
          <w:color w:val="auto"/>
        </w:rPr>
        <w:t xml:space="preserve">I </w:t>
      </w:r>
      <w:r>
        <w:rPr>
          <w:rFonts w:ascii="Arial" w:cs="Arial" w:eastAsia="Arial" w:hAnsi="Arial"/>
          <w:sz w:val="14"/>
          <w:szCs w:val="14"/>
          <w:i w:val="1"/>
          <w:iCs w:val="1"/>
          <w:color w:val="auto"/>
        </w:rPr>
        <w:t>GRAHAM HOLDINGS</w:t>
      </w:r>
    </w:p>
    <w:p>
      <w:pPr>
        <w:sectPr>
          <w:pgSz w:w="12240" w:h="15668" w:orient="portrait"/>
          <w:cols w:equalWidth="0" w:num="1">
            <w:col w:w="12060"/>
          </w:cols>
          <w:pgMar w:left="80" w:top="0" w:right="105" w:bottom="0" w:gutter="0" w:footer="0" w:header="0"/>
          <w:type w:val="continuous"/>
        </w:sectPr>
      </w:pPr>
    </w:p>
    <w:bookmarkStart w:id="6" w:name="page7"/>
    <w:bookmarkEnd w:id="6"/>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6"/>
          <w:szCs w:val="16"/>
          <w:b w:val="1"/>
          <w:bCs w:val="1"/>
          <w:color w:val="auto"/>
        </w:rPr>
        <w:t>IUU</w:t>
      </w:r>
    </w:p>
    <w:p>
      <w:pPr>
        <w:ind w:left="220"/>
        <w:spacing w:after="0" w:line="183" w:lineRule="auto"/>
        <w:rPr>
          <w:sz w:val="20"/>
          <w:szCs w:val="20"/>
          <w:color w:val="auto"/>
        </w:rPr>
      </w:pPr>
      <w:r>
        <w:rPr>
          <w:rFonts w:ascii="Times New Roman" w:cs="Times New Roman" w:eastAsia="Times New Roman" w:hAnsi="Times New Roman"/>
          <w:sz w:val="13"/>
          <w:szCs w:val="13"/>
          <w:color w:val="auto"/>
        </w:rPr>
        <w:t>1</w:t>
      </w:r>
    </w:p>
    <w:p>
      <w:pPr>
        <w:ind w:left="380"/>
        <w:spacing w:after="0" w:line="191" w:lineRule="auto"/>
        <w:rPr>
          <w:sz w:val="20"/>
          <w:szCs w:val="20"/>
          <w:color w:val="auto"/>
        </w:rPr>
      </w:pPr>
      <w:r>
        <w:rPr>
          <w:rFonts w:ascii="Times New Roman" w:cs="Times New Roman" w:eastAsia="Times New Roman" w:hAnsi="Times New Roman"/>
          <w:sz w:val="16"/>
          <w:szCs w:val="16"/>
          <w:color w:val="auto"/>
        </w:rPr>
        <w:t>,._</w:t>
      </w:r>
    </w:p>
    <w:p>
      <w:pPr>
        <w:spacing w:after="0" w:line="186" w:lineRule="auto"/>
        <w:rPr>
          <w:sz w:val="20"/>
          <w:szCs w:val="20"/>
          <w:color w:val="auto"/>
        </w:rPr>
      </w:pPr>
      <w:r>
        <w:rPr>
          <w:rFonts w:ascii="Times New Roman" w:cs="Times New Roman" w:eastAsia="Times New Roman" w:hAnsi="Times New Roman"/>
          <w:sz w:val="16"/>
          <w:szCs w:val="16"/>
          <w:color w:val="auto"/>
        </w:rPr>
        <w:t>. ..... ..</w:t>
      </w:r>
    </w:p>
    <w:p>
      <w:pPr>
        <w:spacing w:after="0" w:line="20" w:lineRule="exact"/>
        <w:rPr>
          <w:sz w:val="20"/>
          <w:szCs w:val="20"/>
          <w:color w:val="auto"/>
        </w:rPr>
      </w:pPr>
      <w:r>
        <w:rPr>
          <w:sz w:val="20"/>
          <w:szCs w:val="20"/>
          <w:color w:val="auto"/>
        </w:rPr>
        <w:br w:type="column"/>
      </w:r>
    </w:p>
    <w:p>
      <w:pPr>
        <w:ind w:left="140"/>
        <w:spacing w:after="0"/>
        <w:tabs>
          <w:tab w:leader="none" w:pos="840" w:val="left"/>
          <w:tab w:leader="none" w:pos="3480" w:val="left"/>
          <w:tab w:leader="none" w:pos="3940" w:val="left"/>
          <w:tab w:leader="none" w:pos="4100" w:val="left"/>
        </w:tabs>
        <w:rPr>
          <w:sz w:val="20"/>
          <w:szCs w:val="20"/>
          <w:color w:val="auto"/>
        </w:rPr>
      </w:pPr>
      <w:r>
        <w:rPr>
          <w:rFonts w:ascii="Arial" w:cs="Arial" w:eastAsia="Arial" w:hAnsi="Arial"/>
          <w:sz w:val="15"/>
          <w:szCs w:val="15"/>
          <w:b w:val="1"/>
          <w:bCs w:val="1"/>
          <w:color w:val="auto"/>
        </w:rPr>
        <w:t xml:space="preserve">tUU </w:t>
      </w:r>
      <w:r>
        <w:rPr>
          <w:rFonts w:ascii="Times New Roman" w:cs="Times New Roman" w:eastAsia="Times New Roman" w:hAnsi="Times New Roman"/>
          <w:sz w:val="13"/>
          <w:szCs w:val="13"/>
          <w:b w:val="1"/>
          <w:bCs w:val="1"/>
          <w:color w:val="auto"/>
        </w:rPr>
        <w:t>U</w:t>
      </w:r>
      <w:r>
        <w:rPr>
          <w:sz w:val="20"/>
          <w:szCs w:val="20"/>
          <w:color w:val="auto"/>
        </w:rPr>
        <w:tab/>
      </w:r>
      <w:r>
        <w:rPr>
          <w:rFonts w:ascii="Arial" w:cs="Arial" w:eastAsia="Arial" w:hAnsi="Arial"/>
          <w:sz w:val="14"/>
          <w:szCs w:val="14"/>
          <w:color w:val="auto"/>
        </w:rPr>
        <w:t xml:space="preserve">I II </w:t>
      </w:r>
      <w:r>
        <w:rPr>
          <w:rFonts w:ascii="Times New Roman" w:cs="Times New Roman" w:eastAsia="Times New Roman" w:hAnsi="Times New Roman"/>
          <w:sz w:val="15"/>
          <w:szCs w:val="15"/>
          <w:b w:val="1"/>
          <w:bCs w:val="1"/>
          <w:color w:val="auto"/>
        </w:rPr>
        <w:t>t</w:t>
      </w:r>
      <w:r>
        <w:rPr>
          <w:rFonts w:ascii="Arial" w:cs="Arial" w:eastAsia="Arial" w:hAnsi="Arial"/>
          <w:sz w:val="14"/>
          <w:szCs w:val="14"/>
          <w:color w:val="auto"/>
        </w:rPr>
        <w:t xml:space="preserve"> </w:t>
      </w:r>
      <w:r>
        <w:rPr>
          <w:rFonts w:ascii="Arial" w:cs="Arial" w:eastAsia="Arial" w:hAnsi="Arial"/>
          <w:sz w:val="14"/>
          <w:szCs w:val="14"/>
          <w:b w:val="1"/>
          <w:bCs w:val="1"/>
          <w:color w:val="auto"/>
        </w:rPr>
        <w:t>IIi</w:t>
      </w:r>
      <w:r>
        <w:rPr>
          <w:rFonts w:ascii="Arial" w:cs="Arial" w:eastAsia="Arial" w:hAnsi="Arial"/>
          <w:sz w:val="14"/>
          <w:szCs w:val="14"/>
          <w:color w:val="auto"/>
        </w:rPr>
        <w:t xml:space="preserve"> </w:t>
      </w:r>
      <w:r>
        <w:rPr>
          <w:rFonts w:ascii="Times New Roman" w:cs="Times New Roman" w:eastAsia="Times New Roman" w:hAnsi="Times New Roman"/>
          <w:sz w:val="15"/>
          <w:szCs w:val="15"/>
          <w:b w:val="1"/>
          <w:bCs w:val="1"/>
          <w:color w:val="auto"/>
        </w:rPr>
        <w:t>t</w:t>
      </w:r>
      <w:r>
        <w:rPr>
          <w:rFonts w:ascii="Arial" w:cs="Arial" w:eastAsia="Arial" w:hAnsi="Arial"/>
          <w:sz w:val="14"/>
          <w:szCs w:val="14"/>
          <w:color w:val="auto"/>
        </w:rPr>
        <w:t xml:space="preserve"> </w:t>
      </w:r>
      <w:r>
        <w:rPr>
          <w:rFonts w:ascii="Arial" w:cs="Arial" w:eastAsia="Arial" w:hAnsi="Arial"/>
          <w:sz w:val="20"/>
          <w:szCs w:val="20"/>
          <w:color w:val="auto"/>
        </w:rPr>
        <w:t>~</w:t>
      </w:r>
      <w:r>
        <w:rPr>
          <w:rFonts w:ascii="Arial" w:cs="Arial" w:eastAsia="Arial" w:hAnsi="Arial"/>
          <w:sz w:val="14"/>
          <w:szCs w:val="14"/>
          <w:color w:val="auto"/>
        </w:rPr>
        <w:t xml:space="preserve"> ttl I I H i fl </w:t>
      </w:r>
      <w:r>
        <w:rPr>
          <w:rFonts w:ascii="Times New Roman" w:cs="Times New Roman" w:eastAsia="Times New Roman" w:hAnsi="Times New Roman"/>
          <w:sz w:val="14"/>
          <w:szCs w:val="14"/>
          <w:b w:val="1"/>
          <w:bCs w:val="1"/>
          <w:color w:val="auto"/>
        </w:rPr>
        <w:t>t</w:t>
      </w:r>
      <w:r>
        <w:rPr>
          <w:rFonts w:ascii="Arial" w:cs="Arial" w:eastAsia="Arial" w:hAnsi="Arial"/>
          <w:sz w:val="14"/>
          <w:szCs w:val="14"/>
          <w:color w:val="auto"/>
        </w:rPr>
        <w:t xml:space="preserve">  </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It </w:t>
      </w:r>
      <w:r>
        <w:rPr>
          <w:rFonts w:ascii="Times New Roman" w:cs="Times New Roman" w:eastAsia="Times New Roman" w:hAnsi="Times New Roman"/>
          <w:sz w:val="16"/>
          <w:szCs w:val="16"/>
          <w:b w:val="1"/>
          <w:bCs w:val="1"/>
          <w:color w:val="auto"/>
        </w:rPr>
        <w:t>I I</w:t>
      </w:r>
      <w:r>
        <w:rPr>
          <w:rFonts w:ascii="Arial" w:cs="Arial" w:eastAsia="Arial" w:hAnsi="Arial"/>
          <w:sz w:val="14"/>
          <w:szCs w:val="14"/>
          <w:color w:val="auto"/>
        </w:rPr>
        <w:t xml:space="preserve"> </w:t>
      </w:r>
      <w:r>
        <w:rPr>
          <w:rFonts w:ascii="Times New Roman" w:cs="Times New Roman" w:eastAsia="Times New Roman" w:hAnsi="Times New Roman"/>
          <w:sz w:val="15"/>
          <w:szCs w:val="15"/>
          <w:b w:val="1"/>
          <w:bCs w:val="1"/>
          <w:color w:val="auto"/>
        </w:rPr>
        <w:t>f</w:t>
      </w:r>
      <w:r>
        <w:rPr>
          <w:sz w:val="20"/>
          <w:szCs w:val="20"/>
          <w:color w:val="auto"/>
        </w:rPr>
        <w:tab/>
      </w:r>
      <w:r>
        <w:rPr>
          <w:rFonts w:ascii="Times New Roman" w:cs="Times New Roman" w:eastAsia="Times New Roman" w:hAnsi="Times New Roman"/>
          <w:sz w:val="16"/>
          <w:szCs w:val="16"/>
          <w:b w:val="1"/>
          <w:bCs w:val="1"/>
          <w:color w:val="auto"/>
        </w:rPr>
        <w:t>I  I  t</w:t>
        <w:tab/>
        <w:t>I</w:t>
      </w:r>
      <w:r>
        <w:rPr>
          <w:sz w:val="20"/>
          <w:szCs w:val="20"/>
          <w:color w:val="auto"/>
        </w:rPr>
        <w:tab/>
      </w:r>
      <w:r>
        <w:rPr>
          <w:rFonts w:ascii="Arial" w:cs="Arial" w:eastAsia="Arial" w:hAnsi="Arial"/>
          <w:sz w:val="12"/>
          <w:szCs w:val="12"/>
          <w:b w:val="1"/>
          <w:bCs w:val="1"/>
          <w:color w:val="auto"/>
        </w:rPr>
        <w:t>t</w:t>
      </w:r>
    </w:p>
    <w:p>
      <w:pPr>
        <w:ind w:left="180"/>
        <w:spacing w:after="0" w:line="183" w:lineRule="auto"/>
        <w:tabs>
          <w:tab w:leader="none" w:pos="4260" w:val="left"/>
        </w:tabs>
        <w:rPr>
          <w:sz w:val="20"/>
          <w:szCs w:val="20"/>
          <w:color w:val="auto"/>
        </w:rPr>
      </w:pPr>
      <w:r>
        <w:rPr>
          <w:rFonts w:ascii="Arial" w:cs="Arial" w:eastAsia="Arial" w:hAnsi="Arial"/>
          <w:sz w:val="22"/>
          <w:szCs w:val="22"/>
          <w:color w:val="auto"/>
        </w:rPr>
        <w:t xml:space="preserve">ltUtttttttt.-t t:t:tl'tltftJt;tf~-::  ~ </w:t>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25"/>
          <w:szCs w:val="25"/>
          <w:color w:val="auto"/>
          <w:vertAlign w:val="superscript"/>
        </w:rPr>
        <w:t xml:space="preserve">1  </w:t>
      </w:r>
      <w:r>
        <w:rPr>
          <w:rFonts w:ascii="Arial" w:cs="Arial" w:eastAsia="Arial" w:hAnsi="Arial"/>
          <w:sz w:val="12"/>
          <w:szCs w:val="12"/>
          <w:b w:val="1"/>
          <w:bCs w:val="1"/>
          <w:color w:val="auto"/>
        </w:rPr>
        <w:t>t</w:t>
      </w:r>
      <w:r>
        <w:rPr>
          <w:rFonts w:ascii="Times New Roman" w:cs="Times New Roman" w:eastAsia="Times New Roman" w:hAnsi="Times New Roman"/>
          <w:sz w:val="25"/>
          <w:szCs w:val="25"/>
          <w:color w:val="auto"/>
        </w:rPr>
        <w:t xml:space="preserve">  </w:t>
      </w:r>
      <w:r>
        <w:rPr>
          <w:rFonts w:ascii="Times New Roman" w:cs="Times New Roman" w:eastAsia="Times New Roman" w:hAnsi="Times New Roman"/>
          <w:sz w:val="14"/>
          <w:szCs w:val="14"/>
          <w:b w:val="1"/>
          <w:bCs w:val="1"/>
          <w:color w:val="auto"/>
        </w:rPr>
        <w:t>t</w:t>
      </w:r>
    </w:p>
    <w:p>
      <w:pPr>
        <w:spacing w:after="0" w:line="210" w:lineRule="auto"/>
        <w:tabs>
          <w:tab w:leader="none" w:pos="940" w:val="left"/>
          <w:tab w:leader="none" w:pos="2620" w:val="left"/>
          <w:tab w:leader="none" w:pos="3620" w:val="left"/>
          <w:tab w:leader="none" w:pos="4100" w:val="left"/>
        </w:tabs>
        <w:rPr>
          <w:sz w:val="20"/>
          <w:szCs w:val="20"/>
          <w:color w:val="auto"/>
        </w:rPr>
      </w:pPr>
      <w:r>
        <w:rPr>
          <w:rFonts w:ascii="Times New Roman" w:cs="Times New Roman" w:eastAsia="Times New Roman" w:hAnsi="Times New Roman"/>
          <w:sz w:val="16"/>
          <w:szCs w:val="16"/>
          <w:b w:val="1"/>
          <w:bCs w:val="1"/>
          <w:color w:val="auto"/>
        </w:rPr>
        <w:t xml:space="preserve">t tt </w:t>
      </w:r>
      <w:r>
        <w:rPr>
          <w:rFonts w:ascii="Times New Roman" w:cs="Times New Roman" w:eastAsia="Times New Roman" w:hAnsi="Times New Roman"/>
          <w:sz w:val="16"/>
          <w:szCs w:val="16"/>
          <w:color w:val="auto"/>
        </w:rPr>
        <w:t>• • ..</w:t>
      </w:r>
      <w:r>
        <w:rPr>
          <w:sz w:val="20"/>
          <w:szCs w:val="20"/>
          <w:color w:val="auto"/>
        </w:rPr>
        <w:tab/>
      </w:r>
      <w:r>
        <w:rPr>
          <w:rFonts w:ascii="Arial" w:cs="Arial" w:eastAsia="Arial" w:hAnsi="Arial"/>
          <w:sz w:val="16"/>
          <w:szCs w:val="16"/>
          <w:color w:val="auto"/>
        </w:rPr>
        <w:t xml:space="preserve">~ </w:t>
      </w:r>
      <w:r>
        <w:rPr>
          <w:rFonts w:ascii="Times New Roman" w:cs="Times New Roman" w:eastAsia="Times New Roman" w:hAnsi="Times New Roman"/>
          <w:sz w:val="15"/>
          <w:szCs w:val="15"/>
          <w:color w:val="auto"/>
        </w:rPr>
        <w:t>-</w:t>
      </w:r>
      <w:r>
        <w:rPr>
          <w:sz w:val="20"/>
          <w:szCs w:val="20"/>
          <w:color w:val="auto"/>
        </w:rPr>
        <w:tab/>
      </w:r>
      <w:r>
        <w:rPr>
          <w:rFonts w:ascii="Arial" w:cs="Arial" w:eastAsia="Arial" w:hAnsi="Arial"/>
          <w:sz w:val="15"/>
          <w:szCs w:val="15"/>
          <w:color w:val="auto"/>
        </w:rPr>
        <w:t xml:space="preserve">t f ••• . </w:t>
      </w:r>
      <w:r>
        <w:rPr>
          <w:rFonts w:ascii="Times New Roman" w:cs="Times New Roman" w:eastAsia="Times New Roman" w:hAnsi="Times New Roman"/>
          <w:sz w:val="15"/>
          <w:szCs w:val="15"/>
          <w:b w:val="1"/>
          <w:bCs w:val="1"/>
          <w:color w:val="auto"/>
        </w:rPr>
        <w:t>I</w:t>
      </w:r>
      <w:r>
        <w:rPr>
          <w:rFonts w:ascii="Arial" w:cs="Arial" w:eastAsia="Arial" w:hAnsi="Arial"/>
          <w:sz w:val="15"/>
          <w:szCs w:val="15"/>
          <w:color w:val="auto"/>
        </w:rPr>
        <w:t xml:space="preserve">  </w:t>
      </w:r>
      <w:r>
        <w:rPr>
          <w:rFonts w:ascii="Times New Roman" w:cs="Times New Roman" w:eastAsia="Times New Roman" w:hAnsi="Times New Roman"/>
          <w:sz w:val="16"/>
          <w:szCs w:val="16"/>
          <w:b w:val="1"/>
          <w:bCs w:val="1"/>
          <w:color w:val="auto"/>
        </w:rPr>
        <w:t>t ' '</w:t>
      </w:r>
      <w:r>
        <w:rPr>
          <w:sz w:val="20"/>
          <w:szCs w:val="20"/>
          <w:color w:val="auto"/>
        </w:rPr>
        <w:tab/>
      </w:r>
      <w:r>
        <w:rPr>
          <w:rFonts w:ascii="Arial" w:cs="Arial" w:eastAsia="Arial" w:hAnsi="Arial"/>
          <w:sz w:val="18"/>
          <w:szCs w:val="18"/>
          <w:b w:val="1"/>
          <w:bCs w:val="1"/>
          <w:color w:val="auto"/>
        </w:rPr>
        <w:t xml:space="preserve">t </w:t>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&lt;•&gt;Adjusted Operating Cash Flow (non- GAAP)</w:t>
      </w:r>
    </w:p>
    <w:p>
      <w:pPr>
        <w:spacing w:after="0" w:line="398" w:lineRule="exact"/>
        <w:rPr>
          <w:sz w:val="20"/>
          <w:szCs w:val="20"/>
          <w:color w:val="auto"/>
        </w:rPr>
      </w:pPr>
    </w:p>
    <w:p>
      <w:pPr>
        <w:ind w:left="4120"/>
        <w:spacing w:after="0"/>
        <w:rPr>
          <w:sz w:val="20"/>
          <w:szCs w:val="20"/>
          <w:color w:val="auto"/>
        </w:rPr>
      </w:pPr>
      <w:r>
        <w:rPr>
          <w:rFonts w:ascii="Arial" w:cs="Arial" w:eastAsia="Arial" w:hAnsi="Arial"/>
          <w:sz w:val="14"/>
          <w:szCs w:val="14"/>
          <w:color w:val="auto"/>
        </w:rPr>
        <w:t>Total</w:t>
      </w:r>
    </w:p>
    <w:p>
      <w:pPr>
        <w:ind w:left="1000"/>
        <w:spacing w:after="0" w:line="213" w:lineRule="auto"/>
        <w:tabs>
          <w:tab w:leader="none" w:pos="3940" w:val="left"/>
        </w:tabs>
        <w:rPr>
          <w:sz w:val="20"/>
          <w:szCs w:val="20"/>
          <w:color w:val="auto"/>
        </w:rPr>
      </w:pPr>
      <w:r>
        <w:rPr>
          <w:rFonts w:ascii="Arial" w:cs="Arial" w:eastAsia="Arial" w:hAnsi="Arial"/>
          <w:sz w:val="14"/>
          <w:szCs w:val="14"/>
          <w:color w:val="auto"/>
        </w:rPr>
        <w:t>(IN THOUSANDS)</w:t>
      </w:r>
      <w:r>
        <w:rPr>
          <w:sz w:val="20"/>
          <w:szCs w:val="20"/>
          <w:color w:val="auto"/>
        </w:rPr>
        <w:tab/>
      </w:r>
      <w:r>
        <w:rPr>
          <w:rFonts w:ascii="Arial" w:cs="Arial" w:eastAsia="Arial" w:hAnsi="Arial"/>
          <w:sz w:val="14"/>
          <w:szCs w:val="14"/>
          <w:color w:val="auto"/>
        </w:rPr>
        <w:t>Company</w:t>
      </w:r>
    </w:p>
    <w:p>
      <w:pPr>
        <w:spacing w:after="0" w:line="20" w:lineRule="exact"/>
        <w:rPr>
          <w:sz w:val="20"/>
          <w:szCs w:val="20"/>
          <w:color w:val="auto"/>
        </w:rPr>
      </w:pPr>
      <w:r>
        <w:rPr>
          <w:sz w:val="20"/>
          <w:szCs w:val="20"/>
          <w:color w:val="auto"/>
        </w:rPr>
        <w:br w:type="column"/>
      </w:r>
    </w:p>
    <w:p>
      <w:pPr>
        <w:spacing w:after="0" w:line="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040" w:type="dxa"/>
            <w:vAlign w:val="bottom"/>
          </w:tcPr>
          <w:p>
            <w:pPr>
              <w:ind w:left="2700"/>
              <w:spacing w:after="0"/>
              <w:rPr>
                <w:sz w:val="20"/>
                <w:szCs w:val="20"/>
                <w:color w:val="auto"/>
              </w:rPr>
            </w:pPr>
            <w:r>
              <w:rPr>
                <w:rFonts w:ascii="Arial" w:cs="Arial" w:eastAsia="Arial" w:hAnsi="Arial"/>
                <w:sz w:val="14"/>
                <w:szCs w:val="14"/>
                <w:color w:val="auto"/>
              </w:rPr>
              <w:t>I   ,   '</w:t>
            </w:r>
          </w:p>
        </w:tc>
        <w:tc>
          <w:tcPr>
            <w:tcW w:w="960" w:type="dxa"/>
            <w:vAlign w:val="bottom"/>
          </w:tcPr>
          <w:p>
            <w:pPr>
              <w:ind w:left="180"/>
              <w:spacing w:after="0"/>
              <w:rPr>
                <w:sz w:val="20"/>
                <w:szCs w:val="20"/>
                <w:color w:val="auto"/>
              </w:rPr>
            </w:pPr>
            <w:r>
              <w:rPr>
                <w:rFonts w:ascii="Arial" w:cs="Arial" w:eastAsia="Arial" w:hAnsi="Arial"/>
                <w:sz w:val="14"/>
                <w:szCs w:val="14"/>
                <w:color w:val="auto"/>
                <w:w w:val="80"/>
              </w:rPr>
              <w:t>••  ••</w:t>
            </w:r>
          </w:p>
        </w:tc>
        <w:tc>
          <w:tcPr>
            <w:tcW w:w="680" w:type="dxa"/>
            <w:vAlign w:val="bottom"/>
          </w:tcPr>
          <w:p>
            <w:pPr>
              <w:ind w:left="140"/>
              <w:spacing w:after="0"/>
              <w:rPr>
                <w:sz w:val="20"/>
                <w:szCs w:val="20"/>
                <w:color w:val="auto"/>
              </w:rPr>
            </w:pPr>
            <w:r>
              <w:rPr>
                <w:rFonts w:ascii="Arial" w:cs="Arial" w:eastAsia="Arial" w:hAnsi="Arial"/>
                <w:sz w:val="14"/>
                <w:szCs w:val="14"/>
                <w:color w:val="auto"/>
                <w:w w:val="80"/>
              </w:rPr>
              <w:t>••</w:t>
            </w:r>
          </w:p>
        </w:tc>
        <w:tc>
          <w:tcPr>
            <w:tcW w:w="0" w:type="dxa"/>
            <w:vAlign w:val="bottom"/>
          </w:tcPr>
          <w:p>
            <w:pPr>
              <w:spacing w:after="0"/>
              <w:rPr>
                <w:sz w:val="1"/>
                <w:szCs w:val="1"/>
                <w:color w:val="auto"/>
              </w:rPr>
            </w:pPr>
          </w:p>
        </w:tc>
      </w:tr>
      <w:tr>
        <w:trPr>
          <w:trHeight w:val="229"/>
        </w:trPr>
        <w:tc>
          <w:tcPr>
            <w:tcW w:w="5040" w:type="dxa"/>
            <w:vAlign w:val="bottom"/>
          </w:tcPr>
          <w:p>
            <w:pPr>
              <w:ind w:left="20"/>
              <w:spacing w:after="0" w:line="229" w:lineRule="exact"/>
              <w:rPr>
                <w:sz w:val="20"/>
                <w:szCs w:val="20"/>
                <w:color w:val="auto"/>
              </w:rPr>
            </w:pPr>
            <w:r>
              <w:rPr>
                <w:rFonts w:ascii="Times New Roman" w:cs="Times New Roman" w:eastAsia="Times New Roman" w:hAnsi="Times New Roman"/>
                <w:sz w:val="26"/>
                <w:szCs w:val="26"/>
                <w:b w:val="1"/>
                <w:bCs w:val="1"/>
                <w:color w:val="auto"/>
                <w:vertAlign w:val="superscript"/>
              </w:rPr>
              <w:t>1</w:t>
            </w:r>
            <w:r>
              <w:rPr>
                <w:rFonts w:ascii="Arial" w:cs="Arial" w:eastAsia="Arial" w:hAnsi="Arial"/>
                <w:sz w:val="16"/>
                <w:szCs w:val="16"/>
                <w:b w:val="1"/>
                <w:bCs w:val="1"/>
                <w:color w:val="auto"/>
              </w:rPr>
              <w:t xml:space="preserve">  I  I  I  I  I  I  </w:t>
            </w:r>
            <w:r>
              <w:rPr>
                <w:rFonts w:ascii="Times New Roman" w:cs="Times New Roman" w:eastAsia="Times New Roman" w:hAnsi="Times New Roman"/>
                <w:sz w:val="21"/>
                <w:szCs w:val="21"/>
                <w:b w:val="1"/>
                <w:bCs w:val="1"/>
                <w:color w:val="auto"/>
              </w:rPr>
              <w:t>e</w:t>
            </w:r>
            <w:r>
              <w:rPr>
                <w:rFonts w:ascii="Arial" w:cs="Arial" w:eastAsia="Arial" w:hAnsi="Arial"/>
                <w:sz w:val="16"/>
                <w:szCs w:val="16"/>
                <w:b w:val="1"/>
                <w:bCs w:val="1"/>
                <w:color w:val="auto"/>
              </w:rPr>
              <w:t xml:space="preserve"> I'</w:t>
            </w:r>
            <w:r>
              <w:rPr>
                <w:rFonts w:ascii="Times New Roman" w:cs="Times New Roman" w:eastAsia="Times New Roman" w:hAnsi="Times New Roman"/>
                <w:sz w:val="21"/>
                <w:szCs w:val="21"/>
                <w:b w:val="1"/>
                <w:bCs w:val="1"/>
                <w:color w:val="auto"/>
              </w:rPr>
              <w:t>e</w:t>
            </w:r>
            <w:r>
              <w:rPr>
                <w:rFonts w:ascii="Times New Roman" w:cs="Times New Roman" w:eastAsia="Times New Roman" w:hAnsi="Times New Roman"/>
                <w:sz w:val="24"/>
                <w:szCs w:val="24"/>
                <w:b w:val="1"/>
                <w:bCs w:val="1"/>
                <w:color w:val="auto"/>
              </w:rPr>
              <w:t>'',,e., e ••••••</w:t>
            </w:r>
          </w:p>
        </w:tc>
        <w:tc>
          <w:tcPr>
            <w:tcW w:w="960" w:type="dxa"/>
            <w:vAlign w:val="bottom"/>
            <w:vMerge w:val="restart"/>
          </w:tcPr>
          <w:p>
            <w:pPr>
              <w:ind w:left="180"/>
              <w:spacing w:after="0"/>
              <w:rPr>
                <w:sz w:val="20"/>
                <w:szCs w:val="20"/>
                <w:color w:val="auto"/>
              </w:rPr>
            </w:pPr>
            <w:r>
              <w:rPr>
                <w:rFonts w:ascii="Arial" w:cs="Arial" w:eastAsia="Arial" w:hAnsi="Arial"/>
                <w:sz w:val="18"/>
                <w:szCs w:val="18"/>
                <w:color w:val="auto"/>
              </w:rPr>
              <w:t>•   .,  •</w:t>
            </w:r>
          </w:p>
        </w:tc>
        <w:tc>
          <w:tcPr>
            <w:tcW w:w="680" w:type="dxa"/>
            <w:vAlign w:val="bottom"/>
            <w:vMerge w:val="restart"/>
          </w:tcPr>
          <w:p>
            <w:pPr>
              <w:ind w:left="120"/>
              <w:spacing w:after="0"/>
              <w:rPr>
                <w:sz w:val="20"/>
                <w:szCs w:val="20"/>
                <w:color w:val="auto"/>
              </w:rPr>
            </w:pPr>
            <w:r>
              <w:rPr>
                <w:rFonts w:ascii="Arial" w:cs="Arial" w:eastAsia="Arial" w:hAnsi="Arial"/>
                <w:sz w:val="91"/>
                <w:szCs w:val="91"/>
                <w:color w:val="auto"/>
                <w:w w:val="70"/>
              </w:rPr>
              <w:t>.I</w:t>
            </w:r>
            <w:r>
              <w:rPr>
                <w:rFonts w:ascii="Arial" w:cs="Arial" w:eastAsia="Arial" w:hAnsi="Arial"/>
                <w:sz w:val="18"/>
                <w:szCs w:val="18"/>
                <w:b w:val="1"/>
                <w:bCs w:val="1"/>
                <w:color w:val="auto"/>
                <w:w w:val="70"/>
              </w:rPr>
              <w:t>Iii!,</w:t>
            </w:r>
          </w:p>
        </w:tc>
        <w:tc>
          <w:tcPr>
            <w:tcW w:w="0" w:type="dxa"/>
            <w:vAlign w:val="bottom"/>
          </w:tcPr>
          <w:p>
            <w:pPr>
              <w:spacing w:after="0"/>
              <w:rPr>
                <w:sz w:val="1"/>
                <w:szCs w:val="1"/>
                <w:color w:val="auto"/>
              </w:rPr>
            </w:pPr>
          </w:p>
        </w:tc>
      </w:tr>
      <w:tr>
        <w:trPr>
          <w:trHeight w:val="900"/>
        </w:trPr>
        <w:tc>
          <w:tcPr>
            <w:tcW w:w="5040" w:type="dxa"/>
            <w:vAlign w:val="bottom"/>
          </w:tcPr>
          <w:p>
            <w:pPr>
              <w:spacing w:after="0" w:line="201" w:lineRule="exact"/>
              <w:rPr>
                <w:sz w:val="20"/>
                <w:szCs w:val="20"/>
                <w:color w:val="auto"/>
              </w:rPr>
            </w:pPr>
            <w:r>
              <w:rPr>
                <w:rFonts w:ascii="Arial" w:cs="Arial" w:eastAsia="Arial" w:hAnsi="Arial"/>
                <w:sz w:val="18"/>
                <w:szCs w:val="18"/>
                <w:color w:val="auto"/>
              </w:rPr>
              <w:t>•</w:t>
            </w:r>
          </w:p>
        </w:tc>
        <w:tc>
          <w:tcPr>
            <w:tcW w:w="960" w:type="dxa"/>
            <w:vAlign w:val="bottom"/>
            <w:vMerge w:val="continue"/>
          </w:tcPr>
          <w:p>
            <w:pPr>
              <w:spacing w:after="0"/>
              <w:rPr>
                <w:sz w:val="24"/>
                <w:szCs w:val="24"/>
                <w:color w:val="auto"/>
              </w:rPr>
            </w:pPr>
          </w:p>
        </w:tc>
        <w:tc>
          <w:tcPr>
            <w:tcW w:w="6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-3479165</wp:posOffset>
            </wp:positionH>
            <wp:positionV relativeFrom="paragraph">
              <wp:posOffset>-855345</wp:posOffset>
            </wp:positionV>
            <wp:extent cx="7775575" cy="9949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320"/>
        <w:spacing w:after="0"/>
        <w:tabs>
          <w:tab w:leader="none" w:pos="4420" w:val="left"/>
        </w:tabs>
        <w:rPr>
          <w:sz w:val="20"/>
          <w:szCs w:val="20"/>
          <w:color w:val="auto"/>
        </w:rPr>
      </w:pPr>
      <w:r>
        <w:rPr>
          <w:rFonts w:ascii="Arial" w:cs="Arial" w:eastAsia="Arial" w:hAnsi="Arial"/>
          <w:sz w:val="14"/>
          <w:szCs w:val="14"/>
          <w:color w:val="auto"/>
        </w:rPr>
        <w:t>Total</w:t>
      </w:r>
      <w:r>
        <w:rPr>
          <w:sz w:val="20"/>
          <w:szCs w:val="20"/>
          <w:color w:val="auto"/>
        </w:rPr>
        <w:tab/>
      </w:r>
      <w:r>
        <w:rPr>
          <w:rFonts w:ascii="Arial" w:cs="Arial" w:eastAsia="Arial" w:hAnsi="Arial"/>
          <w:sz w:val="14"/>
          <w:szCs w:val="14"/>
          <w:color w:val="auto"/>
        </w:rPr>
        <w:t>Total</w:t>
      </w:r>
    </w:p>
    <w:p>
      <w:pPr>
        <w:ind w:left="1160"/>
        <w:spacing w:after="0" w:line="213" w:lineRule="auto"/>
        <w:tabs>
          <w:tab w:leader="none" w:pos="4280" w:val="left"/>
        </w:tabs>
        <w:rPr>
          <w:sz w:val="20"/>
          <w:szCs w:val="20"/>
          <w:color w:val="auto"/>
        </w:rPr>
      </w:pPr>
      <w:r>
        <w:rPr>
          <w:rFonts w:ascii="Arial" w:cs="Arial" w:eastAsia="Arial" w:hAnsi="Arial"/>
          <w:sz w:val="14"/>
          <w:szCs w:val="14"/>
          <w:color w:val="auto"/>
        </w:rPr>
        <w:t>Company,</w:t>
      </w:r>
      <w:r>
        <w:rPr>
          <w:sz w:val="20"/>
          <w:szCs w:val="20"/>
          <w:color w:val="auto"/>
        </w:rPr>
        <w:tab/>
      </w:r>
      <w:r>
        <w:rPr>
          <w:rFonts w:ascii="Arial" w:cs="Arial" w:eastAsia="Arial" w:hAnsi="Arial"/>
          <w:sz w:val="14"/>
          <w:szCs w:val="14"/>
          <w:color w:val="auto"/>
        </w:rPr>
        <w:t>Company,</w:t>
      </w:r>
    </w:p>
    <w:p>
      <w:pPr>
        <w:ind w:left="1160"/>
        <w:spacing w:after="0" w:line="213" w:lineRule="auto"/>
        <w:tabs>
          <w:tab w:leader="none" w:pos="4280" w:val="left"/>
        </w:tabs>
        <w:rPr>
          <w:sz w:val="20"/>
          <w:szCs w:val="20"/>
          <w:color w:val="auto"/>
        </w:rPr>
      </w:pPr>
      <w:r>
        <w:rPr>
          <w:rFonts w:ascii="Arial" w:cs="Arial" w:eastAsia="Arial" w:hAnsi="Arial"/>
          <w:sz w:val="14"/>
          <w:szCs w:val="14"/>
          <w:color w:val="auto"/>
        </w:rPr>
        <w:t>ex:cluding</w:t>
      </w:r>
      <w:r>
        <w:rPr>
          <w:sz w:val="20"/>
          <w:szCs w:val="20"/>
          <w:color w:val="auto"/>
        </w:rPr>
        <w:tab/>
      </w:r>
      <w:r>
        <w:rPr>
          <w:rFonts w:ascii="Arial" w:cs="Arial" w:eastAsia="Arial" w:hAnsi="Arial"/>
          <w:sz w:val="14"/>
          <w:szCs w:val="14"/>
          <w:color w:val="auto"/>
        </w:rPr>
        <w:t>excluding</w:t>
      </w:r>
    </w:p>
    <w:p>
      <w:pPr>
        <w:ind w:left="160"/>
        <w:spacing w:after="0" w:line="199" w:lineRule="auto"/>
        <w:tabs>
          <w:tab w:leader="none" w:pos="1140" w:val="left"/>
          <w:tab w:leader="none" w:pos="2420" w:val="left"/>
          <w:tab w:leader="none" w:pos="3280" w:val="left"/>
          <w:tab w:leader="none" w:pos="4280" w:val="left"/>
        </w:tabs>
        <w:rPr>
          <w:sz w:val="20"/>
          <w:szCs w:val="20"/>
          <w:color w:val="auto"/>
        </w:rPr>
      </w:pPr>
      <w:r>
        <w:rPr>
          <w:rFonts w:ascii="Arial" w:cs="Arial" w:eastAsia="Arial" w:hAnsi="Arial"/>
          <w:sz w:val="14"/>
          <w:szCs w:val="14"/>
          <w:color w:val="auto"/>
        </w:rPr>
        <w:t>Television</w:t>
      </w:r>
      <w:r>
        <w:rPr>
          <w:sz w:val="20"/>
          <w:szCs w:val="20"/>
          <w:color w:val="auto"/>
        </w:rPr>
        <w:tab/>
      </w:r>
      <w:r>
        <w:rPr>
          <w:rFonts w:ascii="Arial" w:cs="Arial" w:eastAsia="Arial" w:hAnsi="Arial"/>
          <w:sz w:val="14"/>
          <w:szCs w:val="14"/>
          <w:color w:val="auto"/>
        </w:rPr>
        <w:t>Television</w:t>
      </w:r>
      <w:r>
        <w:rPr>
          <w:sz w:val="20"/>
          <w:szCs w:val="20"/>
          <w:color w:val="auto"/>
        </w:rPr>
        <w:tab/>
      </w:r>
      <w:r>
        <w:rPr>
          <w:rFonts w:ascii="Arial" w:cs="Arial" w:eastAsia="Arial" w:hAnsi="Arial"/>
          <w:sz w:val="14"/>
          <w:szCs w:val="14"/>
          <w:color w:val="auto"/>
        </w:rPr>
        <w:t>Total</w:t>
      </w:r>
      <w:r>
        <w:rPr>
          <w:sz w:val="20"/>
          <w:szCs w:val="20"/>
          <w:color w:val="auto"/>
        </w:rPr>
        <w:tab/>
      </w:r>
      <w:r>
        <w:rPr>
          <w:rFonts w:ascii="Arial" w:cs="Arial" w:eastAsia="Arial" w:hAnsi="Arial"/>
          <w:sz w:val="14"/>
          <w:szCs w:val="14"/>
          <w:color w:val="auto"/>
        </w:rPr>
        <w:t>Television</w:t>
      </w:r>
      <w:r>
        <w:rPr>
          <w:sz w:val="20"/>
          <w:szCs w:val="20"/>
          <w:color w:val="auto"/>
        </w:rPr>
        <w:tab/>
      </w:r>
      <w:r>
        <w:rPr>
          <w:rFonts w:ascii="Arial" w:cs="Arial" w:eastAsia="Arial" w:hAnsi="Arial"/>
          <w:sz w:val="14"/>
          <w:szCs w:val="14"/>
          <w:color w:val="auto"/>
        </w:rPr>
        <w:t>Television</w:t>
      </w:r>
    </w:p>
    <w:p>
      <w:pPr>
        <w:ind w:left="60"/>
        <w:spacing w:after="0" w:line="213" w:lineRule="auto"/>
        <w:tabs>
          <w:tab w:leader="none" w:pos="1040" w:val="left"/>
          <w:tab w:leader="none" w:pos="2280" w:val="left"/>
          <w:tab w:leader="none" w:pos="3160" w:val="left"/>
          <w:tab w:leader="none" w:pos="4160" w:val="left"/>
        </w:tabs>
        <w:rPr>
          <w:sz w:val="20"/>
          <w:szCs w:val="20"/>
          <w:color w:val="auto"/>
        </w:rPr>
      </w:pPr>
      <w:r>
        <w:rPr>
          <w:rFonts w:ascii="Arial" w:cs="Arial" w:eastAsia="Arial" w:hAnsi="Arial"/>
          <w:sz w:val="14"/>
          <w:szCs w:val="14"/>
          <w:color w:val="auto"/>
        </w:rPr>
        <w:t>Broadcasting</w:t>
        <w:tab/>
        <w:t>Broadcasting</w:t>
      </w:r>
      <w:r>
        <w:rPr>
          <w:sz w:val="20"/>
          <w:szCs w:val="20"/>
          <w:color w:val="auto"/>
        </w:rPr>
        <w:tab/>
      </w:r>
      <w:r>
        <w:rPr>
          <w:rFonts w:ascii="Arial" w:cs="Arial" w:eastAsia="Arial" w:hAnsi="Arial"/>
          <w:sz w:val="14"/>
          <w:szCs w:val="14"/>
          <w:color w:val="auto"/>
        </w:rPr>
        <w:t>Company</w:t>
      </w:r>
      <w:r>
        <w:rPr>
          <w:sz w:val="20"/>
          <w:szCs w:val="20"/>
          <w:color w:val="auto"/>
        </w:rPr>
        <w:tab/>
      </w:r>
      <w:r>
        <w:rPr>
          <w:rFonts w:ascii="Arial" w:cs="Arial" w:eastAsia="Arial" w:hAnsi="Arial"/>
          <w:sz w:val="14"/>
          <w:szCs w:val="14"/>
          <w:color w:val="auto"/>
        </w:rPr>
        <w:t>Broadcasting</w:t>
        <w:tab/>
        <w:t>Broadcasting</w:t>
      </w:r>
    </w:p>
    <w:p>
      <w:pPr>
        <w:spacing w:after="0" w:line="154" w:lineRule="exact"/>
        <w:rPr>
          <w:sz w:val="20"/>
          <w:szCs w:val="20"/>
          <w:color w:val="auto"/>
        </w:rPr>
      </w:pPr>
    </w:p>
    <w:p>
      <w:pPr>
        <w:sectPr>
          <w:pgSz w:w="12240" w:h="15668" w:orient="portrait"/>
          <w:cols w:equalWidth="0" w:num="3">
            <w:col w:w="660" w:space="20"/>
            <w:col w:w="4680" w:space="100"/>
            <w:col w:w="6680"/>
          </w:cols>
          <w:pgMar w:left="20" w:top="0" w:right="85" w:bottom="0" w:gutter="0" w:footer="0" w:header="0"/>
        </w:sectPr>
      </w:pPr>
    </w:p>
    <w:tbl>
      <w:tblPr>
        <w:tblLayout w:type="fixed"/>
        <w:tblInd w:w="1680" w:type="dxa"/>
        <w:tblCellMar>
          <w:top w:w="0" w:type="dxa"/>
          <w:left w:w="0" w:type="dxa"/>
          <w:bottom w:w="0" w:type="dxa"/>
          <w:right w:w="0" w:type="dxa"/>
        </w:tblCellMar>
      </w:tblPr>
      <w:tr>
        <w:trPr>
          <w:trHeight w:val="191"/>
        </w:trPr>
        <w:tc>
          <w:tcPr>
            <w:tcW w:w="2820" w:type="dxa"/>
            <w:vAlign w:val="bottom"/>
          </w:tcPr>
          <w:p>
            <w:pPr>
              <w:spacing w:after="0"/>
              <w:rPr>
                <w:sz w:val="16"/>
                <w:szCs w:val="16"/>
                <w:color w:val="auto"/>
              </w:rPr>
            </w:pPr>
          </w:p>
        </w:tc>
        <w:tc>
          <w:tcPr>
            <w:tcW w:w="60" w:type="dxa"/>
            <w:vAlign w:val="bottom"/>
            <w:tcBorders>
              <w:bottom w:val="single" w:sz="8" w:color="58585C"/>
            </w:tcBorders>
          </w:tcPr>
          <w:p>
            <w:pPr>
              <w:spacing w:after="0"/>
              <w:rPr>
                <w:sz w:val="16"/>
                <w:szCs w:val="16"/>
                <w:color w:val="auto"/>
              </w:rPr>
            </w:pPr>
          </w:p>
        </w:tc>
        <w:tc>
          <w:tcPr>
            <w:tcW w:w="840" w:type="dxa"/>
            <w:vAlign w:val="bottom"/>
            <w:tcBorders>
              <w:bottom w:val="single" w:sz="8" w:color="58585C"/>
            </w:tcBorders>
          </w:tcPr>
          <w:p>
            <w:pPr>
              <w:spacing w:after="0"/>
              <w:rPr>
                <w:sz w:val="16"/>
                <w:szCs w:val="16"/>
                <w:color w:val="auto"/>
              </w:rPr>
            </w:pPr>
          </w:p>
        </w:tc>
        <w:tc>
          <w:tcPr>
            <w:tcW w:w="1000" w:type="dxa"/>
            <w:vAlign w:val="bottom"/>
            <w:tcBorders>
              <w:bottom w:val="single" w:sz="8" w:color="58585C"/>
            </w:tcBorders>
            <w:gridSpan w:val="2"/>
          </w:tcPr>
          <w:p>
            <w:pPr>
              <w:jc w:val="center"/>
              <w:ind w:left="21"/>
              <w:spacing w:after="0"/>
              <w:rPr>
                <w:sz w:val="20"/>
                <w:szCs w:val="20"/>
                <w:color w:val="auto"/>
              </w:rPr>
            </w:pPr>
            <w:r>
              <w:rPr>
                <w:rFonts w:ascii="Times New Roman" w:cs="Times New Roman" w:eastAsia="Times New Roman" w:hAnsi="Times New Roman"/>
                <w:sz w:val="16"/>
                <w:szCs w:val="16"/>
                <w:color w:val="auto"/>
              </w:rPr>
              <w:t>2024</w:t>
            </w:r>
          </w:p>
        </w:tc>
        <w:tc>
          <w:tcPr>
            <w:tcW w:w="100" w:type="dxa"/>
            <w:vAlign w:val="bottom"/>
            <w:tcBorders>
              <w:bottom w:val="single" w:sz="8" w:color="58585C"/>
            </w:tcBorders>
          </w:tcPr>
          <w:p>
            <w:pPr>
              <w:spacing w:after="0"/>
              <w:rPr>
                <w:sz w:val="16"/>
                <w:szCs w:val="16"/>
                <w:color w:val="auto"/>
              </w:rPr>
            </w:pPr>
          </w:p>
        </w:tc>
        <w:tc>
          <w:tcPr>
            <w:tcW w:w="20" w:type="dxa"/>
            <w:vAlign w:val="bottom"/>
            <w:tcBorders>
              <w:bottom w:val="single" w:sz="8" w:color="58585C"/>
            </w:tcBorders>
          </w:tcPr>
          <w:p>
            <w:pPr>
              <w:spacing w:after="0"/>
              <w:rPr>
                <w:sz w:val="16"/>
                <w:szCs w:val="16"/>
                <w:color w:val="auto"/>
              </w:rPr>
            </w:pPr>
          </w:p>
        </w:tc>
        <w:tc>
          <w:tcPr>
            <w:tcW w:w="160" w:type="dxa"/>
            <w:vAlign w:val="bottom"/>
            <w:tcBorders>
              <w:bottom w:val="single" w:sz="8" w:color="58585C"/>
            </w:tcBorders>
          </w:tcPr>
          <w:p>
            <w:pPr>
              <w:spacing w:after="0"/>
              <w:rPr>
                <w:sz w:val="16"/>
                <w:szCs w:val="16"/>
                <w:color w:val="auto"/>
              </w:rPr>
            </w:pPr>
          </w:p>
        </w:tc>
        <w:tc>
          <w:tcPr>
            <w:tcW w:w="720" w:type="dxa"/>
            <w:vAlign w:val="bottom"/>
            <w:tcBorders>
              <w:bottom w:val="single" w:sz="8" w:color="58585C"/>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58585C"/>
            </w:tcBorders>
          </w:tcPr>
          <w:p>
            <w:pPr>
              <w:spacing w:after="0"/>
              <w:rPr>
                <w:sz w:val="16"/>
                <w:szCs w:val="16"/>
                <w:color w:val="auto"/>
              </w:rPr>
            </w:pPr>
          </w:p>
        </w:tc>
        <w:tc>
          <w:tcPr>
            <w:tcW w:w="700" w:type="dxa"/>
            <w:vAlign w:val="bottom"/>
            <w:tcBorders>
              <w:bottom w:val="single" w:sz="8" w:color="58585C"/>
            </w:tcBorders>
          </w:tcPr>
          <w:p>
            <w:pPr>
              <w:spacing w:after="0"/>
              <w:rPr>
                <w:sz w:val="16"/>
                <w:szCs w:val="16"/>
                <w:color w:val="auto"/>
              </w:rPr>
            </w:pPr>
          </w:p>
        </w:tc>
        <w:tc>
          <w:tcPr>
            <w:tcW w:w="1000" w:type="dxa"/>
            <w:vAlign w:val="bottom"/>
            <w:tcBorders>
              <w:bottom w:val="single" w:sz="8" w:color="58585C"/>
            </w:tcBorders>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Borders>
              <w:bottom w:val="single" w:sz="8" w:color="58585C"/>
            </w:tcBorders>
          </w:tcPr>
          <w:p>
            <w:pPr>
              <w:spacing w:after="0"/>
              <w:rPr>
                <w:sz w:val="16"/>
                <w:szCs w:val="16"/>
                <w:color w:val="auto"/>
              </w:rPr>
            </w:pPr>
          </w:p>
        </w:tc>
        <w:tc>
          <w:tcPr>
            <w:tcW w:w="880" w:type="dxa"/>
            <w:vAlign w:val="bottom"/>
            <w:tcBorders>
              <w:bottom w:val="single" w:sz="8" w:color="58585C"/>
            </w:tcBorders>
          </w:tcPr>
          <w:p>
            <w:pPr>
              <w:spacing w:after="0"/>
              <w:rPr>
                <w:sz w:val="16"/>
                <w:szCs w:val="16"/>
                <w:color w:val="auto"/>
              </w:rPr>
            </w:pPr>
          </w:p>
        </w:tc>
      </w:tr>
      <w:tr>
        <w:trPr>
          <w:trHeight w:val="221"/>
        </w:trPr>
        <w:tc>
          <w:tcPr>
            <w:tcW w:w="288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$215,504</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$201,165</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14,339</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69,393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$133,938</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(64,545)</w:t>
            </w:r>
          </w:p>
        </w:tc>
      </w:tr>
      <w:tr>
        <w:trPr>
          <w:trHeight w:val="215"/>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Add: Amortization of Intangible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2"/>
        </w:trPr>
        <w:tc>
          <w:tcPr>
            <w:tcW w:w="2880" w:type="dxa"/>
            <w:vAlign w:val="bottom"/>
            <w:gridSpan w:val="2"/>
          </w:tcPr>
          <w:p>
            <w:pPr>
              <w:ind w:left="540"/>
              <w:spacing w:after="0"/>
              <w:rPr>
                <w:sz w:val="20"/>
                <w:szCs w:val="20"/>
                <w:color w:val="auto"/>
              </w:rPr>
            </w:pPr>
            <w:r>
              <w:rPr>
                <w:rFonts w:ascii="Arial" w:cs="Arial" w:eastAsia="Arial" w:hAnsi="Arial"/>
                <w:sz w:val="14"/>
                <w:szCs w:val="14"/>
                <w:color w:val="auto"/>
              </w:rPr>
              <w:t>and Impairment of Goodwill and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95"/>
        </w:trPr>
        <w:tc>
          <w:tcPr>
            <w:tcW w:w="2880" w:type="dxa"/>
            <w:vAlign w:val="bottom"/>
            <w:gridSpan w:val="2"/>
          </w:tcPr>
          <w:p>
            <w:pPr>
              <w:ind w:left="520"/>
              <w:spacing w:after="0"/>
              <w:rPr>
                <w:sz w:val="20"/>
                <w:szCs w:val="20"/>
                <w:color w:val="auto"/>
              </w:rPr>
            </w:pPr>
            <w:r>
              <w:rPr>
                <w:rFonts w:ascii="Arial" w:cs="Arial" w:eastAsia="Arial" w:hAnsi="Arial"/>
                <w:sz w:val="14"/>
                <w:szCs w:val="14"/>
                <w:color w:val="auto"/>
              </w:rPr>
              <w:t>Other Long-Lived Assets</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86.941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5,430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8 1,511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149,105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5,450</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143,655</w:t>
            </w:r>
          </w:p>
        </w:tc>
      </w:tr>
      <w:tr>
        <w:trPr>
          <w:trHeight w:val="238"/>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Add: Depreciation Expense</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87,046</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11,174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75,872</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86,064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12,224</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73,840</w:t>
            </w:r>
          </w:p>
        </w:tc>
      </w:tr>
      <w:tr>
        <w:trPr>
          <w:trHeight w:val="239"/>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Add: Pension Service Cost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57,538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6,055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51,483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33,787</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3,331</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30,456</w:t>
            </w:r>
          </w:p>
        </w:tc>
      </w:tr>
      <w:tr>
        <w:trPr>
          <w:trHeight w:val="23"/>
        </w:trPr>
        <w:tc>
          <w:tcPr>
            <w:tcW w:w="2880" w:type="dxa"/>
            <w:vAlign w:val="bottom"/>
            <w:tcBorders>
              <w:bottom w:val="single" w:sz="8" w:color="58585C"/>
            </w:tcBorders>
            <w:gridSpan w:val="2"/>
          </w:tcPr>
          <w:p>
            <w:pPr>
              <w:spacing w:after="0"/>
              <w:rPr>
                <w:sz w:val="2"/>
                <w:szCs w:val="2"/>
                <w:color w:val="auto"/>
              </w:rPr>
            </w:pPr>
          </w:p>
        </w:tc>
        <w:tc>
          <w:tcPr>
            <w:tcW w:w="840" w:type="dxa"/>
            <w:vAlign w:val="bottom"/>
            <w:tcBorders>
              <w:bottom w:val="single" w:sz="8" w:color="58585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58585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Borders>
              <w:bottom w:val="single" w:sz="8" w:color="58585C"/>
            </w:tcBorders>
          </w:tcPr>
          <w:p>
            <w:pPr>
              <w:spacing w:after="0"/>
              <w:rPr>
                <w:sz w:val="2"/>
                <w:szCs w:val="2"/>
                <w:color w:val="auto"/>
              </w:rPr>
            </w:pPr>
          </w:p>
        </w:tc>
        <w:tc>
          <w:tcPr>
            <w:tcW w:w="720" w:type="dxa"/>
            <w:vAlign w:val="bottom"/>
            <w:tcBorders>
              <w:bottom w:val="single" w:sz="8" w:color="58585C"/>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58585C"/>
            </w:tcBorders>
          </w:tcPr>
          <w:p>
            <w:pPr>
              <w:spacing w:after="0"/>
              <w:rPr>
                <w:sz w:val="2"/>
                <w:szCs w:val="2"/>
                <w:color w:val="auto"/>
              </w:rPr>
            </w:pPr>
          </w:p>
        </w:tc>
        <w:tc>
          <w:tcPr>
            <w:tcW w:w="700" w:type="dxa"/>
            <w:vAlign w:val="bottom"/>
            <w:tcBorders>
              <w:bottom w:val="single" w:sz="8" w:color="58585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58585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58585C"/>
            </w:tcBorders>
          </w:tcPr>
          <w:p>
            <w:pPr>
              <w:spacing w:after="0"/>
              <w:rPr>
                <w:sz w:val="2"/>
                <w:szCs w:val="2"/>
                <w:color w:val="auto"/>
              </w:rPr>
            </w:pPr>
          </w:p>
        </w:tc>
      </w:tr>
      <w:tr>
        <w:trPr>
          <w:trHeight w:val="252"/>
        </w:trPr>
        <w:tc>
          <w:tcPr>
            <w:tcW w:w="2880" w:type="dxa"/>
            <w:vAlign w:val="bottom"/>
            <w:gridSpan w:val="2"/>
          </w:tcPr>
          <w:p>
            <w:pPr>
              <w:spacing w:after="0"/>
              <w:rPr>
                <w:sz w:val="20"/>
                <w:szCs w:val="20"/>
                <w:color w:val="auto"/>
              </w:rPr>
            </w:pPr>
            <w:r>
              <w:rPr>
                <w:rFonts w:ascii="Arial" w:cs="Arial" w:eastAsia="Arial" w:hAnsi="Arial"/>
                <w:sz w:val="14"/>
                <w:szCs w:val="14"/>
                <w:color w:val="auto"/>
              </w:rPr>
              <w:t>Adjusted Operating Cash Flow (non-GAAP)</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$447,029</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$223,824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223,205</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338,349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$154,943</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$183,406</w:t>
            </w:r>
          </w:p>
        </w:tc>
      </w:tr>
      <w:tr>
        <w:trPr>
          <w:trHeight w:val="32"/>
        </w:trPr>
        <w:tc>
          <w:tcPr>
            <w:tcW w:w="2820" w:type="dxa"/>
            <w:vAlign w:val="bottom"/>
            <w:tcBorders>
              <w:bottom w:val="single" w:sz="8" w:color="38383C"/>
            </w:tcBorders>
          </w:tcPr>
          <w:p>
            <w:pPr>
              <w:spacing w:after="0"/>
              <w:rPr>
                <w:sz w:val="2"/>
                <w:szCs w:val="2"/>
                <w:color w:val="auto"/>
              </w:rPr>
            </w:pPr>
          </w:p>
        </w:tc>
        <w:tc>
          <w:tcPr>
            <w:tcW w:w="60" w:type="dxa"/>
            <w:vAlign w:val="bottom"/>
            <w:tcBorders>
              <w:bottom w:val="single" w:sz="8" w:color="38383C"/>
            </w:tcBorders>
          </w:tcPr>
          <w:p>
            <w:pPr>
              <w:spacing w:after="0"/>
              <w:rPr>
                <w:sz w:val="2"/>
                <w:szCs w:val="2"/>
                <w:color w:val="auto"/>
              </w:rPr>
            </w:pPr>
          </w:p>
        </w:tc>
        <w:tc>
          <w:tcPr>
            <w:tcW w:w="840" w:type="dxa"/>
            <w:vAlign w:val="bottom"/>
            <w:tcBorders>
              <w:bottom w:val="single" w:sz="8" w:color="38383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3C383C"/>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3C383C"/>
            </w:tcBorders>
          </w:tcPr>
          <w:p>
            <w:pPr>
              <w:spacing w:after="0"/>
              <w:rPr>
                <w:sz w:val="2"/>
                <w:szCs w:val="2"/>
                <w:color w:val="auto"/>
              </w:rPr>
            </w:pPr>
          </w:p>
        </w:tc>
        <w:tc>
          <w:tcPr>
            <w:tcW w:w="160" w:type="dxa"/>
            <w:vAlign w:val="bottom"/>
            <w:tcBorders>
              <w:bottom w:val="single" w:sz="8" w:color="3C383C"/>
            </w:tcBorders>
          </w:tcPr>
          <w:p>
            <w:pPr>
              <w:spacing w:after="0"/>
              <w:rPr>
                <w:sz w:val="2"/>
                <w:szCs w:val="2"/>
                <w:color w:val="auto"/>
              </w:rPr>
            </w:pPr>
          </w:p>
        </w:tc>
        <w:tc>
          <w:tcPr>
            <w:tcW w:w="720" w:type="dxa"/>
            <w:vAlign w:val="bottom"/>
            <w:tcBorders>
              <w:bottom w:val="single" w:sz="8" w:color="3C383C"/>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3C383C"/>
            </w:tcBorders>
          </w:tcPr>
          <w:p>
            <w:pPr>
              <w:spacing w:after="0"/>
              <w:rPr>
                <w:sz w:val="2"/>
                <w:szCs w:val="2"/>
                <w:color w:val="auto"/>
              </w:rPr>
            </w:pPr>
          </w:p>
        </w:tc>
        <w:tc>
          <w:tcPr>
            <w:tcW w:w="700" w:type="dxa"/>
            <w:vAlign w:val="bottom"/>
            <w:tcBorders>
              <w:bottom w:val="single" w:sz="8" w:color="3C383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38383C"/>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38383C"/>
            </w:tcBorders>
          </w:tcPr>
          <w:p>
            <w:pPr>
              <w:spacing w:after="0"/>
              <w:rPr>
                <w:sz w:val="2"/>
                <w:szCs w:val="2"/>
                <w:color w:val="auto"/>
              </w:rPr>
            </w:pPr>
          </w:p>
        </w:tc>
      </w:tr>
      <w:tr>
        <w:trPr>
          <w:trHeight w:val="432"/>
        </w:trPr>
        <w:tc>
          <w:tcPr>
            <w:tcW w:w="2820" w:type="dxa"/>
            <w:vAlign w:val="bottom"/>
          </w:tcPr>
          <w:p>
            <w:pPr>
              <w:spacing w:after="0"/>
              <w:rPr>
                <w:sz w:val="24"/>
                <w:szCs w:val="24"/>
                <w:color w:val="auto"/>
              </w:rPr>
            </w:pPr>
          </w:p>
        </w:tc>
        <w:tc>
          <w:tcPr>
            <w:tcW w:w="60" w:type="dxa"/>
            <w:vAlign w:val="bottom"/>
            <w:tcBorders>
              <w:bottom w:val="single" w:sz="8" w:color="58585C"/>
            </w:tcBorders>
          </w:tcPr>
          <w:p>
            <w:pPr>
              <w:spacing w:after="0"/>
              <w:rPr>
                <w:sz w:val="24"/>
                <w:szCs w:val="24"/>
                <w:color w:val="auto"/>
              </w:rPr>
            </w:pPr>
          </w:p>
        </w:tc>
        <w:tc>
          <w:tcPr>
            <w:tcW w:w="840" w:type="dxa"/>
            <w:vAlign w:val="bottom"/>
            <w:tcBorders>
              <w:bottom w:val="single" w:sz="8" w:color="58585C"/>
            </w:tcBorders>
          </w:tcPr>
          <w:p>
            <w:pPr>
              <w:spacing w:after="0"/>
              <w:rPr>
                <w:sz w:val="24"/>
                <w:szCs w:val="24"/>
                <w:color w:val="auto"/>
              </w:rPr>
            </w:pPr>
          </w:p>
        </w:tc>
        <w:tc>
          <w:tcPr>
            <w:tcW w:w="1000" w:type="dxa"/>
            <w:vAlign w:val="bottom"/>
            <w:tcBorders>
              <w:bottom w:val="single" w:sz="8" w:color="58585C"/>
            </w:tcBorders>
            <w:gridSpan w:val="2"/>
          </w:tcPr>
          <w:p>
            <w:pPr>
              <w:jc w:val="center"/>
              <w:ind w:left="21"/>
              <w:spacing w:after="0"/>
              <w:rPr>
                <w:sz w:val="20"/>
                <w:szCs w:val="20"/>
                <w:color w:val="auto"/>
              </w:rPr>
            </w:pPr>
            <w:r>
              <w:rPr>
                <w:rFonts w:ascii="Times New Roman" w:cs="Times New Roman" w:eastAsia="Times New Roman" w:hAnsi="Times New Roman"/>
                <w:sz w:val="16"/>
                <w:szCs w:val="16"/>
                <w:color w:val="auto"/>
              </w:rPr>
              <w:t>2022</w:t>
            </w:r>
          </w:p>
        </w:tc>
        <w:tc>
          <w:tcPr>
            <w:tcW w:w="100" w:type="dxa"/>
            <w:vAlign w:val="bottom"/>
            <w:tcBorders>
              <w:bottom w:val="single" w:sz="8" w:color="58585C"/>
            </w:tcBorders>
          </w:tcPr>
          <w:p>
            <w:pPr>
              <w:spacing w:after="0"/>
              <w:rPr>
                <w:sz w:val="24"/>
                <w:szCs w:val="24"/>
                <w:color w:val="auto"/>
              </w:rPr>
            </w:pPr>
          </w:p>
        </w:tc>
        <w:tc>
          <w:tcPr>
            <w:tcW w:w="20" w:type="dxa"/>
            <w:vAlign w:val="bottom"/>
            <w:tcBorders>
              <w:bottom w:val="single" w:sz="8" w:color="58585C"/>
            </w:tcBorders>
          </w:tcPr>
          <w:p>
            <w:pPr>
              <w:spacing w:after="0"/>
              <w:rPr>
                <w:sz w:val="24"/>
                <w:szCs w:val="24"/>
                <w:color w:val="auto"/>
              </w:rPr>
            </w:pPr>
          </w:p>
        </w:tc>
        <w:tc>
          <w:tcPr>
            <w:tcW w:w="160" w:type="dxa"/>
            <w:vAlign w:val="bottom"/>
            <w:tcBorders>
              <w:bottom w:val="single" w:sz="8" w:color="58585C"/>
            </w:tcBorders>
          </w:tcPr>
          <w:p>
            <w:pPr>
              <w:spacing w:after="0"/>
              <w:rPr>
                <w:sz w:val="24"/>
                <w:szCs w:val="24"/>
                <w:color w:val="auto"/>
              </w:rPr>
            </w:pPr>
          </w:p>
        </w:tc>
        <w:tc>
          <w:tcPr>
            <w:tcW w:w="720" w:type="dxa"/>
            <w:vAlign w:val="bottom"/>
            <w:tcBorders>
              <w:bottom w:val="single" w:sz="8" w:color="58585C"/>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bottom w:val="single" w:sz="8" w:color="58585C"/>
            </w:tcBorders>
          </w:tcPr>
          <w:p>
            <w:pPr>
              <w:spacing w:after="0"/>
              <w:rPr>
                <w:sz w:val="24"/>
                <w:szCs w:val="24"/>
                <w:color w:val="auto"/>
              </w:rPr>
            </w:pPr>
          </w:p>
        </w:tc>
        <w:tc>
          <w:tcPr>
            <w:tcW w:w="700" w:type="dxa"/>
            <w:vAlign w:val="bottom"/>
            <w:tcBorders>
              <w:bottom w:val="single" w:sz="8" w:color="58585C"/>
            </w:tcBorders>
          </w:tcPr>
          <w:p>
            <w:pPr>
              <w:spacing w:after="0"/>
              <w:rPr>
                <w:sz w:val="24"/>
                <w:szCs w:val="24"/>
                <w:color w:val="auto"/>
              </w:rPr>
            </w:pPr>
          </w:p>
        </w:tc>
        <w:tc>
          <w:tcPr>
            <w:tcW w:w="1000" w:type="dxa"/>
            <w:vAlign w:val="bottom"/>
            <w:tcBorders>
              <w:bottom w:val="single" w:sz="8" w:color="58585C"/>
            </w:tcBorders>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2021</w:t>
            </w:r>
          </w:p>
        </w:tc>
        <w:tc>
          <w:tcPr>
            <w:tcW w:w="120" w:type="dxa"/>
            <w:vAlign w:val="bottom"/>
            <w:tcBorders>
              <w:bottom w:val="single" w:sz="8" w:color="58585C"/>
            </w:tcBorders>
          </w:tcPr>
          <w:p>
            <w:pPr>
              <w:spacing w:after="0"/>
              <w:rPr>
                <w:sz w:val="24"/>
                <w:szCs w:val="24"/>
                <w:color w:val="auto"/>
              </w:rPr>
            </w:pPr>
          </w:p>
        </w:tc>
        <w:tc>
          <w:tcPr>
            <w:tcW w:w="880" w:type="dxa"/>
            <w:vAlign w:val="bottom"/>
            <w:tcBorders>
              <w:bottom w:val="single" w:sz="8" w:color="58585C"/>
            </w:tcBorders>
          </w:tcPr>
          <w:p>
            <w:pPr>
              <w:spacing w:after="0"/>
              <w:rPr>
                <w:sz w:val="24"/>
                <w:szCs w:val="24"/>
                <w:color w:val="auto"/>
              </w:rPr>
            </w:pPr>
          </w:p>
        </w:tc>
      </w:tr>
      <w:tr>
        <w:trPr>
          <w:trHeight w:val="221"/>
        </w:trPr>
        <w:tc>
          <w:tcPr>
            <w:tcW w:w="2880" w:type="dxa"/>
            <w:vAlign w:val="bottom"/>
            <w:gridSpan w:val="2"/>
          </w:tcPr>
          <w:p>
            <w:pPr>
              <w:spacing w:after="0"/>
              <w:rPr>
                <w:sz w:val="20"/>
                <w:szCs w:val="20"/>
                <w:color w:val="auto"/>
              </w:rPr>
            </w:pPr>
            <w:r>
              <w:rPr>
                <w:rFonts w:ascii="Arial" w:cs="Arial" w:eastAsia="Arial" w:hAnsi="Arial"/>
                <w:sz w:val="14"/>
                <w:szCs w:val="14"/>
                <w:color w:val="auto"/>
              </w:rPr>
              <w:t>Operating Income</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$83,898</w:t>
            </w:r>
          </w:p>
        </w:tc>
        <w:tc>
          <w:tcPr>
            <w:tcW w:w="1000" w:type="dxa"/>
            <w:vAlign w:val="bottom"/>
            <w:gridSpan w:val="2"/>
          </w:tcPr>
          <w:p>
            <w:pPr>
              <w:jc w:val="center"/>
              <w:ind w:left="21"/>
              <w:spacing w:after="0"/>
              <w:rPr>
                <w:sz w:val="20"/>
                <w:szCs w:val="20"/>
                <w:color w:val="auto"/>
              </w:rPr>
            </w:pPr>
            <w:r>
              <w:rPr>
                <w:rFonts w:ascii="Times New Roman" w:cs="Times New Roman" w:eastAsia="Times New Roman" w:hAnsi="Times New Roman"/>
                <w:sz w:val="16"/>
                <w:szCs w:val="16"/>
                <w:color w:val="auto"/>
              </w:rPr>
              <w:t>$201,879</w:t>
            </w:r>
          </w:p>
        </w:tc>
        <w:tc>
          <w:tcPr>
            <w:tcW w:w="2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77,375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$ 149,422</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 (72,047)</w:t>
            </w:r>
          </w:p>
        </w:tc>
      </w:tr>
      <w:tr>
        <w:trPr>
          <w:trHeight w:val="215"/>
        </w:trPr>
        <w:tc>
          <w:tcPr>
            <w:tcW w:w="2880" w:type="dxa"/>
            <w:vAlign w:val="bottom"/>
            <w:gridSpan w:val="2"/>
          </w:tcPr>
          <w:p>
            <w:pPr>
              <w:ind w:left="120"/>
              <w:spacing w:after="0"/>
              <w:rPr>
                <w:sz w:val="20"/>
                <w:szCs w:val="20"/>
                <w:color w:val="auto"/>
              </w:rPr>
            </w:pPr>
            <w:r>
              <w:rPr>
                <w:rFonts w:ascii="Arial" w:cs="Arial" w:eastAsia="Arial" w:hAnsi="Arial"/>
                <w:sz w:val="14"/>
                <w:szCs w:val="14"/>
                <w:color w:val="auto"/>
              </w:rPr>
              <w:t>Add: Amortization of Intangible Assets</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72"/>
        </w:trPr>
        <w:tc>
          <w:tcPr>
            <w:tcW w:w="2880" w:type="dxa"/>
            <w:vAlign w:val="bottom"/>
            <w:gridSpan w:val="2"/>
          </w:tcPr>
          <w:p>
            <w:pPr>
              <w:ind w:left="540"/>
              <w:spacing w:after="0"/>
              <w:rPr>
                <w:sz w:val="20"/>
                <w:szCs w:val="20"/>
                <w:color w:val="auto"/>
              </w:rPr>
            </w:pPr>
            <w:r>
              <w:rPr>
                <w:rFonts w:ascii="Arial" w:cs="Arial" w:eastAsia="Arial" w:hAnsi="Arial"/>
                <w:sz w:val="14"/>
                <w:szCs w:val="14"/>
                <w:color w:val="auto"/>
              </w:rPr>
              <w:t>and Impairment of Goodwill and</w:t>
            </w: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85"/>
        </w:trPr>
        <w:tc>
          <w:tcPr>
            <w:tcW w:w="2880" w:type="dxa"/>
            <w:vAlign w:val="bottom"/>
            <w:gridSpan w:val="2"/>
          </w:tcPr>
          <w:p>
            <w:pPr>
              <w:ind w:left="520"/>
              <w:spacing w:after="0"/>
              <w:rPr>
                <w:sz w:val="20"/>
                <w:szCs w:val="20"/>
                <w:color w:val="auto"/>
              </w:rPr>
            </w:pPr>
            <w:r>
              <w:rPr>
                <w:rFonts w:ascii="Arial" w:cs="Arial" w:eastAsia="Arial" w:hAnsi="Arial"/>
                <w:sz w:val="14"/>
                <w:szCs w:val="14"/>
                <w:color w:val="auto"/>
              </w:rPr>
              <w:t>Other Long-Lived Assets</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187,841</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5,440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182,401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90,810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5,440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85,370</w:t>
            </w:r>
          </w:p>
        </w:tc>
      </w:tr>
      <w:tr>
        <w:trPr>
          <w:trHeight w:val="229"/>
        </w:trPr>
        <w:tc>
          <w:tcPr>
            <w:tcW w:w="2880" w:type="dxa"/>
            <w:vAlign w:val="bottom"/>
            <w:gridSpan w:val="2"/>
          </w:tcPr>
          <w:p>
            <w:pPr>
              <w:spacing w:after="0"/>
              <w:rPr>
                <w:sz w:val="20"/>
                <w:szCs w:val="20"/>
                <w:color w:val="auto"/>
              </w:rPr>
            </w:pPr>
            <w:r>
              <w:rPr>
                <w:rFonts w:ascii="Arial" w:cs="Arial" w:eastAsia="Arial" w:hAnsi="Arial"/>
                <w:sz w:val="14"/>
                <w:szCs w:val="14"/>
                <w:color w:val="auto"/>
              </w:rPr>
              <w:t>Add: Depreciation Expense</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73,297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12,294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61.003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71,415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14,018</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57,397</w:t>
            </w:r>
          </w:p>
        </w:tc>
      </w:tr>
      <w:tr>
        <w:trPr>
          <w:trHeight w:val="219"/>
        </w:trPr>
        <w:tc>
          <w:tcPr>
            <w:tcW w:w="2880" w:type="dxa"/>
            <w:vAlign w:val="bottom"/>
            <w:gridSpan w:val="2"/>
          </w:tcPr>
          <w:p>
            <w:pPr>
              <w:spacing w:after="0"/>
              <w:rPr>
                <w:sz w:val="20"/>
                <w:szCs w:val="20"/>
                <w:color w:val="auto"/>
              </w:rPr>
            </w:pPr>
            <w:r>
              <w:rPr>
                <w:rFonts w:ascii="Arial" w:cs="Arial" w:eastAsia="Arial" w:hAnsi="Arial"/>
                <w:sz w:val="14"/>
                <w:szCs w:val="14"/>
                <w:color w:val="auto"/>
              </w:rPr>
              <w:t>Add: Pension Service Cost</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32,567</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3,554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29,013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22,991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19,416</w:t>
            </w:r>
          </w:p>
        </w:tc>
      </w:tr>
      <w:tr>
        <w:trPr>
          <w:trHeight w:val="23"/>
        </w:trPr>
        <w:tc>
          <w:tcPr>
            <w:tcW w:w="2880" w:type="dxa"/>
            <w:vAlign w:val="bottom"/>
            <w:tcBorders>
              <w:bottom w:val="single" w:sz="8" w:color="1C2028"/>
            </w:tcBorders>
            <w:gridSpan w:val="2"/>
          </w:tcPr>
          <w:p>
            <w:pPr>
              <w:spacing w:after="0"/>
              <w:rPr>
                <w:sz w:val="2"/>
                <w:szCs w:val="2"/>
                <w:color w:val="auto"/>
              </w:rPr>
            </w:pPr>
          </w:p>
        </w:tc>
        <w:tc>
          <w:tcPr>
            <w:tcW w:w="840" w:type="dxa"/>
            <w:vAlign w:val="bottom"/>
            <w:tcBorders>
              <w:bottom w:val="single" w:sz="8" w:color="1C2028"/>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1C2428"/>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1C2428"/>
            </w:tcBorders>
            <w:gridSpan w:val="2"/>
          </w:tcPr>
          <w:p>
            <w:pPr>
              <w:spacing w:after="0"/>
              <w:rPr>
                <w:sz w:val="2"/>
                <w:szCs w:val="2"/>
                <w:color w:val="auto"/>
              </w:rPr>
            </w:pPr>
          </w:p>
        </w:tc>
        <w:tc>
          <w:tcPr>
            <w:tcW w:w="720" w:type="dxa"/>
            <w:vAlign w:val="bottom"/>
            <w:tcBorders>
              <w:bottom w:val="single" w:sz="8" w:color="1C2428"/>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1C2028"/>
            </w:tcBorders>
          </w:tcPr>
          <w:p>
            <w:pPr>
              <w:spacing w:after="0"/>
              <w:rPr>
                <w:sz w:val="2"/>
                <w:szCs w:val="2"/>
                <w:color w:val="auto"/>
              </w:rPr>
            </w:pPr>
          </w:p>
        </w:tc>
        <w:tc>
          <w:tcPr>
            <w:tcW w:w="700" w:type="dxa"/>
            <w:vAlign w:val="bottom"/>
            <w:tcBorders>
              <w:bottom w:val="single" w:sz="8" w:color="1C2028"/>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1C2024"/>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1C2028"/>
            </w:tcBorders>
          </w:tcPr>
          <w:p>
            <w:pPr>
              <w:spacing w:after="0"/>
              <w:rPr>
                <w:sz w:val="2"/>
                <w:szCs w:val="2"/>
                <w:color w:val="auto"/>
              </w:rPr>
            </w:pPr>
          </w:p>
        </w:tc>
      </w:tr>
      <w:tr>
        <w:trPr>
          <w:trHeight w:val="252"/>
        </w:trPr>
        <w:tc>
          <w:tcPr>
            <w:tcW w:w="2880" w:type="dxa"/>
            <w:vAlign w:val="bottom"/>
            <w:gridSpan w:val="2"/>
          </w:tcPr>
          <w:p>
            <w:pPr>
              <w:spacing w:after="0"/>
              <w:rPr>
                <w:sz w:val="20"/>
                <w:szCs w:val="20"/>
                <w:color w:val="auto"/>
              </w:rPr>
            </w:pPr>
            <w:r>
              <w:rPr>
                <w:rFonts w:ascii="Arial" w:cs="Arial" w:eastAsia="Arial" w:hAnsi="Arial"/>
                <w:sz w:val="14"/>
                <w:szCs w:val="14"/>
                <w:color w:val="auto"/>
              </w:rPr>
              <w:t>Adjusted Operating Cash Flow (non-GAAP)</w:t>
            </w:r>
          </w:p>
        </w:tc>
        <w:tc>
          <w:tcPr>
            <w:tcW w:w="84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$377,603</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$223,167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154,436</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262,591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$172,455</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90,136</w:t>
            </w:r>
          </w:p>
        </w:tc>
      </w:tr>
      <w:tr>
        <w:trPr>
          <w:trHeight w:val="32"/>
        </w:trPr>
        <w:tc>
          <w:tcPr>
            <w:tcW w:w="2820" w:type="dxa"/>
            <w:vAlign w:val="bottom"/>
            <w:tcBorders>
              <w:bottom w:val="single" w:sz="8" w:color="4C4C50"/>
            </w:tcBorders>
          </w:tcPr>
          <w:p>
            <w:pPr>
              <w:spacing w:after="0"/>
              <w:rPr>
                <w:sz w:val="2"/>
                <w:szCs w:val="2"/>
                <w:color w:val="auto"/>
              </w:rPr>
            </w:pPr>
          </w:p>
        </w:tc>
        <w:tc>
          <w:tcPr>
            <w:tcW w:w="60" w:type="dxa"/>
            <w:vAlign w:val="bottom"/>
            <w:tcBorders>
              <w:bottom w:val="single" w:sz="8" w:color="4C4C50"/>
            </w:tcBorders>
          </w:tcPr>
          <w:p>
            <w:pPr>
              <w:spacing w:after="0"/>
              <w:rPr>
                <w:sz w:val="2"/>
                <w:szCs w:val="2"/>
                <w:color w:val="auto"/>
              </w:rPr>
            </w:pPr>
          </w:p>
        </w:tc>
        <w:tc>
          <w:tcPr>
            <w:tcW w:w="840" w:type="dxa"/>
            <w:vAlign w:val="bottom"/>
            <w:tcBorders>
              <w:bottom w:val="single" w:sz="8" w:color="4C4C50"/>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4C4C50"/>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4C4C50"/>
            </w:tcBorders>
          </w:tcPr>
          <w:p>
            <w:pPr>
              <w:spacing w:after="0"/>
              <w:rPr>
                <w:sz w:val="2"/>
                <w:szCs w:val="2"/>
                <w:color w:val="auto"/>
              </w:rPr>
            </w:pPr>
          </w:p>
        </w:tc>
        <w:tc>
          <w:tcPr>
            <w:tcW w:w="160" w:type="dxa"/>
            <w:vAlign w:val="bottom"/>
            <w:tcBorders>
              <w:bottom w:val="single" w:sz="8" w:color="4C4C50"/>
            </w:tcBorders>
          </w:tcPr>
          <w:p>
            <w:pPr>
              <w:spacing w:after="0"/>
              <w:rPr>
                <w:sz w:val="2"/>
                <w:szCs w:val="2"/>
                <w:color w:val="auto"/>
              </w:rPr>
            </w:pPr>
          </w:p>
        </w:tc>
        <w:tc>
          <w:tcPr>
            <w:tcW w:w="720" w:type="dxa"/>
            <w:vAlign w:val="bottom"/>
            <w:tcBorders>
              <w:bottom w:val="single" w:sz="8" w:color="4C4C50"/>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Borders>
              <w:bottom w:val="single" w:sz="8" w:color="4C4C50"/>
            </w:tcBorders>
          </w:tcPr>
          <w:p>
            <w:pPr>
              <w:spacing w:after="0"/>
              <w:rPr>
                <w:sz w:val="2"/>
                <w:szCs w:val="2"/>
                <w:color w:val="auto"/>
              </w:rPr>
            </w:pPr>
          </w:p>
        </w:tc>
        <w:tc>
          <w:tcPr>
            <w:tcW w:w="700" w:type="dxa"/>
            <w:vAlign w:val="bottom"/>
            <w:tcBorders>
              <w:bottom w:val="single" w:sz="8" w:color="4C4C50"/>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4C4C50"/>
            </w:tcBorders>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Borders>
              <w:bottom w:val="single" w:sz="8" w:color="4C4C50"/>
            </w:tcBorders>
          </w:tcPr>
          <w:p>
            <w:pPr>
              <w:spacing w:after="0"/>
              <w:rPr>
                <w:sz w:val="2"/>
                <w:szCs w:val="2"/>
                <w:color w:val="auto"/>
              </w:rPr>
            </w:pPr>
          </w:p>
        </w:tc>
      </w:tr>
    </w:tbl>
    <w:p>
      <w:pPr>
        <w:spacing w:after="0" w:line="97" w:lineRule="exact"/>
        <w:rPr>
          <w:sz w:val="20"/>
          <w:szCs w:val="20"/>
          <w:color w:val="auto"/>
        </w:rPr>
      </w:pPr>
    </w:p>
    <w:p>
      <w:pPr>
        <w:ind w:left="1680" w:right="1720"/>
        <w:spacing w:after="0" w:line="285" w:lineRule="auto"/>
        <w:rPr>
          <w:sz w:val="20"/>
          <w:szCs w:val="20"/>
          <w:color w:val="auto"/>
        </w:rPr>
      </w:pPr>
      <w:r>
        <w:rPr>
          <w:rFonts w:ascii="Arial" w:cs="Arial" w:eastAsia="Arial" w:hAnsi="Arial"/>
          <w:sz w:val="14"/>
          <w:szCs w:val="14"/>
          <w:i w:val="1"/>
          <w:iCs w:val="1"/>
          <w:color w:val="auto"/>
        </w:rPr>
        <w:t xml:space="preserve">&lt;•&gt;Adjusted Operating Cash Flow (non-GAAP) </w:t>
      </w:r>
      <w:r>
        <w:rPr>
          <w:rFonts w:ascii="Arial" w:cs="Arial" w:eastAsia="Arial" w:hAnsi="Arial"/>
          <w:sz w:val="13"/>
          <w:szCs w:val="13"/>
          <w:color w:val="auto"/>
        </w:rPr>
        <w:t>is</w:t>
      </w:r>
      <w:r>
        <w:rPr>
          <w:rFonts w:ascii="Arial" w:cs="Arial" w:eastAsia="Arial" w:hAnsi="Arial"/>
          <w:sz w:val="14"/>
          <w:szCs w:val="14"/>
          <w:i w:val="1"/>
          <w:iCs w:val="1"/>
          <w:color w:val="auto"/>
        </w:rPr>
        <w:t xml:space="preserve"> calculated </w:t>
      </w:r>
      <w:r>
        <w:rPr>
          <w:rFonts w:ascii="Arial" w:cs="Arial" w:eastAsia="Arial" w:hAnsi="Arial"/>
          <w:sz w:val="13"/>
          <w:szCs w:val="13"/>
          <w:color w:val="auto"/>
        </w:rPr>
        <w:t>as</w:t>
      </w:r>
      <w:r>
        <w:rPr>
          <w:rFonts w:ascii="Arial" w:cs="Arial" w:eastAsia="Arial" w:hAnsi="Arial"/>
          <w:sz w:val="14"/>
          <w:szCs w:val="14"/>
          <w:i w:val="1"/>
          <w:iCs w:val="1"/>
          <w:color w:val="auto"/>
        </w:rPr>
        <w:t xml:space="preserve"> Operating Income excluding Amortization of Intangible Assets and Impairment of Goodwill and Other Long-Lived Assets plus Depreciation Expense and Pension Service </w:t>
      </w:r>
      <w:r>
        <w:rPr>
          <w:rFonts w:ascii="Arial" w:cs="Arial" w:eastAsia="Arial" w:hAnsi="Arial"/>
          <w:sz w:val="13"/>
          <w:szCs w:val="13"/>
          <w:color w:val="auto"/>
        </w:rPr>
        <w:t>Cost.</w:t>
      </w:r>
    </w:p>
    <w:p>
      <w:pPr>
        <w:sectPr>
          <w:pgSz w:w="12240" w:h="15668" w:orient="portrait"/>
          <w:cols w:equalWidth="0" w:num="1">
            <w:col w:w="12140"/>
          </w:cols>
          <w:pgMar w:left="20" w:top="0" w:right="8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420" w:right="40" w:firstLine="7"/>
        <w:spacing w:after="0" w:line="323" w:lineRule="auto"/>
        <w:rPr>
          <w:sz w:val="20"/>
          <w:szCs w:val="20"/>
          <w:color w:val="auto"/>
        </w:rPr>
      </w:pPr>
      <w:r>
        <w:rPr>
          <w:rFonts w:ascii="Arial" w:cs="Arial" w:eastAsia="Arial" w:hAnsi="Arial"/>
          <w:sz w:val="20"/>
          <w:szCs w:val="20"/>
          <w:color w:val="auto"/>
        </w:rPr>
        <w:t>School and the Kaplan Professional and Assessment businesses in the UK.</w:t>
      </w:r>
    </w:p>
    <w:p>
      <w:pPr>
        <w:spacing w:after="0" w:line="335" w:lineRule="exact"/>
        <w:rPr>
          <w:sz w:val="20"/>
          <w:szCs w:val="20"/>
          <w:color w:val="auto"/>
        </w:rPr>
      </w:pPr>
    </w:p>
    <w:p>
      <w:pPr>
        <w:jc w:val="both"/>
        <w:ind w:left="1420" w:firstLine="8"/>
        <w:spacing w:after="0" w:line="333" w:lineRule="auto"/>
        <w:rPr>
          <w:sz w:val="20"/>
          <w:szCs w:val="20"/>
          <w:color w:val="auto"/>
        </w:rPr>
      </w:pPr>
      <w:r>
        <w:rPr>
          <w:rFonts w:ascii="Arial" w:cs="Arial" w:eastAsia="Arial" w:hAnsi="Arial"/>
          <w:sz w:val="20"/>
          <w:szCs w:val="20"/>
          <w:color w:val="auto"/>
        </w:rPr>
        <w:t>Kaplan North America (KNA) has made tremendous progress thanks to Greg Marino and his team. A decade ago, we had a number of challenged businesses that Greg and team wove together during the pandemic. Today, they have created a streamlined, unified structure and a business that is poised to become a growing education services provider. Purdue Global (PG) remains the most important partner in t his evolution, but the product sui te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both"/>
        <w:ind w:right="1360" w:firstLine="7"/>
        <w:spacing w:after="0" w:line="330" w:lineRule="auto"/>
        <w:rPr>
          <w:sz w:val="20"/>
          <w:szCs w:val="20"/>
          <w:color w:val="auto"/>
        </w:rPr>
      </w:pPr>
      <w:r>
        <w:rPr>
          <w:rFonts w:ascii="Arial" w:cs="Arial" w:eastAsia="Arial" w:hAnsi="Arial"/>
          <w:sz w:val="20"/>
          <w:szCs w:val="20"/>
          <w:color w:val="auto"/>
        </w:rPr>
        <w:t>partner relationships extend far beyond PG. In 2024, KNA grew its adjusted operating cash flow from $78.9 million to $89.5 million.</w:t>
      </w:r>
    </w:p>
    <w:p>
      <w:pPr>
        <w:spacing w:after="0" w:line="320" w:lineRule="exact"/>
        <w:rPr>
          <w:sz w:val="20"/>
          <w:szCs w:val="20"/>
          <w:color w:val="auto"/>
        </w:rPr>
      </w:pPr>
    </w:p>
    <w:p>
      <w:pPr>
        <w:jc w:val="both"/>
        <w:ind w:right="1360" w:firstLine="6"/>
        <w:spacing w:after="0" w:line="335" w:lineRule="auto"/>
        <w:rPr>
          <w:sz w:val="20"/>
          <w:szCs w:val="20"/>
          <w:color w:val="auto"/>
        </w:rPr>
      </w:pPr>
      <w:r>
        <w:rPr>
          <w:rFonts w:ascii="Arial" w:cs="Arial" w:eastAsia="Arial" w:hAnsi="Arial"/>
          <w:sz w:val="20"/>
          <w:szCs w:val="20"/>
          <w:color w:val="auto"/>
        </w:rPr>
        <w:t>It's worth spending a bit of time on the Languages business, which sits within Kl. A decade ago, the operations were comfortably profitable, making in the neighborhood of $10 million of income in a down yea r, and $20 million in a good one. When COVID struck, t he business ground to a complete halt; our September 2020 year over year revenue declined 82%.</w:t>
      </w:r>
    </w:p>
    <w:p>
      <w:pPr>
        <w:spacing w:after="0" w:line="508" w:lineRule="exact"/>
        <w:rPr>
          <w:sz w:val="20"/>
          <w:szCs w:val="20"/>
          <w:color w:val="auto"/>
        </w:rPr>
      </w:pPr>
    </w:p>
    <w:p>
      <w:pPr>
        <w:sectPr>
          <w:pgSz w:w="12240" w:h="15668" w:orient="portrait"/>
          <w:cols w:equalWidth="0" w:num="2">
            <w:col w:w="5840" w:space="520"/>
            <w:col w:w="5780"/>
          </w:cols>
          <w:pgMar w:left="20" w:top="0" w:right="85" w:bottom="0" w:gutter="0" w:footer="0" w:header="0"/>
          <w:type w:val="continuous"/>
        </w:sectPr>
      </w:pPr>
    </w:p>
    <w:p>
      <w:pPr>
        <w:spacing w:after="0" w:line="200" w:lineRule="exact"/>
        <w:rPr>
          <w:sz w:val="20"/>
          <w:szCs w:val="20"/>
          <w:color w:val="auto"/>
        </w:rPr>
      </w:pPr>
    </w:p>
    <w:p>
      <w:pPr>
        <w:spacing w:after="0" w:line="338" w:lineRule="exact"/>
        <w:rPr>
          <w:sz w:val="20"/>
          <w:szCs w:val="20"/>
          <w:color w:val="auto"/>
        </w:rPr>
      </w:pPr>
    </w:p>
    <w:p>
      <w:pPr>
        <w:ind w:left="2240" w:right="2220" w:hanging="354"/>
        <w:spacing w:after="0" w:line="292" w:lineRule="auto"/>
        <w:rPr>
          <w:sz w:val="20"/>
          <w:szCs w:val="20"/>
          <w:color w:val="auto"/>
        </w:rPr>
      </w:pPr>
      <w:r>
        <w:rPr>
          <w:rFonts w:ascii="Arial" w:cs="Arial" w:eastAsia="Arial" w:hAnsi="Arial"/>
          <w:sz w:val="25"/>
          <w:szCs w:val="25"/>
          <w:color w:val="auto"/>
        </w:rPr>
        <w:t>''</w:t>
      </w:r>
      <w:r>
        <w:rPr>
          <w:rFonts w:ascii="Arial" w:cs="Arial" w:eastAsia="Arial" w:hAnsi="Arial"/>
          <w:sz w:val="25"/>
          <w:szCs w:val="25"/>
          <w:b w:val="1"/>
          <w:bCs w:val="1"/>
          <w:color w:val="auto"/>
        </w:rPr>
        <w:t>Inrecent history, Graham Media Group (GMG) has been the</w:t>
      </w:r>
      <w:r>
        <w:rPr>
          <w:rFonts w:ascii="Arial" w:cs="Arial" w:eastAsia="Arial" w:hAnsi="Arial"/>
          <w:sz w:val="25"/>
          <w:szCs w:val="25"/>
          <w:color w:val="auto"/>
        </w:rPr>
        <w:t xml:space="preserve"> </w:t>
      </w:r>
      <w:r>
        <w:rPr>
          <w:rFonts w:ascii="Arial" w:cs="Arial" w:eastAsia="Arial" w:hAnsi="Arial"/>
          <w:sz w:val="25"/>
          <w:szCs w:val="25"/>
          <w:b w:val="1"/>
          <w:bCs w:val="1"/>
          <w:color w:val="auto"/>
        </w:rPr>
        <w:t>largest producer of· cash for the Company and was again</w:t>
      </w:r>
    </w:p>
    <w:p>
      <w:pPr>
        <w:spacing w:after="0" w:line="16" w:lineRule="exact"/>
        <w:rPr>
          <w:sz w:val="20"/>
          <w:szCs w:val="20"/>
          <w:color w:val="auto"/>
        </w:rPr>
      </w:pPr>
    </w:p>
    <w:p>
      <w:pPr>
        <w:ind w:left="2240"/>
        <w:spacing w:after="0"/>
        <w:rPr>
          <w:sz w:val="20"/>
          <w:szCs w:val="20"/>
          <w:color w:val="auto"/>
        </w:rPr>
      </w:pPr>
      <w:r>
        <w:rPr>
          <w:rFonts w:ascii="Arial" w:cs="Arial" w:eastAsia="Arial" w:hAnsi="Arial"/>
          <w:sz w:val="25"/>
          <w:szCs w:val="25"/>
          <w:b w:val="1"/>
          <w:bCs w:val="1"/>
          <w:color w:val="auto"/>
        </w:rPr>
        <w:t>in 2024.''</w:t>
      </w:r>
    </w:p>
    <w:p>
      <w:pPr>
        <w:sectPr>
          <w:pgSz w:w="12240" w:h="15668" w:orient="portrait"/>
          <w:cols w:equalWidth="0" w:num="1">
            <w:col w:w="12140"/>
          </w:cols>
          <w:pgMar w:left="20" w:top="0" w:right="8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8780"/>
        <w:spacing w:after="0"/>
        <w:rPr>
          <w:sz w:val="20"/>
          <w:szCs w:val="20"/>
          <w:color w:val="auto"/>
        </w:rPr>
      </w:pPr>
      <w:r>
        <w:rPr>
          <w:rFonts w:ascii="Arial" w:cs="Arial" w:eastAsia="Arial" w:hAnsi="Arial"/>
          <w:sz w:val="14"/>
          <w:szCs w:val="14"/>
          <w:i w:val="1"/>
          <w:iCs w:val="1"/>
          <w:color w:val="auto"/>
        </w:rPr>
        <w:t xml:space="preserve">2024 ANNUAL REPORT </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Times New Roman" w:cs="Times New Roman" w:eastAsia="Times New Roman" w:hAnsi="Times New Roman"/>
          <w:sz w:val="14"/>
          <w:szCs w:val="14"/>
          <w:color w:val="auto"/>
        </w:rPr>
        <w:t>5</w:t>
      </w:r>
    </w:p>
    <w:p>
      <w:pPr>
        <w:sectPr>
          <w:pgSz w:w="12240" w:h="15668" w:orient="portrait"/>
          <w:cols w:equalWidth="0" w:num="1">
            <w:col w:w="12140"/>
          </w:cols>
          <w:pgMar w:left="20" w:top="0" w:right="85"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534"/>
        </w:trPr>
        <w:tc>
          <w:tcPr>
            <w:tcW w:w="480" w:type="dxa"/>
            <w:vAlign w:val="bottom"/>
            <w:vMerge w:val="restart"/>
          </w:tcPr>
          <w:p>
            <w:pPr>
              <w:spacing w:after="0"/>
              <w:rPr>
                <w:sz w:val="20"/>
                <w:szCs w:val="20"/>
                <w:color w:val="auto"/>
              </w:rPr>
            </w:pPr>
            <w:r>
              <w:rPr>
                <w:rFonts w:ascii="Arial" w:cs="Arial" w:eastAsia="Arial" w:hAnsi="Arial"/>
                <w:sz w:val="18"/>
                <w:szCs w:val="18"/>
                <w:color w:val="auto"/>
              </w:rPr>
              <w:t>-   .</w:t>
            </w:r>
          </w:p>
        </w:tc>
        <w:tc>
          <w:tcPr>
            <w:tcW w:w="1320" w:type="dxa"/>
            <w:vAlign w:val="bottom"/>
            <w:vMerge w:val="restart"/>
          </w:tcPr>
          <w:p>
            <w:pPr>
              <w:jc w:val="right"/>
              <w:ind w:right="432"/>
              <w:spacing w:after="0"/>
              <w:rPr>
                <w:sz w:val="20"/>
                <w:szCs w:val="20"/>
                <w:color w:val="auto"/>
              </w:rPr>
            </w:pPr>
            <w:r>
              <w:rPr>
                <w:rFonts w:ascii="Arial" w:cs="Arial" w:eastAsia="Arial" w:hAnsi="Arial"/>
                <w:sz w:val="18"/>
                <w:szCs w:val="18"/>
                <w:color w:val="auto"/>
              </w:rPr>
              <w:t>, .  , •   •</w:t>
            </w:r>
          </w:p>
        </w:tc>
        <w:tc>
          <w:tcPr>
            <w:tcW w:w="2040" w:type="dxa"/>
            <w:vAlign w:val="bottom"/>
            <w:gridSpan w:val="2"/>
            <w:vMerge w:val="restart"/>
          </w:tcPr>
          <w:p>
            <w:pPr>
              <w:ind w:left="340"/>
              <w:spacing w:after="0"/>
              <w:rPr>
                <w:sz w:val="20"/>
                <w:szCs w:val="20"/>
                <w:color w:val="auto"/>
              </w:rPr>
            </w:pPr>
            <w:r>
              <w:rPr>
                <w:rFonts w:ascii="Arial" w:cs="Arial" w:eastAsia="Arial" w:hAnsi="Arial"/>
                <w:sz w:val="18"/>
                <w:szCs w:val="18"/>
                <w:color w:val="auto"/>
              </w:rPr>
              <w:t>•   •   •   •I  I</w:t>
            </w:r>
          </w:p>
        </w:tc>
        <w:tc>
          <w:tcPr>
            <w:tcW w:w="6580" w:type="dxa"/>
            <w:vAlign w:val="bottom"/>
            <w:gridSpan w:val="2"/>
          </w:tcPr>
          <w:p>
            <w:pPr>
              <w:jc w:val="right"/>
              <w:ind w:right="1491"/>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vMerge w:val="restart"/>
          </w:tcPr>
          <w:p>
            <w:pPr>
              <w:ind w:left="20"/>
              <w:spacing w:after="0" w:line="543" w:lineRule="exact"/>
              <w:rPr>
                <w:sz w:val="20"/>
                <w:szCs w:val="20"/>
                <w:color w:val="auto"/>
              </w:rPr>
            </w:pPr>
            <w:r>
              <w:rPr>
                <w:rFonts w:ascii="Arial" w:cs="Arial" w:eastAsia="Arial" w:hAnsi="Arial"/>
                <w:sz w:val="50"/>
                <w:szCs w:val="50"/>
                <w:color w:val="auto"/>
                <w:w w:val="71"/>
              </w:rPr>
              <w:t>.</w:t>
            </w:r>
            <w:r>
              <w:rPr>
                <w:rFonts w:ascii="Times New Roman" w:cs="Times New Roman" w:eastAsia="Times New Roman" w:hAnsi="Times New Roman"/>
                <w:sz w:val="29"/>
                <w:szCs w:val="29"/>
                <w:color w:val="auto"/>
                <w:w w:val="71"/>
              </w:rPr>
              <w:t>,</w:t>
            </w:r>
            <w:r>
              <w:rPr>
                <w:rFonts w:ascii="Arial" w:cs="Arial" w:eastAsia="Arial" w:hAnsi="Arial"/>
                <w:sz w:val="14"/>
                <w:szCs w:val="14"/>
                <w:b w:val="1"/>
                <w:bCs w:val="1"/>
                <w:color w:val="auto"/>
                <w:w w:val="71"/>
              </w:rPr>
              <w:t>tt</w:t>
            </w:r>
            <w:r>
              <w:rPr>
                <w:rFonts w:ascii="Times New Roman" w:cs="Times New Roman" w:eastAsia="Times New Roman" w:hAnsi="Times New Roman"/>
                <w:sz w:val="29"/>
                <w:szCs w:val="29"/>
                <w:color w:val="auto"/>
                <w:w w:val="71"/>
              </w:rPr>
              <w:t>.</w:t>
            </w:r>
            <w:r>
              <w:rPr>
                <w:rFonts w:ascii="Times New Roman" w:cs="Times New Roman" w:eastAsia="Times New Roman" w:hAnsi="Times New Roman"/>
                <w:sz w:val="57"/>
                <w:szCs w:val="57"/>
                <w:color w:val="auto"/>
                <w:w w:val="71"/>
              </w:rPr>
              <w:t>....</w:t>
            </w:r>
            <w:r>
              <w:rPr>
                <w:rFonts w:ascii="Times New Roman" w:cs="Times New Roman" w:eastAsia="Times New Roman" w:hAnsi="Times New Roman"/>
                <w:sz w:val="15"/>
                <w:szCs w:val="15"/>
                <w:b w:val="1"/>
                <w:bCs w:val="1"/>
                <w:color w:val="auto"/>
                <w:w w:val="71"/>
              </w:rPr>
              <w:t>t</w:t>
            </w:r>
            <w:r>
              <w:rPr>
                <w:rFonts w:ascii="Times New Roman" w:cs="Times New Roman" w:eastAsia="Times New Roman" w:hAnsi="Times New Roman"/>
                <w:sz w:val="19"/>
                <w:szCs w:val="19"/>
                <w:color w:val="auto"/>
                <w:w w:val="71"/>
                <w:vertAlign w:val="subscript"/>
              </w:rPr>
              <w:t>11</w:t>
            </w:r>
            <w:r>
              <w:rPr>
                <w:rFonts w:ascii="Times New Roman" w:cs="Times New Roman" w:eastAsia="Times New Roman" w:hAnsi="Times New Roman"/>
                <w:sz w:val="14"/>
                <w:szCs w:val="14"/>
                <w:b w:val="1"/>
                <w:bCs w:val="1"/>
                <w:color w:val="auto"/>
                <w:w w:val="71"/>
              </w:rPr>
              <w:t>U</w:t>
            </w:r>
            <w:r>
              <w:rPr>
                <w:rFonts w:ascii="Arial" w:cs="Arial" w:eastAsia="Arial" w:hAnsi="Arial"/>
                <w:sz w:val="50"/>
                <w:szCs w:val="50"/>
                <w:color w:val="auto"/>
                <w:w w:val="71"/>
              </w:rPr>
              <w:t xml:space="preserve"> </w:t>
            </w:r>
            <w:r>
              <w:rPr>
                <w:rFonts w:ascii="Times New Roman" w:cs="Times New Roman" w:eastAsia="Times New Roman" w:hAnsi="Times New Roman"/>
                <w:sz w:val="15"/>
                <w:szCs w:val="15"/>
                <w:b w:val="1"/>
                <w:bCs w:val="1"/>
                <w:color w:val="auto"/>
                <w:w w:val="71"/>
              </w:rPr>
              <w:t>n</w:t>
            </w:r>
            <w:r>
              <w:rPr>
                <w:rFonts w:ascii="Arial" w:cs="Arial" w:eastAsia="Arial" w:hAnsi="Arial"/>
                <w:sz w:val="50"/>
                <w:szCs w:val="50"/>
                <w:color w:val="auto"/>
                <w:w w:val="71"/>
              </w:rPr>
              <w:t xml:space="preserve"> </w:t>
            </w:r>
            <w:r>
              <w:rPr>
                <w:rFonts w:ascii="Times New Roman" w:cs="Times New Roman" w:eastAsia="Times New Roman" w:hAnsi="Times New Roman"/>
                <w:sz w:val="14"/>
                <w:szCs w:val="14"/>
                <w:color w:val="auto"/>
                <w:w w:val="71"/>
              </w:rPr>
              <w:t>....</w:t>
            </w:r>
            <w:r>
              <w:rPr>
                <w:rFonts w:ascii="Times New Roman" w:cs="Times New Roman" w:eastAsia="Times New Roman" w:hAnsi="Times New Roman"/>
                <w:sz w:val="15"/>
                <w:szCs w:val="15"/>
                <w:b w:val="1"/>
                <w:bCs w:val="1"/>
                <w:color w:val="auto"/>
                <w:w w:val="71"/>
              </w:rPr>
              <w:t>tll! '</w:t>
            </w:r>
          </w:p>
        </w:tc>
        <w:tc>
          <w:tcPr>
            <w:tcW w:w="0" w:type="dxa"/>
            <w:vAlign w:val="bottom"/>
          </w:tcPr>
          <w:p>
            <w:pPr>
              <w:spacing w:after="0"/>
              <w:rPr>
                <w:sz w:val="1"/>
                <w:szCs w:val="1"/>
                <w:color w:val="auto"/>
              </w:rPr>
            </w:pPr>
          </w:p>
        </w:tc>
      </w:tr>
      <w:tr>
        <w:trPr>
          <w:trHeight w:val="9"/>
        </w:trPr>
        <w:tc>
          <w:tcPr>
            <w:tcW w:w="480" w:type="dxa"/>
            <w:vAlign w:val="bottom"/>
            <w:vMerge w:val="continue"/>
          </w:tcPr>
          <w:p>
            <w:pPr>
              <w:spacing w:after="0" w:line="20" w:lineRule="exact"/>
              <w:rPr>
                <w:sz w:val="1"/>
                <w:szCs w:val="1"/>
                <w:color w:val="auto"/>
              </w:rPr>
            </w:pPr>
          </w:p>
        </w:tc>
        <w:tc>
          <w:tcPr>
            <w:tcW w:w="1320" w:type="dxa"/>
            <w:vAlign w:val="bottom"/>
            <w:vMerge w:val="continue"/>
          </w:tcPr>
          <w:p>
            <w:pPr>
              <w:spacing w:after="0" w:line="20" w:lineRule="exact"/>
              <w:rPr>
                <w:sz w:val="1"/>
                <w:szCs w:val="1"/>
                <w:color w:val="auto"/>
              </w:rPr>
            </w:pPr>
          </w:p>
        </w:tc>
        <w:tc>
          <w:tcPr>
            <w:tcW w:w="2040" w:type="dxa"/>
            <w:vAlign w:val="bottom"/>
            <w:gridSpan w:val="2"/>
            <w:vMerge w:val="continue"/>
          </w:tcPr>
          <w:p>
            <w:pPr>
              <w:spacing w:after="0" w:line="20" w:lineRule="exact"/>
              <w:rPr>
                <w:sz w:val="1"/>
                <w:szCs w:val="1"/>
                <w:color w:val="auto"/>
              </w:rPr>
            </w:pPr>
          </w:p>
        </w:tc>
        <w:tc>
          <w:tcPr>
            <w:tcW w:w="3840" w:type="dxa"/>
            <w:vAlign w:val="bottom"/>
          </w:tcPr>
          <w:p>
            <w:pPr>
              <w:ind w:left="100"/>
              <w:spacing w:after="0" w:line="10" w:lineRule="exact"/>
              <w:rPr>
                <w:sz w:val="20"/>
                <w:szCs w:val="20"/>
                <w:color w:val="auto"/>
              </w:rPr>
            </w:pPr>
            <w:r>
              <w:rPr>
                <w:rFonts w:ascii="Arial" w:cs="Arial" w:eastAsia="Arial" w:hAnsi="Arial"/>
                <w:sz w:val="0"/>
                <w:szCs w:val="0"/>
                <w:color w:val="auto"/>
              </w:rPr>
              <w:t xml:space="preserve">I  </w:t>
            </w:r>
            <w:r>
              <w:rPr>
                <w:rFonts w:ascii="Arial" w:cs="Arial" w:eastAsia="Arial" w:hAnsi="Arial"/>
                <w:sz w:val="1"/>
                <w:szCs w:val="1"/>
                <w:color w:val="auto"/>
              </w:rPr>
              <w:t>,,</w:t>
            </w:r>
            <w:r>
              <w:rPr>
                <w:rFonts w:ascii="Arial" w:cs="Arial" w:eastAsia="Arial" w:hAnsi="Arial"/>
                <w:sz w:val="0"/>
                <w:szCs w:val="0"/>
                <w:color w:val="auto"/>
              </w:rPr>
              <w:t xml:space="preserve">I  </w:t>
            </w:r>
            <w:r>
              <w:rPr>
                <w:rFonts w:ascii="Arial" w:cs="Arial" w:eastAsia="Arial" w:hAnsi="Arial"/>
                <w:sz w:val="1"/>
                <w:szCs w:val="1"/>
                <w:color w:val="auto"/>
              </w:rPr>
              <w:t>····</w:t>
            </w:r>
            <w:r>
              <w:rPr>
                <w:rFonts w:ascii="Times New Roman" w:cs="Times New Roman" w:eastAsia="Times New Roman" w:hAnsi="Times New Roman"/>
                <w:sz w:val="1"/>
                <w:szCs w:val="1"/>
                <w:color w:val="auto"/>
                <w:vertAlign w:val="subscript"/>
              </w:rPr>
              <w:t xml:space="preserve">4   4  </w:t>
            </w:r>
            <w:r>
              <w:rPr>
                <w:rFonts w:ascii="Times New Roman" w:cs="Times New Roman" w:eastAsia="Times New Roman" w:hAnsi="Times New Roman"/>
                <w:sz w:val="1"/>
                <w:szCs w:val="1"/>
                <w:b w:val="1"/>
                <w:bCs w:val="1"/>
                <w:color w:val="auto"/>
              </w:rPr>
              <w:t>t</w:t>
            </w:r>
            <w:r>
              <w:rPr>
                <w:rFonts w:ascii="Times New Roman" w:cs="Times New Roman" w:eastAsia="Times New Roman" w:hAnsi="Times New Roman"/>
                <w:sz w:val="1"/>
                <w:szCs w:val="1"/>
                <w:color w:val="auto"/>
              </w:rPr>
              <w:t xml:space="preserve">  </w:t>
            </w:r>
            <w:r>
              <w:rPr>
                <w:rFonts w:ascii="Arial" w:cs="Arial" w:eastAsia="Arial" w:hAnsi="Arial"/>
                <w:sz w:val="1"/>
                <w:szCs w:val="1"/>
                <w:b w:val="1"/>
                <w:bCs w:val="1"/>
                <w:color w:val="auto"/>
              </w:rPr>
              <w:t>t</w:t>
            </w:r>
            <w:r>
              <w:rPr>
                <w:rFonts w:ascii="Times New Roman" w:cs="Times New Roman" w:eastAsia="Times New Roman" w:hAnsi="Times New Roman"/>
                <w:sz w:val="1"/>
                <w:szCs w:val="1"/>
                <w:color w:val="auto"/>
              </w:rPr>
              <w:t xml:space="preserve">  </w:t>
            </w:r>
            <w:r>
              <w:rPr>
                <w:rFonts w:ascii="Times New Roman" w:cs="Times New Roman" w:eastAsia="Times New Roman" w:hAnsi="Times New Roman"/>
                <w:sz w:val="1"/>
                <w:szCs w:val="1"/>
                <w:b w:val="1"/>
                <w:bCs w:val="1"/>
                <w:color w:val="auto"/>
              </w:rPr>
              <w:t>I  I ,</w:t>
            </w:r>
            <w:r>
              <w:rPr>
                <w:rFonts w:ascii="Times New Roman" w:cs="Times New Roman" w:eastAsia="Times New Roman" w:hAnsi="Times New Roman"/>
                <w:sz w:val="1"/>
                <w:szCs w:val="1"/>
                <w:b w:val="1"/>
                <w:bCs w:val="1"/>
                <w:color w:val="auto"/>
                <w:vertAlign w:val="subscript"/>
              </w:rPr>
              <w:t>1</w:t>
            </w:r>
          </w:p>
        </w:tc>
        <w:tc>
          <w:tcPr>
            <w:tcW w:w="2920" w:type="dxa"/>
            <w:vAlign w:val="bottom"/>
            <w:gridSpan w:val="2"/>
          </w:tcPr>
          <w:p>
            <w:pPr>
              <w:jc w:val="right"/>
              <w:ind w:right="17"/>
              <w:spacing w:after="0" w:line="10" w:lineRule="exact"/>
              <w:rPr>
                <w:sz w:val="20"/>
                <w:szCs w:val="20"/>
                <w:color w:val="auto"/>
              </w:rPr>
            </w:pPr>
            <w:r>
              <w:rPr>
                <w:rFonts w:ascii="Times New Roman" w:cs="Times New Roman" w:eastAsia="Times New Roman" w:hAnsi="Times New Roman"/>
                <w:sz w:val="1"/>
                <w:szCs w:val="1"/>
                <w:b w:val="1"/>
                <w:bCs w:val="1"/>
                <w:color w:val="auto"/>
              </w:rPr>
              <w:t xml:space="preserve">e </w:t>
            </w:r>
            <w:r>
              <w:rPr>
                <w:rFonts w:ascii="Times New Roman" w:cs="Times New Roman" w:eastAsia="Times New Roman" w:hAnsi="Times New Roman"/>
                <w:sz w:val="1"/>
                <w:szCs w:val="1"/>
                <w:color w:val="auto"/>
              </w:rPr>
              <w:t>•</w:t>
            </w:r>
            <w:r>
              <w:rPr>
                <w:rFonts w:ascii="Times New Roman" w:cs="Times New Roman" w:eastAsia="Times New Roman" w:hAnsi="Times New Roman"/>
                <w:sz w:val="1"/>
                <w:szCs w:val="1"/>
                <w:b w:val="1"/>
                <w:bCs w:val="1"/>
                <w:color w:val="auto"/>
              </w:rPr>
              <w:t xml:space="preserve"> </w:t>
            </w:r>
            <w:r>
              <w:rPr>
                <w:rFonts w:ascii="Arial" w:cs="Arial" w:eastAsia="Arial" w:hAnsi="Arial"/>
                <w:sz w:val="1"/>
                <w:szCs w:val="1"/>
                <w:color w:val="auto"/>
              </w:rPr>
              <w:t>II</w:t>
            </w:r>
            <w:r>
              <w:rPr>
                <w:rFonts w:ascii="Times New Roman" w:cs="Times New Roman" w:eastAsia="Times New Roman" w:hAnsi="Times New Roman"/>
                <w:sz w:val="1"/>
                <w:szCs w:val="1"/>
                <w:b w:val="1"/>
                <w:bCs w:val="1"/>
                <w:color w:val="auto"/>
              </w:rPr>
              <w:t xml:space="preserve">  I t  t  t  t t...'l</w:t>
            </w:r>
            <w:r>
              <w:rPr>
                <w:rFonts w:ascii="Arial" w:cs="Arial" w:eastAsia="Arial" w:hAnsi="Arial"/>
                <w:sz w:val="1"/>
                <w:szCs w:val="1"/>
                <w:color w:val="auto"/>
              </w:rPr>
              <w:t>----</w:t>
            </w:r>
            <w:r>
              <w:rPr>
                <w:rFonts w:ascii="Times New Roman" w:cs="Times New Roman" w:eastAsia="Times New Roman" w:hAnsi="Times New Roman"/>
                <w:sz w:val="1"/>
                <w:szCs w:val="1"/>
                <w:b w:val="1"/>
                <w:bCs w:val="1"/>
                <w:color w:val="auto"/>
              </w:rPr>
              <w:t>ll'l!!l_lt</w:t>
            </w:r>
            <w:r>
              <w:rPr>
                <w:rFonts w:ascii="Arial" w:cs="Arial" w:eastAsia="Arial" w:hAnsi="Arial"/>
                <w:sz w:val="1"/>
                <w:szCs w:val="1"/>
                <w:color w:val="auto"/>
              </w:rPr>
              <w:t>~'~-'__;;,-</w:t>
            </w:r>
            <w:r>
              <w:rPr>
                <w:rFonts w:ascii="Times New Roman" w:cs="Times New Roman" w:eastAsia="Times New Roman" w:hAnsi="Times New Roman"/>
                <w:sz w:val="1"/>
                <w:szCs w:val="1"/>
                <w:color w:val="auto"/>
              </w:rPr>
              <w:t>_</w:t>
            </w: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0"/>
        </w:trPr>
        <w:tc>
          <w:tcPr>
            <w:tcW w:w="480" w:type="dxa"/>
            <w:vAlign w:val="bottom"/>
            <w:vMerge w:val="restart"/>
          </w:tcPr>
          <w:p>
            <w:pPr>
              <w:spacing w:after="0" w:line="76" w:lineRule="exact"/>
              <w:rPr>
                <w:sz w:val="20"/>
                <w:szCs w:val="20"/>
                <w:color w:val="auto"/>
              </w:rPr>
            </w:pPr>
            <w:r>
              <w:rPr>
                <w:rFonts w:ascii="Arial" w:cs="Arial" w:eastAsia="Arial" w:hAnsi="Arial"/>
                <w:sz w:val="7"/>
                <w:szCs w:val="7"/>
                <w:color w:val="auto"/>
              </w:rPr>
              <w:t>••</w:t>
            </w:r>
          </w:p>
        </w:tc>
        <w:tc>
          <w:tcPr>
            <w:tcW w:w="1320" w:type="dxa"/>
            <w:vAlign w:val="bottom"/>
            <w:vMerge w:val="restart"/>
          </w:tcPr>
          <w:p>
            <w:pPr>
              <w:jc w:val="right"/>
              <w:ind w:right="312"/>
              <w:spacing w:after="0" w:line="76" w:lineRule="exact"/>
              <w:rPr>
                <w:sz w:val="20"/>
                <w:szCs w:val="20"/>
                <w:color w:val="auto"/>
              </w:rPr>
            </w:pPr>
            <w:r>
              <w:rPr>
                <w:rFonts w:ascii="Arial" w:cs="Arial" w:eastAsia="Arial" w:hAnsi="Arial"/>
                <w:sz w:val="7"/>
                <w:szCs w:val="7"/>
                <w:color w:val="auto"/>
              </w:rPr>
              <w:t>,,. ,. ,</w:t>
            </w:r>
          </w:p>
        </w:tc>
        <w:tc>
          <w:tcPr>
            <w:tcW w:w="1760" w:type="dxa"/>
            <w:vAlign w:val="bottom"/>
          </w:tcPr>
          <w:p>
            <w:pPr>
              <w:jc w:val="right"/>
              <w:spacing w:after="0" w:line="334" w:lineRule="exact"/>
              <w:rPr>
                <w:sz w:val="20"/>
                <w:szCs w:val="20"/>
                <w:color w:val="auto"/>
              </w:rPr>
            </w:pPr>
            <w:r>
              <w:rPr>
                <w:rFonts w:ascii="Times New Roman" w:cs="Times New Roman" w:eastAsia="Times New Roman" w:hAnsi="Times New Roman"/>
                <w:sz w:val="38"/>
                <w:szCs w:val="38"/>
                <w:color w:val="auto"/>
              </w:rPr>
              <w:t>.</w:t>
            </w:r>
          </w:p>
        </w:tc>
        <w:tc>
          <w:tcPr>
            <w:tcW w:w="280" w:type="dxa"/>
            <w:vAlign w:val="bottom"/>
            <w:vMerge w:val="restart"/>
          </w:tcPr>
          <w:p>
            <w:pPr>
              <w:ind w:left="20"/>
              <w:spacing w:after="0" w:line="76" w:lineRule="exact"/>
              <w:rPr>
                <w:sz w:val="20"/>
                <w:szCs w:val="20"/>
                <w:color w:val="auto"/>
              </w:rPr>
            </w:pPr>
            <w:r>
              <w:rPr>
                <w:rFonts w:ascii="Arial" w:cs="Arial" w:eastAsia="Arial" w:hAnsi="Arial"/>
                <w:sz w:val="7"/>
                <w:szCs w:val="7"/>
                <w:color w:val="auto"/>
              </w:rPr>
              <w:t>I</w:t>
            </w:r>
          </w:p>
        </w:tc>
        <w:tc>
          <w:tcPr>
            <w:tcW w:w="3840" w:type="dxa"/>
            <w:vAlign w:val="bottom"/>
          </w:tcPr>
          <w:p>
            <w:pPr>
              <w:spacing w:after="0" w:line="20" w:lineRule="exact"/>
              <w:rPr>
                <w:sz w:val="1"/>
                <w:szCs w:val="1"/>
                <w:color w:val="auto"/>
              </w:rPr>
            </w:pPr>
          </w:p>
        </w:tc>
        <w:tc>
          <w:tcPr>
            <w:tcW w:w="2920" w:type="dxa"/>
            <w:vAlign w:val="bottom"/>
            <w:gridSpan w:val="2"/>
            <w:vMerge w:val="restart"/>
          </w:tcPr>
          <w:p>
            <w:pPr>
              <w:jc w:val="right"/>
              <w:ind w:right="37"/>
              <w:spacing w:after="0" w:line="189" w:lineRule="exact"/>
              <w:rPr>
                <w:sz w:val="20"/>
                <w:szCs w:val="20"/>
                <w:color w:val="auto"/>
              </w:rPr>
            </w:pPr>
            <w:r>
              <w:rPr>
                <w:rFonts w:ascii="Times New Roman" w:cs="Times New Roman" w:eastAsia="Times New Roman" w:hAnsi="Times New Roman"/>
                <w:sz w:val="17"/>
                <w:szCs w:val="17"/>
                <w:b w:val="1"/>
                <w:bCs w:val="1"/>
                <w:color w:val="auto"/>
              </w:rPr>
              <w:t>·  ····••t:t 'll li!_!'I..</w:t>
            </w:r>
          </w:p>
        </w:tc>
        <w:tc>
          <w:tcPr>
            <w:tcW w:w="1460" w:type="dxa"/>
            <w:vAlign w:val="bottom"/>
            <w:vMerge w:val="restart"/>
          </w:tcPr>
          <w:p>
            <w:pPr>
              <w:ind w:left="20"/>
              <w:spacing w:after="0"/>
              <w:rPr>
                <w:sz w:val="20"/>
                <w:szCs w:val="20"/>
                <w:color w:val="auto"/>
              </w:rPr>
            </w:pPr>
            <w:r>
              <w:rPr>
                <w:rFonts w:ascii="Arial" w:cs="Arial" w:eastAsia="Arial" w:hAnsi="Arial"/>
                <w:sz w:val="20"/>
                <w:szCs w:val="20"/>
                <w:color w:val="auto"/>
              </w:rPr>
              <w:t xml:space="preserve">H.~·  </w:t>
            </w:r>
            <w:r>
              <w:rPr>
                <w:rFonts w:ascii="Times New Roman" w:cs="Times New Roman" w:eastAsia="Times New Roman" w:hAnsi="Times New Roman"/>
                <w:sz w:val="16"/>
                <w:szCs w:val="16"/>
                <w:color w:val="auto"/>
              </w:rPr>
              <w:t>...</w:t>
            </w:r>
          </w:p>
        </w:tc>
        <w:tc>
          <w:tcPr>
            <w:tcW w:w="0" w:type="dxa"/>
            <w:vAlign w:val="bottom"/>
          </w:tcPr>
          <w:p>
            <w:pPr>
              <w:spacing w:after="0" w:line="20" w:lineRule="exact"/>
              <w:rPr>
                <w:sz w:val="1"/>
                <w:szCs w:val="1"/>
                <w:color w:val="auto"/>
              </w:rPr>
            </w:pPr>
          </w:p>
        </w:tc>
      </w:tr>
      <w:tr>
        <w:trPr>
          <w:trHeight w:val="250"/>
        </w:trPr>
        <w:tc>
          <w:tcPr>
            <w:tcW w:w="480" w:type="dxa"/>
            <w:vAlign w:val="bottom"/>
            <w:vMerge w:val="continue"/>
          </w:tcPr>
          <w:p>
            <w:pPr>
              <w:spacing w:after="0"/>
              <w:rPr>
                <w:sz w:val="21"/>
                <w:szCs w:val="21"/>
                <w:color w:val="auto"/>
              </w:rPr>
            </w:pPr>
          </w:p>
        </w:tc>
        <w:tc>
          <w:tcPr>
            <w:tcW w:w="1320" w:type="dxa"/>
            <w:vAlign w:val="bottom"/>
            <w:vMerge w:val="continue"/>
          </w:tcPr>
          <w:p>
            <w:pPr>
              <w:spacing w:after="0"/>
              <w:rPr>
                <w:sz w:val="21"/>
                <w:szCs w:val="21"/>
                <w:color w:val="auto"/>
              </w:rPr>
            </w:pPr>
          </w:p>
        </w:tc>
        <w:tc>
          <w:tcPr>
            <w:tcW w:w="1760" w:type="dxa"/>
            <w:vAlign w:val="bottom"/>
          </w:tcPr>
          <w:p>
            <w:pPr>
              <w:spacing w:after="0"/>
              <w:rPr>
                <w:sz w:val="21"/>
                <w:szCs w:val="21"/>
                <w:color w:val="auto"/>
              </w:rPr>
            </w:pPr>
          </w:p>
        </w:tc>
        <w:tc>
          <w:tcPr>
            <w:tcW w:w="280" w:type="dxa"/>
            <w:vAlign w:val="bottom"/>
            <w:vMerge w:val="continue"/>
          </w:tcPr>
          <w:p>
            <w:pPr>
              <w:spacing w:after="0"/>
              <w:rPr>
                <w:sz w:val="21"/>
                <w:szCs w:val="21"/>
                <w:color w:val="auto"/>
              </w:rPr>
            </w:pPr>
          </w:p>
        </w:tc>
        <w:tc>
          <w:tcPr>
            <w:tcW w:w="3840" w:type="dxa"/>
            <w:vAlign w:val="bottom"/>
          </w:tcPr>
          <w:p>
            <w:pPr>
              <w:spacing w:after="0"/>
              <w:rPr>
                <w:sz w:val="21"/>
                <w:szCs w:val="21"/>
                <w:color w:val="auto"/>
              </w:rPr>
            </w:pPr>
          </w:p>
        </w:tc>
        <w:tc>
          <w:tcPr>
            <w:tcW w:w="2920" w:type="dxa"/>
            <w:vAlign w:val="bottom"/>
            <w:gridSpan w:val="2"/>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160" w:right="1880" w:hanging="335"/>
        <w:spacing w:after="0" w:line="290" w:lineRule="auto"/>
        <w:rPr>
          <w:sz w:val="20"/>
          <w:szCs w:val="20"/>
          <w:color w:val="auto"/>
        </w:rPr>
      </w:pPr>
      <w:r>
        <w:rPr>
          <w:rFonts w:ascii="Arial" w:cs="Arial" w:eastAsia="Arial" w:hAnsi="Arial"/>
          <w:sz w:val="26"/>
          <w:szCs w:val="26"/>
          <w:color w:val="auto"/>
        </w:rPr>
        <w:t>''</w:t>
      </w:r>
      <w:r>
        <w:rPr>
          <w:rFonts w:ascii="Arial" w:cs="Arial" w:eastAsia="Arial" w:hAnsi="Arial"/>
          <w:sz w:val="26"/>
          <w:szCs w:val="26"/>
          <w:b w:val="1"/>
          <w:bCs w:val="1"/>
          <w:color w:val="auto"/>
        </w:rPr>
        <w:t>Webelieve the best days of Kaplan are still ahead. How and</w:t>
      </w:r>
      <w:r>
        <w:rPr>
          <w:rFonts w:ascii="Arial" w:cs="Arial" w:eastAsia="Arial" w:hAnsi="Arial"/>
          <w:sz w:val="26"/>
          <w:szCs w:val="26"/>
          <w:color w:val="auto"/>
        </w:rPr>
        <w:t xml:space="preserve"> </w:t>
      </w:r>
      <w:r>
        <w:rPr>
          <w:rFonts w:ascii="Arial" w:cs="Arial" w:eastAsia="Arial" w:hAnsi="Arial"/>
          <w:sz w:val="26"/>
          <w:szCs w:val="26"/>
          <w:b w:val="1"/>
          <w:bCs w:val="1"/>
          <w:color w:val="auto"/>
        </w:rPr>
        <w:t>where people will want to be educated will continue to evolve, just as it always has.''</w:t>
      </w:r>
    </w:p>
    <w:p>
      <w:pPr>
        <w:sectPr>
          <w:pgSz w:w="12240" w:h="15668" w:orient="portrait"/>
          <w:cols w:equalWidth="0" w:num="1">
            <w:col w:w="12060"/>
          </w:cols>
          <w:pgMar w:left="80" w:top="0" w:right="105"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1360" w:right="100" w:firstLine="2"/>
        <w:spacing w:after="0" w:line="333" w:lineRule="auto"/>
        <w:rPr>
          <w:sz w:val="20"/>
          <w:szCs w:val="20"/>
          <w:color w:val="auto"/>
        </w:rPr>
      </w:pPr>
      <w:r>
        <w:rPr>
          <w:rFonts w:ascii="Arial" w:cs="Arial" w:eastAsia="Arial" w:hAnsi="Arial"/>
          <w:sz w:val="20"/>
          <w:szCs w:val="20"/>
          <w:color w:val="auto"/>
        </w:rPr>
        <w:t>After wading through a sea of red ink and after much consultation with Kaplan'seadership, we decided to preserve the corpus of the business. We knew we would incur substantial losses given the ongoing pandemic, but believed we would return to a normal environment and profits would resume. We also thought there was some chance competitors would not survive this downturn, allowing us to exit with an even better business. Closure. our other alternative, would have been expensive due to severance costs and the remaining lease obligations at our teaching facilities.</w:t>
      </w:r>
    </w:p>
    <w:p>
      <w:pPr>
        <w:spacing w:after="0" w:line="334" w:lineRule="exact"/>
        <w:rPr>
          <w:sz w:val="20"/>
          <w:szCs w:val="20"/>
          <w:color w:val="auto"/>
        </w:rPr>
      </w:pPr>
    </w:p>
    <w:p>
      <w:pPr>
        <w:jc w:val="both"/>
        <w:ind w:left="1360" w:right="100" w:firstLine="2"/>
        <w:spacing w:after="0" w:line="335" w:lineRule="auto"/>
        <w:rPr>
          <w:sz w:val="20"/>
          <w:szCs w:val="20"/>
          <w:color w:val="auto"/>
        </w:rPr>
      </w:pPr>
      <w:r>
        <w:rPr>
          <w:rFonts w:ascii="Arial" w:cs="Arial" w:eastAsia="Arial" w:hAnsi="Arial"/>
          <w:sz w:val="20"/>
          <w:szCs w:val="20"/>
          <w:color w:val="auto"/>
        </w:rPr>
        <w:t>While the Languages business is now close to breakeven on a cash flow basis. market conditions have not permitted a return to previous levels of profitability, and the assumptions that led us to stay with the business even amidst its COVID-era losses haven'tbeen realized.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1360" w:firstLine="10"/>
        <w:spacing w:after="0" w:line="333" w:lineRule="auto"/>
        <w:rPr>
          <w:sz w:val="20"/>
          <w:szCs w:val="20"/>
          <w:color w:val="auto"/>
        </w:rPr>
      </w:pPr>
      <w:r>
        <w:rPr>
          <w:rFonts w:ascii="Arial" w:cs="Arial" w:eastAsia="Arial" w:hAnsi="Arial"/>
          <w:sz w:val="20"/>
          <w:szCs w:val="20"/>
          <w:color w:val="auto"/>
        </w:rPr>
        <w:t>This is in no part due to the management of the Languages business. The actions they have taken to get us to this point have been heroic and they are to be commended. Through it all, students have been hugely enthusiastic about their experiences (97% would recommend us), and their language improvement has been in the top tier of the industry. The team's leadership prevented a bad situation from becoming worse. Even with this, operating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right="1340" w:firstLine="9"/>
        <w:spacing w:after="0" w:line="331" w:lineRule="auto"/>
        <w:rPr>
          <w:sz w:val="20"/>
          <w:szCs w:val="20"/>
          <w:color w:val="auto"/>
        </w:rPr>
      </w:pPr>
      <w:r>
        <w:rPr>
          <w:rFonts w:ascii="Arial" w:cs="Arial" w:eastAsia="Arial" w:hAnsi="Arial"/>
          <w:sz w:val="20"/>
          <w:szCs w:val="20"/>
          <w:color w:val="auto"/>
        </w:rPr>
        <w:t>losses since the early days of COVID exceeded closure costs by roughly $25 to $35 m illion. The growth prospects that would be required to have justified the investment level are unlikely to be achieved. but we are still hopeful we can grow earning power from this point.</w:t>
      </w:r>
    </w:p>
    <w:p>
      <w:pPr>
        <w:spacing w:after="0" w:line="338" w:lineRule="exact"/>
        <w:rPr>
          <w:sz w:val="20"/>
          <w:szCs w:val="20"/>
          <w:color w:val="auto"/>
        </w:rPr>
      </w:pPr>
    </w:p>
    <w:p>
      <w:pPr>
        <w:jc w:val="both"/>
        <w:ind w:right="1340" w:firstLine="2"/>
        <w:spacing w:after="0" w:line="335" w:lineRule="auto"/>
        <w:rPr>
          <w:sz w:val="20"/>
          <w:szCs w:val="20"/>
          <w:color w:val="auto"/>
        </w:rPr>
      </w:pPr>
      <w:r>
        <w:rPr>
          <w:rFonts w:ascii="Arial" w:cs="Arial" w:eastAsia="Arial" w:hAnsi="Arial"/>
          <w:sz w:val="20"/>
          <w:szCs w:val="20"/>
          <w:color w:val="auto"/>
        </w:rPr>
        <w:t>We feel good about the rest of the businesses at Kaplan International, although the next few years may be more challenging than recent history. Immigration laws in many countries tend to swing based on local sentiment and who holds political office. We have experienced this pendulum before and it usually swings back.</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right="1340" w:firstLine="1"/>
        <w:spacing w:after="0" w:line="333" w:lineRule="auto"/>
        <w:rPr>
          <w:sz w:val="20"/>
          <w:szCs w:val="20"/>
          <w:color w:val="auto"/>
        </w:rPr>
      </w:pPr>
      <w:r>
        <w:rPr>
          <w:rFonts w:ascii="Arial" w:cs="Arial" w:eastAsia="Arial" w:hAnsi="Arial"/>
          <w:sz w:val="20"/>
          <w:szCs w:val="20"/>
          <w:color w:val="auto"/>
        </w:rPr>
        <w:t>The education industry is an important part of the economies of many developed countries, which also need immigration to help grow their populations, provide workforce. and drive overall economic growth; but. the hard truths of math cannot be ignored for long. Changes in student visa policies are often an easy lever for governments to pull to quickly impact overall immigration numbers. We'veseen this happen in Australia in 2024. The effect of this is often quickly felt and the short-sighted policy changes are amended . We are hopeful that will once again be true this time around.</w:t>
      </w:r>
    </w:p>
    <w:p>
      <w:pPr>
        <w:spacing w:after="0" w:line="324" w:lineRule="exact"/>
        <w:rPr>
          <w:sz w:val="20"/>
          <w:szCs w:val="20"/>
          <w:color w:val="auto"/>
        </w:rPr>
      </w:pPr>
    </w:p>
    <w:p>
      <w:pPr>
        <w:jc w:val="both"/>
        <w:ind w:right="1340" w:firstLine="1"/>
        <w:spacing w:after="0" w:line="322" w:lineRule="auto"/>
        <w:rPr>
          <w:sz w:val="20"/>
          <w:szCs w:val="20"/>
          <w:color w:val="auto"/>
        </w:rPr>
      </w:pPr>
      <w:r>
        <w:rPr>
          <w:rFonts w:ascii="Arial" w:cs="Arial" w:eastAsia="Arial" w:hAnsi="Arial"/>
          <w:sz w:val="20"/>
          <w:szCs w:val="20"/>
          <w:color w:val="auto"/>
        </w:rPr>
        <w:t>We believe the best days of Kaplan are still ahead. How and where people will want to</w:t>
      </w:r>
    </w:p>
    <w:p>
      <w:pPr>
        <w:spacing w:after="0" w:line="208" w:lineRule="exact"/>
        <w:rPr>
          <w:sz w:val="20"/>
          <w:szCs w:val="20"/>
          <w:color w:val="auto"/>
        </w:rPr>
      </w:pPr>
    </w:p>
    <w:p>
      <w:pPr>
        <w:sectPr>
          <w:pgSz w:w="12240" w:h="15668" w:orient="portrait"/>
          <w:cols w:equalWidth="0" w:num="2">
            <w:col w:w="5880" w:space="420"/>
            <w:col w:w="5760"/>
          </w:cols>
          <w:pgMar w:left="80" w:top="0" w:right="10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500" w:hanging="142"/>
        <w:spacing w:after="0"/>
        <w:tabs>
          <w:tab w:leader="none" w:pos="1500" w:val="left"/>
        </w:tabs>
        <w:numPr>
          <w:ilvl w:val="0"/>
          <w:numId w:val="7"/>
        </w:numPr>
        <w:rPr>
          <w:rFonts w:ascii="Times New Roman" w:cs="Times New Roman" w:eastAsia="Times New Roman" w:hAnsi="Times New Roman"/>
          <w:sz w:val="14"/>
          <w:szCs w:val="14"/>
          <w:color w:val="auto"/>
        </w:rPr>
      </w:pPr>
      <w:r>
        <w:rPr>
          <w:rFonts w:ascii="Arial" w:cs="Arial" w:eastAsia="Arial" w:hAnsi="Arial"/>
          <w:sz w:val="18"/>
          <w:szCs w:val="18"/>
          <w:color w:val="auto"/>
        </w:rPr>
        <w:t xml:space="preserve">I </w:t>
      </w:r>
      <w:r>
        <w:rPr>
          <w:rFonts w:ascii="Arial" w:cs="Arial" w:eastAsia="Arial" w:hAnsi="Arial"/>
          <w:sz w:val="14"/>
          <w:szCs w:val="14"/>
          <w:i w:val="1"/>
          <w:iCs w:val="1"/>
          <w:color w:val="auto"/>
        </w:rPr>
        <w:t>GRAHAM HOLDINGS</w:t>
      </w:r>
    </w:p>
    <w:p>
      <w:pPr>
        <w:sectPr>
          <w:pgSz w:w="12240" w:h="15668" w:orient="portrait"/>
          <w:cols w:equalWidth="0" w:num="1">
            <w:col w:w="12060"/>
          </w:cols>
          <w:pgMar w:left="80" w:top="0" w:right="105" w:bottom="0" w:gutter="0" w:footer="0" w:header="0"/>
          <w:type w:val="continuous"/>
        </w:sectPr>
      </w:pPr>
    </w:p>
    <w:bookmarkStart w:id="8" w:name="page9"/>
    <w:bookmarkEnd w:id="8"/>
    <w:tbl>
      <w:tblPr>
        <w:tblLayout w:type="fixed"/>
        <w:tblInd w:w="0" w:type="dxa"/>
        <w:tblCellMar>
          <w:top w:w="0" w:type="dxa"/>
          <w:left w:w="0" w:type="dxa"/>
          <w:bottom w:w="0" w:type="dxa"/>
          <w:right w:w="0" w:type="dxa"/>
        </w:tblCellMar>
      </w:tblPr>
      <w:tr>
        <w:trPr>
          <w:trHeight w:val="119"/>
        </w:trPr>
        <w:tc>
          <w:tcPr>
            <w:tcW w:w="740" w:type="dxa"/>
            <w:vAlign w:val="bottom"/>
          </w:tcPr>
          <w:p>
            <w:pPr>
              <w:ind w:left="140"/>
              <w:spacing w:after="0" w:line="105" w:lineRule="exact"/>
              <w:rPr>
                <w:sz w:val="20"/>
                <w:szCs w:val="20"/>
                <w:color w:val="auto"/>
              </w:rPr>
            </w:pPr>
            <w:r>
              <w:rPr>
                <w:rFonts w:ascii="Arial" w:cs="Arial" w:eastAsia="Arial" w:hAnsi="Arial"/>
                <w:sz w:val="12"/>
                <w:szCs w:val="12"/>
                <w:b w:val="1"/>
                <w:bCs w:val="1"/>
                <w:color w:val="auto"/>
              </w:rPr>
              <w:t>IUU</w:t>
            </w:r>
          </w:p>
        </w:tc>
        <w:tc>
          <w:tcPr>
            <w:tcW w:w="1220" w:type="dxa"/>
            <w:vAlign w:val="bottom"/>
            <w:gridSpan w:val="2"/>
          </w:tcPr>
          <w:p>
            <w:pPr>
              <w:ind w:left="80"/>
              <w:spacing w:after="0" w:line="105" w:lineRule="exact"/>
              <w:rPr>
                <w:sz w:val="20"/>
                <w:szCs w:val="20"/>
                <w:color w:val="auto"/>
              </w:rPr>
            </w:pPr>
            <w:r>
              <w:rPr>
                <w:rFonts w:ascii="Arial" w:cs="Arial" w:eastAsia="Arial" w:hAnsi="Arial"/>
                <w:sz w:val="12"/>
                <w:szCs w:val="12"/>
                <w:b w:val="1"/>
                <w:bCs w:val="1"/>
                <w:color w:val="auto"/>
              </w:rPr>
              <w:t xml:space="preserve">t ,:Ltht l II </w:t>
            </w:r>
            <w:r>
              <w:rPr>
                <w:rFonts w:ascii="Arial" w:cs="Arial" w:eastAsia="Arial" w:hAnsi="Arial"/>
                <w:sz w:val="11"/>
                <w:szCs w:val="11"/>
                <w:b w:val="1"/>
                <w:bCs w:val="1"/>
                <w:color w:val="auto"/>
              </w:rPr>
              <w:t>t</w:t>
            </w:r>
          </w:p>
        </w:tc>
        <w:tc>
          <w:tcPr>
            <w:tcW w:w="840" w:type="dxa"/>
            <w:vAlign w:val="bottom"/>
          </w:tcPr>
          <w:p>
            <w:pPr>
              <w:jc w:val="right"/>
              <w:spacing w:after="0" w:line="105" w:lineRule="exact"/>
              <w:rPr>
                <w:sz w:val="20"/>
                <w:szCs w:val="20"/>
                <w:color w:val="auto"/>
              </w:rPr>
            </w:pPr>
            <w:r>
              <w:rPr>
                <w:rFonts w:ascii="Arial" w:cs="Arial" w:eastAsia="Arial" w:hAnsi="Arial"/>
                <w:sz w:val="9"/>
                <w:szCs w:val="9"/>
                <w:b w:val="1"/>
                <w:bCs w:val="1"/>
                <w:color w:val="auto"/>
              </w:rPr>
              <w:t xml:space="preserve">Ill t </w:t>
            </w:r>
            <w:r>
              <w:rPr>
                <w:rFonts w:ascii="Arial" w:cs="Arial" w:eastAsia="Arial" w:hAnsi="Arial"/>
                <w:sz w:val="12"/>
                <w:szCs w:val="12"/>
                <w:color w:val="auto"/>
              </w:rPr>
              <w:t>~!</w:t>
            </w:r>
            <w:r>
              <w:rPr>
                <w:rFonts w:ascii="Arial" w:cs="Arial" w:eastAsia="Arial" w:hAnsi="Arial"/>
                <w:sz w:val="9"/>
                <w:szCs w:val="9"/>
                <w:b w:val="1"/>
                <w:bCs w:val="1"/>
                <w:color w:val="auto"/>
              </w:rPr>
              <w:t xml:space="preserve"> til: </w:t>
            </w:r>
            <w:r>
              <w:rPr>
                <w:rFonts w:ascii="Times New Roman" w:cs="Times New Roman" w:eastAsia="Times New Roman" w:hAnsi="Times New Roman"/>
                <w:sz w:val="9"/>
                <w:szCs w:val="9"/>
                <w:b w:val="1"/>
                <w:bCs w:val="1"/>
                <w:color w:val="auto"/>
              </w:rPr>
              <w:t>t</w:t>
            </w:r>
          </w:p>
        </w:tc>
        <w:tc>
          <w:tcPr>
            <w:tcW w:w="1780" w:type="dxa"/>
            <w:vAlign w:val="bottom"/>
          </w:tcPr>
          <w:p>
            <w:pPr>
              <w:jc w:val="right"/>
              <w:spacing w:after="0" w:line="105" w:lineRule="exact"/>
              <w:rPr>
                <w:sz w:val="20"/>
                <w:szCs w:val="20"/>
                <w:color w:val="auto"/>
              </w:rPr>
            </w:pPr>
            <w:r>
              <w:rPr>
                <w:rFonts w:ascii="Arial" w:cs="Arial" w:eastAsia="Arial" w:hAnsi="Arial"/>
                <w:sz w:val="11"/>
                <w:szCs w:val="11"/>
                <w:b w:val="1"/>
                <w:bCs w:val="1"/>
                <w:color w:val="auto"/>
              </w:rPr>
              <w:t xml:space="preserve">lltl </w:t>
            </w:r>
            <w:r>
              <w:rPr>
                <w:rFonts w:ascii="Times New Roman" w:cs="Times New Roman" w:eastAsia="Times New Roman" w:hAnsi="Times New Roman"/>
                <w:sz w:val="11"/>
                <w:szCs w:val="11"/>
                <w:b w:val="1"/>
                <w:bCs w:val="1"/>
                <w:color w:val="auto"/>
              </w:rPr>
              <w:t>t</w:t>
            </w:r>
            <w:r>
              <w:rPr>
                <w:rFonts w:ascii="Arial" w:cs="Arial" w:eastAsia="Arial" w:hAnsi="Arial"/>
                <w:sz w:val="11"/>
                <w:szCs w:val="11"/>
                <w:b w:val="1"/>
                <w:bCs w:val="1"/>
                <w:color w:val="auto"/>
              </w:rPr>
              <w:t xml:space="preserve">  </w:t>
            </w:r>
            <w:r>
              <w:rPr>
                <w:rFonts w:ascii="Arial" w:cs="Arial" w:eastAsia="Arial" w:hAnsi="Arial"/>
                <w:sz w:val="10"/>
                <w:szCs w:val="10"/>
                <w:b w:val="1"/>
                <w:bCs w:val="1"/>
                <w:color w:val="auto"/>
              </w:rPr>
              <w:t>t</w:t>
            </w:r>
            <w:r>
              <w:rPr>
                <w:rFonts w:ascii="Arial" w:cs="Arial" w:eastAsia="Arial" w:hAnsi="Arial"/>
                <w:sz w:val="11"/>
                <w:szCs w:val="11"/>
                <w:b w:val="1"/>
                <w:bCs w:val="1"/>
                <w:color w:val="auto"/>
              </w:rPr>
              <w:t xml:space="preserve">  </w:t>
            </w:r>
            <w:r>
              <w:rPr>
                <w:rFonts w:ascii="Times New Roman" w:cs="Times New Roman" w:eastAsia="Times New Roman" w:hAnsi="Times New Roman"/>
                <w:sz w:val="11"/>
                <w:szCs w:val="11"/>
                <w:color w:val="auto"/>
              </w:rPr>
              <w:t>It</w:t>
            </w:r>
            <w:r>
              <w:rPr>
                <w:rFonts w:ascii="Arial" w:cs="Arial" w:eastAsia="Arial" w:hAnsi="Arial"/>
                <w:sz w:val="11"/>
                <w:szCs w:val="11"/>
                <w:b w:val="1"/>
                <w:bCs w:val="1"/>
                <w:color w:val="auto"/>
              </w:rPr>
              <w:t xml:space="preserve"> </w:t>
            </w:r>
            <w:r>
              <w:rPr>
                <w:rFonts w:ascii="Arial" w:cs="Arial" w:eastAsia="Arial" w:hAnsi="Arial"/>
                <w:sz w:val="11"/>
                <w:szCs w:val="11"/>
                <w:color w:val="auto"/>
              </w:rPr>
              <w:t>I  I  I  I  I</w:t>
            </w:r>
            <w:r>
              <w:rPr>
                <w:rFonts w:ascii="Arial" w:cs="Arial" w:eastAsia="Arial" w:hAnsi="Arial"/>
                <w:sz w:val="11"/>
                <w:szCs w:val="11"/>
                <w:b w:val="1"/>
                <w:bCs w:val="1"/>
                <w:color w:val="auto"/>
              </w:rPr>
              <w:t xml:space="preserve">  </w:t>
            </w:r>
            <w:r>
              <w:rPr>
                <w:rFonts w:ascii="Times New Roman" w:cs="Times New Roman" w:eastAsia="Times New Roman" w:hAnsi="Times New Roman"/>
                <w:sz w:val="12"/>
                <w:szCs w:val="12"/>
                <w:b w:val="1"/>
                <w:bCs w:val="1"/>
                <w:color w:val="auto"/>
              </w:rPr>
              <w:t>t</w:t>
            </w:r>
          </w:p>
        </w:tc>
        <w:tc>
          <w:tcPr>
            <w:tcW w:w="820" w:type="dxa"/>
            <w:vAlign w:val="bottom"/>
          </w:tcPr>
          <w:p>
            <w:pPr>
              <w:jc w:val="right"/>
              <w:ind w:right="425"/>
              <w:spacing w:after="0" w:line="105" w:lineRule="exact"/>
              <w:rPr>
                <w:sz w:val="20"/>
                <w:szCs w:val="20"/>
                <w:color w:val="auto"/>
              </w:rPr>
            </w:pPr>
            <w:r>
              <w:rPr>
                <w:rFonts w:ascii="Times New Roman" w:cs="Times New Roman" w:eastAsia="Times New Roman" w:hAnsi="Times New Roman"/>
                <w:sz w:val="12"/>
                <w:szCs w:val="12"/>
                <w:color w:val="auto"/>
              </w:rPr>
              <w:t>'</w:t>
            </w:r>
          </w:p>
        </w:tc>
        <w:tc>
          <w:tcPr>
            <w:tcW w:w="1920" w:type="dxa"/>
            <w:vAlign w:val="bottom"/>
          </w:tcPr>
          <w:p>
            <w:pPr>
              <w:spacing w:after="0"/>
              <w:rPr>
                <w:sz w:val="10"/>
                <w:szCs w:val="10"/>
                <w:color w:val="auto"/>
              </w:rPr>
            </w:pPr>
          </w:p>
        </w:tc>
        <w:tc>
          <w:tcPr>
            <w:tcW w:w="3080" w:type="dxa"/>
            <w:vAlign w:val="bottom"/>
          </w:tcPr>
          <w:p>
            <w:pPr>
              <w:jc w:val="right"/>
              <w:ind w:right="2134"/>
              <w:spacing w:after="0"/>
              <w:rPr>
                <w:sz w:val="20"/>
                <w:szCs w:val="20"/>
                <w:color w:val="auto"/>
              </w:rPr>
            </w:pPr>
            <w:r>
              <w:rPr>
                <w:rFonts w:ascii="Arial" w:cs="Arial" w:eastAsia="Arial" w:hAnsi="Arial"/>
                <w:sz w:val="7"/>
                <w:szCs w:val="7"/>
                <w:color w:val="auto"/>
              </w:rPr>
              <w:t>1</w:t>
            </w:r>
          </w:p>
        </w:tc>
        <w:tc>
          <w:tcPr>
            <w:tcW w:w="780" w:type="dxa"/>
            <w:vAlign w:val="bottom"/>
          </w:tcPr>
          <w:p>
            <w:pPr>
              <w:ind w:left="280"/>
              <w:spacing w:after="0"/>
              <w:rPr>
                <w:sz w:val="20"/>
                <w:szCs w:val="20"/>
                <w:color w:val="auto"/>
              </w:rPr>
            </w:pPr>
            <w:r>
              <w:rPr>
                <w:rFonts w:ascii="Arial" w:cs="Arial" w:eastAsia="Arial" w:hAnsi="Arial"/>
                <w:sz w:val="7"/>
                <w:szCs w:val="7"/>
                <w:color w:val="auto"/>
              </w:rPr>
              <w:t>•·  •</w:t>
            </w:r>
          </w:p>
        </w:tc>
        <w:tc>
          <w:tcPr>
            <w:tcW w:w="280" w:type="dxa"/>
            <w:vAlign w:val="bottom"/>
          </w:tcPr>
          <w:p>
            <w:pPr>
              <w:ind w:left="100"/>
              <w:spacing w:after="0"/>
              <w:rPr>
                <w:sz w:val="20"/>
                <w:szCs w:val="20"/>
                <w:color w:val="auto"/>
              </w:rPr>
            </w:pPr>
            <w:r>
              <w:rPr>
                <w:rFonts w:ascii="Arial" w:cs="Arial" w:eastAsia="Arial" w:hAnsi="Arial"/>
                <w:sz w:val="7"/>
                <w:szCs w:val="7"/>
                <w:color w:val="auto"/>
              </w:rPr>
              <w:t>•</w:t>
            </w:r>
          </w:p>
        </w:tc>
        <w:tc>
          <w:tcPr>
            <w:tcW w:w="420" w:type="dxa"/>
            <w:vAlign w:val="bottom"/>
          </w:tcPr>
          <w:p>
            <w:pPr>
              <w:ind w:left="140"/>
              <w:spacing w:after="0"/>
              <w:rPr>
                <w:sz w:val="20"/>
                <w:szCs w:val="20"/>
                <w:color w:val="auto"/>
              </w:rPr>
            </w:pPr>
            <w:r>
              <w:rPr>
                <w:rFonts w:ascii="Arial" w:cs="Arial" w:eastAsia="Arial" w:hAnsi="Arial"/>
                <w:sz w:val="7"/>
                <w:szCs w:val="7"/>
                <w:color w:val="auto"/>
              </w:rPr>
              <w:t>•</w:t>
            </w:r>
          </w:p>
        </w:tc>
        <w:tc>
          <w:tcPr>
            <w:tcW w:w="300" w:type="dxa"/>
            <w:vAlign w:val="bottom"/>
          </w:tcPr>
          <w:p>
            <w:pPr>
              <w:ind w:left="60"/>
              <w:spacing w:after="0"/>
              <w:rPr>
                <w:sz w:val="20"/>
                <w:szCs w:val="20"/>
                <w:color w:val="auto"/>
              </w:rPr>
            </w:pPr>
            <w:r>
              <w:rPr>
                <w:rFonts w:ascii="Arial" w:cs="Arial" w:eastAsia="Arial" w:hAnsi="Arial"/>
                <w:sz w:val="7"/>
                <w:szCs w:val="7"/>
                <w:color w:val="auto"/>
              </w:rPr>
              <w:t>•</w:t>
            </w:r>
          </w:p>
        </w:tc>
        <w:tc>
          <w:tcPr>
            <w:tcW w:w="0" w:type="dxa"/>
            <w:vAlign w:val="bottom"/>
          </w:tcPr>
          <w:p>
            <w:pPr>
              <w:spacing w:after="0"/>
              <w:rPr>
                <w:sz w:val="1"/>
                <w:szCs w:val="1"/>
                <w:color w:val="auto"/>
              </w:rPr>
            </w:pPr>
          </w:p>
        </w:tc>
      </w:tr>
      <w:tr>
        <w:trPr>
          <w:trHeight w:val="263"/>
        </w:trPr>
        <w:tc>
          <w:tcPr>
            <w:tcW w:w="7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 xml:space="preserve">t  </w:t>
            </w:r>
            <w:r>
              <w:rPr>
                <w:rFonts w:ascii="Times New Roman" w:cs="Times New Roman" w:eastAsia="Times New Roman" w:hAnsi="Times New Roman"/>
                <w:sz w:val="14"/>
                <w:szCs w:val="14"/>
                <w:b w:val="1"/>
                <w:bCs w:val="1"/>
                <w:color w:val="auto"/>
              </w:rPr>
              <w:t>ft_</w:t>
            </w:r>
          </w:p>
        </w:tc>
        <w:tc>
          <w:tcPr>
            <w:tcW w:w="1220" w:type="dxa"/>
            <w:vAlign w:val="bottom"/>
            <w:gridSpan w:val="2"/>
          </w:tcPr>
          <w:p>
            <w:pPr>
              <w:ind w:left="120"/>
              <w:spacing w:after="0"/>
              <w:rPr>
                <w:sz w:val="20"/>
                <w:szCs w:val="20"/>
                <w:color w:val="auto"/>
              </w:rPr>
            </w:pPr>
            <w:r>
              <w:rPr>
                <w:rFonts w:ascii="Arial" w:cs="Arial" w:eastAsia="Arial" w:hAnsi="Arial"/>
                <w:sz w:val="14"/>
                <w:szCs w:val="14"/>
                <w:b w:val="1"/>
                <w:bCs w:val="1"/>
                <w:color w:val="auto"/>
              </w:rPr>
              <w:t xml:space="preserve">ItUlt </w:t>
            </w:r>
            <w:r>
              <w:rPr>
                <w:rFonts w:ascii="Times New Roman" w:cs="Times New Roman" w:eastAsia="Times New Roman" w:hAnsi="Times New Roman"/>
                <w:sz w:val="14"/>
                <w:szCs w:val="14"/>
                <w:b w:val="1"/>
                <w:bCs w:val="1"/>
                <w:color w:val="auto"/>
              </w:rPr>
              <w:t>tt</w:t>
            </w:r>
            <w:r>
              <w:rPr>
                <w:rFonts w:ascii="Arial" w:cs="Arial" w:eastAsia="Arial" w:hAnsi="Arial"/>
                <w:sz w:val="14"/>
                <w:szCs w:val="14"/>
                <w:b w:val="1"/>
                <w:bCs w:val="1"/>
                <w:color w:val="auto"/>
              </w:rPr>
              <w:t xml:space="preserve"> I </w:t>
            </w:r>
            <w:r>
              <w:rPr>
                <w:rFonts w:ascii="Arial" w:cs="Arial" w:eastAsia="Arial" w:hAnsi="Arial"/>
                <w:sz w:val="13"/>
                <w:szCs w:val="13"/>
                <w:b w:val="1"/>
                <w:bCs w:val="1"/>
                <w:color w:val="auto"/>
              </w:rPr>
              <w:t>t</w:t>
            </w:r>
            <w:r>
              <w:rPr>
                <w:rFonts w:ascii="Arial" w:cs="Arial" w:eastAsia="Arial" w:hAnsi="Arial"/>
                <w:sz w:val="14"/>
                <w:szCs w:val="14"/>
                <w:b w:val="1"/>
                <w:bCs w:val="1"/>
                <w:color w:val="auto"/>
              </w:rPr>
              <w:t xml:space="preserve"> U</w:t>
            </w:r>
          </w:p>
        </w:tc>
        <w:tc>
          <w:tcPr>
            <w:tcW w:w="840" w:type="dxa"/>
            <w:vAlign w:val="bottom"/>
          </w:tcPr>
          <w:p>
            <w:pPr>
              <w:jc w:val="right"/>
              <w:spacing w:after="0" w:line="262" w:lineRule="exact"/>
              <w:rPr>
                <w:sz w:val="20"/>
                <w:szCs w:val="20"/>
                <w:color w:val="auto"/>
              </w:rPr>
            </w:pPr>
            <w:r>
              <w:rPr>
                <w:rFonts w:ascii="Times New Roman" w:cs="Times New Roman" w:eastAsia="Times New Roman" w:hAnsi="Times New Roman"/>
                <w:sz w:val="27"/>
                <w:szCs w:val="27"/>
                <w:color w:val="auto"/>
              </w:rPr>
              <w:t>-= -- -</w:t>
            </w:r>
          </w:p>
        </w:tc>
        <w:tc>
          <w:tcPr>
            <w:tcW w:w="1780" w:type="dxa"/>
            <w:vAlign w:val="bottom"/>
          </w:tcPr>
          <w:p>
            <w:pPr>
              <w:jc w:val="right"/>
              <w:ind w:right="1166"/>
              <w:spacing w:after="0" w:line="262" w:lineRule="exact"/>
              <w:rPr>
                <w:sz w:val="20"/>
                <w:szCs w:val="20"/>
                <w:color w:val="auto"/>
              </w:rPr>
            </w:pPr>
            <w:r>
              <w:rPr>
                <w:rFonts w:ascii="Times New Roman" w:cs="Times New Roman" w:eastAsia="Times New Roman" w:hAnsi="Times New Roman"/>
                <w:sz w:val="27"/>
                <w:szCs w:val="27"/>
                <w:color w:val="auto"/>
              </w:rPr>
              <w:t>-</w:t>
            </w:r>
          </w:p>
        </w:tc>
        <w:tc>
          <w:tcPr>
            <w:tcW w:w="820" w:type="dxa"/>
            <w:vAlign w:val="bottom"/>
          </w:tcPr>
          <w:p>
            <w:pPr>
              <w:ind w:left="40"/>
              <w:spacing w:after="0"/>
              <w:rPr>
                <w:sz w:val="20"/>
                <w:szCs w:val="20"/>
                <w:color w:val="auto"/>
              </w:rPr>
            </w:pPr>
            <w:r>
              <w:rPr>
                <w:rFonts w:ascii="Arial" w:cs="Arial" w:eastAsia="Arial" w:hAnsi="Arial"/>
                <w:sz w:val="15"/>
                <w:szCs w:val="15"/>
                <w:color w:val="auto"/>
              </w:rPr>
              <w:t xml:space="preserve">I  I  I  </w:t>
            </w:r>
            <w:r>
              <w:rPr>
                <w:rFonts w:ascii="Arial" w:cs="Arial" w:eastAsia="Arial" w:hAnsi="Arial"/>
                <w:sz w:val="15"/>
                <w:szCs w:val="15"/>
                <w:b w:val="1"/>
                <w:bCs w:val="1"/>
                <w:color w:val="auto"/>
              </w:rPr>
              <w:t>I  I</w:t>
            </w:r>
          </w:p>
        </w:tc>
        <w:tc>
          <w:tcPr>
            <w:tcW w:w="1920" w:type="dxa"/>
            <w:vAlign w:val="bottom"/>
          </w:tcPr>
          <w:p>
            <w:pPr>
              <w:ind w:left="80"/>
              <w:spacing w:after="0" w:line="263" w:lineRule="exact"/>
              <w:rPr>
                <w:sz w:val="20"/>
                <w:szCs w:val="20"/>
                <w:color w:val="auto"/>
              </w:rPr>
            </w:pPr>
            <w:r>
              <w:rPr>
                <w:rFonts w:ascii="Arial" w:cs="Arial" w:eastAsia="Arial" w:hAnsi="Arial"/>
                <w:sz w:val="15"/>
                <w:szCs w:val="15"/>
                <w:b w:val="1"/>
                <w:bCs w:val="1"/>
                <w:color w:val="auto"/>
              </w:rPr>
              <w:t xml:space="preserve">I  </w:t>
            </w:r>
            <w:r>
              <w:rPr>
                <w:rFonts w:ascii="Arial" w:cs="Arial" w:eastAsia="Arial" w:hAnsi="Arial"/>
                <w:sz w:val="18"/>
                <w:szCs w:val="18"/>
                <w:b w:val="1"/>
                <w:bCs w:val="1"/>
                <w:color w:val="auto"/>
              </w:rPr>
              <w:t>I  I</w:t>
            </w:r>
            <w:r>
              <w:rPr>
                <w:rFonts w:ascii="Arial" w:cs="Arial" w:eastAsia="Arial" w:hAnsi="Arial"/>
                <w:sz w:val="15"/>
                <w:szCs w:val="15"/>
                <w:b w:val="1"/>
                <w:bCs w:val="1"/>
                <w:color w:val="auto"/>
              </w:rPr>
              <w:t xml:space="preserve">  </w:t>
            </w:r>
            <w:r>
              <w:rPr>
                <w:rFonts w:ascii="Arial" w:cs="Arial" w:eastAsia="Arial" w:hAnsi="Arial"/>
                <w:sz w:val="17"/>
                <w:szCs w:val="17"/>
                <w:b w:val="1"/>
                <w:bCs w:val="1"/>
                <w:color w:val="auto"/>
              </w:rPr>
              <w:t>f</w:t>
            </w:r>
            <w:r>
              <w:rPr>
                <w:rFonts w:ascii="Arial" w:cs="Arial" w:eastAsia="Arial" w:hAnsi="Arial"/>
                <w:sz w:val="15"/>
                <w:szCs w:val="15"/>
                <w:b w:val="1"/>
                <w:bCs w:val="1"/>
                <w:color w:val="auto"/>
              </w:rPr>
              <w:t xml:space="preserve">  </w:t>
            </w:r>
            <w:r>
              <w:rPr>
                <w:rFonts w:ascii="Arial" w:cs="Arial" w:eastAsia="Arial" w:hAnsi="Arial"/>
                <w:sz w:val="18"/>
                <w:szCs w:val="18"/>
                <w:b w:val="1"/>
                <w:bCs w:val="1"/>
                <w:color w:val="auto"/>
              </w:rPr>
              <w:t>I  I  I</w:t>
            </w:r>
            <w:r>
              <w:rPr>
                <w:rFonts w:ascii="Arial" w:cs="Arial" w:eastAsia="Arial" w:hAnsi="Arial"/>
                <w:sz w:val="15"/>
                <w:szCs w:val="15"/>
                <w:b w:val="1"/>
                <w:bCs w:val="1"/>
                <w:color w:val="auto"/>
              </w:rPr>
              <w:t xml:space="preserve">  </w:t>
            </w:r>
            <w:r>
              <w:rPr>
                <w:rFonts w:ascii="Times New Roman" w:cs="Times New Roman" w:eastAsia="Times New Roman" w:hAnsi="Times New Roman"/>
                <w:sz w:val="23"/>
                <w:szCs w:val="23"/>
                <w:b w:val="1"/>
                <w:bCs w:val="1"/>
                <w:color w:val="auto"/>
              </w:rPr>
              <w:t>e</w:t>
            </w:r>
            <w:r>
              <w:rPr>
                <w:rFonts w:ascii="Arial" w:cs="Arial" w:eastAsia="Arial" w:hAnsi="Arial"/>
                <w:sz w:val="15"/>
                <w:szCs w:val="15"/>
                <w:b w:val="1"/>
                <w:bCs w:val="1"/>
                <w:color w:val="auto"/>
              </w:rPr>
              <w:t xml:space="preserve"> </w:t>
            </w:r>
            <w:r>
              <w:rPr>
                <w:rFonts w:ascii="Times New Roman" w:cs="Times New Roman" w:eastAsia="Times New Roman" w:hAnsi="Times New Roman"/>
                <w:sz w:val="23"/>
                <w:szCs w:val="23"/>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I</w:t>
            </w:r>
          </w:p>
        </w:tc>
        <w:tc>
          <w:tcPr>
            <w:tcW w:w="3080" w:type="dxa"/>
            <w:vAlign w:val="bottom"/>
          </w:tcPr>
          <w:p>
            <w:pPr>
              <w:jc w:val="right"/>
              <w:ind w:right="2894"/>
              <w:spacing w:after="0"/>
              <w:rPr>
                <w:sz w:val="20"/>
                <w:szCs w:val="20"/>
                <w:color w:val="auto"/>
              </w:rPr>
            </w:pPr>
            <w:r>
              <w:rPr>
                <w:rFonts w:ascii="Arial" w:cs="Arial" w:eastAsia="Arial" w:hAnsi="Arial"/>
                <w:sz w:val="15"/>
                <w:szCs w:val="15"/>
                <w:color w:val="auto"/>
              </w:rPr>
              <w:t>•</w:t>
            </w: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vMerge w:val="restart"/>
          </w:tcPr>
          <w:p>
            <w:pPr>
              <w:ind w:left="140"/>
              <w:spacing w:after="0"/>
              <w:rPr>
                <w:sz w:val="20"/>
                <w:szCs w:val="20"/>
                <w:color w:val="auto"/>
              </w:rPr>
            </w:pPr>
            <w:r>
              <w:rPr>
                <w:rFonts w:ascii="Arial" w:cs="Arial" w:eastAsia="Arial" w:hAnsi="Arial"/>
                <w:sz w:val="21"/>
                <w:szCs w:val="21"/>
                <w:b w:val="1"/>
                <w:bCs w:val="1"/>
                <w:color w:val="auto"/>
              </w:rPr>
              <w:t>Iii,</w:t>
            </w:r>
          </w:p>
        </w:tc>
        <w:tc>
          <w:tcPr>
            <w:tcW w:w="300" w:type="dxa"/>
            <w:vAlign w:val="bottom"/>
            <w:vMerge w:val="restart"/>
          </w:tcPr>
          <w:p>
            <w:pPr>
              <w:ind w:left="60"/>
              <w:spacing w:after="0"/>
              <w:rPr>
                <w:sz w:val="20"/>
                <w:szCs w:val="20"/>
                <w:color w:val="auto"/>
              </w:rPr>
            </w:pPr>
            <w:r>
              <w:rPr>
                <w:rFonts w:ascii="Arial" w:cs="Arial" w:eastAsia="Arial" w:hAnsi="Arial"/>
                <w:sz w:val="23"/>
                <w:szCs w:val="23"/>
                <w:b w:val="1"/>
                <w:bCs w:val="1"/>
                <w:color w:val="auto"/>
                <w:w w:val="85"/>
              </w:rPr>
              <w:t>a ,</w:t>
            </w:r>
          </w:p>
        </w:tc>
        <w:tc>
          <w:tcPr>
            <w:tcW w:w="0" w:type="dxa"/>
            <w:vAlign w:val="bottom"/>
          </w:tcPr>
          <w:p>
            <w:pPr>
              <w:spacing w:after="0"/>
              <w:rPr>
                <w:sz w:val="1"/>
                <w:szCs w:val="1"/>
                <w:color w:val="auto"/>
              </w:rPr>
            </w:pPr>
          </w:p>
        </w:tc>
      </w:tr>
      <w:tr>
        <w:trPr>
          <w:trHeight w:val="285"/>
        </w:trPr>
        <w:tc>
          <w:tcPr>
            <w:tcW w:w="15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 xml:space="preserve">• ttlll ttttt </w:t>
            </w:r>
            <w:r>
              <w:rPr>
                <w:rFonts w:ascii="Arial" w:cs="Arial" w:eastAsia="Arial" w:hAnsi="Arial"/>
                <w:sz w:val="14"/>
                <w:szCs w:val="14"/>
                <w:b w:val="1"/>
                <w:bCs w:val="1"/>
                <w:color w:val="auto"/>
              </w:rPr>
              <w:t>l ftf</w:t>
            </w:r>
          </w:p>
        </w:tc>
        <w:tc>
          <w:tcPr>
            <w:tcW w:w="3080" w:type="dxa"/>
            <w:vAlign w:val="bottom"/>
            <w:gridSpan w:val="3"/>
          </w:tcPr>
          <w:p>
            <w:pPr>
              <w:jc w:val="right"/>
              <w:spacing w:after="0"/>
              <w:rPr>
                <w:sz w:val="20"/>
                <w:szCs w:val="20"/>
                <w:color w:val="auto"/>
              </w:rPr>
            </w:pPr>
            <w:r>
              <w:rPr>
                <w:rFonts w:ascii="Arial" w:cs="Arial" w:eastAsia="Arial" w:hAnsi="Arial"/>
                <w:sz w:val="14"/>
                <w:szCs w:val="14"/>
                <w:b w:val="1"/>
                <w:bCs w:val="1"/>
                <w:color w:val="auto"/>
              </w:rPr>
              <w:t xml:space="preserve">__ </w:t>
            </w:r>
            <w:r>
              <w:rPr>
                <w:rFonts w:ascii="Times New Roman" w:cs="Times New Roman" w:eastAsia="Times New Roman" w:hAnsi="Times New Roman"/>
                <w:sz w:val="24"/>
                <w:szCs w:val="24"/>
                <w:b w:val="1"/>
                <w:bCs w:val="1"/>
                <w:color w:val="auto"/>
              </w:rPr>
              <w:t>_;!_ft.</w:t>
            </w:r>
            <w:r>
              <w:rPr>
                <w:rFonts w:ascii="Arial" w:cs="Arial" w:eastAsia="Arial" w:hAnsi="Arial"/>
                <w:sz w:val="14"/>
                <w:szCs w:val="14"/>
                <w:b w:val="1"/>
                <w:bCs w:val="1"/>
                <w:color w:val="auto"/>
              </w:rPr>
              <w:t xml:space="preserve"> </w:t>
            </w:r>
            <w:r>
              <w:rPr>
                <w:rFonts w:ascii="Arial" w:cs="Arial" w:eastAsia="Arial" w:hAnsi="Arial"/>
                <w:sz w:val="22"/>
                <w:szCs w:val="22"/>
                <w:color w:val="auto"/>
              </w:rPr>
              <w:t>tit~~lt, t.ti~tlt-</w:t>
            </w:r>
            <w:r>
              <w:rPr>
                <w:rFonts w:ascii="Arial" w:cs="Arial" w:eastAsia="Arial" w:hAnsi="Arial"/>
                <w:sz w:val="14"/>
                <w:szCs w:val="14"/>
                <w:color w:val="auto"/>
              </w:rPr>
              <w:t>1 1 1</w:t>
            </w:r>
            <w:r>
              <w:rPr>
                <w:rFonts w:ascii="Arial" w:cs="Arial" w:eastAsia="Arial" w:hAnsi="Arial"/>
                <w:sz w:val="14"/>
                <w:szCs w:val="14"/>
                <w:b w:val="1"/>
                <w:bCs w:val="1"/>
                <w:color w:val="auto"/>
              </w:rPr>
              <w:t xml:space="preserve"> </w:t>
            </w:r>
            <w:r>
              <w:rPr>
                <w:rFonts w:ascii="Times New Roman" w:cs="Times New Roman" w:eastAsia="Times New Roman" w:hAnsi="Times New Roman"/>
                <w:sz w:val="16"/>
                <w:szCs w:val="16"/>
                <w:b w:val="1"/>
                <w:bCs w:val="1"/>
                <w:color w:val="auto"/>
              </w:rPr>
              <w:t>I'</w:t>
            </w:r>
            <w:r>
              <w:rPr>
                <w:rFonts w:ascii="Arial" w:cs="Arial" w:eastAsia="Arial" w:hAnsi="Arial"/>
                <w:sz w:val="14"/>
                <w:szCs w:val="14"/>
                <w:b w:val="1"/>
                <w:bCs w:val="1"/>
                <w:color w:val="auto"/>
              </w:rPr>
              <w:t xml:space="preserve"> </w:t>
            </w:r>
            <w:r>
              <w:rPr>
                <w:rFonts w:ascii="Arial" w:cs="Arial" w:eastAsia="Arial" w:hAnsi="Arial"/>
                <w:sz w:val="17"/>
                <w:szCs w:val="17"/>
                <w:b w:val="1"/>
                <w:bCs w:val="1"/>
                <w:color w:val="auto"/>
              </w:rPr>
              <w:t>It</w:t>
            </w:r>
            <w:r>
              <w:rPr>
                <w:rFonts w:ascii="Arial" w:cs="Arial" w:eastAsia="Arial" w:hAnsi="Arial"/>
                <w:sz w:val="14"/>
                <w:szCs w:val="14"/>
                <w:b w:val="1"/>
                <w:bCs w:val="1"/>
                <w:color w:val="auto"/>
              </w:rPr>
              <w:t xml:space="preserve"> </w:t>
            </w:r>
            <w:r>
              <w:rPr>
                <w:rFonts w:ascii="Times New Roman" w:cs="Times New Roman" w:eastAsia="Times New Roman" w:hAnsi="Times New Roman"/>
                <w:sz w:val="16"/>
                <w:szCs w:val="16"/>
                <w:b w:val="1"/>
                <w:bCs w:val="1"/>
                <w:color w:val="auto"/>
              </w:rPr>
              <w:t>I</w:t>
            </w:r>
          </w:p>
        </w:tc>
        <w:tc>
          <w:tcPr>
            <w:tcW w:w="82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 xml:space="preserve">I  It, </w:t>
            </w:r>
            <w:r>
              <w:rPr>
                <w:rFonts w:ascii="Times New Roman" w:cs="Times New Roman" w:eastAsia="Times New Roman" w:hAnsi="Times New Roman"/>
                <w:sz w:val="18"/>
                <w:szCs w:val="18"/>
                <w:color w:val="auto"/>
              </w:rPr>
              <w:t>•</w:t>
            </w:r>
          </w:p>
        </w:tc>
        <w:tc>
          <w:tcPr>
            <w:tcW w:w="1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3080" w:type="dxa"/>
            <w:vAlign w:val="bottom"/>
          </w:tcPr>
          <w:p>
            <w:pPr>
              <w:jc w:val="right"/>
              <w:ind w:right="214"/>
              <w:spacing w:after="0"/>
              <w:rPr>
                <w:sz w:val="20"/>
                <w:szCs w:val="20"/>
                <w:color w:val="auto"/>
              </w:rPr>
            </w:pPr>
            <w:r>
              <w:rPr>
                <w:rFonts w:ascii="Times New Roman" w:cs="Times New Roman" w:eastAsia="Times New Roman" w:hAnsi="Times New Roman"/>
                <w:sz w:val="18"/>
                <w:szCs w:val="18"/>
                <w:color w:val="auto"/>
              </w:rPr>
              <w:t xml:space="preserve">'' </w:t>
            </w:r>
            <w:r>
              <w:rPr>
                <w:rFonts w:ascii="Arial" w:cs="Arial" w:eastAsia="Arial" w:hAnsi="Arial"/>
                <w:sz w:val="20"/>
                <w:szCs w:val="20"/>
                <w:color w:val="auto"/>
              </w:rPr>
              <w:t>I</w:t>
            </w:r>
            <w:r>
              <w:rPr>
                <w:rFonts w:ascii="Times New Roman" w:cs="Times New Roman" w:eastAsia="Times New Roman" w:hAnsi="Times New Roman"/>
                <w:sz w:val="18"/>
                <w:szCs w:val="18"/>
                <w:color w:val="auto"/>
              </w:rPr>
              <w:t xml:space="preserve">  </w:t>
            </w:r>
            <w:r>
              <w:rPr>
                <w:rFonts w:ascii="Arial" w:cs="Arial" w:eastAsia="Arial" w:hAnsi="Arial"/>
                <w:sz w:val="23"/>
                <w:szCs w:val="23"/>
                <w:b w:val="1"/>
                <w:bCs w:val="1"/>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b w:val="1"/>
                <w:bCs w:val="1"/>
                <w:color w:val="auto"/>
              </w:rPr>
              <w:t>II</w:t>
            </w:r>
            <w:r>
              <w:rPr>
                <w:rFonts w:ascii="Times New Roman" w:cs="Times New Roman" w:eastAsia="Times New Roman" w:hAnsi="Times New Roman"/>
                <w:sz w:val="18"/>
                <w:szCs w:val="18"/>
                <w:color w:val="auto"/>
              </w:rPr>
              <w:t xml:space="preserve">  </w:t>
            </w:r>
            <w:r>
              <w:rPr>
                <w:rFonts w:ascii="Arial" w:cs="Arial" w:eastAsia="Arial" w:hAnsi="Arial"/>
                <w:sz w:val="18"/>
                <w:szCs w:val="18"/>
                <w:color w:val="auto"/>
              </w:rPr>
              <w:t>I  •   •   •   •   •   •</w:t>
            </w:r>
          </w:p>
        </w:tc>
        <w:tc>
          <w:tcPr>
            <w:tcW w:w="780" w:type="dxa"/>
            <w:vAlign w:val="bottom"/>
          </w:tcPr>
          <w:p>
            <w:pPr>
              <w:ind w:left="300"/>
              <w:spacing w:after="0"/>
              <w:rPr>
                <w:sz w:val="20"/>
                <w:szCs w:val="20"/>
                <w:color w:val="auto"/>
              </w:rPr>
            </w:pPr>
            <w:r>
              <w:rPr>
                <w:rFonts w:ascii="Arial" w:cs="Arial" w:eastAsia="Arial" w:hAnsi="Arial"/>
                <w:sz w:val="18"/>
                <w:szCs w:val="18"/>
                <w:color w:val="auto"/>
              </w:rPr>
              <w:t>•   •</w:t>
            </w:r>
          </w:p>
        </w:tc>
        <w:tc>
          <w:tcPr>
            <w:tcW w:w="280" w:type="dxa"/>
            <w:vAlign w:val="bottom"/>
          </w:tcPr>
          <w:p>
            <w:pPr>
              <w:ind w:left="100"/>
              <w:spacing w:after="0"/>
              <w:rPr>
                <w:sz w:val="20"/>
                <w:szCs w:val="20"/>
                <w:color w:val="auto"/>
              </w:rPr>
            </w:pPr>
            <w:r>
              <w:rPr>
                <w:rFonts w:ascii="Arial" w:cs="Arial" w:eastAsia="Arial" w:hAnsi="Arial"/>
                <w:sz w:val="18"/>
                <w:szCs w:val="18"/>
                <w:color w:val="auto"/>
              </w:rPr>
              <w:t>•</w:t>
            </w:r>
          </w:p>
        </w:tc>
        <w:tc>
          <w:tcPr>
            <w:tcW w:w="42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668" w:orient="portrait"/>
          <w:cols w:equalWidth="0" w:num="1">
            <w:col w:w="12180"/>
          </w:cols>
          <w:pgMar w:left="20" w:top="0" w:right="45"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left="1420" w:firstLine="8"/>
        <w:spacing w:after="0" w:line="334" w:lineRule="auto"/>
        <w:rPr>
          <w:sz w:val="20"/>
          <w:szCs w:val="20"/>
          <w:color w:val="auto"/>
        </w:rPr>
      </w:pPr>
      <w:r>
        <w:rPr>
          <w:rFonts w:ascii="Arial" w:cs="Arial" w:eastAsia="Arial" w:hAnsi="Arial"/>
          <w:sz w:val="20"/>
          <w:szCs w:val="20"/>
          <w:color w:val="auto"/>
        </w:rPr>
        <w:t>be educated will continue to evolve, just as it always has. But a growing global middle class will drive demand for a long time to come. So long as people want to learn skills that improve their lives and the lives of their families, Kaplan will be there to serve them.</w:t>
      </w:r>
    </w:p>
    <w:p>
      <w:pPr>
        <w:spacing w:after="0" w:line="321" w:lineRule="exact"/>
        <w:rPr>
          <w:sz w:val="20"/>
          <w:szCs w:val="20"/>
          <w:color w:val="auto"/>
        </w:rPr>
      </w:pPr>
    </w:p>
    <w:p>
      <w:pPr>
        <w:jc w:val="both"/>
        <w:ind w:left="1420" w:firstLine="10"/>
        <w:spacing w:after="0" w:line="332" w:lineRule="auto"/>
        <w:rPr>
          <w:sz w:val="20"/>
          <w:szCs w:val="20"/>
          <w:color w:val="auto"/>
        </w:rPr>
      </w:pPr>
      <w:r>
        <w:rPr>
          <w:rFonts w:ascii="Arial" w:cs="Arial" w:eastAsia="Arial" w:hAnsi="Arial"/>
          <w:sz w:val="20"/>
          <w:szCs w:val="20"/>
          <w:color w:val="auto"/>
        </w:rPr>
        <w:t>The results at Graham Healthcare Group have been excellent. Adjusted operating cash flow grew 67% to $78.6 million. Income from joint venture partnerships contributed an additional $13.7 million.</w:t>
      </w:r>
    </w:p>
    <w:p>
      <w:pPr>
        <w:spacing w:after="0" w:line="326" w:lineRule="exact"/>
        <w:rPr>
          <w:sz w:val="20"/>
          <w:szCs w:val="20"/>
          <w:color w:val="auto"/>
        </w:rPr>
      </w:pPr>
    </w:p>
    <w:p>
      <w:pPr>
        <w:jc w:val="both"/>
        <w:ind w:left="1420" w:firstLine="9"/>
        <w:spacing w:after="0" w:line="334" w:lineRule="auto"/>
        <w:rPr>
          <w:sz w:val="20"/>
          <w:szCs w:val="20"/>
          <w:color w:val="auto"/>
        </w:rPr>
      </w:pPr>
      <w:r>
        <w:rPr>
          <w:rFonts w:ascii="Arial" w:cs="Arial" w:eastAsia="Arial" w:hAnsi="Arial"/>
          <w:sz w:val="20"/>
          <w:szCs w:val="20"/>
          <w:color w:val="auto"/>
        </w:rPr>
        <w:t>Our investments in growing our in-home care and services began to really shine through. Over several years, we spent time and money building both a team and infrastructure that could support a much larger operation. As t he results unfolded in 2024, we hope you agree that these were wise investments. These busi-nesses have been excellently managed by David Curtis and Justin DeWitte.</w:t>
      </w:r>
    </w:p>
    <w:p>
      <w:pPr>
        <w:spacing w:after="0" w:line="324" w:lineRule="exact"/>
        <w:rPr>
          <w:sz w:val="20"/>
          <w:szCs w:val="20"/>
          <w:color w:val="auto"/>
        </w:rPr>
      </w:pPr>
    </w:p>
    <w:p>
      <w:pPr>
        <w:jc w:val="both"/>
        <w:ind w:left="1420" w:firstLine="6"/>
        <w:spacing w:after="0" w:line="332" w:lineRule="auto"/>
        <w:rPr>
          <w:sz w:val="20"/>
          <w:szCs w:val="20"/>
          <w:color w:val="auto"/>
        </w:rPr>
      </w:pPr>
      <w:r>
        <w:rPr>
          <w:rFonts w:ascii="Arial" w:cs="Arial" w:eastAsia="Arial" w:hAnsi="Arial"/>
          <w:sz w:val="20"/>
          <w:szCs w:val="20"/>
          <w:color w:val="auto"/>
        </w:rPr>
        <w:t>Increased scale allows us to serve more patients In 2024, we had over 120,000 patients across our various service lines. We continue to believe that our success will be nothing more than fleeting if we do not deliver excellent care outcomes. I'mpleased to report that in nearly all of our home health and hospice regions, we achieved Medicare star ratings at or above the median. Our rare exceptions occurred in regions where we have only recently taken over operations from partners.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1300" w:firstLine="9"/>
        <w:spacing w:after="0" w:line="334" w:lineRule="auto"/>
        <w:rPr>
          <w:sz w:val="20"/>
          <w:szCs w:val="20"/>
          <w:color w:val="auto"/>
        </w:rPr>
      </w:pPr>
      <w:r>
        <w:rPr>
          <w:rFonts w:ascii="Arial" w:cs="Arial" w:eastAsia="Arial" w:hAnsi="Arial"/>
          <w:sz w:val="20"/>
          <w:szCs w:val="20"/>
          <w:color w:val="auto"/>
        </w:rPr>
        <w:t>Most of our service lines had good resu lts and CSI Pharmacy continued its very strong growth. In the fourth quarter of 2024, CSI's revenue made up over half of the consolidated Graham Healthcare Group revenue and CSI revenue is now approaching the revenue under management of our home health and hospice business, a trend we expect to continue into 2025. We believe there is a bright future at CSI. Critical, life-enhancing and life-saving treatments are delivered in the home by nurses, as opposed to a hospital setting. This increases compliance with treatment (a patient does not need to travel), lowers costs to the healthcare system, and frees up hospitals to provide care that truly can only happen in an acute care setting. Most importantly, our service improves the quality of life for patients and allows them to reclaim some of their life, health, and d ignity.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both"/>
        <w:ind w:right="1400" w:firstLine="2"/>
        <w:spacing w:after="0" w:line="333" w:lineRule="auto"/>
        <w:rPr>
          <w:sz w:val="20"/>
          <w:szCs w:val="20"/>
          <w:color w:val="auto"/>
        </w:rPr>
      </w:pPr>
      <w:r>
        <w:rPr>
          <w:rFonts w:ascii="Arial" w:cs="Arial" w:eastAsia="Arial" w:hAnsi="Arial"/>
          <w:sz w:val="20"/>
          <w:szCs w:val="20"/>
          <w:color w:val="auto"/>
        </w:rPr>
        <w:t>While home health, hospice, and home infusions are our primary service lines, we believe the in-home care trend is here to stay. Quality providers who know how to effectively and efficiently deliver care in the home will help drive down overall costs to the healthcare system, while increasing patient satisfaction. We believe care delivery in the home will be a larger part of the future. and we are excited to continue to serve our patients and communities as the market grows.</w:t>
      </w:r>
    </w:p>
    <w:p>
      <w:pPr>
        <w:spacing w:after="0" w:line="823" w:lineRule="exact"/>
        <w:rPr>
          <w:sz w:val="20"/>
          <w:szCs w:val="20"/>
          <w:color w:val="auto"/>
        </w:rPr>
      </w:pPr>
    </w:p>
    <w:p>
      <w:pPr>
        <w:sectPr>
          <w:pgSz w:w="12240" w:h="15668" w:orient="portrait"/>
          <w:cols w:equalWidth="0" w:num="2">
            <w:col w:w="5840" w:space="520"/>
            <w:col w:w="5820"/>
          </w:cols>
          <w:pgMar w:left="20" w:top="0" w:right="45" w:bottom="0" w:gutter="0" w:footer="0" w:header="0"/>
          <w:type w:val="continuous"/>
        </w:sectPr>
      </w:pPr>
    </w:p>
    <w:p>
      <w:pPr>
        <w:spacing w:after="0" w:line="400" w:lineRule="exact"/>
        <w:rPr>
          <w:sz w:val="20"/>
          <w:szCs w:val="20"/>
          <w:color w:val="auto"/>
        </w:rPr>
      </w:pPr>
    </w:p>
    <w:p>
      <w:pPr>
        <w:ind w:left="2240" w:right="2480" w:hanging="355"/>
        <w:spacing w:after="0" w:line="303" w:lineRule="auto"/>
        <w:rPr>
          <w:sz w:val="20"/>
          <w:szCs w:val="20"/>
          <w:color w:val="auto"/>
        </w:rPr>
      </w:pPr>
      <w:r>
        <w:rPr>
          <w:rFonts w:ascii="Arial" w:cs="Arial" w:eastAsia="Arial" w:hAnsi="Arial"/>
          <w:sz w:val="25"/>
          <w:szCs w:val="25"/>
          <w:color w:val="auto"/>
        </w:rPr>
        <w:t>''</w:t>
      </w:r>
      <w:r>
        <w:rPr>
          <w:rFonts w:ascii="Arial" w:cs="Arial" w:eastAsia="Arial" w:hAnsi="Arial"/>
          <w:sz w:val="25"/>
          <w:szCs w:val="25"/>
          <w:b w:val="1"/>
          <w:bCs w:val="1"/>
          <w:color w:val="auto"/>
        </w:rPr>
        <w:t>Our investments in growing our in-home care and services</w:t>
      </w:r>
      <w:r>
        <w:rPr>
          <w:rFonts w:ascii="Arial" w:cs="Arial" w:eastAsia="Arial" w:hAnsi="Arial"/>
          <w:sz w:val="25"/>
          <w:szCs w:val="25"/>
          <w:color w:val="auto"/>
        </w:rPr>
        <w:t xml:space="preserve"> </w:t>
      </w:r>
      <w:r>
        <w:rPr>
          <w:rFonts w:ascii="Arial" w:cs="Arial" w:eastAsia="Arial" w:hAnsi="Arial"/>
          <w:sz w:val="25"/>
          <w:szCs w:val="25"/>
          <w:b w:val="1"/>
          <w:bCs w:val="1"/>
          <w:color w:val="auto"/>
        </w:rPr>
        <w:t>began to really shine through.''</w:t>
      </w:r>
    </w:p>
    <w:p>
      <w:pPr>
        <w:sectPr>
          <w:pgSz w:w="12240" w:h="15668" w:orient="portrait"/>
          <w:cols w:equalWidth="0" w:num="1">
            <w:col w:w="12180"/>
          </w:cols>
          <w:pgMar w:left="20" w:top="0" w:right="4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8780"/>
        <w:spacing w:after="0"/>
        <w:rPr>
          <w:sz w:val="20"/>
          <w:szCs w:val="20"/>
          <w:color w:val="auto"/>
        </w:rPr>
      </w:pPr>
      <w:r>
        <w:rPr>
          <w:rFonts w:ascii="Arial" w:cs="Arial" w:eastAsia="Arial" w:hAnsi="Arial"/>
          <w:sz w:val="14"/>
          <w:szCs w:val="14"/>
          <w:i w:val="1"/>
          <w:iCs w:val="1"/>
          <w:color w:val="auto"/>
        </w:rPr>
        <w:t xml:space="preserve">2024 ANNUAL REPORT </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Times New Roman" w:cs="Times New Roman" w:eastAsia="Times New Roman" w:hAnsi="Times New Roman"/>
          <w:sz w:val="14"/>
          <w:szCs w:val="14"/>
          <w:color w:val="auto"/>
        </w:rPr>
        <w:t>7</w:t>
      </w:r>
    </w:p>
    <w:p>
      <w:pPr>
        <w:sectPr>
          <w:pgSz w:w="12240" w:h="15668" w:orient="portrait"/>
          <w:cols w:equalWidth="0" w:num="1">
            <w:col w:w="12180"/>
          </w:cols>
          <w:pgMar w:left="20" w:top="0" w:right="45" w:bottom="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10"/>
        </w:trPr>
        <w:tc>
          <w:tcPr>
            <w:tcW w:w="1800" w:type="dxa"/>
            <w:vAlign w:val="bottom"/>
          </w:tcPr>
          <w:p>
            <w:pPr>
              <w:spacing w:after="0"/>
              <w:rPr>
                <w:sz w:val="20"/>
                <w:szCs w:val="20"/>
                <w:color w:val="auto"/>
              </w:rPr>
            </w:pPr>
            <w:r>
              <w:rPr>
                <w:rFonts w:ascii="Arial" w:cs="Arial" w:eastAsia="Arial" w:hAnsi="Arial"/>
                <w:sz w:val="10"/>
                <w:szCs w:val="10"/>
                <w:color w:val="auto"/>
              </w:rPr>
              <w:t>•••   I   ••  ,</w:t>
            </w:r>
          </w:p>
        </w:tc>
        <w:tc>
          <w:tcPr>
            <w:tcW w:w="2980" w:type="dxa"/>
            <w:vAlign w:val="bottom"/>
          </w:tcPr>
          <w:p>
            <w:pPr>
              <w:ind w:left="1780"/>
              <w:spacing w:after="0"/>
              <w:rPr>
                <w:sz w:val="20"/>
                <w:szCs w:val="20"/>
                <w:color w:val="auto"/>
              </w:rPr>
            </w:pPr>
            <w:r>
              <w:rPr>
                <w:rFonts w:ascii="Arial" w:cs="Arial" w:eastAsia="Arial" w:hAnsi="Arial"/>
                <w:sz w:val="8"/>
                <w:szCs w:val="8"/>
                <w:color w:val="auto"/>
              </w:rPr>
              <w:t>I</w:t>
            </w:r>
          </w:p>
        </w:tc>
        <w:tc>
          <w:tcPr>
            <w:tcW w:w="3340" w:type="dxa"/>
            <w:vAlign w:val="bottom"/>
          </w:tcPr>
          <w:p>
            <w:pPr>
              <w:ind w:left="2940"/>
              <w:spacing w:after="0"/>
              <w:rPr>
                <w:sz w:val="20"/>
                <w:szCs w:val="20"/>
                <w:color w:val="auto"/>
              </w:rPr>
            </w:pPr>
            <w:r>
              <w:rPr>
                <w:rFonts w:ascii="Arial" w:cs="Arial" w:eastAsia="Arial" w:hAnsi="Arial"/>
                <w:sz w:val="8"/>
                <w:szCs w:val="8"/>
                <w:color w:val="auto"/>
              </w:rPr>
              <w:t>•••</w:t>
            </w:r>
          </w:p>
        </w:tc>
        <w:tc>
          <w:tcPr>
            <w:tcW w:w="3300" w:type="dxa"/>
            <w:vAlign w:val="bottom"/>
          </w:tcPr>
          <w:p>
            <w:pPr>
              <w:jc w:val="right"/>
              <w:ind w:right="98"/>
              <w:spacing w:after="0" w:line="209" w:lineRule="exact"/>
              <w:rPr>
                <w:sz w:val="20"/>
                <w:szCs w:val="20"/>
                <w:color w:val="auto"/>
              </w:rPr>
            </w:pPr>
            <w:r>
              <w:rPr>
                <w:rFonts w:ascii="Arial" w:cs="Arial" w:eastAsia="Arial" w:hAnsi="Arial"/>
                <w:sz w:val="8"/>
                <w:szCs w:val="8"/>
                <w:color w:val="auto"/>
              </w:rPr>
              <w:t>•   •••••</w:t>
            </w:r>
            <w:r>
              <w:rPr>
                <w:rFonts w:ascii="Arial" w:cs="Arial" w:eastAsia="Arial" w:hAnsi="Arial"/>
                <w:sz w:val="13"/>
                <w:szCs w:val="13"/>
                <w:color w:val="auto"/>
              </w:rPr>
              <w:t xml:space="preserve">I  </w:t>
            </w:r>
            <w:r>
              <w:rPr>
                <w:rFonts w:ascii="Times New Roman" w:cs="Times New Roman" w:eastAsia="Times New Roman" w:hAnsi="Times New Roman"/>
                <w:sz w:val="16"/>
                <w:szCs w:val="16"/>
                <w:b w:val="1"/>
                <w:bCs w:val="1"/>
                <w:color w:val="auto"/>
              </w:rPr>
              <w:t>1:1 '1 lit</w:t>
            </w:r>
            <w:r>
              <w:rPr>
                <w:rFonts w:ascii="Arial" w:cs="Arial" w:eastAsia="Arial" w:hAnsi="Arial"/>
                <w:sz w:val="13"/>
                <w:szCs w:val="13"/>
                <w:color w:val="auto"/>
              </w:rPr>
              <w:t xml:space="preserve"> </w:t>
            </w:r>
            <w:r>
              <w:rPr>
                <w:rFonts w:ascii="Arial" w:cs="Arial" w:eastAsia="Arial" w:hAnsi="Arial"/>
                <w:sz w:val="20"/>
                <w:szCs w:val="20"/>
                <w:color w:val="auto"/>
              </w:rPr>
              <w:t>l.t'IHII IHI~·</w:t>
            </w:r>
          </w:p>
        </w:tc>
        <w:tc>
          <w:tcPr>
            <w:tcW w:w="0" w:type="dxa"/>
            <w:vAlign w:val="bottom"/>
          </w:tcPr>
          <w:p>
            <w:pPr>
              <w:spacing w:after="0"/>
              <w:rPr>
                <w:sz w:val="1"/>
                <w:szCs w:val="1"/>
                <w:color w:val="auto"/>
              </w:rPr>
            </w:pPr>
          </w:p>
        </w:tc>
      </w:tr>
      <w:tr>
        <w:trPr>
          <w:trHeight w:val="181"/>
        </w:trPr>
        <w:tc>
          <w:tcPr>
            <w:tcW w:w="1800" w:type="dxa"/>
            <w:vAlign w:val="bottom"/>
            <w:vMerge w:val="restart"/>
          </w:tcPr>
          <w:p>
            <w:pPr>
              <w:spacing w:after="0"/>
              <w:rPr>
                <w:sz w:val="20"/>
                <w:szCs w:val="20"/>
                <w:color w:val="auto"/>
              </w:rPr>
            </w:pPr>
            <w:r>
              <w:rPr>
                <w:rFonts w:ascii="Arial" w:cs="Arial" w:eastAsia="Arial" w:hAnsi="Arial"/>
                <w:sz w:val="17"/>
                <w:szCs w:val="17"/>
                <w:color w:val="auto"/>
              </w:rPr>
              <w:t xml:space="preserve">&amp;   .  , </w:t>
            </w:r>
            <w:r>
              <w:rPr>
                <w:rFonts w:ascii="Times New Roman" w:cs="Times New Roman" w:eastAsia="Times New Roman" w:hAnsi="Times New Roman"/>
                <w:sz w:val="23"/>
                <w:szCs w:val="23"/>
                <w:color w:val="auto"/>
              </w:rPr>
              <w:t>8 1 •   •</w:t>
            </w:r>
          </w:p>
        </w:tc>
        <w:tc>
          <w:tcPr>
            <w:tcW w:w="2980" w:type="dxa"/>
            <w:vAlign w:val="bottom"/>
          </w:tcPr>
          <w:p>
            <w:pPr>
              <w:ind w:left="2820"/>
              <w:spacing w:after="0" w:line="181" w:lineRule="exact"/>
              <w:rPr>
                <w:sz w:val="20"/>
                <w:szCs w:val="20"/>
                <w:color w:val="auto"/>
              </w:rPr>
            </w:pPr>
            <w:r>
              <w:rPr>
                <w:rFonts w:ascii="Times New Roman" w:cs="Times New Roman" w:eastAsia="Times New Roman" w:hAnsi="Times New Roman"/>
                <w:sz w:val="16"/>
                <w:szCs w:val="16"/>
                <w:color w:val="auto"/>
              </w:rPr>
              <w:t>•</w:t>
            </w:r>
          </w:p>
        </w:tc>
        <w:tc>
          <w:tcPr>
            <w:tcW w:w="3340" w:type="dxa"/>
            <w:vAlign w:val="bottom"/>
          </w:tcPr>
          <w:p>
            <w:pPr>
              <w:ind w:left="80"/>
              <w:spacing w:after="0" w:line="182" w:lineRule="exact"/>
              <w:rPr>
                <w:sz w:val="20"/>
                <w:szCs w:val="20"/>
                <w:color w:val="auto"/>
              </w:rPr>
            </w:pPr>
            <w:r>
              <w:rPr>
                <w:rFonts w:ascii="Times New Roman" w:cs="Times New Roman" w:eastAsia="Times New Roman" w:hAnsi="Times New Roman"/>
                <w:sz w:val="12"/>
                <w:szCs w:val="12"/>
                <w:b w:val="1"/>
                <w:bCs w:val="1"/>
                <w:color w:val="auto"/>
              </w:rPr>
              <w:t xml:space="preserve">e  </w:t>
            </w:r>
            <w:r>
              <w:rPr>
                <w:rFonts w:ascii="Times New Roman" w:cs="Times New Roman" w:eastAsia="Times New Roman" w:hAnsi="Times New Roman"/>
                <w:sz w:val="14"/>
                <w:szCs w:val="14"/>
                <w:b w:val="1"/>
                <w:bCs w:val="1"/>
                <w:color w:val="auto"/>
              </w:rPr>
              <w:t>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b w:val="1"/>
                <w:bCs w:val="1"/>
                <w:color w:val="auto"/>
              </w:rPr>
              <w:t>1</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5"/>
                <w:szCs w:val="15"/>
                <w:b w:val="1"/>
                <w:bCs w:val="1"/>
                <w:color w:val="auto"/>
              </w:rPr>
              <w:t>tIt</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4"/>
                <w:szCs w:val="14"/>
                <w:b w:val="1"/>
                <w:bCs w:val="1"/>
                <w:color w:val="auto"/>
              </w:rPr>
              <w:t>I  It</w:t>
            </w:r>
            <w:r>
              <w:rPr>
                <w:rFonts w:ascii="Times New Roman" w:cs="Times New Roman" w:eastAsia="Times New Roman" w:hAnsi="Times New Roman"/>
                <w:sz w:val="12"/>
                <w:szCs w:val="12"/>
                <w:b w:val="1"/>
                <w:bCs w:val="1"/>
                <w:color w:val="auto"/>
              </w:rPr>
              <w:t xml:space="preserve"> Itt It </w:t>
            </w:r>
            <w:r>
              <w:rPr>
                <w:rFonts w:ascii="Times New Roman" w:cs="Times New Roman" w:eastAsia="Times New Roman" w:hAnsi="Times New Roman"/>
                <w:sz w:val="21"/>
                <w:szCs w:val="21"/>
                <w:color w:val="auto"/>
                <w:vertAlign w:val="superscript"/>
              </w:rPr>
              <w:t>11</w:t>
            </w:r>
          </w:p>
        </w:tc>
        <w:tc>
          <w:tcPr>
            <w:tcW w:w="3300" w:type="dxa"/>
            <w:vAlign w:val="bottom"/>
          </w:tcPr>
          <w:p>
            <w:pPr>
              <w:jc w:val="right"/>
              <w:ind w:right="98"/>
              <w:spacing w:after="0" w:line="181" w:lineRule="exact"/>
              <w:rPr>
                <w:sz w:val="20"/>
                <w:szCs w:val="20"/>
                <w:color w:val="auto"/>
              </w:rPr>
            </w:pPr>
            <w:r>
              <w:rPr>
                <w:rFonts w:ascii="Arial" w:cs="Arial" w:eastAsia="Arial" w:hAnsi="Arial"/>
                <w:sz w:val="13"/>
                <w:szCs w:val="13"/>
                <w:color w:val="auto"/>
              </w:rPr>
              <w:t xml:space="preserve">~ </w:t>
            </w:r>
            <w:r>
              <w:rPr>
                <w:rFonts w:ascii="Times New Roman" w:cs="Times New Roman" w:eastAsia="Times New Roman" w:hAnsi="Times New Roman"/>
                <w:sz w:val="10"/>
                <w:szCs w:val="10"/>
                <w:color w:val="auto"/>
              </w:rPr>
              <w:t>-_:c-</w:t>
            </w:r>
            <w:r>
              <w:rPr>
                <w:rFonts w:ascii="Arial" w:cs="Arial" w:eastAsia="Arial" w:hAnsi="Arial"/>
                <w:sz w:val="13"/>
                <w:szCs w:val="13"/>
                <w:color w:val="auto"/>
              </w:rPr>
              <w:t xml:space="preserve"> </w:t>
            </w:r>
            <w:r>
              <w:rPr>
                <w:rFonts w:ascii="Times New Roman" w:cs="Times New Roman" w:eastAsia="Times New Roman" w:hAnsi="Times New Roman"/>
                <w:sz w:val="20"/>
                <w:szCs w:val="20"/>
                <w:color w:val="auto"/>
              </w:rPr>
              <w:t>-=</w:t>
            </w:r>
            <w:r>
              <w:rPr>
                <w:rFonts w:ascii="Arial" w:cs="Arial" w:eastAsia="Arial" w:hAnsi="Arial"/>
                <w:sz w:val="13"/>
                <w:szCs w:val="13"/>
                <w:color w:val="auto"/>
              </w:rPr>
              <w:t xml:space="preserve"> </w:t>
            </w:r>
            <w:r>
              <w:rPr>
                <w:rFonts w:ascii="Times New Roman" w:cs="Times New Roman" w:eastAsia="Times New Roman" w:hAnsi="Times New Roman"/>
                <w:sz w:val="11"/>
                <w:szCs w:val="11"/>
                <w:b w:val="1"/>
                <w:bCs w:val="1"/>
                <w:color w:val="auto"/>
              </w:rPr>
              <w:t>tH I H t •tnt •</w:t>
            </w:r>
          </w:p>
        </w:tc>
        <w:tc>
          <w:tcPr>
            <w:tcW w:w="0" w:type="dxa"/>
            <w:vAlign w:val="bottom"/>
          </w:tcPr>
          <w:p>
            <w:pPr>
              <w:spacing w:after="0"/>
              <w:rPr>
                <w:sz w:val="1"/>
                <w:szCs w:val="1"/>
                <w:color w:val="auto"/>
              </w:rPr>
            </w:pPr>
          </w:p>
        </w:tc>
      </w:tr>
      <w:tr>
        <w:trPr>
          <w:trHeight w:val="273"/>
        </w:trPr>
        <w:tc>
          <w:tcPr>
            <w:tcW w:w="1800" w:type="dxa"/>
            <w:vAlign w:val="bottom"/>
            <w:vMerge w:val="continue"/>
          </w:tcPr>
          <w:p>
            <w:pPr>
              <w:spacing w:after="0"/>
              <w:rPr>
                <w:sz w:val="23"/>
                <w:szCs w:val="23"/>
                <w:color w:val="auto"/>
              </w:rPr>
            </w:pPr>
          </w:p>
        </w:tc>
        <w:tc>
          <w:tcPr>
            <w:tcW w:w="2980" w:type="dxa"/>
            <w:vAlign w:val="bottom"/>
          </w:tcPr>
          <w:p>
            <w:pPr>
              <w:ind w:left="320"/>
              <w:spacing w:after="0" w:line="262" w:lineRule="exact"/>
              <w:rPr>
                <w:sz w:val="20"/>
                <w:szCs w:val="20"/>
                <w:color w:val="auto"/>
              </w:rPr>
            </w:pPr>
            <w:r>
              <w:rPr>
                <w:rFonts w:ascii="Times New Roman" w:cs="Times New Roman" w:eastAsia="Times New Roman" w:hAnsi="Times New Roman"/>
                <w:sz w:val="24"/>
                <w:szCs w:val="24"/>
                <w:color w:val="auto"/>
              </w:rPr>
              <w:t>••••• • , •  •  ,, •</w:t>
            </w:r>
          </w:p>
        </w:tc>
        <w:tc>
          <w:tcPr>
            <w:tcW w:w="66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 xml:space="preserve">4  4  I  </w:t>
            </w:r>
            <w:r>
              <w:rPr>
                <w:rFonts w:ascii="Times New Roman" w:cs="Times New Roman" w:eastAsia="Times New Roman" w:hAnsi="Times New Roman"/>
                <w:sz w:val="16"/>
                <w:szCs w:val="16"/>
                <w:b w:val="1"/>
                <w:bCs w:val="1"/>
                <w:color w:val="auto"/>
              </w:rPr>
              <w:t>I</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8"/>
                <w:szCs w:val="18"/>
                <w:b w:val="1"/>
                <w:bCs w:val="1"/>
                <w:color w:val="auto"/>
              </w:rPr>
              <w:t>t 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rPr>
              <w:t>'I 8 ..</w:t>
            </w:r>
            <w:r>
              <w:rPr>
                <w:rFonts w:ascii="Times New Roman" w:cs="Times New Roman" w:eastAsia="Times New Roman" w:hAnsi="Times New Roman"/>
                <w:sz w:val="14"/>
                <w:szCs w:val="14"/>
                <w:b w:val="1"/>
                <w:bCs w:val="1"/>
                <w:color w:val="auto"/>
              </w:rPr>
              <w:t xml:space="preserve"> ll  </w:t>
            </w:r>
            <w:r>
              <w:rPr>
                <w:rFonts w:ascii="Arial" w:cs="Arial" w:eastAsia="Arial" w:hAnsi="Arial"/>
                <w:sz w:val="15"/>
                <w:szCs w:val="15"/>
                <w:b w:val="1"/>
                <w:bCs w:val="1"/>
                <w:color w:val="auto"/>
              </w:rPr>
              <w:t>If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rPr>
              <w:t>t</w:t>
            </w:r>
            <w:r>
              <w:rPr>
                <w:rFonts w:ascii="Times New Roman" w:cs="Times New Roman" w:eastAsia="Times New Roman" w:hAnsi="Times New Roman"/>
                <w:sz w:val="14"/>
                <w:szCs w:val="14"/>
                <w:b w:val="1"/>
                <w:bCs w:val="1"/>
                <w:color w:val="auto"/>
              </w:rPr>
              <w:t xml:space="preserve"> </w:t>
            </w:r>
            <w:r>
              <w:rPr>
                <w:rFonts w:ascii="Arial" w:cs="Arial" w:eastAsia="Arial" w:hAnsi="Arial"/>
                <w:sz w:val="17"/>
                <w:szCs w:val="17"/>
                <w:b w:val="1"/>
                <w:bCs w:val="1"/>
                <w:color w:val="auto"/>
              </w:rPr>
              <w:t>;f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6"/>
                <w:szCs w:val="16"/>
                <w:b w:val="1"/>
                <w:bCs w:val="1"/>
                <w:color w:val="auto"/>
              </w:rPr>
              <w:t>t H</w:t>
            </w:r>
            <w:r>
              <w:rPr>
                <w:rFonts w:ascii="Times New Roman" w:cs="Times New Roman" w:eastAsia="Times New Roman" w:hAnsi="Times New Roman"/>
                <w:sz w:val="14"/>
                <w:szCs w:val="14"/>
                <w:b w:val="1"/>
                <w:bCs w:val="1"/>
                <w:color w:val="auto"/>
              </w:rPr>
              <w:t xml:space="preserve">  ll 'l </w:t>
            </w:r>
            <w:r>
              <w:rPr>
                <w:rFonts w:ascii="Arial" w:cs="Arial" w:eastAsia="Arial" w:hAnsi="Arial"/>
                <w:sz w:val="21"/>
                <w:szCs w:val="21"/>
                <w:color w:val="auto"/>
              </w:rPr>
              <w:t>~~</w:t>
            </w:r>
            <w:r>
              <w:rPr>
                <w:rFonts w:ascii="Times New Roman" w:cs="Times New Roman" w:eastAsia="Times New Roman" w:hAnsi="Times New Roman"/>
                <w:sz w:val="14"/>
                <w:szCs w:val="14"/>
                <w:b w:val="1"/>
                <w:bCs w:val="1"/>
                <w:color w:val="auto"/>
              </w:rPr>
              <w:t xml:space="preserve"> _llt </w:t>
            </w:r>
            <w:r>
              <w:rPr>
                <w:rFonts w:ascii="Arial" w:cs="Arial" w:eastAsia="Arial" w:hAnsi="Arial"/>
                <w:sz w:val="21"/>
                <w:szCs w:val="21"/>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w:t>
            </w:r>
            <w:r>
              <w:rPr>
                <w:rFonts w:ascii="Arial" w:cs="Arial" w:eastAsia="Arial" w:hAnsi="Arial"/>
                <w:sz w:val="15"/>
                <w:szCs w:val="15"/>
                <w:b w:val="1"/>
                <w:bCs w:val="1"/>
                <w:color w:val="auto"/>
              </w:rPr>
              <w:t xml:space="preserve">tt t </w:t>
            </w:r>
            <w:r>
              <w:rPr>
                <w:rFonts w:ascii="Times New Roman" w:cs="Times New Roman" w:eastAsia="Times New Roman" w:hAnsi="Times New Roman"/>
                <w:sz w:val="14"/>
                <w:szCs w:val="14"/>
                <w:b w:val="1"/>
                <w:bCs w:val="1"/>
                <w:color w:val="auto"/>
              </w:rPr>
              <w:t>t t U</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br w:type="column"/>
      </w:r>
    </w:p>
    <w:p>
      <w:pPr>
        <w:spacing w:after="0" w:line="4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6"/>
          <w:szCs w:val="16"/>
          <w:color w:val="auto"/>
        </w:rPr>
        <w:t>.....</w:t>
      </w:r>
    </w:p>
    <w:p>
      <w:pPr>
        <w:ind w:left="180"/>
        <w:spacing w:after="0" w:line="226" w:lineRule="auto"/>
        <w:rPr>
          <w:sz w:val="20"/>
          <w:szCs w:val="20"/>
          <w:color w:val="auto"/>
        </w:rPr>
      </w:pPr>
      <w:r>
        <w:rPr>
          <w:rFonts w:ascii="Times New Roman" w:cs="Times New Roman" w:eastAsia="Times New Roman" w:hAnsi="Times New Roman"/>
          <w:sz w:val="16"/>
          <w:szCs w:val="16"/>
          <w:b w:val="1"/>
          <w:bCs w:val="1"/>
          <w:color w:val="auto"/>
        </w:rPr>
        <w:t>uu</w:t>
      </w:r>
    </w:p>
    <w:p>
      <w:pPr>
        <w:spacing w:after="0" w:line="185" w:lineRule="auto"/>
        <w:rPr>
          <w:sz w:val="20"/>
          <w:szCs w:val="20"/>
          <w:color w:val="auto"/>
        </w:rPr>
      </w:pPr>
      <w:r>
        <w:rPr>
          <w:rFonts w:ascii="Times New Roman" w:cs="Times New Roman" w:eastAsia="Times New Roman" w:hAnsi="Times New Roman"/>
          <w:sz w:val="20"/>
          <w:szCs w:val="20"/>
          <w:b w:val="1"/>
          <w:bCs w:val="1"/>
          <w:color w:val="auto"/>
        </w:rPr>
        <w:t>n tll.!'</w:t>
      </w:r>
    </w:p>
    <w:p>
      <w:pPr>
        <w:spacing w:after="0" w:line="270" w:lineRule="exact"/>
        <w:rPr>
          <w:sz w:val="20"/>
          <w:szCs w:val="20"/>
          <w:color w:val="auto"/>
        </w:rPr>
      </w:pPr>
    </w:p>
    <w:p>
      <w:pPr>
        <w:sectPr>
          <w:pgSz w:w="12240" w:h="15668" w:orient="portrait"/>
          <w:cols w:equalWidth="0" w:num="2">
            <w:col w:w="11420" w:space="60"/>
            <w:col w:w="580"/>
          </w:cols>
          <w:pgMar w:left="80" w:top="0" w:right="105" w:bottom="0" w:gutter="0" w:footer="0" w:header="0"/>
        </w:sectPr>
      </w:pPr>
    </w:p>
    <w:p>
      <w:pPr>
        <w:spacing w:after="0" w:line="200" w:lineRule="exact"/>
        <w:rPr>
          <w:sz w:val="20"/>
          <w:szCs w:val="20"/>
          <w:color w:val="auto"/>
        </w:rPr>
      </w:pPr>
    </w:p>
    <w:p>
      <w:pPr>
        <w:spacing w:after="0" w:line="340" w:lineRule="exact"/>
        <w:rPr>
          <w:sz w:val="20"/>
          <w:szCs w:val="20"/>
          <w:color w:val="auto"/>
        </w:rPr>
      </w:pPr>
    </w:p>
    <w:p>
      <w:pPr>
        <w:ind w:left="1380"/>
        <w:spacing w:after="0"/>
        <w:rPr>
          <w:sz w:val="20"/>
          <w:szCs w:val="20"/>
          <w:color w:val="auto"/>
        </w:rPr>
      </w:pPr>
      <w:r>
        <w:rPr>
          <w:rFonts w:ascii="Arial" w:cs="Arial" w:eastAsia="Arial" w:hAnsi="Arial"/>
          <w:sz w:val="27"/>
          <w:szCs w:val="27"/>
          <w:b w:val="1"/>
          <w:bCs w:val="1"/>
          <w:color w:val="auto"/>
        </w:rPr>
        <w:t>HOUSING</w:t>
      </w:r>
    </w:p>
    <w:p>
      <w:pPr>
        <w:spacing w:after="0" w:line="85" w:lineRule="exact"/>
        <w:rPr>
          <w:sz w:val="20"/>
          <w:szCs w:val="20"/>
          <w:color w:val="auto"/>
        </w:rPr>
      </w:pPr>
    </w:p>
    <w:p>
      <w:pPr>
        <w:jc w:val="both"/>
        <w:ind w:left="1360" w:right="100" w:firstLine="8"/>
        <w:spacing w:after="0" w:line="334" w:lineRule="auto"/>
        <w:rPr>
          <w:sz w:val="20"/>
          <w:szCs w:val="20"/>
          <w:color w:val="auto"/>
        </w:rPr>
      </w:pPr>
      <w:r>
        <w:rPr>
          <w:rFonts w:ascii="Arial" w:cs="Arial" w:eastAsia="Arial" w:hAnsi="Arial"/>
          <w:sz w:val="20"/>
          <w:szCs w:val="20"/>
          <w:color w:val="auto"/>
        </w:rPr>
        <w:t>Graham Holdings builds no houses. nor offers any mortgages to acquire a home. Yet we have several operations where the demand for our products is directly related to how much housing is being built and how often people are buying or selling a house: Hoover, Framebridge, Saatchi Art. and Society6</w:t>
      </w:r>
    </w:p>
    <w:p>
      <w:pPr>
        <w:spacing w:after="0" w:line="325" w:lineRule="exact"/>
        <w:rPr>
          <w:sz w:val="20"/>
          <w:szCs w:val="20"/>
          <w:color w:val="auto"/>
        </w:rPr>
      </w:pPr>
    </w:p>
    <w:p>
      <w:pPr>
        <w:ind w:left="1360" w:firstLine="6"/>
        <w:spacing w:after="0" w:line="333" w:lineRule="auto"/>
        <w:rPr>
          <w:sz w:val="20"/>
          <w:szCs w:val="20"/>
          <w:color w:val="auto"/>
        </w:rPr>
      </w:pPr>
      <w:r>
        <w:rPr>
          <w:rFonts w:ascii="Arial" w:cs="Arial" w:eastAsia="Arial" w:hAnsi="Arial"/>
          <w:sz w:val="20"/>
          <w:szCs w:val="20"/>
          <w:color w:val="auto"/>
        </w:rPr>
        <w:t>In 2024, US housing transactions were at their lowest levels in 29 years, even though the population is roughly 27% larger than it was 29 years ago. Fewer transactions usually correlate with less housing stock- both single and multi-family - coming to market. Less multi-family housing stock means lower demand for most types of lumber. including Hoover's primary products. Hoover is the country's largest producer of pressure-impregnated, fire retardant wood. It provides a valuable fire safety product that reduces the rate at which wood burns, and we are proud to do our part to make housing more resistant to fires. What's remarkable is that Hoover has been able to maintain an acceptable level of profitability as it has waded through a painful down cycle.</w:t>
      </w:r>
    </w:p>
    <w:p>
      <w:pPr>
        <w:spacing w:after="0" w:line="335" w:lineRule="exact"/>
        <w:rPr>
          <w:sz w:val="20"/>
          <w:szCs w:val="20"/>
          <w:color w:val="auto"/>
        </w:rPr>
      </w:pPr>
    </w:p>
    <w:p>
      <w:pPr>
        <w:jc w:val="both"/>
        <w:ind w:left="1360" w:right="100" w:firstLine="1"/>
        <w:spacing w:after="0" w:line="334" w:lineRule="auto"/>
        <w:rPr>
          <w:sz w:val="20"/>
          <w:szCs w:val="20"/>
          <w:color w:val="auto"/>
        </w:rPr>
      </w:pPr>
      <w:r>
        <w:rPr>
          <w:rFonts w:ascii="Arial" w:cs="Arial" w:eastAsia="Arial" w:hAnsi="Arial"/>
          <w:sz w:val="20"/>
          <w:szCs w:val="20"/>
          <w:color w:val="auto"/>
        </w:rPr>
        <w:t>When people move. they redecorate or freshen up their new homes. Decor becomes an important final step of turning your house into a home. Framebridge, Saatchi Art.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400" w:lineRule="exact"/>
        <w:rPr>
          <w:sz w:val="20"/>
          <w:szCs w:val="20"/>
          <w:color w:val="auto"/>
        </w:rPr>
      </w:pPr>
    </w:p>
    <w:p>
      <w:pPr>
        <w:jc w:val="both"/>
        <w:ind w:right="1340" w:firstLine="1"/>
        <w:spacing w:after="0" w:line="333" w:lineRule="auto"/>
        <w:rPr>
          <w:sz w:val="20"/>
          <w:szCs w:val="20"/>
          <w:color w:val="auto"/>
        </w:rPr>
      </w:pPr>
      <w:r>
        <w:rPr>
          <w:rFonts w:ascii="Arial" w:cs="Arial" w:eastAsia="Arial" w:hAnsi="Arial"/>
          <w:sz w:val="20"/>
          <w:szCs w:val="20"/>
          <w:color w:val="auto"/>
        </w:rPr>
        <w:t>Society6 all benefit from the rise in volume when housing transactions increase. Society6 is most impacted by this trend and was unable to grow through the headwinds. What makes us optimistic is that both Framebridge and Saatchi Art posted real growth in 2024, despite housing softness. For the country'ssake and ours. your Graham Holdings management team is rooting hard for a housing boom.</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27"/>
          <w:szCs w:val="27"/>
          <w:b w:val="1"/>
          <w:bCs w:val="1"/>
          <w:color w:val="auto"/>
        </w:rPr>
        <w:t>LOOKING AHEAD</w:t>
      </w:r>
    </w:p>
    <w:p>
      <w:pPr>
        <w:spacing w:after="0" w:line="85" w:lineRule="exact"/>
        <w:rPr>
          <w:sz w:val="20"/>
          <w:szCs w:val="20"/>
          <w:color w:val="auto"/>
        </w:rPr>
      </w:pPr>
    </w:p>
    <w:p>
      <w:pPr>
        <w:jc w:val="both"/>
        <w:ind w:right="1340" w:firstLine="2"/>
        <w:spacing w:after="0" w:line="337" w:lineRule="auto"/>
        <w:rPr>
          <w:sz w:val="20"/>
          <w:szCs w:val="20"/>
          <w:color w:val="auto"/>
        </w:rPr>
      </w:pPr>
      <w:r>
        <w:rPr>
          <w:rFonts w:ascii="Arial" w:cs="Arial" w:eastAsia="Arial" w:hAnsi="Arial"/>
          <w:sz w:val="20"/>
          <w:szCs w:val="20"/>
          <w:color w:val="auto"/>
        </w:rPr>
        <w:t>We exit 2024 with a uniquely good balance sheet and flexibility to look at whatever opportunities may come our way. While we don't have Berkshire Hathaway's famous "elephant gun," we are armed with a good bit of ammo if the right deal at the right price crosses our path.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340" w:firstLine="7"/>
        <w:spacing w:after="0" w:line="337" w:lineRule="auto"/>
        <w:rPr>
          <w:sz w:val="20"/>
          <w:szCs w:val="20"/>
          <w:color w:val="auto"/>
        </w:rPr>
      </w:pPr>
      <w:r>
        <w:rPr>
          <w:rFonts w:ascii="Arial" w:cs="Arial" w:eastAsia="Arial" w:hAnsi="Arial"/>
          <w:sz w:val="20"/>
          <w:szCs w:val="20"/>
          <w:color w:val="auto"/>
        </w:rPr>
        <w:t>Even if we don'tfind any acquisitions in 2025, the Company is poised to take another step forward. Our operations are run by capable managers. with a culture that is long-term focused, predominantly in markets that should be good places to swim for a long time to come.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right="1340"/>
        <w:spacing w:after="0" w:line="334" w:lineRule="auto"/>
        <w:rPr>
          <w:sz w:val="20"/>
          <w:szCs w:val="20"/>
          <w:color w:val="auto"/>
        </w:rPr>
      </w:pPr>
      <w:r>
        <w:rPr>
          <w:rFonts w:ascii="Arial" w:cs="Arial" w:eastAsia="Arial" w:hAnsi="Arial"/>
          <w:sz w:val="20"/>
          <w:szCs w:val="20"/>
          <w:color w:val="auto"/>
        </w:rPr>
        <w:t>Thank you for the trust you</w:t>
      </w:r>
      <w:r>
        <w:rPr>
          <w:sz w:val="20"/>
          <w:szCs w:val="20"/>
          <w:color w:val="auto"/>
        </w:rPr>
        <w:t xml:space="preserve"> </w:t>
      </w:r>
      <w:r>
        <w:rPr>
          <w:rFonts w:ascii="Arial" w:cs="Arial" w:eastAsia="Arial" w:hAnsi="Arial"/>
          <w:sz w:val="20"/>
          <w:szCs w:val="20"/>
          <w:color w:val="auto"/>
        </w:rPr>
        <w:t>place in our management team as stewards of GHC. We think our little company has a good formula that aligns with our shareholders. most of whom</w:t>
      </w:r>
    </w:p>
    <w:p>
      <w:pPr>
        <w:spacing w:after="0" w:line="200" w:lineRule="exact"/>
        <w:rPr>
          <w:sz w:val="20"/>
          <w:szCs w:val="20"/>
          <w:color w:val="auto"/>
        </w:rPr>
      </w:pPr>
    </w:p>
    <w:p>
      <w:pPr>
        <w:sectPr>
          <w:pgSz w:w="12240" w:h="15668" w:orient="portrait"/>
          <w:cols w:equalWidth="0" w:num="2">
            <w:col w:w="5880" w:space="420"/>
            <w:col w:w="5760"/>
          </w:cols>
          <w:pgMar w:left="80" w:top="0" w:right="105" w:bottom="0" w:gutter="0" w:footer="0" w:header="0"/>
          <w:type w:val="continuous"/>
        </w:sectPr>
      </w:pPr>
    </w:p>
    <w:p>
      <w:pPr>
        <w:spacing w:after="0" w:line="200" w:lineRule="exact"/>
        <w:rPr>
          <w:sz w:val="20"/>
          <w:szCs w:val="20"/>
          <w:color w:val="auto"/>
        </w:rPr>
      </w:pPr>
    </w:p>
    <w:p>
      <w:pPr>
        <w:spacing w:after="0" w:line="337" w:lineRule="exact"/>
        <w:rPr>
          <w:sz w:val="20"/>
          <w:szCs w:val="20"/>
          <w:color w:val="auto"/>
        </w:rPr>
      </w:pPr>
    </w:p>
    <w:p>
      <w:pPr>
        <w:ind w:left="2160" w:right="1540" w:hanging="347"/>
        <w:spacing w:after="0" w:line="289" w:lineRule="auto"/>
        <w:rPr>
          <w:sz w:val="20"/>
          <w:szCs w:val="20"/>
          <w:color w:val="auto"/>
        </w:rPr>
      </w:pPr>
      <w:r>
        <w:rPr>
          <w:rFonts w:ascii="Arial" w:cs="Arial" w:eastAsia="Arial" w:hAnsi="Arial"/>
          <w:sz w:val="26"/>
          <w:szCs w:val="26"/>
          <w:color w:val="auto"/>
        </w:rPr>
        <w:t>''</w:t>
      </w:r>
      <w:r>
        <w:rPr>
          <w:rFonts w:ascii="Arial" w:cs="Arial" w:eastAsia="Arial" w:hAnsi="Arial"/>
          <w:sz w:val="26"/>
          <w:szCs w:val="26"/>
          <w:b w:val="1"/>
          <w:bCs w:val="1"/>
          <w:color w:val="auto"/>
        </w:rPr>
        <w:t>Graham Holdings builds no houses, nor offers any mortgages</w:t>
      </w:r>
      <w:r>
        <w:rPr>
          <w:rFonts w:ascii="Arial" w:cs="Arial" w:eastAsia="Arial" w:hAnsi="Arial"/>
          <w:sz w:val="26"/>
          <w:szCs w:val="26"/>
          <w:color w:val="auto"/>
        </w:rPr>
        <w:t xml:space="preserve"> </w:t>
      </w:r>
      <w:r>
        <w:rPr>
          <w:rFonts w:ascii="Arial" w:cs="Arial" w:eastAsia="Arial" w:hAnsi="Arial"/>
          <w:sz w:val="26"/>
          <w:szCs w:val="26"/>
          <w:b w:val="1"/>
          <w:bCs w:val="1"/>
          <w:color w:val="auto"/>
        </w:rPr>
        <w:t>to acquire a home. Yet we have several operations where the demand for our products is directly related to how much housing is being built and how often people are buying or selling a house.</w:t>
      </w:r>
    </w:p>
    <w:p>
      <w:pPr>
        <w:sectPr>
          <w:pgSz w:w="12240" w:h="15668" w:orient="portrait"/>
          <w:cols w:equalWidth="0" w:num="1">
            <w:col w:w="12060"/>
          </w:cols>
          <w:pgMar w:left="80" w:top="0" w:right="10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00" w:hanging="142"/>
        <w:spacing w:after="0"/>
        <w:tabs>
          <w:tab w:leader="none" w:pos="1500" w:val="left"/>
        </w:tabs>
        <w:numPr>
          <w:ilvl w:val="0"/>
          <w:numId w:val="8"/>
        </w:numPr>
        <w:rPr>
          <w:rFonts w:ascii="Times New Roman" w:cs="Times New Roman" w:eastAsia="Times New Roman" w:hAnsi="Times New Roman"/>
          <w:sz w:val="14"/>
          <w:szCs w:val="14"/>
          <w:color w:val="auto"/>
        </w:rPr>
      </w:pPr>
      <w:r>
        <w:rPr>
          <w:rFonts w:ascii="Arial" w:cs="Arial" w:eastAsia="Arial" w:hAnsi="Arial"/>
          <w:sz w:val="18"/>
          <w:szCs w:val="18"/>
          <w:color w:val="auto"/>
        </w:rPr>
        <w:t xml:space="preserve">I </w:t>
      </w:r>
      <w:r>
        <w:rPr>
          <w:rFonts w:ascii="Arial" w:cs="Arial" w:eastAsia="Arial" w:hAnsi="Arial"/>
          <w:sz w:val="13"/>
          <w:szCs w:val="13"/>
          <w:i w:val="1"/>
          <w:iCs w:val="1"/>
          <w:color w:val="auto"/>
        </w:rPr>
        <w:t>GRAHAM HOLDINGS</w:t>
      </w:r>
    </w:p>
    <w:p>
      <w:pPr>
        <w:sectPr>
          <w:pgSz w:w="12240" w:h="15668" w:orient="portrait"/>
          <w:cols w:equalWidth="0" w:num="1">
            <w:col w:w="12060"/>
          </w:cols>
          <w:pgMar w:left="80" w:top="0" w:right="105" w:bottom="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73"/>
        </w:trPr>
        <w:tc>
          <w:tcPr>
            <w:tcW w:w="7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IUU</w:t>
            </w:r>
          </w:p>
        </w:tc>
        <w:tc>
          <w:tcPr>
            <w:tcW w:w="4220" w:type="dxa"/>
            <w:vAlign w:val="bottom"/>
            <w:gridSpan w:val="6"/>
          </w:tcPr>
          <w:p>
            <w:pPr>
              <w:jc w:val="right"/>
              <w:spacing w:after="0"/>
              <w:rPr>
                <w:sz w:val="20"/>
                <w:szCs w:val="20"/>
                <w:color w:val="auto"/>
              </w:rPr>
            </w:pPr>
            <w:r>
              <w:rPr>
                <w:rFonts w:ascii="Arial" w:cs="Arial" w:eastAsia="Arial" w:hAnsi="Arial"/>
                <w:sz w:val="22"/>
                <w:szCs w:val="22"/>
                <w:color w:val="auto"/>
              </w:rPr>
              <w:t xml:space="preserve">t~htl </w:t>
            </w:r>
            <w:r>
              <w:rPr>
                <w:rFonts w:ascii="Arial" w:cs="Arial" w:eastAsia="Arial" w:hAnsi="Arial"/>
                <w:sz w:val="13"/>
                <w:szCs w:val="13"/>
                <w:b w:val="1"/>
                <w:bCs w:val="1"/>
                <w:color w:val="auto"/>
              </w:rPr>
              <w:t>I</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It</w:t>
            </w:r>
            <w:r>
              <w:rPr>
                <w:rFonts w:ascii="Arial" w:cs="Arial" w:eastAsia="Arial" w:hAnsi="Arial"/>
                <w:sz w:val="22"/>
                <w:szCs w:val="22"/>
                <w:color w:val="auto"/>
              </w:rPr>
              <w:t xml:space="preserve"> </w:t>
            </w:r>
            <w:r>
              <w:rPr>
                <w:rFonts w:ascii="Arial" w:cs="Arial" w:eastAsia="Arial" w:hAnsi="Arial"/>
                <w:sz w:val="14"/>
                <w:szCs w:val="14"/>
                <w:b w:val="1"/>
                <w:bCs w:val="1"/>
                <w:color w:val="auto"/>
              </w:rPr>
              <w:t>II&lt;</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I t</w:t>
            </w:r>
            <w:r>
              <w:rPr>
                <w:rFonts w:ascii="Arial" w:cs="Arial" w:eastAsia="Arial" w:hAnsi="Arial"/>
                <w:sz w:val="22"/>
                <w:szCs w:val="22"/>
                <w:color w:val="auto"/>
              </w:rPr>
              <w:t xml:space="preserve"> </w:t>
            </w:r>
            <w:r>
              <w:rPr>
                <w:rFonts w:ascii="Arial" w:cs="Arial" w:eastAsia="Arial" w:hAnsi="Arial"/>
                <w:sz w:val="13"/>
                <w:szCs w:val="13"/>
                <w:b w:val="1"/>
                <w:bCs w:val="1"/>
                <w:color w:val="auto"/>
              </w:rPr>
              <w:t>I</w:t>
            </w:r>
            <w:r>
              <w:rPr>
                <w:rFonts w:ascii="Arial" w:cs="Arial" w:eastAsia="Arial" w:hAnsi="Arial"/>
                <w:sz w:val="22"/>
                <w:szCs w:val="22"/>
                <w:color w:val="auto"/>
              </w:rPr>
              <w:t xml:space="preserve">  </w:t>
            </w:r>
            <w:r>
              <w:rPr>
                <w:rFonts w:ascii="Arial" w:cs="Arial" w:eastAsia="Arial" w:hAnsi="Arial"/>
                <w:sz w:val="13"/>
                <w:szCs w:val="13"/>
                <w:b w:val="1"/>
                <w:bCs w:val="1"/>
                <w:color w:val="auto"/>
              </w:rPr>
              <w:t>ti t: tIt</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t t</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t .</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t</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t</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I I  It  I</w:t>
            </w:r>
            <w:r>
              <w:rPr>
                <w:rFonts w:ascii="Arial" w:cs="Arial" w:eastAsia="Arial" w:hAnsi="Arial"/>
                <w:sz w:val="22"/>
                <w:szCs w:val="22"/>
                <w:color w:val="auto"/>
              </w:rPr>
              <w:t xml:space="preserve">  </w:t>
            </w:r>
            <w:r>
              <w:rPr>
                <w:rFonts w:ascii="Times New Roman" w:cs="Times New Roman" w:eastAsia="Times New Roman" w:hAnsi="Times New Roman"/>
                <w:sz w:val="16"/>
                <w:szCs w:val="16"/>
                <w:b w:val="1"/>
                <w:bCs w:val="1"/>
                <w:color w:val="auto"/>
              </w:rPr>
              <w:t>t</w:t>
            </w:r>
            <w:r>
              <w:rPr>
                <w:rFonts w:ascii="Arial" w:cs="Arial" w:eastAsia="Arial" w:hAnsi="Arial"/>
                <w:sz w:val="22"/>
                <w:szCs w:val="22"/>
                <w:color w:val="auto"/>
              </w:rPr>
              <w:t xml:space="preserve">  </w:t>
            </w:r>
            <w:r>
              <w:rPr>
                <w:rFonts w:ascii="Times New Roman" w:cs="Times New Roman" w:eastAsia="Times New Roman" w:hAnsi="Times New Roman"/>
                <w:sz w:val="15"/>
                <w:szCs w:val="15"/>
                <w:b w:val="1"/>
                <w:bCs w:val="1"/>
                <w:color w:val="auto"/>
              </w:rPr>
              <w:t>I  I</w:t>
            </w:r>
          </w:p>
        </w:tc>
        <w:tc>
          <w:tcPr>
            <w:tcW w:w="1800" w:type="dxa"/>
            <w:vAlign w:val="bottom"/>
          </w:tcPr>
          <w:p>
            <w:pPr>
              <w:spacing w:after="0"/>
              <w:rPr>
                <w:sz w:val="23"/>
                <w:szCs w:val="23"/>
                <w:color w:val="auto"/>
              </w:rPr>
            </w:pPr>
          </w:p>
        </w:tc>
        <w:tc>
          <w:tcPr>
            <w:tcW w:w="3780" w:type="dxa"/>
            <w:vAlign w:val="bottom"/>
          </w:tcPr>
          <w:p>
            <w:pPr>
              <w:ind w:left="1440"/>
              <w:spacing w:after="0"/>
              <w:rPr>
                <w:sz w:val="20"/>
                <w:szCs w:val="20"/>
                <w:color w:val="auto"/>
              </w:rPr>
            </w:pPr>
            <w:r>
              <w:rPr>
                <w:rFonts w:ascii="Arial" w:cs="Arial" w:eastAsia="Arial" w:hAnsi="Arial"/>
                <w:sz w:val="11"/>
                <w:szCs w:val="11"/>
                <w:color w:val="auto"/>
              </w:rPr>
              <w:t>I</w:t>
            </w:r>
          </w:p>
        </w:tc>
        <w:tc>
          <w:tcPr>
            <w:tcW w:w="280" w:type="dxa"/>
            <w:vAlign w:val="bottom"/>
          </w:tcPr>
          <w:p>
            <w:pPr>
              <w:ind w:left="180"/>
              <w:spacing w:after="0"/>
              <w:rPr>
                <w:sz w:val="20"/>
                <w:szCs w:val="20"/>
                <w:color w:val="auto"/>
              </w:rPr>
            </w:pPr>
            <w:r>
              <w:rPr>
                <w:rFonts w:ascii="Arial" w:cs="Arial" w:eastAsia="Arial" w:hAnsi="Arial"/>
                <w:sz w:val="11"/>
                <w:szCs w:val="11"/>
                <w:color w:val="auto"/>
              </w:rPr>
              <w:t>•</w:t>
            </w:r>
          </w:p>
        </w:tc>
        <w:tc>
          <w:tcPr>
            <w:tcW w:w="380" w:type="dxa"/>
            <w:vAlign w:val="bottom"/>
          </w:tcPr>
          <w:p>
            <w:pPr>
              <w:jc w:val="right"/>
              <w:ind w:right="75"/>
              <w:spacing w:after="0"/>
              <w:rPr>
                <w:sz w:val="20"/>
                <w:szCs w:val="20"/>
                <w:color w:val="auto"/>
              </w:rPr>
            </w:pPr>
            <w:r>
              <w:rPr>
                <w:rFonts w:ascii="Arial" w:cs="Arial" w:eastAsia="Arial" w:hAnsi="Arial"/>
                <w:sz w:val="11"/>
                <w:szCs w:val="11"/>
                <w:color w:val="auto"/>
              </w:rPr>
              <w:t>·  •</w:t>
            </w:r>
          </w:p>
        </w:tc>
        <w:tc>
          <w:tcPr>
            <w:tcW w:w="300" w:type="dxa"/>
            <w:vAlign w:val="bottom"/>
          </w:tcPr>
          <w:p>
            <w:pPr>
              <w:ind w:left="120"/>
              <w:spacing w:after="0"/>
              <w:rPr>
                <w:sz w:val="20"/>
                <w:szCs w:val="20"/>
                <w:color w:val="auto"/>
              </w:rPr>
            </w:pPr>
            <w:r>
              <w:rPr>
                <w:rFonts w:ascii="Arial" w:cs="Arial" w:eastAsia="Arial" w:hAnsi="Arial"/>
                <w:sz w:val="11"/>
                <w:szCs w:val="11"/>
                <w:color w:val="auto"/>
              </w:rPr>
              <w:t>•</w:t>
            </w:r>
          </w:p>
        </w:tc>
        <w:tc>
          <w:tcPr>
            <w:tcW w:w="720" w:type="dxa"/>
            <w:vAlign w:val="bottom"/>
          </w:tcPr>
          <w:p>
            <w:pPr>
              <w:ind w:left="14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center"/>
              <w:spacing w:after="0" w:line="237" w:lineRule="exact"/>
              <w:rPr>
                <w:sz w:val="20"/>
                <w:szCs w:val="20"/>
                <w:color w:val="auto"/>
              </w:rPr>
            </w:pPr>
            <w:r>
              <w:rPr>
                <w:rFonts w:ascii="Times New Roman" w:cs="Times New Roman" w:eastAsia="Times New Roman" w:hAnsi="Times New Roman"/>
                <w:sz w:val="27"/>
                <w:szCs w:val="27"/>
                <w:color w:val="auto"/>
              </w:rPr>
              <w:t>••.</w:t>
            </w:r>
          </w:p>
        </w:tc>
        <w:tc>
          <w:tcPr>
            <w:tcW w:w="320" w:type="dxa"/>
            <w:vAlign w:val="bottom"/>
            <w:vMerge w:val="restart"/>
          </w:tcPr>
          <w:p>
            <w:pPr>
              <w:jc w:val="right"/>
              <w:spacing w:after="0" w:line="237" w:lineRule="exact"/>
              <w:rPr>
                <w:sz w:val="20"/>
                <w:szCs w:val="20"/>
                <w:color w:val="auto"/>
              </w:rPr>
            </w:pPr>
            <w:r>
              <w:rPr>
                <w:rFonts w:ascii="Times New Roman" w:cs="Times New Roman" w:eastAsia="Times New Roman" w:hAnsi="Times New Roman"/>
                <w:sz w:val="27"/>
                <w:szCs w:val="27"/>
                <w:color w:val="auto"/>
              </w:rPr>
              <w:t>"</w:t>
            </w:r>
          </w:p>
        </w:tc>
        <w:tc>
          <w:tcPr>
            <w:tcW w:w="2020" w:type="dxa"/>
            <w:vAlign w:val="bottom"/>
            <w:gridSpan w:val="2"/>
          </w:tcPr>
          <w:p>
            <w:pPr>
              <w:ind w:left="20"/>
              <w:spacing w:after="0"/>
              <w:rPr>
                <w:sz w:val="20"/>
                <w:szCs w:val="20"/>
                <w:color w:val="auto"/>
              </w:rPr>
            </w:pPr>
            <w:r>
              <w:rPr>
                <w:rFonts w:ascii="Arial" w:cs="Arial" w:eastAsia="Arial" w:hAnsi="Arial"/>
                <w:sz w:val="13"/>
                <w:szCs w:val="13"/>
                <w:b w:val="1"/>
                <w:bCs w:val="1"/>
                <w:color w:val="auto"/>
              </w:rPr>
              <w:t xml:space="preserve">Ult tt l tH t ... </w:t>
            </w:r>
            <w:r>
              <w:rPr>
                <w:rFonts w:ascii="Times New Roman" w:cs="Times New Roman" w:eastAsia="Times New Roman" w:hAnsi="Times New Roman"/>
                <w:sz w:val="15"/>
                <w:szCs w:val="15"/>
                <w:b w:val="1"/>
                <w:bCs w:val="1"/>
                <w:color w:val="auto"/>
              </w:rPr>
              <w:t>tl'tltrt--</w:t>
            </w:r>
          </w:p>
        </w:tc>
        <w:tc>
          <w:tcPr>
            <w:tcW w:w="160" w:type="dxa"/>
            <w:vAlign w:val="bottom"/>
            <w:vMerge w:val="restart"/>
          </w:tcPr>
          <w:p>
            <w:pPr>
              <w:ind w:left="20"/>
              <w:spacing w:after="0" w:line="237" w:lineRule="exact"/>
              <w:rPr>
                <w:sz w:val="20"/>
                <w:szCs w:val="20"/>
                <w:color w:val="auto"/>
              </w:rPr>
            </w:pPr>
            <w:r>
              <w:rPr>
                <w:rFonts w:ascii="Times New Roman" w:cs="Times New Roman" w:eastAsia="Times New Roman" w:hAnsi="Times New Roman"/>
                <w:sz w:val="27"/>
                <w:szCs w:val="27"/>
                <w:color w:val="auto"/>
              </w:rPr>
              <w:t>-</w:t>
            </w:r>
          </w:p>
        </w:tc>
        <w:tc>
          <w:tcPr>
            <w:tcW w:w="380" w:type="dxa"/>
            <w:vAlign w:val="bottom"/>
          </w:tcPr>
          <w:p>
            <w:pPr>
              <w:jc w:val="right"/>
              <w:spacing w:after="0" w:line="175" w:lineRule="exact"/>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spacing w:after="0"/>
              <w:rPr>
                <w:sz w:val="15"/>
                <w:szCs w:val="15"/>
                <w:color w:val="auto"/>
              </w:rPr>
            </w:pPr>
          </w:p>
        </w:tc>
        <w:tc>
          <w:tcPr>
            <w:tcW w:w="1800" w:type="dxa"/>
            <w:vAlign w:val="bottom"/>
            <w:vMerge w:val="restart"/>
          </w:tcPr>
          <w:p>
            <w:pPr>
              <w:ind w:left="40"/>
              <w:spacing w:after="0" w:line="237" w:lineRule="exact"/>
              <w:rPr>
                <w:sz w:val="20"/>
                <w:szCs w:val="20"/>
                <w:color w:val="auto"/>
              </w:rPr>
            </w:pPr>
            <w:r>
              <w:rPr>
                <w:rFonts w:ascii="Times New Roman" w:cs="Times New Roman" w:eastAsia="Times New Roman" w:hAnsi="Times New Roman"/>
                <w:sz w:val="27"/>
                <w:szCs w:val="27"/>
                <w:color w:val="auto"/>
              </w:rPr>
              <w:t>••••••••••</w:t>
            </w:r>
          </w:p>
        </w:tc>
        <w:tc>
          <w:tcPr>
            <w:tcW w:w="3780" w:type="dxa"/>
            <w:vAlign w:val="bottom"/>
          </w:tcPr>
          <w:p>
            <w:pPr>
              <w:ind w:left="40"/>
              <w:spacing w:after="0" w:line="175" w:lineRule="exact"/>
              <w:rPr>
                <w:sz w:val="20"/>
                <w:szCs w:val="20"/>
                <w:color w:val="auto"/>
              </w:rPr>
            </w:pPr>
            <w:r>
              <w:rPr>
                <w:rFonts w:ascii="Times New Roman" w:cs="Times New Roman" w:eastAsia="Times New Roman" w:hAnsi="Times New Roman"/>
                <w:sz w:val="16"/>
                <w:szCs w:val="16"/>
                <w:color w:val="auto"/>
              </w:rPr>
              <w:t>••••  , , ••••, ••••••</w:t>
            </w:r>
          </w:p>
        </w:tc>
        <w:tc>
          <w:tcPr>
            <w:tcW w:w="2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700" w:type="dxa"/>
            <w:vAlign w:val="bottom"/>
            <w:vMerge w:val="continue"/>
          </w:tcPr>
          <w:p>
            <w:pPr>
              <w:spacing w:after="0"/>
              <w:rPr>
                <w:sz w:val="5"/>
                <w:szCs w:val="5"/>
                <w:color w:val="auto"/>
              </w:rPr>
            </w:pPr>
          </w:p>
        </w:tc>
        <w:tc>
          <w:tcPr>
            <w:tcW w:w="3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1560" w:type="dxa"/>
            <w:vAlign w:val="bottom"/>
          </w:tcPr>
          <w:p>
            <w:pPr>
              <w:jc w:val="right"/>
              <w:ind w:right="347"/>
              <w:spacing w:after="0" w:line="62" w:lineRule="exact"/>
              <w:rPr>
                <w:sz w:val="20"/>
                <w:szCs w:val="20"/>
                <w:color w:val="auto"/>
              </w:rPr>
            </w:pPr>
            <w:r>
              <w:rPr>
                <w:rFonts w:ascii="Times New Roman" w:cs="Times New Roman" w:eastAsia="Times New Roman" w:hAnsi="Times New Roman"/>
                <w:sz w:val="7"/>
                <w:szCs w:val="7"/>
                <w:color w:val="auto"/>
              </w:rPr>
              <w:t>-=-</w:t>
            </w:r>
          </w:p>
        </w:tc>
        <w:tc>
          <w:tcPr>
            <w:tcW w:w="160" w:type="dxa"/>
            <w:vAlign w:val="bottom"/>
            <w:vMerge w:val="continue"/>
          </w:tcPr>
          <w:p>
            <w:pPr>
              <w:spacing w:after="0"/>
              <w:rPr>
                <w:sz w:val="5"/>
                <w:szCs w:val="5"/>
                <w:color w:val="auto"/>
              </w:rPr>
            </w:pPr>
          </w:p>
        </w:tc>
        <w:tc>
          <w:tcPr>
            <w:tcW w:w="380" w:type="dxa"/>
            <w:vAlign w:val="bottom"/>
          </w:tcPr>
          <w:p>
            <w:pPr>
              <w:spacing w:after="0"/>
              <w:rPr>
                <w:sz w:val="5"/>
                <w:szCs w:val="5"/>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b w:val="1"/>
                <w:bCs w:val="1"/>
                <w:color w:val="auto"/>
              </w:rPr>
              <w:t xml:space="preserve">I I I I' I  </w:t>
            </w:r>
            <w:r>
              <w:rPr>
                <w:rFonts w:ascii="Arial" w:cs="Arial" w:eastAsia="Arial" w:hAnsi="Arial"/>
                <w:sz w:val="17"/>
                <w:szCs w:val="17"/>
                <w:b w:val="1"/>
                <w:bCs w:val="1"/>
                <w:color w:val="auto"/>
              </w:rPr>
              <w:t>t</w:t>
            </w:r>
            <w:r>
              <w:rPr>
                <w:rFonts w:ascii="Times New Roman" w:cs="Times New Roman" w:eastAsia="Times New Roman" w:hAnsi="Times New Roman"/>
                <w:sz w:val="17"/>
                <w:szCs w:val="17"/>
                <w:b w:val="1"/>
                <w:bCs w:val="1"/>
                <w:color w:val="auto"/>
              </w:rPr>
              <w:t xml:space="preserve"> I  I  I</w:t>
            </w:r>
          </w:p>
        </w:tc>
        <w:tc>
          <w:tcPr>
            <w:tcW w:w="1800" w:type="dxa"/>
            <w:vAlign w:val="bottom"/>
            <w:vMerge w:val="continue"/>
          </w:tcPr>
          <w:p>
            <w:pPr>
              <w:spacing w:after="0"/>
              <w:rPr>
                <w:sz w:val="5"/>
                <w:szCs w:val="5"/>
                <w:color w:val="auto"/>
              </w:rPr>
            </w:pPr>
          </w:p>
        </w:tc>
        <w:tc>
          <w:tcPr>
            <w:tcW w:w="3780" w:type="dxa"/>
            <w:vAlign w:val="bottom"/>
          </w:tcPr>
          <w:p>
            <w:pPr>
              <w:spacing w:after="0"/>
              <w:rPr>
                <w:sz w:val="5"/>
                <w:szCs w:val="5"/>
                <w:color w:val="auto"/>
              </w:rPr>
            </w:pPr>
          </w:p>
        </w:tc>
        <w:tc>
          <w:tcPr>
            <w:tcW w:w="280" w:type="dxa"/>
            <w:vAlign w:val="bottom"/>
            <w:vMerge w:val="restart"/>
          </w:tcPr>
          <w:p>
            <w:pPr>
              <w:ind w:left="200"/>
              <w:spacing w:after="0" w:line="170" w:lineRule="exact"/>
              <w:rPr>
                <w:sz w:val="20"/>
                <w:szCs w:val="20"/>
                <w:color w:val="auto"/>
              </w:rPr>
            </w:pPr>
            <w:r>
              <w:rPr>
                <w:rFonts w:ascii="Arial" w:cs="Arial" w:eastAsia="Arial" w:hAnsi="Arial"/>
                <w:sz w:val="15"/>
                <w:szCs w:val="15"/>
                <w:color w:val="auto"/>
              </w:rPr>
              <w:t>•</w:t>
            </w:r>
          </w:p>
        </w:tc>
        <w:tc>
          <w:tcPr>
            <w:tcW w:w="380" w:type="dxa"/>
            <w:vAlign w:val="bottom"/>
            <w:vMerge w:val="restart"/>
          </w:tcPr>
          <w:p>
            <w:pPr>
              <w:jc w:val="right"/>
              <w:ind w:right="55"/>
              <w:spacing w:after="0" w:line="170" w:lineRule="exact"/>
              <w:rPr>
                <w:sz w:val="20"/>
                <w:szCs w:val="20"/>
                <w:color w:val="auto"/>
              </w:rPr>
            </w:pPr>
            <w:r>
              <w:rPr>
                <w:rFonts w:ascii="Arial" w:cs="Arial" w:eastAsia="Arial" w:hAnsi="Arial"/>
                <w:sz w:val="15"/>
                <w:szCs w:val="15"/>
                <w:color w:val="auto"/>
              </w:rPr>
              <w:t>•</w:t>
            </w:r>
          </w:p>
        </w:tc>
        <w:tc>
          <w:tcPr>
            <w:tcW w:w="300" w:type="dxa"/>
            <w:vAlign w:val="bottom"/>
            <w:vMerge w:val="restart"/>
          </w:tcPr>
          <w:p>
            <w:pPr>
              <w:ind w:left="120"/>
              <w:spacing w:after="0" w:line="170" w:lineRule="exact"/>
              <w:rPr>
                <w:sz w:val="20"/>
                <w:szCs w:val="20"/>
                <w:color w:val="auto"/>
              </w:rPr>
            </w:pPr>
            <w:r>
              <w:rPr>
                <w:rFonts w:ascii="Arial" w:cs="Arial" w:eastAsia="Arial" w:hAnsi="Arial"/>
                <w:sz w:val="15"/>
                <w:szCs w:val="15"/>
                <w:color w:val="auto"/>
              </w:rPr>
              <w:t>•</w:t>
            </w:r>
          </w:p>
        </w:tc>
        <w:tc>
          <w:tcPr>
            <w:tcW w:w="720" w:type="dxa"/>
            <w:vAlign w:val="bottom"/>
            <w:vMerge w:val="restart"/>
          </w:tcPr>
          <w:p>
            <w:pPr>
              <w:ind w:left="140"/>
              <w:spacing w:after="0"/>
              <w:rPr>
                <w:sz w:val="20"/>
                <w:szCs w:val="20"/>
                <w:color w:val="auto"/>
              </w:rPr>
            </w:pPr>
            <w:r>
              <w:rPr>
                <w:rFonts w:ascii="Arial" w:cs="Arial" w:eastAsia="Arial" w:hAnsi="Arial"/>
                <w:sz w:val="21"/>
                <w:szCs w:val="21"/>
                <w:b w:val="1"/>
                <w:bCs w:val="1"/>
                <w:color w:val="auto"/>
              </w:rPr>
              <w:t xml:space="preserve">iii, </w:t>
            </w:r>
            <w:r>
              <w:rPr>
                <w:rFonts w:ascii="Arial" w:cs="Arial" w:eastAsia="Arial" w:hAnsi="Arial"/>
                <w:sz w:val="23"/>
                <w:szCs w:val="23"/>
                <w:b w:val="1"/>
                <w:bCs w:val="1"/>
                <w:color w:val="auto"/>
              </w:rPr>
              <w:t>a ,</w:t>
            </w:r>
          </w:p>
        </w:tc>
        <w:tc>
          <w:tcPr>
            <w:tcW w:w="0" w:type="dxa"/>
            <w:vAlign w:val="bottom"/>
          </w:tcPr>
          <w:p>
            <w:pPr>
              <w:spacing w:after="0"/>
              <w:rPr>
                <w:sz w:val="1"/>
                <w:szCs w:val="1"/>
                <w:color w:val="auto"/>
              </w:rPr>
            </w:pPr>
          </w:p>
        </w:tc>
      </w:tr>
      <w:tr>
        <w:trPr>
          <w:trHeight w:val="214"/>
        </w:trPr>
        <w:tc>
          <w:tcPr>
            <w:tcW w:w="1480" w:type="dxa"/>
            <w:vAlign w:val="bottom"/>
            <w:gridSpan w:val="3"/>
          </w:tcPr>
          <w:p>
            <w:pPr>
              <w:spacing w:after="0" w:line="194" w:lineRule="exact"/>
              <w:rPr>
                <w:sz w:val="20"/>
                <w:szCs w:val="20"/>
                <w:color w:val="auto"/>
              </w:rPr>
            </w:pPr>
            <w:r>
              <w:rPr>
                <w:rFonts w:ascii="Times New Roman" w:cs="Times New Roman" w:eastAsia="Times New Roman" w:hAnsi="Times New Roman"/>
                <w:sz w:val="17"/>
                <w:szCs w:val="17"/>
                <w:b w:val="1"/>
                <w:bCs w:val="1"/>
                <w:color w:val="auto"/>
              </w:rPr>
              <w:t xml:space="preserve">• ttllt tt </w:t>
            </w:r>
            <w:r>
              <w:rPr>
                <w:rFonts w:ascii="Arial" w:cs="Arial" w:eastAsia="Arial" w:hAnsi="Arial"/>
                <w:sz w:val="12"/>
                <w:szCs w:val="12"/>
                <w:b w:val="1"/>
                <w:bCs w:val="1"/>
                <w:color w:val="auto"/>
              </w:rPr>
              <w:t>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5"/>
                <w:szCs w:val="15"/>
                <w:b w:val="1"/>
                <w:bCs w:val="1"/>
                <w:color w:val="auto"/>
              </w:rPr>
              <w:t>tt</w:t>
            </w:r>
            <w:r>
              <w:rPr>
                <w:rFonts w:ascii="Times New Roman" w:cs="Times New Roman" w:eastAsia="Times New Roman" w:hAnsi="Times New Roman"/>
                <w:sz w:val="17"/>
                <w:szCs w:val="17"/>
                <w:b w:val="1"/>
                <w:bCs w:val="1"/>
                <w:color w:val="auto"/>
              </w:rPr>
              <w:t xml:space="preserve"> </w:t>
            </w:r>
            <w:r>
              <w:rPr>
                <w:rFonts w:ascii="Arial" w:cs="Arial" w:eastAsia="Arial" w:hAnsi="Arial"/>
                <w:sz w:val="14"/>
                <w:szCs w:val="14"/>
                <w:b w:val="1"/>
                <w:bCs w:val="1"/>
                <w:color w:val="auto"/>
              </w:rPr>
              <w:t>l ftf</w:t>
            </w:r>
          </w:p>
        </w:tc>
        <w:tc>
          <w:tcPr>
            <w:tcW w:w="1560" w:type="dxa"/>
            <w:vAlign w:val="bottom"/>
          </w:tcPr>
          <w:p>
            <w:pPr>
              <w:jc w:val="center"/>
              <w:ind w:left="107"/>
              <w:spacing w:after="0"/>
              <w:rPr>
                <w:sz w:val="20"/>
                <w:szCs w:val="20"/>
                <w:color w:val="auto"/>
              </w:rPr>
            </w:pPr>
            <w:r>
              <w:rPr>
                <w:rFonts w:ascii="Arial" w:cs="Arial" w:eastAsia="Arial" w:hAnsi="Arial"/>
                <w:sz w:val="14"/>
                <w:szCs w:val="14"/>
                <w:color w:val="auto"/>
              </w:rPr>
              <w:t xml:space="preserve">- - </w:t>
            </w:r>
            <w:r>
              <w:rPr>
                <w:rFonts w:ascii="Arial" w:cs="Arial" w:eastAsia="Arial" w:hAnsi="Arial"/>
                <w:sz w:val="17"/>
                <w:szCs w:val="17"/>
                <w:color w:val="auto"/>
              </w:rPr>
              <w:t>..,.:... ~</w:t>
            </w:r>
            <w:r>
              <w:rPr>
                <w:rFonts w:ascii="Arial" w:cs="Arial" w:eastAsia="Arial" w:hAnsi="Arial"/>
                <w:sz w:val="14"/>
                <w:szCs w:val="14"/>
                <w:color w:val="auto"/>
              </w:rPr>
              <w:t xml:space="preserve"> --- , </w:t>
            </w:r>
            <w:r>
              <w:rPr>
                <w:rFonts w:ascii="Times New Roman" w:cs="Times New Roman" w:eastAsia="Times New Roman" w:hAnsi="Times New Roman"/>
                <w:sz w:val="16"/>
                <w:szCs w:val="16"/>
                <w:b w:val="1"/>
                <w:bCs w:val="1"/>
                <w:color w:val="auto"/>
              </w:rPr>
              <w:t>t.</w:t>
            </w:r>
          </w:p>
        </w:tc>
        <w:tc>
          <w:tcPr>
            <w:tcW w:w="540" w:type="dxa"/>
            <w:vAlign w:val="bottom"/>
            <w:gridSpan w:val="2"/>
          </w:tcPr>
          <w:p>
            <w:pPr>
              <w:ind w:left="20"/>
              <w:spacing w:after="0"/>
              <w:rPr>
                <w:sz w:val="20"/>
                <w:szCs w:val="20"/>
                <w:color w:val="auto"/>
              </w:rPr>
            </w:pPr>
            <w:r>
              <w:rPr>
                <w:rFonts w:ascii="Arial" w:cs="Arial" w:eastAsia="Arial" w:hAnsi="Arial"/>
                <w:sz w:val="17"/>
                <w:szCs w:val="17"/>
                <w:color w:val="auto"/>
              </w:rPr>
              <w:t xml:space="preserve">II~ </w:t>
            </w:r>
            <w:r>
              <w:rPr>
                <w:rFonts w:ascii="Arial" w:cs="Arial" w:eastAsia="Arial" w:hAnsi="Arial"/>
                <w:sz w:val="14"/>
                <w:szCs w:val="14"/>
                <w:b w:val="1"/>
                <w:bCs w:val="1"/>
                <w:color w:val="auto"/>
              </w:rPr>
              <w:t>t i t</w:t>
            </w:r>
          </w:p>
        </w:tc>
        <w:tc>
          <w:tcPr>
            <w:tcW w:w="1340" w:type="dxa"/>
            <w:vAlign w:val="bottom"/>
            <w:vMerge w:val="continue"/>
          </w:tcPr>
          <w:p>
            <w:pPr>
              <w:spacing w:after="0"/>
              <w:rPr>
                <w:sz w:val="18"/>
                <w:szCs w:val="18"/>
                <w:color w:val="auto"/>
              </w:rPr>
            </w:pPr>
          </w:p>
        </w:tc>
        <w:tc>
          <w:tcPr>
            <w:tcW w:w="1800" w:type="dxa"/>
            <w:vAlign w:val="bottom"/>
          </w:tcPr>
          <w:p>
            <w:pPr>
              <w:ind w:left="40"/>
              <w:spacing w:after="0"/>
              <w:rPr>
                <w:sz w:val="20"/>
                <w:szCs w:val="20"/>
                <w:color w:val="auto"/>
              </w:rPr>
            </w:pPr>
            <w:r>
              <w:rPr>
                <w:rFonts w:ascii="Arial" w:cs="Arial" w:eastAsia="Arial" w:hAnsi="Arial"/>
                <w:sz w:val="15"/>
                <w:szCs w:val="15"/>
                <w:b w:val="1"/>
                <w:bCs w:val="1"/>
                <w:color w:val="auto"/>
              </w:rPr>
              <w:t xml:space="preserve">t  </w:t>
            </w:r>
            <w:r>
              <w:rPr>
                <w:rFonts w:ascii="Arial" w:cs="Arial" w:eastAsia="Arial" w:hAnsi="Arial"/>
                <w:sz w:val="15"/>
                <w:szCs w:val="15"/>
                <w:color w:val="auto"/>
              </w:rPr>
              <w:t>'</w:t>
            </w:r>
          </w:p>
        </w:tc>
        <w:tc>
          <w:tcPr>
            <w:tcW w:w="3780" w:type="dxa"/>
            <w:vAlign w:val="bottom"/>
          </w:tcPr>
          <w:p>
            <w:pPr>
              <w:spacing w:after="0"/>
              <w:rPr>
                <w:sz w:val="18"/>
                <w:szCs w:val="18"/>
                <w:color w:val="auto"/>
              </w:rPr>
            </w:pPr>
          </w:p>
        </w:tc>
        <w:tc>
          <w:tcPr>
            <w:tcW w:w="2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9949180"/>
                    </a:xfrm>
                    <a:prstGeom prst="rect">
                      <a:avLst/>
                    </a:prstGeom>
                    <a:noFill/>
                  </pic:spPr>
                </pic:pic>
              </a:graphicData>
            </a:graphic>
          </wp:anchor>
        </w:drawing>
        <mc:AlternateContent>
          <mc:Choice Requires="wps">
            <w:drawing>
              <wp:anchor simplePos="0" relativeHeight="251657728" behindDoc="1" locked="0" layoutInCell="0" allowOverlap="1">
                <wp:simplePos x="0" y="0"/>
                <wp:positionH relativeFrom="column">
                  <wp:posOffset>337820</wp:posOffset>
                </wp:positionH>
                <wp:positionV relativeFrom="paragraph">
                  <wp:posOffset>-46990</wp:posOffset>
                </wp:positionV>
                <wp:extent cx="7620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7620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6pt,-3.6999pt" to="32.6pt,-3.6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1466215</wp:posOffset>
                </wp:positionH>
                <wp:positionV relativeFrom="paragraph">
                  <wp:posOffset>-75565</wp:posOffset>
                </wp:positionV>
                <wp:extent cx="35560"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3556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15.45pt,-5.9499pt" to="118.25pt,-5.9499pt" o:allowincell="f" strokecolor="#000000" strokeweight="1pt"/>
            </w:pict>
          </mc:Fallback>
        </mc:AlternateContent>
      </w:r>
    </w:p>
    <w:p>
      <w:pPr>
        <w:spacing w:after="0" w:line="200" w:lineRule="exact"/>
        <w:rPr>
          <w:sz w:val="20"/>
          <w:szCs w:val="20"/>
          <w:color w:val="auto"/>
        </w:rPr>
      </w:pPr>
    </w:p>
    <w:p>
      <w:pPr>
        <w:spacing w:after="0" w:line="224" w:lineRule="exact"/>
        <w:rPr>
          <w:sz w:val="20"/>
          <w:szCs w:val="20"/>
          <w:color w:val="auto"/>
        </w:rPr>
      </w:pPr>
    </w:p>
    <w:p>
      <w:pPr>
        <w:ind w:left="2220" w:right="1660" w:hanging="868"/>
        <w:spacing w:after="0" w:line="180" w:lineRule="auto"/>
        <w:rPr>
          <w:sz w:val="20"/>
          <w:szCs w:val="20"/>
          <w:color w:val="auto"/>
        </w:rPr>
      </w:pPr>
      <w:r>
        <w:rPr>
          <w:rFonts w:ascii="Arial" w:cs="Arial" w:eastAsia="Arial" w:hAnsi="Arial"/>
          <w:sz w:val="116"/>
          <w:szCs w:val="116"/>
          <w:color w:val="auto"/>
        </w:rPr>
        <w:t xml:space="preserve">I </w:t>
      </w:r>
      <w:r>
        <w:rPr>
          <w:rFonts w:ascii="Arial" w:cs="Arial" w:eastAsia="Arial" w:hAnsi="Arial"/>
          <w:sz w:val="24"/>
          <w:szCs w:val="24"/>
          <w:b w:val="1"/>
          <w:bCs w:val="1"/>
          <w:color w:val="auto"/>
        </w:rPr>
        <w:t>''We exit 2024 with a uniquely good balance sheet and flexibility</w:t>
      </w:r>
      <w:r>
        <w:rPr>
          <w:rFonts w:ascii="Arial" w:cs="Arial" w:eastAsia="Arial" w:hAnsi="Arial"/>
          <w:sz w:val="116"/>
          <w:szCs w:val="116"/>
          <w:color w:val="auto"/>
        </w:rPr>
        <w:t xml:space="preserve"> </w:t>
      </w:r>
      <w:r>
        <w:rPr>
          <w:rFonts w:ascii="Arial" w:cs="Arial" w:eastAsia="Arial" w:hAnsi="Arial"/>
          <w:sz w:val="24"/>
          <w:szCs w:val="24"/>
          <w:b w:val="1"/>
          <w:bCs w:val="1"/>
          <w:color w:val="auto"/>
        </w:rPr>
        <w:t xml:space="preserve">to look at whatever opportunities may come our way. </w:t>
      </w:r>
      <w:r>
        <w:rPr>
          <w:rFonts w:ascii="Arial" w:cs="Arial" w:eastAsia="Arial" w:hAnsi="Arial"/>
          <w:sz w:val="24"/>
          <w:szCs w:val="24"/>
          <w:color w:val="auto"/>
        </w:rPr>
        <w:t>'</w:t>
      </w:r>
    </w:p>
    <w:p>
      <w:pPr>
        <w:sectPr>
          <w:pgSz w:w="12240" w:h="15668" w:orient="portrait"/>
          <w:cols w:equalWidth="0" w:num="1">
            <w:col w:w="12180"/>
          </w:cols>
          <w:pgMar w:left="20" w:top="9" w:right="45"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1420" w:firstLine="8"/>
        <w:spacing w:after="0" w:line="332" w:lineRule="auto"/>
        <w:rPr>
          <w:sz w:val="20"/>
          <w:szCs w:val="20"/>
          <w:color w:val="auto"/>
        </w:rPr>
      </w:pPr>
      <w:r>
        <w:rPr>
          <w:rFonts w:ascii="Arial" w:cs="Arial" w:eastAsia="Arial" w:hAnsi="Arial"/>
          <w:sz w:val="20"/>
          <w:szCs w:val="20"/>
          <w:color w:val="auto"/>
        </w:rPr>
        <w:t>have equally long-term views. If you invest for years, not quarters, you'vefound the right company, as that'show we manage the place.</w:t>
      </w:r>
    </w:p>
    <w:p>
      <w:pPr>
        <w:spacing w:after="0" w:line="333" w:lineRule="exact"/>
        <w:rPr>
          <w:sz w:val="20"/>
          <w:szCs w:val="20"/>
          <w:color w:val="auto"/>
        </w:rPr>
      </w:pPr>
    </w:p>
    <w:p>
      <w:pPr>
        <w:jc w:val="both"/>
        <w:ind w:left="1420"/>
        <w:spacing w:after="0" w:line="332" w:lineRule="auto"/>
        <w:rPr>
          <w:sz w:val="20"/>
          <w:szCs w:val="20"/>
          <w:color w:val="auto"/>
        </w:rPr>
      </w:pPr>
      <w:r>
        <w:rPr>
          <w:rFonts w:ascii="Arial" w:cs="Arial" w:eastAsia="Arial" w:hAnsi="Arial"/>
          <w:sz w:val="20"/>
          <w:szCs w:val="20"/>
          <w:color w:val="auto"/>
        </w:rPr>
        <w:t>We invite you to come see for you rself at t his year'sAnnual Meeting, to be held at The Hamilton Live in Washington. DC., on May 6, 2025. W hile you'rethere. say hello to Pinkie Mayfield, our longtime Chief Communications Officer. who retired at the end of 2024. Pinkie agreed to help us out by leading the efforts on one fina l annual report and annual meeting.</w:t>
      </w:r>
    </w:p>
    <w:p>
      <w:pPr>
        <w:spacing w:after="0" w:line="335" w:lineRule="exact"/>
        <w:rPr>
          <w:sz w:val="20"/>
          <w:szCs w:val="20"/>
          <w:color w:val="auto"/>
        </w:rPr>
      </w:pPr>
    </w:p>
    <w:p>
      <w:pPr>
        <w:jc w:val="both"/>
        <w:ind w:left="1420" w:firstLine="8"/>
        <w:spacing w:after="0" w:line="334" w:lineRule="auto"/>
        <w:rPr>
          <w:sz w:val="20"/>
          <w:szCs w:val="20"/>
          <w:color w:val="auto"/>
        </w:rPr>
      </w:pPr>
      <w:r>
        <w:rPr>
          <w:rFonts w:ascii="Arial" w:cs="Arial" w:eastAsia="Arial" w:hAnsi="Arial"/>
          <w:sz w:val="20"/>
          <w:szCs w:val="20"/>
          <w:color w:val="auto"/>
        </w:rPr>
        <w:t>Many of you may have met or interacted with Pinkie; over her 26 year career. she has made immeasurable contribution s in roles ranging from finance to procurement to communications. Every company has some-one who steps up to the plate no matter the task. At Graham Holdings, that has been Pinkie Mayfield. If you'vehad the pleasure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both"/>
        <w:ind w:right="1400"/>
        <w:spacing w:after="0" w:line="332" w:lineRule="auto"/>
        <w:rPr>
          <w:sz w:val="20"/>
          <w:szCs w:val="20"/>
          <w:color w:val="auto"/>
        </w:rPr>
      </w:pPr>
      <w:r>
        <w:rPr>
          <w:rFonts w:ascii="Arial" w:cs="Arial" w:eastAsia="Arial" w:hAnsi="Arial"/>
          <w:sz w:val="20"/>
          <w:szCs w:val="20"/>
          <w:color w:val="auto"/>
        </w:rPr>
        <w:t>spending time with her. you know there is no finer steward of the Company's reputation and care for shareholders.</w:t>
      </w:r>
    </w:p>
    <w:p>
      <w:pPr>
        <w:spacing w:after="0" w:line="333" w:lineRule="exact"/>
        <w:rPr>
          <w:sz w:val="20"/>
          <w:szCs w:val="20"/>
          <w:color w:val="auto"/>
        </w:rPr>
      </w:pPr>
    </w:p>
    <w:p>
      <w:pPr>
        <w:ind w:right="1300" w:firstLine="6"/>
        <w:spacing w:after="0" w:line="333" w:lineRule="auto"/>
        <w:rPr>
          <w:sz w:val="20"/>
          <w:szCs w:val="20"/>
          <w:color w:val="auto"/>
        </w:rPr>
      </w:pPr>
      <w:r>
        <w:rPr>
          <w:rFonts w:ascii="Arial" w:cs="Arial" w:eastAsia="Arial" w:hAnsi="Arial"/>
          <w:sz w:val="20"/>
          <w:szCs w:val="20"/>
          <w:color w:val="auto"/>
        </w:rPr>
        <w:t>In addition to Pinkie, you'llbe able to meet many members of management AND enjoy delicious food from The Hamilton. While we'll provide you with breakfast, we encourage you to grab lunch around the corner at the Old Ebbitt Grill. If you'relike me, it always feels a little better to spend money on the products of a company where you are a shareholder. In this case, we encourage you to open your wallets and see if you can feel a lot better.</w:t>
      </w:r>
    </w:p>
    <w:p>
      <w:pPr>
        <w:spacing w:after="0" w:line="328" w:lineRule="exact"/>
        <w:rPr>
          <w:sz w:val="20"/>
          <w:szCs w:val="20"/>
          <w:color w:val="auto"/>
        </w:rPr>
      </w:pPr>
    </w:p>
    <w:p>
      <w:pPr>
        <w:ind w:left="20" w:right="1420" w:hanging="8"/>
        <w:spacing w:after="0" w:line="326" w:lineRule="auto"/>
        <w:rPr>
          <w:sz w:val="20"/>
          <w:szCs w:val="20"/>
          <w:color w:val="auto"/>
        </w:rPr>
      </w:pPr>
      <w:r>
        <w:rPr>
          <w:rFonts w:ascii="Arial" w:cs="Arial" w:eastAsia="Arial" w:hAnsi="Arial"/>
          <w:sz w:val="20"/>
          <w:szCs w:val="20"/>
          <w:color w:val="auto"/>
        </w:rPr>
        <w:t>Once again, thank you for your support and partnership.</w:t>
      </w:r>
    </w:p>
    <w:p>
      <w:pPr>
        <w:spacing w:after="0" w:line="3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Timothy </w:t>
      </w:r>
      <w:r>
        <w:rPr>
          <w:rFonts w:ascii="Arial" w:cs="Arial" w:eastAsia="Arial" w:hAnsi="Arial"/>
          <w:sz w:val="19"/>
          <w:szCs w:val="19"/>
          <w:b w:val="1"/>
          <w:bCs w:val="1"/>
          <w:color w:val="auto"/>
        </w:rPr>
        <w:t>J.</w:t>
      </w:r>
      <w:r>
        <w:rPr>
          <w:rFonts w:ascii="Arial" w:cs="Arial" w:eastAsia="Arial" w:hAnsi="Arial"/>
          <w:sz w:val="20"/>
          <w:szCs w:val="20"/>
          <w:b w:val="1"/>
          <w:bCs w:val="1"/>
          <w:color w:val="auto"/>
        </w:rPr>
        <w:t xml:space="preserve"> O'Shaughnessy</w:t>
      </w:r>
    </w:p>
    <w:p>
      <w:pPr>
        <w:spacing w:after="0" w:line="85" w:lineRule="exact"/>
        <w:rPr>
          <w:sz w:val="20"/>
          <w:szCs w:val="20"/>
          <w:color w:val="auto"/>
        </w:rPr>
      </w:pPr>
    </w:p>
    <w:p>
      <w:pPr>
        <w:ind w:left="20"/>
        <w:spacing w:after="0"/>
        <w:rPr>
          <w:sz w:val="20"/>
          <w:szCs w:val="20"/>
          <w:color w:val="auto"/>
        </w:rPr>
      </w:pPr>
      <w:r>
        <w:rPr>
          <w:rFonts w:ascii="Arial" w:cs="Arial" w:eastAsia="Arial" w:hAnsi="Arial"/>
          <w:sz w:val="20"/>
          <w:szCs w:val="20"/>
          <w:color w:val="auto"/>
        </w:rPr>
        <w:t>President and Chief Executive Officer</w:t>
      </w:r>
    </w:p>
    <w:p>
      <w:pPr>
        <w:spacing w:after="0" w:line="101" w:lineRule="exact"/>
        <w:rPr>
          <w:sz w:val="20"/>
          <w:szCs w:val="20"/>
          <w:color w:val="auto"/>
        </w:rPr>
      </w:pPr>
    </w:p>
    <w:p>
      <w:pPr>
        <w:spacing w:after="0"/>
        <w:rPr>
          <w:sz w:val="20"/>
          <w:szCs w:val="20"/>
          <w:color w:val="auto"/>
        </w:rPr>
      </w:pPr>
      <w:r>
        <w:rPr>
          <w:rFonts w:ascii="Arial" w:cs="Arial" w:eastAsia="Arial" w:hAnsi="Arial"/>
          <w:sz w:val="19"/>
          <w:szCs w:val="19"/>
          <w:i w:val="1"/>
          <w:iCs w:val="1"/>
          <w:color w:val="auto"/>
        </w:rPr>
        <w:t>February 25, 2025</w:t>
      </w:r>
    </w:p>
    <w:p>
      <w:pPr>
        <w:spacing w:after="0" w:line="200" w:lineRule="exact"/>
        <w:rPr>
          <w:sz w:val="20"/>
          <w:szCs w:val="20"/>
          <w:color w:val="auto"/>
        </w:rPr>
      </w:pPr>
    </w:p>
    <w:p>
      <w:pPr>
        <w:sectPr>
          <w:pgSz w:w="12240" w:h="15668" w:orient="portrait"/>
          <w:cols w:equalWidth="0" w:num="2">
            <w:col w:w="5840" w:space="520"/>
            <w:col w:w="5820"/>
          </w:cols>
          <w:pgMar w:left="20" w:top="9" w:right="4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8760"/>
        <w:spacing w:after="0"/>
        <w:rPr>
          <w:sz w:val="20"/>
          <w:szCs w:val="20"/>
          <w:color w:val="auto"/>
        </w:rPr>
      </w:pPr>
      <w:r>
        <w:rPr>
          <w:rFonts w:ascii="Arial" w:cs="Arial" w:eastAsia="Arial" w:hAnsi="Arial"/>
          <w:sz w:val="14"/>
          <w:szCs w:val="14"/>
          <w:i w:val="1"/>
          <w:iCs w:val="1"/>
          <w:color w:val="auto"/>
        </w:rPr>
        <w:t xml:space="preserve">2024 ANNUAL REPORT </w:t>
      </w:r>
      <w:r>
        <w:rPr>
          <w:rFonts w:ascii="Arial" w:cs="Arial" w:eastAsia="Arial" w:hAnsi="Arial"/>
          <w:sz w:val="18"/>
          <w:szCs w:val="18"/>
          <w:color w:val="auto"/>
        </w:rPr>
        <w:t>I</w:t>
      </w:r>
      <w:r>
        <w:rPr>
          <w:rFonts w:ascii="Arial" w:cs="Arial" w:eastAsia="Arial" w:hAnsi="Arial"/>
          <w:sz w:val="14"/>
          <w:szCs w:val="14"/>
          <w:i w:val="1"/>
          <w:iCs w:val="1"/>
          <w:color w:val="auto"/>
        </w:rPr>
        <w:t xml:space="preserve"> </w:t>
      </w:r>
      <w:r>
        <w:rPr>
          <w:rFonts w:ascii="Times New Roman" w:cs="Times New Roman" w:eastAsia="Times New Roman" w:hAnsi="Times New Roman"/>
          <w:sz w:val="14"/>
          <w:szCs w:val="14"/>
          <w:b w:val="1"/>
          <w:bCs w:val="1"/>
          <w:color w:val="auto"/>
        </w:rPr>
        <w:t>9</w:t>
      </w:r>
    </w:p>
    <w:p>
      <w:pPr>
        <w:sectPr>
          <w:pgSz w:w="12240" w:h="15668" w:orient="portrait"/>
          <w:cols w:equalWidth="0" w:num="1">
            <w:col w:w="12180"/>
          </w:cols>
          <w:pgMar w:left="20" w:top="9" w:right="45" w:bottom="0" w:gutter="0" w:footer="0" w:header="0"/>
          <w:type w:val="continuous"/>
        </w:sectPr>
      </w:pPr>
    </w:p>
    <w:bookmarkStart w:id="11" w:name="page12"/>
    <w:bookmarkEnd w:id="11"/>
    <w:p>
      <w:pPr>
        <w:spacing w:after="0" w:line="182" w:lineRule="auto"/>
        <w:tabs>
          <w:tab w:leader="none" w:pos="660" w:val="left"/>
          <w:tab w:leader="none" w:pos="820" w:val="left"/>
          <w:tab w:leader="none" w:pos="980" w:val="left"/>
          <w:tab w:leader="none" w:pos="1240" w:val="left"/>
          <w:tab w:leader="none" w:pos="3140" w:val="left"/>
        </w:tabs>
        <w:rPr>
          <w:sz w:val="20"/>
          <w:szCs w:val="20"/>
          <w:color w:val="auto"/>
        </w:rPr>
      </w:pPr>
      <w:r>
        <w:rPr>
          <w:rFonts w:ascii="Arial" w:cs="Arial" w:eastAsia="Arial" w:hAnsi="Arial"/>
          <w:sz w:val="7"/>
          <w:szCs w:val="7"/>
          <w:color w:val="auto"/>
        </w:rPr>
        <w:t>••</w:t>
      </w:r>
      <w:r>
        <w:rPr>
          <w:sz w:val="20"/>
          <w:szCs w:val="20"/>
          <w:color w:val="auto"/>
        </w:rPr>
        <w:tab/>
      </w:r>
      <w:r>
        <w:rPr>
          <w:rFonts w:ascii="Arial" w:cs="Arial" w:eastAsia="Arial" w:hAnsi="Arial"/>
          <w:sz w:val="7"/>
          <w:szCs w:val="7"/>
          <w:color w:val="auto"/>
        </w:rPr>
        <w:t>,</w:t>
      </w:r>
      <w:r>
        <w:rPr>
          <w:sz w:val="20"/>
          <w:szCs w:val="20"/>
          <w:color w:val="auto"/>
        </w:rPr>
        <w:tab/>
      </w:r>
      <w:r>
        <w:rPr>
          <w:rFonts w:ascii="Arial" w:cs="Arial" w:eastAsia="Arial" w:hAnsi="Arial"/>
          <w:sz w:val="7"/>
          <w:szCs w:val="7"/>
          <w:color w:val="auto"/>
        </w:rPr>
        <w:t>,</w:t>
      </w:r>
      <w:r>
        <w:rPr>
          <w:sz w:val="20"/>
          <w:szCs w:val="20"/>
          <w:color w:val="auto"/>
        </w:rPr>
        <w:tab/>
      </w:r>
      <w:r>
        <w:rPr>
          <w:rFonts w:ascii="Arial" w:cs="Arial" w:eastAsia="Arial" w:hAnsi="Arial"/>
          <w:sz w:val="7"/>
          <w:szCs w:val="7"/>
          <w:color w:val="auto"/>
        </w:rPr>
        <w:t>. ,</w:t>
      </w:r>
      <w:r>
        <w:rPr>
          <w:sz w:val="20"/>
          <w:szCs w:val="20"/>
          <w:color w:val="auto"/>
        </w:rPr>
        <w:tab/>
      </w:r>
      <w:r>
        <w:rPr>
          <w:rFonts w:ascii="Arial" w:cs="Arial" w:eastAsia="Arial" w:hAnsi="Arial"/>
          <w:sz w:val="7"/>
          <w:szCs w:val="7"/>
          <w:color w:val="auto"/>
        </w:rPr>
        <w:t>. ,</w:t>
      </w:r>
      <w:r>
        <w:rPr>
          <w:sz w:val="20"/>
          <w:szCs w:val="20"/>
          <w:color w:val="auto"/>
        </w:rPr>
        <w:tab/>
      </w:r>
      <w:r>
        <w:rPr>
          <w:rFonts w:ascii="Times New Roman" w:cs="Times New Roman" w:eastAsia="Times New Roman" w:hAnsi="Times New Roman"/>
          <w:sz w:val="50"/>
          <w:szCs w:val="50"/>
          <w:color w:val="auto"/>
        </w:rPr>
        <w:t xml:space="preserve">. </w:t>
      </w:r>
      <w:r>
        <w:rPr>
          <w:rFonts w:ascii="Arial" w:cs="Arial" w:eastAsia="Arial" w:hAnsi="Arial"/>
          <w:sz w:val="5"/>
          <w:szCs w:val="5"/>
          <w:color w:val="auto"/>
        </w:rPr>
        <w:t>I</w:t>
      </w:r>
    </w:p>
    <w:p>
      <w:pPr>
        <w:spacing w:after="0"/>
        <w:tabs>
          <w:tab w:leader="none" w:pos="320" w:val="left"/>
          <w:tab w:leader="none" w:pos="1260" w:val="left"/>
          <w:tab w:leader="none" w:pos="2120" w:val="left"/>
          <w:tab w:leader="none" w:pos="2380" w:val="left"/>
          <w:tab w:leader="none" w:pos="2640" w:val="left"/>
          <w:tab w:leader="none" w:pos="2920" w:val="left"/>
          <w:tab w:leader="none" w:pos="34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  , .  , •</w:t>
        <w:tab/>
        <w:t>•</w:t>
      </w:r>
      <w:r>
        <w:rPr>
          <w:sz w:val="20"/>
          <w:szCs w:val="20"/>
          <w:color w:val="auto"/>
        </w:rPr>
        <w:tab/>
      </w:r>
      <w:r>
        <w:rPr>
          <w:rFonts w:ascii="Arial" w:cs="Arial" w:eastAsia="Arial" w:hAnsi="Arial"/>
          <w:sz w:val="18"/>
          <w:szCs w:val="18"/>
          <w:color w:val="auto"/>
        </w:rPr>
        <w:t>•</w:t>
        <w:tab/>
        <w:t>•</w:t>
        <w:tab/>
        <w:t>•</w:t>
        <w:tab/>
        <w:t>•</w:t>
      </w:r>
      <w:r>
        <w:rPr>
          <w:sz w:val="20"/>
          <w:szCs w:val="20"/>
          <w:color w:val="auto"/>
        </w:rPr>
        <w:tab/>
      </w:r>
      <w:r>
        <w:rPr>
          <w:rFonts w:ascii="Arial" w:cs="Arial" w:eastAsia="Arial" w:hAnsi="Arial"/>
          <w:sz w:val="14"/>
          <w:szCs w:val="14"/>
          <w:color w:val="auto"/>
        </w:rPr>
        <w:t>I</w:t>
      </w:r>
    </w:p>
    <w:p>
      <w:pPr>
        <w:spacing w:after="0" w:line="114" w:lineRule="exact"/>
        <w:rPr>
          <w:sz w:val="20"/>
          <w:szCs w:val="20"/>
          <w:color w:val="auto"/>
        </w:rPr>
      </w:pPr>
    </w:p>
    <w:p>
      <w:pPr>
        <w:jc w:val="right"/>
        <w:spacing w:after="0"/>
        <w:rPr>
          <w:sz w:val="20"/>
          <w:szCs w:val="20"/>
          <w:color w:val="auto"/>
        </w:rPr>
      </w:pPr>
      <w:r>
        <w:rPr>
          <w:rFonts w:ascii="Arial" w:cs="Arial" w:eastAsia="Arial" w:hAnsi="Arial"/>
          <w:sz w:val="60"/>
          <w:szCs w:val="60"/>
          <w:b w:val="1"/>
          <w:bCs w:val="1"/>
          <w:color w:val="auto"/>
        </w:rPr>
        <w:t>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534"/>
        </w:trPr>
        <w:tc>
          <w:tcPr>
            <w:tcW w:w="820" w:type="dxa"/>
            <w:vAlign w:val="bottom"/>
            <w:vMerge w:val="restart"/>
          </w:tcPr>
          <w:p>
            <w:pPr>
              <w:spacing w:after="0" w:line="371" w:lineRule="exact"/>
              <w:rPr>
                <w:sz w:val="20"/>
                <w:szCs w:val="20"/>
                <w:color w:val="auto"/>
              </w:rPr>
            </w:pPr>
            <w:r>
              <w:rPr>
                <w:rFonts w:ascii="Arial" w:cs="Arial" w:eastAsia="Arial" w:hAnsi="Arial"/>
                <w:sz w:val="15"/>
                <w:szCs w:val="15"/>
                <w:color w:val="auto"/>
              </w:rPr>
              <w:t xml:space="preserve">I  I  </w:t>
            </w:r>
            <w:r>
              <w:rPr>
                <w:rFonts w:ascii="Arial" w:cs="Arial" w:eastAsia="Arial" w:hAnsi="Arial"/>
                <w:sz w:val="43"/>
                <w:szCs w:val="43"/>
                <w:color w:val="auto"/>
              </w:rPr>
              <w:t>,,</w:t>
            </w:r>
            <w:r>
              <w:rPr>
                <w:rFonts w:ascii="Arial" w:cs="Arial" w:eastAsia="Arial" w:hAnsi="Arial"/>
                <w:sz w:val="15"/>
                <w:szCs w:val="15"/>
                <w:color w:val="auto"/>
              </w:rPr>
              <w:t>I</w:t>
            </w:r>
          </w:p>
        </w:tc>
        <w:tc>
          <w:tcPr>
            <w:tcW w:w="5900" w:type="dxa"/>
            <w:vAlign w:val="bottom"/>
            <w:gridSpan w:val="2"/>
          </w:tcPr>
          <w:p>
            <w:pPr>
              <w:jc w:val="right"/>
              <w:ind w:right="1468"/>
              <w:spacing w:after="0"/>
              <w:rPr>
                <w:sz w:val="20"/>
                <w:szCs w:val="20"/>
                <w:color w:val="auto"/>
              </w:rPr>
            </w:pP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2"/>
                <w:szCs w:val="12"/>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460" w:type="dxa"/>
            <w:vAlign w:val="bottom"/>
            <w:vMerge w:val="restart"/>
          </w:tcPr>
          <w:p>
            <w:pPr>
              <w:ind w:left="20"/>
              <w:spacing w:after="0" w:line="372" w:lineRule="exact"/>
              <w:rPr>
                <w:sz w:val="20"/>
                <w:szCs w:val="20"/>
                <w:color w:val="auto"/>
              </w:rPr>
            </w:pPr>
            <w:r>
              <w:rPr>
                <w:rFonts w:ascii="Arial" w:cs="Arial" w:eastAsia="Arial" w:hAnsi="Arial"/>
                <w:sz w:val="37"/>
                <w:szCs w:val="37"/>
                <w:color w:val="auto"/>
                <w:w w:val="85"/>
              </w:rPr>
              <w:t>.</w:t>
            </w:r>
            <w:r>
              <w:rPr>
                <w:rFonts w:ascii="Times New Roman" w:cs="Times New Roman" w:eastAsia="Times New Roman" w:hAnsi="Times New Roman"/>
                <w:sz w:val="24"/>
                <w:szCs w:val="24"/>
                <w:color w:val="auto"/>
                <w:w w:val="85"/>
              </w:rPr>
              <w:t>,</w:t>
            </w:r>
            <w:r>
              <w:rPr>
                <w:rFonts w:ascii="Arial" w:cs="Arial" w:eastAsia="Arial" w:hAnsi="Arial"/>
                <w:sz w:val="13"/>
                <w:szCs w:val="13"/>
                <w:b w:val="1"/>
                <w:bCs w:val="1"/>
                <w:color w:val="auto"/>
                <w:w w:val="85"/>
              </w:rPr>
              <w:t>tt</w:t>
            </w:r>
            <w:r>
              <w:rPr>
                <w:rFonts w:ascii="Times New Roman" w:cs="Times New Roman" w:eastAsia="Times New Roman" w:hAnsi="Times New Roman"/>
                <w:sz w:val="24"/>
                <w:szCs w:val="24"/>
                <w:color w:val="auto"/>
                <w:w w:val="85"/>
              </w:rPr>
              <w:t>.</w:t>
            </w:r>
            <w:r>
              <w:rPr>
                <w:rFonts w:ascii="Times New Roman" w:cs="Times New Roman" w:eastAsia="Times New Roman" w:hAnsi="Times New Roman"/>
                <w:sz w:val="42"/>
                <w:szCs w:val="42"/>
                <w:color w:val="auto"/>
                <w:w w:val="85"/>
              </w:rPr>
              <w:t>....</w:t>
            </w:r>
            <w:r>
              <w:rPr>
                <w:rFonts w:ascii="Times New Roman" w:cs="Times New Roman" w:eastAsia="Times New Roman" w:hAnsi="Times New Roman"/>
                <w:sz w:val="14"/>
                <w:szCs w:val="14"/>
                <w:b w:val="1"/>
                <w:bCs w:val="1"/>
                <w:color w:val="auto"/>
                <w:w w:val="85"/>
              </w:rPr>
              <w:t>t</w:t>
            </w:r>
            <w:r>
              <w:rPr>
                <w:rFonts w:ascii="Times New Roman" w:cs="Times New Roman" w:eastAsia="Times New Roman" w:hAnsi="Times New Roman"/>
                <w:sz w:val="17"/>
                <w:szCs w:val="17"/>
                <w:color w:val="auto"/>
                <w:w w:val="85"/>
                <w:vertAlign w:val="subscript"/>
              </w:rPr>
              <w:t>11</w:t>
            </w:r>
            <w:r>
              <w:rPr>
                <w:rFonts w:ascii="Times New Roman" w:cs="Times New Roman" w:eastAsia="Times New Roman" w:hAnsi="Times New Roman"/>
                <w:sz w:val="14"/>
                <w:szCs w:val="14"/>
                <w:b w:val="1"/>
                <w:bCs w:val="1"/>
                <w:color w:val="auto"/>
                <w:w w:val="85"/>
              </w:rPr>
              <w:t>U</w:t>
            </w:r>
            <w:r>
              <w:rPr>
                <w:rFonts w:ascii="Arial" w:cs="Arial" w:eastAsia="Arial" w:hAnsi="Arial"/>
                <w:sz w:val="37"/>
                <w:szCs w:val="37"/>
                <w:color w:val="auto"/>
                <w:w w:val="85"/>
              </w:rPr>
              <w:t xml:space="preserve"> </w:t>
            </w:r>
            <w:r>
              <w:rPr>
                <w:rFonts w:ascii="Times New Roman" w:cs="Times New Roman" w:eastAsia="Times New Roman" w:hAnsi="Times New Roman"/>
                <w:sz w:val="14"/>
                <w:szCs w:val="14"/>
                <w:b w:val="1"/>
                <w:bCs w:val="1"/>
                <w:color w:val="auto"/>
                <w:w w:val="85"/>
              </w:rPr>
              <w:t>n</w:t>
            </w:r>
            <w:r>
              <w:rPr>
                <w:rFonts w:ascii="Arial" w:cs="Arial" w:eastAsia="Arial" w:hAnsi="Arial"/>
                <w:sz w:val="37"/>
                <w:szCs w:val="37"/>
                <w:color w:val="auto"/>
                <w:w w:val="85"/>
              </w:rPr>
              <w:t xml:space="preserve"> </w:t>
            </w:r>
            <w:r>
              <w:rPr>
                <w:rFonts w:ascii="Times New Roman" w:cs="Times New Roman" w:eastAsia="Times New Roman" w:hAnsi="Times New Roman"/>
                <w:sz w:val="14"/>
                <w:szCs w:val="14"/>
                <w:color w:val="auto"/>
                <w:w w:val="85"/>
              </w:rPr>
              <w:t>....</w:t>
            </w:r>
            <w:r>
              <w:rPr>
                <w:rFonts w:ascii="Times New Roman" w:cs="Times New Roman" w:eastAsia="Times New Roman" w:hAnsi="Times New Roman"/>
                <w:sz w:val="14"/>
                <w:szCs w:val="14"/>
                <w:b w:val="1"/>
                <w:bCs w:val="1"/>
                <w:color w:val="auto"/>
                <w:w w:val="85"/>
              </w:rPr>
              <w:t>tll! '</w:t>
            </w:r>
          </w:p>
        </w:tc>
        <w:tc>
          <w:tcPr>
            <w:tcW w:w="0" w:type="dxa"/>
            <w:vAlign w:val="bottom"/>
          </w:tcPr>
          <w:p>
            <w:pPr>
              <w:spacing w:after="0"/>
              <w:rPr>
                <w:sz w:val="1"/>
                <w:szCs w:val="1"/>
                <w:color w:val="auto"/>
              </w:rPr>
            </w:pPr>
          </w:p>
        </w:tc>
      </w:tr>
      <w:tr>
        <w:trPr>
          <w:trHeight w:val="0"/>
        </w:trPr>
        <w:tc>
          <w:tcPr>
            <w:tcW w:w="820" w:type="dxa"/>
            <w:vAlign w:val="bottom"/>
            <w:vMerge w:val="continue"/>
          </w:tcPr>
          <w:p>
            <w:pPr>
              <w:spacing w:after="0" w:line="20" w:lineRule="exact"/>
              <w:rPr>
                <w:sz w:val="1"/>
                <w:szCs w:val="1"/>
                <w:color w:val="auto"/>
              </w:rPr>
            </w:pPr>
          </w:p>
        </w:tc>
        <w:tc>
          <w:tcPr>
            <w:tcW w:w="3160" w:type="dxa"/>
            <w:vAlign w:val="bottom"/>
          </w:tcPr>
          <w:p>
            <w:pPr>
              <w:ind w:left="80"/>
              <w:spacing w:after="0" w:line="162" w:lineRule="exact"/>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3"/>
                <w:szCs w:val="13"/>
                <w:color w:val="auto"/>
                <w:vertAlign w:val="subscript"/>
              </w:rPr>
              <w:t>4   4</w:t>
            </w:r>
            <w:r>
              <w:rPr>
                <w:rFonts w:ascii="Arial" w:cs="Arial" w:eastAsia="Arial" w:hAnsi="Arial"/>
                <w:sz w:val="18"/>
                <w:szCs w:val="18"/>
                <w:color w:val="auto"/>
              </w:rPr>
              <w:t xml:space="preserve">  </w:t>
            </w:r>
            <w:r>
              <w:rPr>
                <w:rFonts w:ascii="Times New Roman" w:cs="Times New Roman" w:eastAsia="Times New Roman" w:hAnsi="Times New Roman"/>
                <w:sz w:val="12"/>
                <w:szCs w:val="12"/>
                <w:b w:val="1"/>
                <w:bCs w:val="1"/>
                <w:color w:val="auto"/>
              </w:rPr>
              <w:t>t</w:t>
            </w:r>
            <w:r>
              <w:rPr>
                <w:rFonts w:ascii="Arial" w:cs="Arial" w:eastAsia="Arial" w:hAnsi="Arial"/>
                <w:sz w:val="18"/>
                <w:szCs w:val="18"/>
                <w:color w:val="auto"/>
              </w:rPr>
              <w:t xml:space="preserve">  </w:t>
            </w:r>
            <w:r>
              <w:rPr>
                <w:rFonts w:ascii="Arial" w:cs="Arial" w:eastAsia="Arial" w:hAnsi="Arial"/>
                <w:sz w:val="12"/>
                <w:szCs w:val="12"/>
                <w:b w:val="1"/>
                <w:bCs w:val="1"/>
                <w:color w:val="auto"/>
              </w:rPr>
              <w:t>t</w:t>
            </w:r>
            <w:r>
              <w:rPr>
                <w:rFonts w:ascii="Arial" w:cs="Arial" w:eastAsia="Arial" w:hAnsi="Arial"/>
                <w:sz w:val="18"/>
                <w:szCs w:val="18"/>
                <w:color w:val="auto"/>
              </w:rPr>
              <w:t xml:space="preserve">  </w:t>
            </w:r>
            <w:r>
              <w:rPr>
                <w:rFonts w:ascii="Times New Roman" w:cs="Times New Roman" w:eastAsia="Times New Roman" w:hAnsi="Times New Roman"/>
                <w:sz w:val="12"/>
                <w:szCs w:val="12"/>
                <w:b w:val="1"/>
                <w:bCs w:val="1"/>
                <w:color w:val="auto"/>
              </w:rPr>
              <w:t>I  I ,</w:t>
            </w:r>
            <w:r>
              <w:rPr>
                <w:rFonts w:ascii="Times New Roman" w:cs="Times New Roman" w:eastAsia="Times New Roman" w:hAnsi="Times New Roman"/>
                <w:sz w:val="13"/>
                <w:szCs w:val="13"/>
                <w:b w:val="1"/>
                <w:bCs w:val="1"/>
                <w:color w:val="auto"/>
                <w:vertAlign w:val="subscript"/>
              </w:rPr>
              <w:t>1</w:t>
            </w:r>
          </w:p>
        </w:tc>
        <w:tc>
          <w:tcPr>
            <w:tcW w:w="2920" w:type="dxa"/>
            <w:vAlign w:val="bottom"/>
            <w:gridSpan w:val="2"/>
          </w:tcPr>
          <w:p>
            <w:pPr>
              <w:jc w:val="right"/>
              <w:ind w:right="17"/>
              <w:spacing w:after="0" w:line="162" w:lineRule="exact"/>
              <w:rPr>
                <w:sz w:val="20"/>
                <w:szCs w:val="20"/>
                <w:color w:val="auto"/>
              </w:rPr>
            </w:pPr>
            <w:r>
              <w:rPr>
                <w:rFonts w:ascii="Times New Roman" w:cs="Times New Roman" w:eastAsia="Times New Roman" w:hAnsi="Times New Roman"/>
                <w:sz w:val="18"/>
                <w:szCs w:val="18"/>
                <w:b w:val="1"/>
                <w:bCs w:val="1"/>
                <w:color w:val="auto"/>
              </w:rPr>
              <w:t xml:space="preserve">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Arial" w:cs="Arial" w:eastAsia="Arial" w:hAnsi="Arial"/>
                <w:sz w:val="12"/>
                <w:szCs w:val="12"/>
                <w:color w:val="auto"/>
              </w:rPr>
              <w:t>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3"/>
                <w:szCs w:val="13"/>
                <w:b w:val="1"/>
                <w:bCs w:val="1"/>
                <w:color w:val="auto"/>
              </w:rPr>
              <w:t>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3"/>
                <w:szCs w:val="13"/>
                <w:b w:val="1"/>
                <w:bCs w:val="1"/>
                <w:color w:val="auto"/>
              </w:rPr>
              <w:t>t  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2"/>
                <w:szCs w:val="12"/>
                <w:b w:val="1"/>
                <w:bCs w:val="1"/>
                <w:color w:val="auto"/>
              </w:rPr>
              <w:t>t  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3"/>
                <w:szCs w:val="13"/>
                <w:b w:val="1"/>
                <w:bCs w:val="1"/>
                <w:color w:val="auto"/>
              </w:rPr>
              <w:t>t</w:t>
            </w:r>
            <w:r>
              <w:rPr>
                <w:rFonts w:ascii="Times New Roman" w:cs="Times New Roman" w:eastAsia="Times New Roman" w:hAnsi="Times New Roman"/>
                <w:sz w:val="11"/>
                <w:szCs w:val="11"/>
                <w:b w:val="1"/>
                <w:bCs w:val="1"/>
                <w:color w:val="auto"/>
              </w:rPr>
              <w:t>...'l</w:t>
            </w:r>
            <w:r>
              <w:rPr>
                <w:rFonts w:ascii="Arial" w:cs="Arial" w:eastAsia="Arial" w:hAnsi="Arial"/>
                <w:sz w:val="18"/>
                <w:szCs w:val="18"/>
                <w:color w:val="auto"/>
              </w:rPr>
              <w:t>----</w:t>
            </w:r>
            <w:r>
              <w:rPr>
                <w:rFonts w:ascii="Times New Roman" w:cs="Times New Roman" w:eastAsia="Times New Roman" w:hAnsi="Times New Roman"/>
                <w:sz w:val="11"/>
                <w:szCs w:val="11"/>
                <w:b w:val="1"/>
                <w:bCs w:val="1"/>
                <w:color w:val="auto"/>
              </w:rPr>
              <w:t>ll'l</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1"/>
                <w:szCs w:val="11"/>
                <w:b w:val="1"/>
                <w:bCs w:val="1"/>
                <w:color w:val="auto"/>
              </w:rPr>
              <w:t>l_lt</w:t>
            </w:r>
            <w:r>
              <w:rPr>
                <w:rFonts w:ascii="Arial" w:cs="Arial" w:eastAsia="Arial" w:hAnsi="Arial"/>
                <w:sz w:val="13"/>
                <w:szCs w:val="13"/>
                <w:color w:val="auto"/>
              </w:rPr>
              <w:t>~'</w:t>
            </w:r>
            <w:r>
              <w:rPr>
                <w:rFonts w:ascii="Arial" w:cs="Arial" w:eastAsia="Arial" w:hAnsi="Arial"/>
                <w:sz w:val="18"/>
                <w:szCs w:val="18"/>
                <w:color w:val="auto"/>
              </w:rPr>
              <w:t>~</w:t>
            </w:r>
            <w:r>
              <w:rPr>
                <w:rFonts w:ascii="Arial" w:cs="Arial" w:eastAsia="Arial" w:hAnsi="Arial"/>
                <w:sz w:val="13"/>
                <w:szCs w:val="13"/>
                <w:color w:val="auto"/>
              </w:rPr>
              <w:t>-'__;;,-</w:t>
            </w:r>
            <w:r>
              <w:rPr>
                <w:rFonts w:ascii="Times New Roman" w:cs="Times New Roman" w:eastAsia="Times New Roman" w:hAnsi="Times New Roman"/>
                <w:sz w:val="11"/>
                <w:szCs w:val="11"/>
                <w:color w:val="auto"/>
              </w:rPr>
              <w:t>_</w:t>
            </w: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820" w:type="dxa"/>
            <w:vAlign w:val="bottom"/>
          </w:tcPr>
          <w:p>
            <w:pPr>
              <w:spacing w:after="0"/>
              <w:rPr>
                <w:sz w:val="21"/>
                <w:szCs w:val="21"/>
                <w:color w:val="auto"/>
              </w:rPr>
            </w:pPr>
          </w:p>
        </w:tc>
        <w:tc>
          <w:tcPr>
            <w:tcW w:w="3160" w:type="dxa"/>
            <w:vAlign w:val="bottom"/>
          </w:tcPr>
          <w:p>
            <w:pPr>
              <w:spacing w:after="0"/>
              <w:rPr>
                <w:sz w:val="21"/>
                <w:szCs w:val="21"/>
                <w:color w:val="auto"/>
              </w:rPr>
            </w:pPr>
          </w:p>
        </w:tc>
        <w:tc>
          <w:tcPr>
            <w:tcW w:w="2920" w:type="dxa"/>
            <w:vAlign w:val="bottom"/>
            <w:gridSpan w:val="2"/>
          </w:tcPr>
          <w:p>
            <w:pPr>
              <w:jc w:val="right"/>
              <w:ind w:right="37"/>
              <w:spacing w:after="0" w:line="189" w:lineRule="exact"/>
              <w:rPr>
                <w:sz w:val="20"/>
                <w:szCs w:val="20"/>
                <w:color w:val="auto"/>
              </w:rPr>
            </w:pPr>
            <w:r>
              <w:rPr>
                <w:rFonts w:ascii="Times New Roman" w:cs="Times New Roman" w:eastAsia="Times New Roman" w:hAnsi="Times New Roman"/>
                <w:sz w:val="17"/>
                <w:szCs w:val="17"/>
                <w:b w:val="1"/>
                <w:bCs w:val="1"/>
                <w:color w:val="auto"/>
              </w:rPr>
              <w:t>·  ····••t:t 'll li!_!'I..</w:t>
            </w:r>
          </w:p>
        </w:tc>
        <w:tc>
          <w:tcPr>
            <w:tcW w:w="1460" w:type="dxa"/>
            <w:vAlign w:val="bottom"/>
          </w:tcPr>
          <w:p>
            <w:pPr>
              <w:ind w:left="20"/>
              <w:spacing w:after="0"/>
              <w:rPr>
                <w:sz w:val="20"/>
                <w:szCs w:val="20"/>
                <w:color w:val="auto"/>
              </w:rPr>
            </w:pPr>
            <w:r>
              <w:rPr>
                <w:rFonts w:ascii="Arial" w:cs="Arial" w:eastAsia="Arial" w:hAnsi="Arial"/>
                <w:sz w:val="20"/>
                <w:szCs w:val="20"/>
                <w:color w:val="auto"/>
              </w:rPr>
              <w:t xml:space="preserve">H.~·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-2399665</wp:posOffset>
            </wp:positionH>
            <wp:positionV relativeFrom="paragraph">
              <wp:posOffset>-497205</wp:posOffset>
            </wp:positionV>
            <wp:extent cx="7775575" cy="99491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112" w:lineRule="exact"/>
        <w:rPr>
          <w:sz w:val="20"/>
          <w:szCs w:val="20"/>
          <w:color w:val="auto"/>
        </w:rPr>
      </w:pPr>
    </w:p>
    <w:p>
      <w:pPr>
        <w:ind w:left="20"/>
        <w:spacing w:after="0"/>
        <w:rPr>
          <w:sz w:val="20"/>
          <w:szCs w:val="20"/>
          <w:color w:val="auto"/>
        </w:rPr>
      </w:pPr>
      <w:r>
        <w:rPr>
          <w:rFonts w:ascii="Arial" w:cs="Arial" w:eastAsia="Arial" w:hAnsi="Arial"/>
          <w:sz w:val="39"/>
          <w:szCs w:val="39"/>
          <w:b w:val="1"/>
          <w:bCs w:val="1"/>
          <w:color w:val="auto"/>
        </w:rPr>
        <w:t>Education</w:t>
      </w:r>
    </w:p>
    <w:p>
      <w:pPr>
        <w:spacing w:after="0" w:line="142" w:lineRule="exact"/>
        <w:rPr>
          <w:sz w:val="20"/>
          <w:szCs w:val="20"/>
          <w:color w:val="auto"/>
        </w:rPr>
      </w:pPr>
    </w:p>
    <w:p>
      <w:pPr>
        <w:sectPr>
          <w:pgSz w:w="12240" w:h="15668" w:orient="portrait"/>
          <w:cols w:equalWidth="0" w:num="2">
            <w:col w:w="3620" w:space="80"/>
            <w:col w:w="8360"/>
          </w:cols>
          <w:pgMar w:left="80" w:top="0" w:right="105" w:bottom="0" w:gutter="0" w:footer="0" w:header="0"/>
        </w:sectPr>
      </w:pPr>
    </w:p>
    <w:p>
      <w:pPr>
        <w:jc w:val="both"/>
        <w:ind w:left="3700" w:right="1340" w:firstLine="7"/>
        <w:spacing w:after="0" w:line="260" w:lineRule="auto"/>
        <w:rPr>
          <w:sz w:val="20"/>
          <w:szCs w:val="20"/>
          <w:color w:val="auto"/>
        </w:rPr>
      </w:pPr>
      <w:r>
        <w:rPr>
          <w:rFonts w:ascii="Arial" w:cs="Arial" w:eastAsia="Arial" w:hAnsi="Arial"/>
          <w:sz w:val="20"/>
          <w:szCs w:val="20"/>
          <w:color w:val="auto"/>
        </w:rPr>
        <w:t>Kaplan is a global. diversified education leader specializing in higher education. test preparation. professional education. language training, and university pathway programs. Its leadership in online learning, inter-national student recruitment, and improving student outcomes has also made Kaplan a multipurpose strategic partner for a number of universities and businesses.</w:t>
      </w:r>
    </w:p>
    <w:p>
      <w:pPr>
        <w:spacing w:after="0" w:line="200" w:lineRule="exact"/>
        <w:rPr>
          <w:sz w:val="20"/>
          <w:szCs w:val="20"/>
          <w:color w:val="auto"/>
        </w:rPr>
      </w:pPr>
    </w:p>
    <w:p>
      <w:pPr>
        <w:spacing w:after="0" w:line="279" w:lineRule="exact"/>
        <w:rPr>
          <w:sz w:val="20"/>
          <w:szCs w:val="20"/>
          <w:color w:val="auto"/>
        </w:rPr>
      </w:pPr>
    </w:p>
    <w:p>
      <w:pPr>
        <w:ind w:left="3440"/>
        <w:spacing w:after="0"/>
        <w:rPr>
          <w:sz w:val="20"/>
          <w:szCs w:val="20"/>
          <w:color w:val="auto"/>
        </w:rPr>
      </w:pPr>
      <w:r>
        <w:rPr>
          <w:rFonts w:ascii="Arial" w:cs="Arial" w:eastAsia="Arial" w:hAnsi="Arial"/>
          <w:sz w:val="60"/>
          <w:szCs w:val="60"/>
          <w:b w:val="1"/>
          <w:bCs w:val="1"/>
          <w:color w:val="auto"/>
        </w:rPr>
        <w:t xml:space="preserve">I </w:t>
      </w:r>
      <w:r>
        <w:rPr>
          <w:rFonts w:ascii="Arial" w:cs="Arial" w:eastAsia="Arial" w:hAnsi="Arial"/>
          <w:sz w:val="38"/>
          <w:szCs w:val="38"/>
          <w:b w:val="1"/>
          <w:bCs w:val="1"/>
          <w:color w:val="auto"/>
        </w:rPr>
        <w:t>Television Broadcasting</w:t>
      </w:r>
    </w:p>
    <w:p>
      <w:pPr>
        <w:sectPr>
          <w:pgSz w:w="12240" w:h="15668" w:orient="portrait"/>
          <w:cols w:equalWidth="0" w:num="1">
            <w:col w:w="12060"/>
          </w:cols>
          <w:pgMar w:left="80" w:top="0" w:right="105" w:bottom="0" w:gutter="0" w:footer="0" w:header="0"/>
          <w:type w:val="continuous"/>
        </w:sectPr>
      </w:pPr>
    </w:p>
    <w:p>
      <w:pPr>
        <w:ind w:left="2860" w:hanging="576"/>
        <w:spacing w:after="0" w:line="181" w:lineRule="auto"/>
        <w:tabs>
          <w:tab w:leader="none" w:pos="2860" w:val="left"/>
        </w:tabs>
        <w:numPr>
          <w:ilvl w:val="0"/>
          <w:numId w:val="9"/>
        </w:numPr>
        <w:rPr>
          <w:rFonts w:ascii="Arial" w:cs="Arial" w:eastAsia="Arial" w:hAnsi="Arial"/>
          <w:sz w:val="59"/>
          <w:szCs w:val="59"/>
          <w:color w:val="auto"/>
          <w:vertAlign w:val="subscript"/>
        </w:rPr>
      </w:pPr>
      <w:r>
        <w:rPr>
          <w:rFonts w:ascii="Arial" w:cs="Arial" w:eastAsia="Arial" w:hAnsi="Arial"/>
          <w:sz w:val="11"/>
          <w:szCs w:val="11"/>
          <w:color w:val="auto"/>
        </w:rPr>
        <w:t>GRAHAM</w:t>
      </w:r>
    </w:p>
    <w:p>
      <w:pPr>
        <w:spacing w:after="0" w:line="31" w:lineRule="exact"/>
        <w:rPr>
          <w:rFonts w:ascii="Arial" w:cs="Arial" w:eastAsia="Arial" w:hAnsi="Arial"/>
          <w:sz w:val="59"/>
          <w:szCs w:val="59"/>
          <w:color w:val="auto"/>
          <w:vertAlign w:val="subscript"/>
        </w:rPr>
      </w:pPr>
    </w:p>
    <w:p>
      <w:pPr>
        <w:ind w:left="2860" w:right="140" w:hanging="314"/>
        <w:spacing w:after="0" w:line="220" w:lineRule="auto"/>
        <w:rPr>
          <w:rFonts w:ascii="Arial" w:cs="Arial" w:eastAsia="Arial" w:hAnsi="Arial"/>
          <w:sz w:val="59"/>
          <w:szCs w:val="59"/>
          <w:color w:val="auto"/>
          <w:vertAlign w:val="subscript"/>
        </w:rPr>
      </w:pPr>
      <w:r>
        <w:rPr>
          <w:rFonts w:ascii="Arial" w:cs="Arial" w:eastAsia="Arial" w:hAnsi="Arial"/>
          <w:sz w:val="14"/>
          <w:szCs w:val="14"/>
          <w:color w:val="auto"/>
        </w:rPr>
        <w:t xml:space="preserve">-MEDIA </w:t>
      </w:r>
      <w:r>
        <w:rPr>
          <w:rFonts w:ascii="Arial" w:cs="Arial" w:eastAsia="Arial" w:hAnsi="Arial"/>
          <w:sz w:val="13"/>
          <w:szCs w:val="13"/>
          <w:color w:val="auto"/>
        </w:rPr>
        <w:t>GROUP</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jc w:val="both"/>
        <w:ind w:right="1360" w:hanging="2"/>
        <w:spacing w:after="0" w:line="256" w:lineRule="auto"/>
        <w:rPr>
          <w:sz w:val="20"/>
          <w:szCs w:val="20"/>
          <w:color w:val="auto"/>
        </w:rPr>
      </w:pPr>
      <w:r>
        <w:rPr>
          <w:rFonts w:ascii="Arial" w:cs="Arial" w:eastAsia="Arial" w:hAnsi="Arial"/>
          <w:sz w:val="20"/>
          <w:szCs w:val="20"/>
          <w:color w:val="auto"/>
        </w:rPr>
        <w:t>Graham Media Group (GMG) owns seven media hubs located in Houston. TX: Detroit, Ml; Orlando, FL; San Antonio, TX: Jacksonville, FL: and Roanoke, VA Additionally, the company owns SociaiNewsDesk. a provider of social-media management tools designed to connect newsrooms with their users.</w:t>
      </w:r>
    </w:p>
    <w:p>
      <w:pPr>
        <w:spacing w:after="0" w:line="200" w:lineRule="exact"/>
        <w:rPr>
          <w:sz w:val="20"/>
          <w:szCs w:val="20"/>
          <w:color w:val="auto"/>
        </w:rPr>
      </w:pPr>
    </w:p>
    <w:p>
      <w:pPr>
        <w:sectPr>
          <w:pgSz w:w="12240" w:h="15668" w:orient="portrait"/>
          <w:cols w:equalWidth="0" w:num="2">
            <w:col w:w="3480" w:space="220"/>
            <w:col w:w="8360"/>
          </w:cols>
          <w:pgMar w:left="80" w:top="0" w:right="105" w:bottom="0" w:gutter="0" w:footer="0" w:header="0"/>
          <w:type w:val="continuous"/>
        </w:sectPr>
      </w:pPr>
    </w:p>
    <w:p>
      <w:pPr>
        <w:spacing w:after="0" w:line="47" w:lineRule="exact"/>
        <w:rPr>
          <w:sz w:val="20"/>
          <w:szCs w:val="20"/>
          <w:color w:val="auto"/>
        </w:rPr>
      </w:pPr>
    </w:p>
    <w:p>
      <w:pPr>
        <w:ind w:left="3440"/>
        <w:spacing w:after="0"/>
        <w:rPr>
          <w:sz w:val="20"/>
          <w:szCs w:val="20"/>
          <w:color w:val="auto"/>
        </w:rPr>
      </w:pPr>
      <w:r>
        <w:rPr>
          <w:rFonts w:ascii="Arial" w:cs="Arial" w:eastAsia="Arial" w:hAnsi="Arial"/>
          <w:sz w:val="60"/>
          <w:szCs w:val="60"/>
          <w:b w:val="1"/>
          <w:bCs w:val="1"/>
          <w:color w:val="auto"/>
        </w:rPr>
        <w:t xml:space="preserve">I </w:t>
      </w:r>
      <w:r>
        <w:rPr>
          <w:rFonts w:ascii="Arial" w:cs="Arial" w:eastAsia="Arial" w:hAnsi="Arial"/>
          <w:sz w:val="38"/>
          <w:szCs w:val="38"/>
          <w:b w:val="1"/>
          <w:bCs w:val="1"/>
          <w:color w:val="auto"/>
        </w:rPr>
        <w:t>Healthcare</w:t>
      </w:r>
    </w:p>
    <w:p>
      <w:pPr>
        <w:spacing w:after="0" w:line="113" w:lineRule="exact"/>
        <w:rPr>
          <w:sz w:val="20"/>
          <w:szCs w:val="20"/>
          <w:color w:val="auto"/>
        </w:rPr>
      </w:pPr>
    </w:p>
    <w:p>
      <w:pPr>
        <w:jc w:val="both"/>
        <w:ind w:left="3700" w:right="1340"/>
        <w:spacing w:after="0" w:line="256" w:lineRule="auto"/>
        <w:rPr>
          <w:sz w:val="20"/>
          <w:szCs w:val="20"/>
          <w:color w:val="auto"/>
        </w:rPr>
      </w:pPr>
      <w:r>
        <w:rPr>
          <w:rFonts w:ascii="Arial" w:cs="Arial" w:eastAsia="Arial" w:hAnsi="Arial"/>
          <w:sz w:val="20"/>
          <w:szCs w:val="20"/>
          <w:color w:val="auto"/>
        </w:rPr>
        <w:t>Graham Healthcare Group (GHG) currently manages six healthcare entities. collectively serving approximately 120.000 patients across the continental U.S. CSI Pharmacy and the home health, hospice, and palliative care operations represent the largest segments of our healthcare business.</w:t>
      </w:r>
    </w:p>
    <w:p>
      <w:pPr>
        <w:spacing w:after="0" w:line="247" w:lineRule="exact"/>
        <w:rPr>
          <w:sz w:val="20"/>
          <w:szCs w:val="20"/>
          <w:color w:val="auto"/>
        </w:rPr>
      </w:pPr>
    </w:p>
    <w:p>
      <w:pPr>
        <w:ind w:left="3440"/>
        <w:spacing w:after="0"/>
        <w:rPr>
          <w:sz w:val="20"/>
          <w:szCs w:val="20"/>
          <w:color w:val="auto"/>
        </w:rPr>
      </w:pPr>
      <w:r>
        <w:rPr>
          <w:rFonts w:ascii="Arial" w:cs="Arial" w:eastAsia="Arial" w:hAnsi="Arial"/>
          <w:sz w:val="60"/>
          <w:szCs w:val="60"/>
          <w:b w:val="1"/>
          <w:bCs w:val="1"/>
          <w:color w:val="auto"/>
        </w:rPr>
        <w:t xml:space="preserve">I </w:t>
      </w:r>
      <w:r>
        <w:rPr>
          <w:rFonts w:ascii="Arial" w:cs="Arial" w:eastAsia="Arial" w:hAnsi="Arial"/>
          <w:sz w:val="38"/>
          <w:szCs w:val="38"/>
          <w:b w:val="1"/>
          <w:bCs w:val="1"/>
          <w:color w:val="auto"/>
        </w:rPr>
        <w:t>Automotive</w:t>
      </w:r>
    </w:p>
    <w:p>
      <w:pPr>
        <w:sectPr>
          <w:pgSz w:w="12240" w:h="15668" w:orient="portrait"/>
          <w:cols w:equalWidth="0" w:num="1">
            <w:col w:w="12060"/>
          </w:cols>
          <w:pgMar w:left="80" w:top="0" w:right="105" w:bottom="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left="1720"/>
        <w:spacing w:after="0"/>
        <w:rPr>
          <w:sz w:val="20"/>
          <w:szCs w:val="20"/>
          <w:color w:val="auto"/>
        </w:rPr>
      </w:pPr>
      <w:r>
        <w:rPr>
          <w:rFonts w:ascii="Arial" w:cs="Arial" w:eastAsia="Arial" w:hAnsi="Arial"/>
          <w:sz w:val="20"/>
          <w:szCs w:val="20"/>
          <w:color w:val="auto"/>
        </w:rPr>
        <w:t>~(~AUTOMOTIVE</w:t>
      </w:r>
    </w:p>
    <w:p>
      <w:pPr>
        <w:ind w:left="1720"/>
        <w:spacing w:after="0"/>
        <w:rPr>
          <w:sz w:val="20"/>
          <w:szCs w:val="20"/>
          <w:color w:val="auto"/>
        </w:rPr>
      </w:pPr>
      <w:r>
        <w:rPr>
          <w:rFonts w:ascii="Arial" w:cs="Arial" w:eastAsia="Arial" w:hAnsi="Arial"/>
          <w:sz w:val="18"/>
          <w:szCs w:val="18"/>
          <w:color w:val="auto"/>
        </w:rPr>
        <w:t>~)~ GROUP</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1340"/>
        <w:spacing w:after="0" w:line="254" w:lineRule="auto"/>
        <w:rPr>
          <w:sz w:val="20"/>
          <w:szCs w:val="20"/>
          <w:color w:val="auto"/>
        </w:rPr>
      </w:pPr>
      <w:r>
        <w:rPr>
          <w:rFonts w:ascii="Arial" w:cs="Arial" w:eastAsia="Arial" w:hAnsi="Arial"/>
          <w:sz w:val="20"/>
          <w:szCs w:val="20"/>
          <w:color w:val="auto"/>
        </w:rPr>
        <w:t>Graham Automotive owns a 90% interest in eight dealerships: Ourisman Lexus of Rockville, Ourisman Honda of Tysons Corner, Ourisman Jeep of Bethesda, Ourisman Kia of Bethesda, Ourisman Ford of Manassas, Toyota of Woodbridge, Ourisman Chrysler/Dodge/Jeep/Ram of Woodbridge, and Ourisman Toyota of Richmond. The Company also owns Roda, which</w:t>
      </w:r>
    </w:p>
    <w:p>
      <w:pPr>
        <w:spacing w:after="0" w:line="17" w:lineRule="exact"/>
        <w:rPr>
          <w:sz w:val="20"/>
          <w:szCs w:val="20"/>
          <w:color w:val="auto"/>
        </w:rPr>
      </w:pPr>
    </w:p>
    <w:p>
      <w:pPr>
        <w:ind w:left="20"/>
        <w:spacing w:after="0"/>
        <w:rPr>
          <w:sz w:val="20"/>
          <w:szCs w:val="20"/>
          <w:color w:val="auto"/>
        </w:rPr>
      </w:pPr>
      <w:r>
        <w:rPr>
          <w:rFonts w:ascii="Arial" w:cs="Arial" w:eastAsia="Arial" w:hAnsi="Arial"/>
          <w:sz w:val="21"/>
          <w:szCs w:val="21"/>
          <w:color w:val="auto"/>
        </w:rPr>
        <w:t>provides valet repair service in the Washington. D.C. area.</w:t>
      </w:r>
    </w:p>
    <w:p>
      <w:pPr>
        <w:spacing w:after="0" w:line="200" w:lineRule="exact"/>
        <w:rPr>
          <w:sz w:val="20"/>
          <w:szCs w:val="20"/>
          <w:color w:val="auto"/>
        </w:rPr>
      </w:pPr>
    </w:p>
    <w:p>
      <w:pPr>
        <w:sectPr>
          <w:pgSz w:w="12240" w:h="15668" w:orient="portrait"/>
          <w:cols w:equalWidth="0" w:num="2">
            <w:col w:w="3460" w:space="240"/>
            <w:col w:w="8360"/>
          </w:cols>
          <w:pgMar w:left="80" w:top="0" w:right="105" w:bottom="0" w:gutter="0" w:footer="0" w:header="0"/>
          <w:type w:val="continuous"/>
        </w:sectPr>
      </w:pPr>
    </w:p>
    <w:p>
      <w:pPr>
        <w:spacing w:after="0" w:line="48" w:lineRule="exact"/>
        <w:rPr>
          <w:sz w:val="20"/>
          <w:szCs w:val="20"/>
          <w:color w:val="auto"/>
        </w:rPr>
      </w:pPr>
    </w:p>
    <w:p>
      <w:pPr>
        <w:ind w:left="3440"/>
        <w:spacing w:after="0"/>
        <w:rPr>
          <w:sz w:val="20"/>
          <w:szCs w:val="20"/>
          <w:color w:val="auto"/>
        </w:rPr>
      </w:pPr>
      <w:r>
        <w:rPr>
          <w:rFonts w:ascii="Arial" w:cs="Arial" w:eastAsia="Arial" w:hAnsi="Arial"/>
          <w:sz w:val="57"/>
          <w:szCs w:val="57"/>
          <w:b w:val="1"/>
          <w:bCs w:val="1"/>
          <w:color w:val="auto"/>
        </w:rPr>
        <w:t xml:space="preserve">I </w:t>
      </w:r>
      <w:r>
        <w:rPr>
          <w:rFonts w:ascii="Arial" w:cs="Arial" w:eastAsia="Arial" w:hAnsi="Arial"/>
          <w:sz w:val="36"/>
          <w:szCs w:val="36"/>
          <w:b w:val="1"/>
          <w:bCs w:val="1"/>
          <w:color w:val="auto"/>
        </w:rPr>
        <w:t>Manufacturing</w:t>
      </w:r>
    </w:p>
    <w:p>
      <w:pPr>
        <w:sectPr>
          <w:pgSz w:w="12240" w:h="15668" w:orient="portrait"/>
          <w:cols w:equalWidth="0" w:num="1">
            <w:col w:w="12060"/>
          </w:cols>
          <w:pgMar w:left="80" w:top="0" w:right="105"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2340"/>
        <w:spacing w:after="0"/>
        <w:rPr>
          <w:sz w:val="20"/>
          <w:szCs w:val="20"/>
          <w:color w:val="auto"/>
        </w:rPr>
      </w:pPr>
      <w:r>
        <w:rPr>
          <w:rFonts w:ascii="Arial" w:cs="Arial" w:eastAsia="Arial" w:hAnsi="Arial"/>
          <w:sz w:val="25"/>
          <w:szCs w:val="25"/>
          <w:b w:val="1"/>
          <w:bCs w:val="1"/>
          <w:color w:val="auto"/>
        </w:rPr>
        <w:t>DEKKO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140"/>
        <w:spacing w:after="0"/>
        <w:rPr>
          <w:sz w:val="20"/>
          <w:szCs w:val="20"/>
          <w:color w:val="auto"/>
        </w:rPr>
      </w:pPr>
      <w:r>
        <w:rPr>
          <w:rFonts w:ascii="Arial" w:cs="Arial" w:eastAsia="Arial" w:hAnsi="Arial"/>
          <w:sz w:val="23"/>
          <w:szCs w:val="23"/>
          <w:color w:val="auto"/>
        </w:rPr>
        <w:t>~FORNEY</w:t>
      </w:r>
    </w:p>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jc w:val="both"/>
        <w:ind w:right="1340" w:firstLine="7"/>
        <w:spacing w:after="0" w:line="260" w:lineRule="auto"/>
        <w:rPr>
          <w:sz w:val="20"/>
          <w:szCs w:val="20"/>
          <w:color w:val="auto"/>
        </w:rPr>
      </w:pPr>
      <w:r>
        <w:rPr>
          <w:rFonts w:ascii="Arial" w:cs="Arial" w:eastAsia="Arial" w:hAnsi="Arial"/>
          <w:sz w:val="20"/>
          <w:szCs w:val="20"/>
          <w:color w:val="auto"/>
        </w:rPr>
        <w:t>Hoover Treated Wood Products is a supplier of pressure impregnated kiln-dried lumber and plywood products for fire-retardant and preservative applications</w:t>
      </w:r>
    </w:p>
    <w:p>
      <w:pPr>
        <w:spacing w:after="0" w:line="168" w:lineRule="exact"/>
        <w:rPr>
          <w:sz w:val="20"/>
          <w:szCs w:val="20"/>
          <w:color w:val="auto"/>
        </w:rPr>
      </w:pPr>
    </w:p>
    <w:p>
      <w:pPr>
        <w:jc w:val="both"/>
        <w:ind w:right="1340" w:firstLine="9"/>
        <w:spacing w:after="0" w:line="263" w:lineRule="auto"/>
        <w:rPr>
          <w:sz w:val="20"/>
          <w:szCs w:val="20"/>
          <w:color w:val="auto"/>
        </w:rPr>
      </w:pPr>
      <w:r>
        <w:rPr>
          <w:rFonts w:ascii="Arial" w:cs="Arial" w:eastAsia="Arial" w:hAnsi="Arial"/>
          <w:sz w:val="20"/>
          <w:szCs w:val="20"/>
          <w:color w:val="auto"/>
        </w:rPr>
        <w:t>Dekko is an electrical solutions company that focuses on innovative power-charging and data systems: industrial and commercial indoor lighting solutions: and the manufacture of electrical components and assemblies for medical equipment, transportation, industrial, and appli-ance products</w:t>
      </w:r>
    </w:p>
    <w:p>
      <w:pPr>
        <w:spacing w:after="0" w:line="200" w:lineRule="exact"/>
        <w:rPr>
          <w:sz w:val="20"/>
          <w:szCs w:val="20"/>
          <w:color w:val="auto"/>
        </w:rPr>
      </w:pPr>
    </w:p>
    <w:p>
      <w:pPr>
        <w:spacing w:after="0" w:line="203" w:lineRule="exact"/>
        <w:rPr>
          <w:sz w:val="20"/>
          <w:szCs w:val="20"/>
          <w:color w:val="auto"/>
        </w:rPr>
      </w:pPr>
    </w:p>
    <w:p>
      <w:pPr>
        <w:jc w:val="both"/>
        <w:ind w:left="20" w:right="1340" w:hanging="6"/>
        <w:spacing w:after="0" w:line="251" w:lineRule="auto"/>
        <w:rPr>
          <w:sz w:val="20"/>
          <w:szCs w:val="20"/>
          <w:color w:val="auto"/>
        </w:rPr>
      </w:pPr>
      <w:r>
        <w:rPr>
          <w:rFonts w:ascii="Arial" w:cs="Arial" w:eastAsia="Arial" w:hAnsi="Arial"/>
          <w:sz w:val="20"/>
          <w:szCs w:val="20"/>
          <w:color w:val="auto"/>
        </w:rPr>
        <w:t>Joyce/Dayton Corporation is a leading manufacturer of screw jacks, linear actuators and related linear motion products. and lifting systems in North America .</w:t>
      </w:r>
    </w:p>
    <w:p>
      <w:pPr>
        <w:spacing w:after="0" w:line="184" w:lineRule="exact"/>
        <w:rPr>
          <w:sz w:val="20"/>
          <w:szCs w:val="20"/>
          <w:color w:val="auto"/>
        </w:rPr>
      </w:pPr>
    </w:p>
    <w:p>
      <w:pPr>
        <w:jc w:val="both"/>
        <w:ind w:right="1340" w:firstLine="7"/>
        <w:spacing w:after="0" w:line="261" w:lineRule="auto"/>
        <w:rPr>
          <w:sz w:val="20"/>
          <w:szCs w:val="20"/>
          <w:color w:val="auto"/>
        </w:rPr>
      </w:pPr>
      <w:r>
        <w:rPr>
          <w:rFonts w:ascii="Arial" w:cs="Arial" w:eastAsia="Arial" w:hAnsi="Arial"/>
          <w:sz w:val="20"/>
          <w:szCs w:val="20"/>
          <w:color w:val="auto"/>
        </w:rPr>
        <w:t>Forney Corporation is a global supplier of burners, igniters, dampers, and controls for combustion processes in electric utility and industrial applications.</w:t>
      </w:r>
    </w:p>
    <w:p>
      <w:pPr>
        <w:spacing w:after="0" w:line="202" w:lineRule="exact"/>
        <w:rPr>
          <w:sz w:val="20"/>
          <w:szCs w:val="20"/>
          <w:color w:val="auto"/>
        </w:rPr>
      </w:pPr>
    </w:p>
    <w:p>
      <w:pPr>
        <w:sectPr>
          <w:pgSz w:w="12240" w:h="15668" w:orient="portrait"/>
          <w:cols w:equalWidth="0" w:num="2">
            <w:col w:w="3460" w:space="240"/>
            <w:col w:w="8360"/>
          </w:cols>
          <w:pgMar w:left="80" w:top="0" w:right="105"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1580" w:hanging="224"/>
        <w:spacing w:after="0"/>
        <w:tabs>
          <w:tab w:leader="none" w:pos="1580" w:val="left"/>
        </w:tabs>
        <w:numPr>
          <w:ilvl w:val="0"/>
          <w:numId w:val="10"/>
        </w:numPr>
        <w:rPr>
          <w:rFonts w:ascii="Arial" w:cs="Arial" w:eastAsia="Arial" w:hAnsi="Arial"/>
          <w:sz w:val="13"/>
          <w:szCs w:val="13"/>
          <w:color w:val="auto"/>
        </w:rPr>
      </w:pPr>
      <w:r>
        <w:rPr>
          <w:rFonts w:ascii="Arial" w:cs="Arial" w:eastAsia="Arial" w:hAnsi="Arial"/>
          <w:sz w:val="18"/>
          <w:szCs w:val="18"/>
          <w:color w:val="auto"/>
        </w:rPr>
        <w:t xml:space="preserve">I </w:t>
      </w:r>
      <w:r>
        <w:rPr>
          <w:rFonts w:ascii="Arial" w:cs="Arial" w:eastAsia="Arial" w:hAnsi="Arial"/>
          <w:sz w:val="13"/>
          <w:szCs w:val="13"/>
          <w:i w:val="1"/>
          <w:iCs w:val="1"/>
          <w:color w:val="auto"/>
        </w:rPr>
        <w:t>GRAHAM HOLDINGS</w:t>
      </w:r>
    </w:p>
    <w:p>
      <w:pPr>
        <w:sectPr>
          <w:pgSz w:w="12240" w:h="15668" w:orient="portrait"/>
          <w:cols w:equalWidth="0" w:num="1">
            <w:col w:w="12060"/>
          </w:cols>
          <w:pgMar w:left="80" w:top="0" w:right="105" w:bottom="0" w:gutter="0" w:footer="0" w:header="0"/>
          <w:type w:val="continuous"/>
        </w:sectPr>
      </w:pPr>
    </w:p>
    <w:bookmarkStart w:id="12" w:name="page13"/>
    <w:bookmarkEnd w:id="12"/>
    <w:p>
      <w:pPr>
        <w:spacing w:after="0" w:line="183" w:lineRule="auto"/>
        <w:tabs>
          <w:tab w:leader="none" w:pos="4020" w:val="left"/>
          <w:tab w:leader="none" w:pos="4180" w:val="left"/>
          <w:tab w:leader="none" w:pos="4640" w:val="left"/>
          <w:tab w:leader="none" w:pos="4800" w:val="left"/>
          <w:tab w:leader="none" w:pos="7720" w:val="left"/>
          <w:tab w:leader="none" w:pos="8160" w:val="left"/>
          <w:tab w:leader="none" w:pos="8420" w:val="left"/>
          <w:tab w:leader="none" w:pos="8520" w:val="left"/>
        </w:tabs>
        <w:rPr>
          <w:sz w:val="20"/>
          <w:szCs w:val="20"/>
          <w:color w:val="auto"/>
        </w:rPr>
      </w:pPr>
      <w:r>
        <w:rPr>
          <w:rFonts w:ascii="Times New Roman" w:cs="Times New Roman" w:eastAsia="Times New Roman" w:hAnsi="Times New Roman"/>
          <w:sz w:val="26"/>
          <w:szCs w:val="26"/>
          <w:color w:val="auto"/>
          <w:vertAlign w:val="subscript"/>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t>...</w:t>
      </w:r>
      <w:r>
        <w:rPr>
          <w:rFonts w:ascii="Arial" w:cs="Arial" w:eastAsia="Arial" w:hAnsi="Arial"/>
          <w:sz w:val="11"/>
          <w:szCs w:val="11"/>
          <w:color w:val="auto"/>
        </w:rPr>
        <w:t>.....</w:t>
      </w:r>
      <w:r>
        <w:rPr>
          <w:rFonts w:ascii="Times New Roman" w:cs="Times New Roman" w:eastAsia="Times New Roman" w:hAnsi="Times New Roman"/>
          <w:sz w:val="26"/>
          <w:szCs w:val="26"/>
          <w:color w:val="auto"/>
          <w:vertAlign w:val="subscript"/>
        </w:rPr>
        <w:t>:,::;,,:</w:t>
      </w:r>
      <w:r>
        <w:rPr>
          <w:rFonts w:ascii="Arial" w:cs="Arial" w:eastAsia="Arial" w:hAnsi="Arial"/>
          <w:sz w:val="11"/>
          <w:szCs w:val="11"/>
          <w:color w:val="auto"/>
        </w:rPr>
        <w:t xml:space="preserve">• ...... I II </w:t>
      </w:r>
      <w:r>
        <w:rPr>
          <w:rFonts w:ascii="Times New Roman" w:cs="Times New Roman" w:eastAsia="Times New Roman" w:hAnsi="Times New Roman"/>
          <w:sz w:val="11"/>
          <w:szCs w:val="11"/>
          <w:b w:val="1"/>
          <w:bCs w:val="1"/>
          <w:color w:val="auto"/>
        </w:rPr>
        <w:t>tlli</w:t>
      </w:r>
      <w:r>
        <w:rPr>
          <w:rFonts w:ascii="Arial" w:cs="Arial" w:eastAsia="Arial" w:hAnsi="Arial"/>
          <w:sz w:val="11"/>
          <w:szCs w:val="11"/>
          <w:color w:val="auto"/>
        </w:rPr>
        <w:t xml:space="preserve"> </w:t>
      </w:r>
      <w:r>
        <w:rPr>
          <w:rFonts w:ascii="Arial" w:cs="Arial" w:eastAsia="Arial" w:hAnsi="Arial"/>
          <w:sz w:val="11"/>
          <w:szCs w:val="11"/>
          <w:b w:val="1"/>
          <w:bCs w:val="1"/>
          <w:color w:val="auto"/>
        </w:rPr>
        <w:t>I -;</w:t>
      </w:r>
      <w:r>
        <w:rPr>
          <w:rFonts w:ascii="Arial" w:cs="Arial" w:eastAsia="Arial" w:hAnsi="Arial"/>
          <w:sz w:val="11"/>
          <w:szCs w:val="11"/>
          <w:color w:val="auto"/>
        </w:rPr>
        <w:t xml:space="preserve"> • . I I I I </w:t>
      </w:r>
      <w:r>
        <w:rPr>
          <w:rFonts w:ascii="Arial" w:cs="Arial" w:eastAsia="Arial" w:hAnsi="Arial"/>
          <w:sz w:val="11"/>
          <w:szCs w:val="11"/>
          <w:b w:val="1"/>
          <w:bCs w:val="1"/>
          <w:color w:val="auto"/>
        </w:rPr>
        <w:t>H I ..</w:t>
      </w:r>
      <w:r>
        <w:rPr>
          <w:rFonts w:ascii="Arial" w:cs="Arial" w:eastAsia="Arial" w:hAnsi="Arial"/>
          <w:sz w:val="11"/>
          <w:szCs w:val="11"/>
          <w:color w:val="auto"/>
        </w:rPr>
        <w:t xml:space="preserve"> I  .... .</w:t>
      </w:r>
      <w:r>
        <w:rPr>
          <w:sz w:val="20"/>
          <w:szCs w:val="20"/>
          <w:color w:val="auto"/>
        </w:rPr>
        <w:tab/>
      </w:r>
      <w:r>
        <w:rPr>
          <w:rFonts w:ascii="Times New Roman" w:cs="Times New Roman" w:eastAsia="Times New Roman" w:hAnsi="Times New Roman"/>
          <w:sz w:val="16"/>
          <w:szCs w:val="16"/>
          <w:b w:val="1"/>
          <w:bCs w:val="1"/>
          <w:color w:val="auto"/>
        </w:rPr>
        <w:t>f</w:t>
      </w:r>
      <w:r>
        <w:rPr>
          <w:sz w:val="20"/>
          <w:szCs w:val="20"/>
          <w:color w:val="auto"/>
        </w:rPr>
        <w:tab/>
      </w:r>
      <w:r>
        <w:rPr>
          <w:rFonts w:ascii="Times New Roman" w:cs="Times New Roman" w:eastAsia="Times New Roman" w:hAnsi="Times New Roman"/>
          <w:sz w:val="16"/>
          <w:szCs w:val="16"/>
          <w:color w:val="auto"/>
        </w:rPr>
        <w:t xml:space="preserve">•• </w:t>
      </w:r>
      <w:r>
        <w:rPr>
          <w:rFonts w:ascii="Arial" w:cs="Arial" w:eastAsia="Arial" w:hAnsi="Arial"/>
          <w:sz w:val="15"/>
          <w:szCs w:val="15"/>
          <w:b w:val="1"/>
          <w:bCs w:val="1"/>
          <w:color w:val="auto"/>
        </w:rPr>
        <w:t>t</w:t>
      </w:r>
      <w:r>
        <w:rPr>
          <w:sz w:val="20"/>
          <w:szCs w:val="20"/>
          <w:color w:val="auto"/>
        </w:rPr>
        <w:tab/>
      </w:r>
      <w:r>
        <w:rPr>
          <w:rFonts w:ascii="Arial" w:cs="Arial" w:eastAsia="Arial" w:hAnsi="Arial"/>
          <w:sz w:val="15"/>
          <w:szCs w:val="15"/>
          <w:color w:val="auto"/>
        </w:rPr>
        <w:t>•</w:t>
        <w:tab/>
        <w:t>•</w:t>
      </w:r>
      <w:r>
        <w:rPr>
          <w:sz w:val="20"/>
          <w:szCs w:val="20"/>
          <w:color w:val="auto"/>
        </w:rPr>
        <w:tab/>
      </w:r>
      <w:r>
        <w:rPr>
          <w:rFonts w:ascii="Arial" w:cs="Arial" w:eastAsia="Arial" w:hAnsi="Arial"/>
          <w:sz w:val="15"/>
          <w:szCs w:val="15"/>
          <w:color w:val="auto"/>
        </w:rPr>
        <w:t>'</w:t>
      </w:r>
      <w:r>
        <w:rPr>
          <w:sz w:val="20"/>
          <w:szCs w:val="20"/>
          <w:color w:val="auto"/>
        </w:rPr>
        <w:tab/>
      </w:r>
      <w:r>
        <w:rPr>
          <w:rFonts w:ascii="Arial" w:cs="Arial" w:eastAsia="Arial" w:hAnsi="Arial"/>
          <w:sz w:val="14"/>
          <w:szCs w:val="14"/>
          <w:color w:val="auto"/>
        </w:rPr>
        <w:t>I</w:t>
      </w:r>
      <w:r>
        <w:rPr>
          <w:sz w:val="20"/>
          <w:szCs w:val="20"/>
          <w:color w:val="auto"/>
        </w:rPr>
        <w:tab/>
      </w:r>
      <w:r>
        <w:rPr>
          <w:rFonts w:ascii="Arial" w:cs="Arial" w:eastAsia="Arial" w:hAnsi="Arial"/>
          <w:sz w:val="9"/>
          <w:szCs w:val="9"/>
          <w:color w:val="auto"/>
        </w:rPr>
        <w:t>I</w:t>
      </w:r>
      <w:r>
        <w:rPr>
          <w:sz w:val="20"/>
          <w:szCs w:val="20"/>
          <w:color w:val="auto"/>
        </w:rPr>
        <w:tab/>
      </w:r>
      <w:r>
        <w:rPr>
          <w:rFonts w:ascii="Times New Roman" w:cs="Times New Roman" w:eastAsia="Times New Roman" w:hAnsi="Times New Roman"/>
          <w:sz w:val="26"/>
          <w:szCs w:val="26"/>
          <w:b w:val="1"/>
          <w:bCs w:val="1"/>
          <w:color w:val="auto"/>
        </w:rPr>
        <w:t>e</w:t>
      </w:r>
      <w:r>
        <w:rPr>
          <w:rFonts w:ascii="Arial" w:cs="Arial" w:eastAsia="Arial" w:hAnsi="Arial"/>
          <w:sz w:val="8"/>
          <w:szCs w:val="8"/>
          <w:color w:val="auto"/>
        </w:rPr>
        <w:t>I</w:t>
      </w:r>
      <w:r>
        <w:rPr>
          <w:rFonts w:ascii="Times New Roman" w:cs="Times New Roman" w:eastAsia="Times New Roman" w:hAnsi="Times New Roman"/>
          <w:sz w:val="26"/>
          <w:szCs w:val="26"/>
          <w:b w:val="1"/>
          <w:bCs w:val="1"/>
          <w:color w:val="auto"/>
        </w:rPr>
        <w:t xml:space="preserve">...... </w:t>
      </w:r>
      <w:r>
        <w:rPr>
          <w:rFonts w:ascii="Times New Roman" w:cs="Times New Roman" w:eastAsia="Times New Roman" w:hAnsi="Times New Roman"/>
          <w:sz w:val="26"/>
          <w:szCs w:val="26"/>
          <w:color w:val="auto"/>
        </w:rPr>
        <w:t>..</w:t>
      </w:r>
      <w:r>
        <w:rPr>
          <w:rFonts w:ascii="Arial" w:cs="Arial" w:eastAsia="Arial" w:hAnsi="Arial"/>
          <w:sz w:val="8"/>
          <w:szCs w:val="8"/>
          <w:color w:val="auto"/>
        </w:rPr>
        <w:t>•·•</w:t>
      </w:r>
      <w:r>
        <w:rPr>
          <w:rFonts w:ascii="Times New Roman" w:cs="Times New Roman" w:eastAsia="Times New Roman" w:hAnsi="Times New Roman"/>
          <w:sz w:val="26"/>
          <w:szCs w:val="26"/>
          <w:color w:val="auto"/>
        </w:rPr>
        <w:t>,</w:t>
      </w:r>
      <w:r>
        <w:rPr>
          <w:rFonts w:ascii="Times New Roman" w:cs="Times New Roman" w:eastAsia="Times New Roman" w:hAnsi="Times New Roman"/>
          <w:sz w:val="26"/>
          <w:szCs w:val="26"/>
          <w:b w:val="1"/>
          <w:bCs w:val="1"/>
          <w:color w:val="auto"/>
        </w:rPr>
        <w:t xml:space="preserve"> </w:t>
      </w:r>
      <w:r>
        <w:rPr>
          <w:rFonts w:ascii="Arial" w:cs="Arial" w:eastAsia="Arial" w:hAnsi="Arial"/>
          <w:sz w:val="8"/>
          <w:szCs w:val="8"/>
          <w:color w:val="auto"/>
        </w:rPr>
        <w:t>•       •       •</w:t>
      </w:r>
    </w:p>
    <w:p>
      <w:pPr>
        <w:ind w:left="980"/>
        <w:spacing w:after="0" w:line="183" w:lineRule="auto"/>
        <w:tabs>
          <w:tab w:leader="none" w:pos="11280" w:val="left"/>
        </w:tabs>
        <w:rPr>
          <w:sz w:val="20"/>
          <w:szCs w:val="20"/>
          <w:color w:val="auto"/>
        </w:rPr>
      </w:pPr>
      <w:r>
        <w:rPr>
          <w:rFonts w:ascii="Arial" w:cs="Arial" w:eastAsia="Arial" w:hAnsi="Arial"/>
          <w:sz w:val="21"/>
          <w:szCs w:val="21"/>
          <w:color w:val="auto"/>
        </w:rPr>
        <w:t xml:space="preserve">~:::•tt </w:t>
      </w:r>
      <w:r>
        <w:rPr>
          <w:rFonts w:ascii="Times New Roman" w:cs="Times New Roman" w:eastAsia="Times New Roman" w:hAnsi="Times New Roman"/>
          <w:sz w:val="13"/>
          <w:szCs w:val="13"/>
          <w:b w:val="1"/>
          <w:bCs w:val="1"/>
          <w:color w:val="auto"/>
        </w:rPr>
        <w:t>I t I ! !</w:t>
      </w:r>
      <w:r>
        <w:rPr>
          <w:rFonts w:ascii="Arial" w:cs="Arial" w:eastAsia="Arial" w:hAnsi="Arial"/>
          <w:sz w:val="21"/>
          <w:szCs w:val="21"/>
          <w:color w:val="auto"/>
        </w:rPr>
        <w:t xml:space="preserve">  fl."tl'tllftil.:_!f~tff'i </w:t>
      </w:r>
      <w:r>
        <w:rPr>
          <w:rFonts w:ascii="Times New Roman" w:cs="Times New Roman" w:eastAsia="Times New Roman" w:hAnsi="Times New Roman"/>
          <w:sz w:val="13"/>
          <w:szCs w:val="13"/>
          <w:b w:val="1"/>
          <w:bCs w:val="1"/>
          <w:color w:val="auto"/>
        </w:rPr>
        <w:t>1. -</w:t>
      </w:r>
      <w:r>
        <w:rPr>
          <w:rFonts w:ascii="Arial" w:cs="Arial" w:eastAsia="Arial" w:hAnsi="Arial"/>
          <w:sz w:val="21"/>
          <w:szCs w:val="21"/>
          <w:color w:val="auto"/>
        </w:rPr>
        <w:t xml:space="preserve"> </w:t>
      </w:r>
      <w:r>
        <w:rPr>
          <w:rFonts w:ascii="Arial" w:cs="Arial" w:eastAsia="Arial" w:hAnsi="Arial"/>
          <w:sz w:val="17"/>
          <w:szCs w:val="17"/>
          <w:b w:val="1"/>
          <w:bCs w:val="1"/>
          <w:color w:val="auto"/>
        </w:rPr>
        <w:t>ii _-</w:t>
      </w:r>
      <w:r>
        <w:rPr>
          <w:rFonts w:ascii="Arial" w:cs="Arial" w:eastAsia="Arial" w:hAnsi="Arial"/>
          <w:sz w:val="21"/>
          <w:szCs w:val="21"/>
          <w:color w:val="auto"/>
        </w:rPr>
        <w:t xml:space="preserve"> </w:t>
      </w:r>
      <w:r>
        <w:rPr>
          <w:rFonts w:ascii="Arial" w:cs="Arial" w:eastAsia="Arial" w:hAnsi="Arial"/>
          <w:sz w:val="14"/>
          <w:szCs w:val="14"/>
          <w:b w:val="1"/>
          <w:bCs w:val="1"/>
          <w:color w:val="auto"/>
        </w:rPr>
        <w:t>tl</w:t>
      </w:r>
      <w:r>
        <w:rPr>
          <w:rFonts w:ascii="Arial" w:cs="Arial" w:eastAsia="Arial" w:hAnsi="Arial"/>
          <w:sz w:val="21"/>
          <w:szCs w:val="21"/>
          <w:color w:val="auto"/>
        </w:rPr>
        <w:t xml:space="preserve"> </w:t>
      </w:r>
      <w:r>
        <w:rPr>
          <w:rFonts w:ascii="Times New Roman" w:cs="Times New Roman" w:eastAsia="Times New Roman" w:hAnsi="Times New Roman"/>
          <w:sz w:val="14"/>
          <w:szCs w:val="14"/>
          <w:b w:val="1"/>
          <w:bCs w:val="1"/>
          <w:color w:val="auto"/>
        </w:rPr>
        <w:t>I  I</w:t>
      </w:r>
      <w:r>
        <w:rPr>
          <w:rFonts w:ascii="Arial" w:cs="Arial" w:eastAsia="Arial" w:hAnsi="Arial"/>
          <w:sz w:val="21"/>
          <w:szCs w:val="21"/>
          <w:color w:val="auto"/>
        </w:rPr>
        <w:t xml:space="preserve"> </w:t>
      </w:r>
      <w:r>
        <w:rPr>
          <w:rFonts w:ascii="Times New Roman" w:cs="Times New Roman" w:eastAsia="Times New Roman" w:hAnsi="Times New Roman"/>
          <w:sz w:val="14"/>
          <w:szCs w:val="14"/>
          <w:color w:val="auto"/>
        </w:rPr>
        <w:t>:: :</w:t>
      </w:r>
      <w:r>
        <w:rPr>
          <w:rFonts w:ascii="Arial" w:cs="Arial" w:eastAsia="Arial" w:hAnsi="Arial"/>
          <w:sz w:val="21"/>
          <w:szCs w:val="21"/>
          <w:color w:val="auto"/>
        </w:rPr>
        <w:t xml:space="preserve">  </w:t>
      </w:r>
      <w:r>
        <w:rPr>
          <w:rFonts w:ascii="Arial" w:cs="Arial" w:eastAsia="Arial" w:hAnsi="Arial"/>
          <w:sz w:val="15"/>
          <w:szCs w:val="15"/>
          <w:b w:val="1"/>
          <w:bCs w:val="1"/>
          <w:color w:val="auto"/>
        </w:rPr>
        <w:t>:I I  I  I  I  I</w:t>
      </w:r>
      <w:r>
        <w:rPr>
          <w:rFonts w:ascii="Arial" w:cs="Arial" w:eastAsia="Arial" w:hAnsi="Arial"/>
          <w:sz w:val="21"/>
          <w:szCs w:val="21"/>
          <w:color w:val="auto"/>
        </w:rPr>
        <w:t xml:space="preserve">  </w:t>
      </w:r>
      <w:r>
        <w:rPr>
          <w:rFonts w:ascii="Times New Roman" w:cs="Times New Roman" w:eastAsia="Times New Roman" w:hAnsi="Times New Roman"/>
          <w:sz w:val="19"/>
          <w:szCs w:val="19"/>
          <w:b w:val="1"/>
          <w:bCs w:val="1"/>
          <w:color w:val="auto"/>
        </w:rPr>
        <w:t>e</w:t>
      </w:r>
      <w:r>
        <w:rPr>
          <w:rFonts w:ascii="Arial" w:cs="Arial" w:eastAsia="Arial" w:hAnsi="Arial"/>
          <w:sz w:val="21"/>
          <w:szCs w:val="21"/>
          <w:color w:val="auto"/>
        </w:rPr>
        <w:t xml:space="preserve"> </w:t>
      </w:r>
      <w:r>
        <w:rPr>
          <w:rFonts w:ascii="Arial" w:cs="Arial" w:eastAsia="Arial" w:hAnsi="Arial"/>
          <w:sz w:val="15"/>
          <w:szCs w:val="15"/>
          <w:b w:val="1"/>
          <w:bCs w:val="1"/>
          <w:color w:val="auto"/>
        </w:rPr>
        <w:t>I</w:t>
      </w:r>
      <w:r>
        <w:rPr>
          <w:rFonts w:ascii="Arial" w:cs="Arial" w:eastAsia="Arial" w:hAnsi="Arial"/>
          <w:sz w:val="21"/>
          <w:szCs w:val="21"/>
          <w:color w:val="auto"/>
        </w:rPr>
        <w:t xml:space="preserve">  </w:t>
      </w:r>
      <w:r>
        <w:rPr>
          <w:rFonts w:ascii="Times New Roman" w:cs="Times New Roman" w:eastAsia="Times New Roman" w:hAnsi="Times New Roman"/>
          <w:sz w:val="25"/>
          <w:szCs w:val="25"/>
          <w:b w:val="1"/>
          <w:bCs w:val="1"/>
          <w:color w:val="auto"/>
          <w:vertAlign w:val="superscript"/>
        </w:rPr>
        <w:t>1</w:t>
      </w:r>
      <w:r>
        <w:rPr>
          <w:rFonts w:ascii="Times New Roman" w:cs="Times New Roman" w:eastAsia="Times New Roman" w:hAnsi="Times New Roman"/>
          <w:sz w:val="14"/>
          <w:szCs w:val="14"/>
          <w:b w:val="1"/>
          <w:bCs w:val="1"/>
          <w:color w:val="auto"/>
        </w:rPr>
        <w:t>'</w:t>
      </w:r>
      <w:r>
        <w:rPr>
          <w:rFonts w:ascii="Arial" w:cs="Arial" w:eastAsia="Arial" w:hAnsi="Arial"/>
          <w:sz w:val="21"/>
          <w:szCs w:val="21"/>
          <w:color w:val="auto"/>
        </w:rPr>
        <w:t xml:space="preserve"> </w:t>
      </w:r>
      <w:r>
        <w:rPr>
          <w:rFonts w:ascii="Times New Roman" w:cs="Times New Roman" w:eastAsia="Times New Roman" w:hAnsi="Times New Roman"/>
          <w:sz w:val="19"/>
          <w:szCs w:val="19"/>
          <w:b w:val="1"/>
          <w:bCs w:val="1"/>
          <w:color w:val="auto"/>
        </w:rPr>
        <w:t>e</w:t>
      </w:r>
      <w:r>
        <w:rPr>
          <w:rFonts w:ascii="Arial" w:cs="Arial" w:eastAsia="Arial" w:hAnsi="Arial"/>
          <w:sz w:val="21"/>
          <w:szCs w:val="21"/>
          <w:color w:val="auto"/>
        </w:rPr>
        <w:t xml:space="preserve"> </w:t>
      </w:r>
      <w:r>
        <w:rPr>
          <w:rFonts w:ascii="Times New Roman" w:cs="Times New Roman" w:eastAsia="Times New Roman" w:hAnsi="Times New Roman"/>
          <w:sz w:val="19"/>
          <w:szCs w:val="19"/>
          <w:color w:val="auto"/>
        </w:rPr>
        <w:t>,, ., ••,</w:t>
      </w:r>
      <w:r>
        <w:rPr>
          <w:sz w:val="20"/>
          <w:szCs w:val="20"/>
          <w:color w:val="auto"/>
        </w:rPr>
        <w:tab/>
      </w:r>
      <w:r>
        <w:rPr>
          <w:rFonts w:ascii="Times New Roman" w:cs="Times New Roman" w:eastAsia="Times New Roman" w:hAnsi="Times New Roman"/>
          <w:sz w:val="20"/>
          <w:szCs w:val="20"/>
          <w:b w:val="1"/>
          <w:bCs w:val="1"/>
          <w:color w:val="auto"/>
        </w:rPr>
        <w:t xml:space="preserve">8J </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color w:val="auto"/>
        </w:rPr>
        <w:t xml:space="preserve"> </w:t>
      </w:r>
      <w:r>
        <w:rPr>
          <w:rFonts w:ascii="Arial" w:cs="Arial" w:eastAsia="Arial" w:hAnsi="Arial"/>
          <w:sz w:val="14"/>
          <w:szCs w:val="14"/>
          <w:color w:val="auto"/>
        </w:rPr>
        <w:t>&amp;,</w:t>
      </w:r>
    </w:p>
    <w:p>
      <w:pPr>
        <w:ind w:left="3900"/>
        <w:spacing w:after="0" w:line="189" w:lineRule="auto"/>
        <w:rPr>
          <w:sz w:val="20"/>
          <w:szCs w:val="20"/>
          <w:color w:val="auto"/>
        </w:rPr>
      </w:pPr>
      <w:r>
        <w:rPr>
          <w:rFonts w:ascii="Times New Roman" w:cs="Times New Roman" w:eastAsia="Times New Roman" w:hAnsi="Times New Roman"/>
          <w:sz w:val="16"/>
          <w:szCs w:val="16"/>
          <w:b w:val="1"/>
          <w:bCs w:val="1"/>
          <w:color w:val="auto"/>
        </w:rPr>
        <w:t>1</w:t>
      </w:r>
    </w:p>
    <w:p>
      <w:pPr>
        <w:spacing w:after="0" w:line="102" w:lineRule="exact"/>
        <w:rPr>
          <w:sz w:val="20"/>
          <w:szCs w:val="20"/>
          <w:color w:val="auto"/>
        </w:rPr>
      </w:pPr>
    </w:p>
    <w:p>
      <w:pPr>
        <w:ind w:left="3520"/>
        <w:spacing w:after="0"/>
        <w:rPr>
          <w:sz w:val="20"/>
          <w:szCs w:val="20"/>
          <w:color w:val="auto"/>
        </w:rPr>
      </w:pPr>
      <w:r>
        <w:rPr>
          <w:rFonts w:ascii="Arial" w:cs="Arial" w:eastAsia="Arial" w:hAnsi="Arial"/>
          <w:sz w:val="60"/>
          <w:szCs w:val="60"/>
          <w:b w:val="1"/>
          <w:bCs w:val="1"/>
          <w:color w:val="auto"/>
        </w:rPr>
        <w:t xml:space="preserve">I </w:t>
      </w:r>
      <w:r>
        <w:rPr>
          <w:rFonts w:ascii="Arial" w:cs="Arial" w:eastAsia="Arial" w:hAnsi="Arial"/>
          <w:sz w:val="39"/>
          <w:szCs w:val="39"/>
          <w:b w:val="1"/>
          <w:bCs w:val="1"/>
          <w:color w:val="auto"/>
        </w:rPr>
        <w:t>Other Businesses</w:t>
      </w:r>
    </w:p>
    <w:p>
      <w:pPr>
        <w:sectPr>
          <w:pgSz w:w="12240" w:h="15668" w:orient="portrait"/>
          <w:cols w:equalWidth="0" w:num="1">
            <w:col w:w="12160"/>
          </w:cols>
          <w:pgMar w:left="0" w:top="0" w:right="85" w:bottom="0" w:gutter="0" w:footer="0" w:header="0"/>
        </w:sectPr>
      </w:pPr>
    </w:p>
    <w:p>
      <w:pPr>
        <w:spacing w:after="0" w:line="392" w:lineRule="exact"/>
        <w:rPr>
          <w:sz w:val="20"/>
          <w:szCs w:val="20"/>
          <w:color w:val="auto"/>
        </w:rPr>
      </w:pPr>
    </w:p>
    <w:p>
      <w:pPr>
        <w:ind w:left="2000"/>
        <w:spacing w:after="0"/>
        <w:rPr>
          <w:sz w:val="20"/>
          <w:szCs w:val="20"/>
          <w:color w:val="auto"/>
        </w:rPr>
      </w:pPr>
      <w:r>
        <w:rPr>
          <w:rFonts w:ascii="Arial" w:cs="Arial" w:eastAsia="Arial" w:hAnsi="Arial"/>
          <w:sz w:val="17"/>
          <w:szCs w:val="17"/>
          <w:b w:val="1"/>
          <w:bCs w:val="1"/>
          <w:color w:val="auto"/>
        </w:rPr>
        <w:t>CLYDE'SRmiiJIIAIT</w:t>
      </w:r>
    </w:p>
    <w:p>
      <w:pPr>
        <w:ind w:left="2000"/>
        <w:spacing w:after="0" w:line="224" w:lineRule="auto"/>
        <w:rPr>
          <w:sz w:val="20"/>
          <w:szCs w:val="20"/>
          <w:color w:val="auto"/>
        </w:rPr>
      </w:pPr>
      <w:r>
        <w:rPr>
          <w:rFonts w:ascii="Times New Roman" w:cs="Times New Roman" w:eastAsia="Times New Roman" w:hAnsi="Times New Roman"/>
          <w:sz w:val="24"/>
          <w:szCs w:val="24"/>
          <w:b w:val="1"/>
          <w:bCs w:val="1"/>
          <w:color w:val="auto"/>
        </w:rPr>
        <w:t>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2400"/>
        <w:spacing w:after="0"/>
        <w:rPr>
          <w:sz w:val="20"/>
          <w:szCs w:val="20"/>
          <w:color w:val="auto"/>
        </w:rPr>
      </w:pPr>
      <w:r>
        <w:rPr>
          <w:rFonts w:ascii="Arial" w:cs="Arial" w:eastAsia="Arial" w:hAnsi="Arial"/>
          <w:sz w:val="29"/>
          <w:szCs w:val="29"/>
          <w:b w:val="1"/>
          <w:bCs w:val="1"/>
          <w:i w:val="1"/>
          <w:iCs w:val="1"/>
          <w:color w:val="auto"/>
        </w:rPr>
        <w:t>50Ciety6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700"/>
        <w:spacing w:after="0"/>
        <w:rPr>
          <w:sz w:val="20"/>
          <w:szCs w:val="20"/>
          <w:color w:val="auto"/>
        </w:rPr>
      </w:pPr>
      <w:r>
        <w:rPr>
          <w:rFonts w:ascii="Arial" w:cs="Arial" w:eastAsia="Arial" w:hAnsi="Arial"/>
          <w:sz w:val="45"/>
          <w:szCs w:val="45"/>
          <w:b w:val="1"/>
          <w:bCs w:val="1"/>
          <w:color w:val="auto"/>
        </w:rPr>
        <w:t>0</w:t>
      </w:r>
    </w:p>
    <w:p>
      <w:pPr>
        <w:ind w:left="2180"/>
        <w:spacing w:after="0" w:line="208" w:lineRule="auto"/>
        <w:rPr>
          <w:sz w:val="20"/>
          <w:szCs w:val="20"/>
          <w:color w:val="auto"/>
        </w:rPr>
      </w:pPr>
      <w:r>
        <w:rPr>
          <w:rFonts w:ascii="Arial" w:cs="Arial" w:eastAsia="Arial" w:hAnsi="Arial"/>
          <w:sz w:val="18"/>
          <w:szCs w:val="18"/>
          <w:b w:val="1"/>
          <w:bCs w:val="1"/>
          <w:color w:val="auto"/>
        </w:rPr>
        <w:t>SAATCHI ART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8"/>
          <w:szCs w:val="28"/>
          <w:b w:val="1"/>
          <w:bCs w:val="1"/>
          <w:color w:val="auto"/>
        </w:rPr>
        <w:t>World</w:t>
      </w:r>
    </w:p>
    <w:p>
      <w:pPr>
        <w:jc w:val="right"/>
        <w:spacing w:after="0" w:line="226" w:lineRule="auto"/>
        <w:rPr>
          <w:sz w:val="20"/>
          <w:szCs w:val="20"/>
          <w:color w:val="auto"/>
        </w:rPr>
      </w:pPr>
      <w:r>
        <w:rPr>
          <w:rFonts w:ascii="Arial" w:cs="Arial" w:eastAsia="Arial" w:hAnsi="Arial"/>
          <w:sz w:val="46"/>
          <w:szCs w:val="46"/>
          <w:b w:val="1"/>
          <w:bCs w:val="1"/>
          <w:color w:val="auto"/>
        </w:rPr>
        <w:t>Go6d</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22"/>
          <w:szCs w:val="22"/>
          <w:b w:val="1"/>
          <w:bCs w:val="1"/>
          <w:color w:val="auto"/>
        </w:rPr>
        <w:t>FRAMEBRIDGE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56"/>
          <w:szCs w:val="56"/>
          <w:color w:val="auto"/>
        </w:rPr>
        <w:t>ID</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CITY CAST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420"/>
        <w:spacing w:after="0"/>
        <w:rPr>
          <w:sz w:val="20"/>
          <w:szCs w:val="20"/>
          <w:color w:val="auto"/>
        </w:rPr>
      </w:pPr>
      <w:r>
        <w:rPr>
          <w:rFonts w:ascii="Arial" w:cs="Arial" w:eastAsia="Arial" w:hAnsi="Arial"/>
          <w:sz w:val="22"/>
          <w:szCs w:val="22"/>
          <w:color w:val="auto"/>
        </w:rPr>
        <w:t xml:space="preserve">.·: </w:t>
      </w:r>
      <w:r>
        <w:rPr>
          <w:rFonts w:ascii="Arial" w:cs="Arial" w:eastAsia="Arial" w:hAnsi="Arial"/>
          <w:sz w:val="22"/>
          <w:szCs w:val="22"/>
          <w:b w:val="1"/>
          <w:bCs w:val="1"/>
          <w:color w:val="auto"/>
        </w:rPr>
        <w:t>Supporting Cast</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right="1260"/>
        <w:spacing w:after="0" w:line="261" w:lineRule="auto"/>
        <w:rPr>
          <w:sz w:val="20"/>
          <w:szCs w:val="20"/>
          <w:color w:val="auto"/>
        </w:rPr>
      </w:pPr>
      <w:r>
        <w:rPr>
          <w:rFonts w:ascii="Arial" w:cs="Arial" w:eastAsia="Arial" w:hAnsi="Arial"/>
          <w:sz w:val="20"/>
          <w:szCs w:val="20"/>
          <w:color w:val="auto"/>
        </w:rPr>
        <w:t>Clyde'sRestaurant Group owns and operates 14 restaurants and enter-tainment venues in the Washington, D.C. metropolitan area. including Old Ebbitt Grill, The Hamilton. Hamilton Live. 1789 Restaurant. Fitzgerald's, The Tombs. Rye Street Tavern, Cordelia Fish Bar, and six Clyde'slocations.</w:t>
      </w:r>
    </w:p>
    <w:p>
      <w:pPr>
        <w:spacing w:after="0" w:line="335" w:lineRule="exact"/>
        <w:rPr>
          <w:sz w:val="20"/>
          <w:szCs w:val="20"/>
          <w:color w:val="auto"/>
        </w:rPr>
      </w:pPr>
    </w:p>
    <w:p>
      <w:pPr>
        <w:ind w:right="1380"/>
        <w:spacing w:after="0" w:line="263" w:lineRule="auto"/>
        <w:rPr>
          <w:sz w:val="20"/>
          <w:szCs w:val="20"/>
          <w:color w:val="auto"/>
        </w:rPr>
      </w:pPr>
      <w:r>
        <w:rPr>
          <w:rFonts w:ascii="Arial" w:cs="Arial" w:eastAsia="Arial" w:hAnsi="Arial"/>
          <w:sz w:val="20"/>
          <w:szCs w:val="20"/>
          <w:color w:val="auto"/>
        </w:rPr>
        <w:t>Society6 is an online art and design marketplace where artists and designers can market and sell their original art and designs printed on</w:t>
      </w:r>
    </w:p>
    <w:p>
      <w:pPr>
        <w:spacing w:after="0" w:line="1" w:lineRule="exact"/>
        <w:rPr>
          <w:sz w:val="20"/>
          <w:szCs w:val="20"/>
          <w:color w:val="auto"/>
        </w:rPr>
      </w:pPr>
    </w:p>
    <w:p>
      <w:pPr>
        <w:ind w:right="1360" w:firstLine="4"/>
        <w:spacing w:after="0" w:line="256" w:lineRule="auto"/>
        <w:tabs>
          <w:tab w:leader="none" w:pos="203" w:val="left"/>
        </w:tabs>
        <w:numPr>
          <w:ilvl w:val="0"/>
          <w:numId w:val="11"/>
        </w:numPr>
        <w:rPr>
          <w:rFonts w:ascii="Arial" w:cs="Arial" w:eastAsia="Arial" w:hAnsi="Arial"/>
          <w:sz w:val="20"/>
          <w:szCs w:val="20"/>
          <w:color w:val="auto"/>
        </w:rPr>
      </w:pPr>
      <w:r>
        <w:rPr>
          <w:rFonts w:ascii="Arial" w:cs="Arial" w:eastAsia="Arial" w:hAnsi="Arial"/>
          <w:sz w:val="20"/>
          <w:szCs w:val="20"/>
          <w:color w:val="auto"/>
        </w:rPr>
        <w:t>wide variety of products. Its made-to-order marketplaces consist of Society6.com and its wholesale channel Deny Designs.</w:t>
      </w:r>
    </w:p>
    <w:p>
      <w:pPr>
        <w:spacing w:after="0" w:line="339" w:lineRule="exact"/>
        <w:rPr>
          <w:sz w:val="20"/>
          <w:szCs w:val="20"/>
          <w:color w:val="auto"/>
        </w:rPr>
      </w:pPr>
    </w:p>
    <w:p>
      <w:pPr>
        <w:jc w:val="both"/>
        <w:ind w:right="1360"/>
        <w:spacing w:after="0" w:line="262" w:lineRule="auto"/>
        <w:rPr>
          <w:sz w:val="20"/>
          <w:szCs w:val="20"/>
          <w:color w:val="auto"/>
        </w:rPr>
      </w:pPr>
      <w:r>
        <w:rPr>
          <w:rFonts w:ascii="Arial" w:cs="Arial" w:eastAsia="Arial" w:hAnsi="Arial"/>
          <w:sz w:val="20"/>
          <w:szCs w:val="20"/>
          <w:color w:val="auto"/>
        </w:rPr>
        <w:t>Saatchi Art Group, including SaatchiArt.com and its art fair event brand, The Other Art Fair. provides an online art gallery where a global community of artists exhibit and sell their original artwork directly to consumers through an online gallery, as well as through virtual reality and in-person art fairs.</w:t>
      </w:r>
    </w:p>
    <w:p>
      <w:pPr>
        <w:spacing w:after="0" w:line="200" w:lineRule="exact"/>
        <w:rPr>
          <w:sz w:val="20"/>
          <w:szCs w:val="20"/>
          <w:color w:val="auto"/>
        </w:rPr>
      </w:pPr>
    </w:p>
    <w:p>
      <w:pPr>
        <w:spacing w:after="0" w:line="388" w:lineRule="exact"/>
        <w:rPr>
          <w:sz w:val="20"/>
          <w:szCs w:val="20"/>
          <w:color w:val="auto"/>
        </w:rPr>
      </w:pPr>
    </w:p>
    <w:p>
      <w:pPr>
        <w:jc w:val="both"/>
        <w:ind w:right="1360" w:firstLine="2"/>
        <w:spacing w:after="0" w:line="261" w:lineRule="auto"/>
        <w:rPr>
          <w:sz w:val="20"/>
          <w:szCs w:val="20"/>
          <w:color w:val="auto"/>
        </w:rPr>
      </w:pPr>
      <w:r>
        <w:rPr>
          <w:rFonts w:ascii="Arial" w:cs="Arial" w:eastAsia="Arial" w:hAnsi="Arial"/>
          <w:sz w:val="20"/>
          <w:szCs w:val="20"/>
          <w:color w:val="auto"/>
        </w:rPr>
        <w:t>World of Good Brands is a diverse portfolio of media properties that educate and inform consumers across a wide variety of life topics. including fit ness and wellness brands such as Weii+Good and Livestrong.com and Only In Your State in the travel sector.</w:t>
      </w:r>
    </w:p>
    <w:p>
      <w:pPr>
        <w:spacing w:after="0" w:line="335" w:lineRule="exact"/>
        <w:rPr>
          <w:sz w:val="20"/>
          <w:szCs w:val="20"/>
          <w:color w:val="auto"/>
        </w:rPr>
      </w:pPr>
    </w:p>
    <w:p>
      <w:pPr>
        <w:jc w:val="both"/>
        <w:ind w:right="1360" w:firstLine="7"/>
        <w:spacing w:after="0" w:line="264" w:lineRule="auto"/>
        <w:rPr>
          <w:sz w:val="20"/>
          <w:szCs w:val="20"/>
          <w:color w:val="auto"/>
        </w:rPr>
      </w:pPr>
      <w:r>
        <w:rPr>
          <w:rFonts w:ascii="Arial" w:cs="Arial" w:eastAsia="Arial" w:hAnsi="Arial"/>
          <w:sz w:val="20"/>
          <w:szCs w:val="20"/>
          <w:color w:val="auto"/>
        </w:rPr>
        <w:t>Framebridge is a custom framing services company that provides high-quality, affordable. and fast custom framing of artwork, pictures. and other personal items directly to consumers through its website. app, and retail locations.</w:t>
      </w:r>
    </w:p>
    <w:p>
      <w:pPr>
        <w:spacing w:after="0" w:line="200" w:lineRule="exact"/>
        <w:rPr>
          <w:sz w:val="20"/>
          <w:szCs w:val="20"/>
          <w:color w:val="auto"/>
        </w:rPr>
      </w:pPr>
    </w:p>
    <w:p>
      <w:pPr>
        <w:spacing w:after="0" w:line="376" w:lineRule="exact"/>
        <w:rPr>
          <w:sz w:val="20"/>
          <w:szCs w:val="20"/>
          <w:color w:val="auto"/>
        </w:rPr>
      </w:pPr>
    </w:p>
    <w:p>
      <w:pPr>
        <w:jc w:val="both"/>
        <w:ind w:right="1360" w:firstLine="9"/>
        <w:spacing w:after="0" w:line="252" w:lineRule="auto"/>
        <w:rPr>
          <w:sz w:val="20"/>
          <w:szCs w:val="20"/>
          <w:color w:val="auto"/>
        </w:rPr>
      </w:pPr>
      <w:r>
        <w:rPr>
          <w:rFonts w:ascii="Arial" w:cs="Arial" w:eastAsia="Arial" w:hAnsi="Arial"/>
          <w:sz w:val="20"/>
          <w:szCs w:val="20"/>
          <w:color w:val="auto"/>
        </w:rPr>
        <w:t>Code3 is a performance marketing partner working at the intersection of media, creative. and commerce to help brands succeed faster on every digital platform</w:t>
      </w:r>
    </w:p>
    <w:p>
      <w:pPr>
        <w:spacing w:after="0" w:line="363" w:lineRule="exact"/>
        <w:rPr>
          <w:sz w:val="20"/>
          <w:szCs w:val="20"/>
          <w:color w:val="auto"/>
        </w:rPr>
      </w:pPr>
    </w:p>
    <w:p>
      <w:pPr>
        <w:jc w:val="both"/>
        <w:ind w:left="20" w:right="1360"/>
        <w:spacing w:after="0" w:line="257" w:lineRule="auto"/>
        <w:rPr>
          <w:sz w:val="20"/>
          <w:szCs w:val="20"/>
          <w:color w:val="auto"/>
        </w:rPr>
      </w:pPr>
      <w:r>
        <w:rPr>
          <w:rFonts w:ascii="Arial" w:cs="Arial" w:eastAsia="Arial" w:hAnsi="Arial"/>
          <w:sz w:val="20"/>
          <w:szCs w:val="20"/>
          <w:color w:val="auto"/>
        </w:rPr>
        <w:t>Decile is a customer data and analytics software company that helps marketers extract value from t heir proprietary first-party customer and sales data.</w:t>
      </w:r>
    </w:p>
    <w:p>
      <w:pPr>
        <w:spacing w:after="0" w:line="328" w:lineRule="exact"/>
        <w:rPr>
          <w:sz w:val="20"/>
          <w:szCs w:val="20"/>
          <w:color w:val="auto"/>
        </w:rPr>
      </w:pPr>
    </w:p>
    <w:p>
      <w:pPr>
        <w:ind w:left="20"/>
        <w:spacing w:after="0"/>
        <w:rPr>
          <w:sz w:val="20"/>
          <w:szCs w:val="20"/>
          <w:color w:val="auto"/>
        </w:rPr>
      </w:pPr>
      <w:r>
        <w:rPr>
          <w:rFonts w:ascii="Arial" w:cs="Arial" w:eastAsia="Arial" w:hAnsi="Arial"/>
          <w:sz w:val="20"/>
          <w:szCs w:val="20"/>
          <w:color w:val="auto"/>
        </w:rPr>
        <w:t>Slate is an online magazine of news, politics. technology, and culture. The</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1"/>
          <w:szCs w:val="21"/>
          <w:color w:val="auto"/>
        </w:rPr>
        <w:t>magazine combines humor and insight in thoughtful analyses of current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events and political news.</w:t>
      </w:r>
    </w:p>
    <w:p>
      <w:pPr>
        <w:spacing w:after="0" w:line="344" w:lineRule="exact"/>
        <w:rPr>
          <w:sz w:val="20"/>
          <w:szCs w:val="20"/>
          <w:color w:val="auto"/>
        </w:rPr>
      </w:pPr>
    </w:p>
    <w:p>
      <w:pPr>
        <w:jc w:val="both"/>
        <w:ind w:right="1360" w:firstLine="11"/>
        <w:spacing w:after="0" w:line="264" w:lineRule="auto"/>
        <w:rPr>
          <w:sz w:val="20"/>
          <w:szCs w:val="20"/>
          <w:color w:val="auto"/>
        </w:rPr>
      </w:pPr>
      <w:r>
        <w:rPr>
          <w:rFonts w:ascii="Arial" w:cs="Arial" w:eastAsia="Arial" w:hAnsi="Arial"/>
          <w:sz w:val="20"/>
          <w:szCs w:val="20"/>
          <w:color w:val="auto"/>
        </w:rPr>
        <w:t xml:space="preserve">The FP Group </w:t>
      </w:r>
      <w:r>
        <w:rPr>
          <w:rFonts w:ascii="Arial" w:cs="Arial" w:eastAsia="Arial" w:hAnsi="Arial"/>
          <w:sz w:val="14"/>
          <w:szCs w:val="14"/>
          <w:color w:val="auto"/>
        </w:rPr>
        <w:t>produce~</w:t>
      </w:r>
      <w:r>
        <w:rPr>
          <w:rFonts w:ascii="Arial" w:cs="Arial" w:eastAsia="Arial" w:hAnsi="Arial"/>
          <w:sz w:val="20"/>
          <w:szCs w:val="20"/>
          <w:color w:val="auto"/>
        </w:rPr>
        <w:t xml:space="preserve"> Foreign Policy magazine and the ForeignPolicy. com website reaches an international audience of millions as a trusted source of insight and analysis into g lobal affairs for government. military, business. media. and academic leaders.</w:t>
      </w:r>
    </w:p>
    <w:p>
      <w:pPr>
        <w:spacing w:after="0" w:line="323" w:lineRule="exact"/>
        <w:rPr>
          <w:sz w:val="20"/>
          <w:szCs w:val="20"/>
          <w:color w:val="auto"/>
        </w:rPr>
      </w:pPr>
    </w:p>
    <w:p>
      <w:pPr>
        <w:jc w:val="both"/>
        <w:ind w:right="1380" w:firstLine="9"/>
        <w:spacing w:after="0" w:line="262" w:lineRule="auto"/>
        <w:rPr>
          <w:sz w:val="20"/>
          <w:szCs w:val="20"/>
          <w:color w:val="auto"/>
        </w:rPr>
      </w:pPr>
      <w:r>
        <w:rPr>
          <w:rFonts w:ascii="Arial" w:cs="Arial" w:eastAsia="Arial" w:hAnsi="Arial"/>
          <w:sz w:val="20"/>
          <w:szCs w:val="20"/>
          <w:color w:val="auto"/>
        </w:rPr>
        <w:t>City Cast is a growing network of one-of-a-kind, daily local news pod-casts accompanied by a daily email newsletter about what'shappening in local communities. City Cast is currently in 13 U.S. cities.</w:t>
      </w:r>
    </w:p>
    <w:p>
      <w:pPr>
        <w:spacing w:after="0" w:line="343" w:lineRule="exact"/>
        <w:rPr>
          <w:sz w:val="20"/>
          <w:szCs w:val="20"/>
          <w:color w:val="auto"/>
        </w:rPr>
      </w:pPr>
    </w:p>
    <w:p>
      <w:pPr>
        <w:jc w:val="both"/>
        <w:ind w:right="1360" w:firstLine="9"/>
        <w:spacing w:after="0" w:line="257" w:lineRule="auto"/>
        <w:rPr>
          <w:sz w:val="20"/>
          <w:szCs w:val="20"/>
          <w:color w:val="auto"/>
        </w:rPr>
      </w:pPr>
      <w:r>
        <w:rPr>
          <w:rFonts w:ascii="Arial" w:cs="Arial" w:eastAsia="Arial" w:hAnsi="Arial"/>
          <w:sz w:val="20"/>
          <w:szCs w:val="20"/>
          <w:color w:val="auto"/>
        </w:rPr>
        <w:t>Supporting Cast'sw hite-label SaaS platform enables podcast networks and media companies to generate reliable recurring revenue by selling paid subscriptions.</w:t>
      </w:r>
    </w:p>
    <w:p>
      <w:pPr>
        <w:spacing w:after="0" w:line="200" w:lineRule="exact"/>
        <w:rPr>
          <w:sz w:val="20"/>
          <w:szCs w:val="20"/>
          <w:color w:val="auto"/>
        </w:rPr>
      </w:pPr>
    </w:p>
    <w:p>
      <w:pPr>
        <w:sectPr>
          <w:pgSz w:w="12240" w:h="15668" w:orient="portrait"/>
          <w:cols w:equalWidth="0" w:num="2">
            <w:col w:w="3620" w:space="160"/>
            <w:col w:w="8380"/>
          </w:cols>
          <w:pgMar w:left="0" w:top="0" w:right="85" w:bottom="0" w:gutter="0" w:footer="0" w:header="0"/>
          <w:type w:val="continuous"/>
        </w:sectPr>
      </w:pPr>
    </w:p>
    <w:p>
      <w:pPr>
        <w:spacing w:after="0" w:line="106" w:lineRule="exact"/>
        <w:rPr>
          <w:sz w:val="20"/>
          <w:szCs w:val="20"/>
          <w:color w:val="auto"/>
        </w:rPr>
      </w:pPr>
    </w:p>
    <w:p>
      <w:pPr>
        <w:ind w:left="8760"/>
        <w:spacing w:after="0"/>
        <w:rPr>
          <w:sz w:val="20"/>
          <w:szCs w:val="20"/>
          <w:color w:val="auto"/>
        </w:rPr>
      </w:pPr>
      <w:r>
        <w:rPr>
          <w:rFonts w:ascii="Arial" w:cs="Arial" w:eastAsia="Arial" w:hAnsi="Arial"/>
          <w:sz w:val="14"/>
          <w:szCs w:val="14"/>
          <w:i w:val="1"/>
          <w:iCs w:val="1"/>
          <w:color w:val="auto"/>
        </w:rPr>
        <w:t xml:space="preserve">2024 ANNUAL REPORT </w:t>
      </w:r>
      <w:r>
        <w:rPr>
          <w:rFonts w:ascii="Arial" w:cs="Arial" w:eastAsia="Arial" w:hAnsi="Arial"/>
          <w:sz w:val="14"/>
          <w:szCs w:val="14"/>
          <w:color w:val="auto"/>
        </w:rPr>
        <w:t>(</w:t>
      </w:r>
      <w:r>
        <w:rPr>
          <w:rFonts w:ascii="Arial" w:cs="Arial" w:eastAsia="Arial" w:hAnsi="Arial"/>
          <w:sz w:val="14"/>
          <w:szCs w:val="14"/>
          <w:i w:val="1"/>
          <w:iCs w:val="1"/>
          <w:color w:val="auto"/>
        </w:rPr>
        <w:t xml:space="preserve"> </w:t>
      </w:r>
      <w:r>
        <w:rPr>
          <w:rFonts w:ascii="Arial" w:cs="Arial" w:eastAsia="Arial" w:hAnsi="Arial"/>
          <w:sz w:val="12"/>
          <w:szCs w:val="12"/>
          <w:b w:val="1"/>
          <w:bCs w:val="1"/>
          <w:color w:val="auto"/>
        </w:rPr>
        <w:t>11</w:t>
      </w:r>
    </w:p>
    <w:p>
      <w:pPr>
        <w:sectPr>
          <w:pgSz w:w="12240" w:h="15668" w:orient="portrait"/>
          <w:cols w:equalWidth="0" w:num="1">
            <w:col w:w="12160"/>
          </w:cols>
          <w:pgMar w:left="0" w:top="0" w:right="85" w:bottom="0" w:gutter="0" w:footer="0" w:header="0"/>
          <w:type w:val="continuous"/>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1">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ectPr>
          <w:pgSz w:w="12240" w:h="15668" w:orient="portrait"/>
          <w:cols w:equalWidth="1" w:num="1" w:space="0"/>
          <w:pgMar w:left="1440" w:top="1440" w:right="1440" w:bottom="875" w:gutter="0" w:footer="0" w:header="0"/>
        </w:sectPr>
      </w:pPr>
    </w:p>
    <w:bookmarkStart w:id="14" w:name="page15"/>
    <w:bookmarkEnd w:id="14"/>
    <w:p>
      <w:pPr>
        <w:jc w:val="center"/>
        <w:ind w:right="40"/>
        <w:spacing w:after="0"/>
        <w:rPr>
          <w:sz w:val="20"/>
          <w:szCs w:val="20"/>
          <w:color w:val="auto"/>
        </w:rPr>
      </w:pPr>
      <w:r>
        <w:rPr>
          <w:rFonts w:ascii="Times New Roman" w:cs="Times New Roman" w:eastAsia="Times New Roman" w:hAnsi="Times New Roman"/>
          <w:sz w:val="35"/>
          <w:szCs w:val="35"/>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2">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UNITED STATES</w:t>
      </w:r>
    </w:p>
    <w:p>
      <w:pPr>
        <w:jc w:val="center"/>
        <w:ind w:right="20"/>
        <w:spacing w:after="0" w:line="216" w:lineRule="auto"/>
        <w:rPr>
          <w:sz w:val="20"/>
          <w:szCs w:val="20"/>
          <w:color w:val="auto"/>
        </w:rPr>
      </w:pPr>
      <w:r>
        <w:rPr>
          <w:rFonts w:ascii="Times New Roman" w:cs="Times New Roman" w:eastAsia="Times New Roman" w:hAnsi="Times New Roman"/>
          <w:sz w:val="35"/>
          <w:szCs w:val="35"/>
          <w:b w:val="1"/>
          <w:bCs w:val="1"/>
          <w:color w:val="auto"/>
        </w:rPr>
        <w:t>SECURITIES AND EXCHANGE COMMISSION</w:t>
      </w:r>
    </w:p>
    <w:p>
      <w:pPr>
        <w:jc w:val="center"/>
        <w:ind w:right="20"/>
        <w:spacing w:after="0" w:line="186" w:lineRule="auto"/>
        <w:rPr>
          <w:sz w:val="20"/>
          <w:szCs w:val="20"/>
          <w:color w:val="auto"/>
        </w:rPr>
      </w:pPr>
      <w:r>
        <w:rPr>
          <w:rFonts w:ascii="Times New Roman" w:cs="Times New Roman" w:eastAsia="Times New Roman" w:hAnsi="Times New Roman"/>
          <w:sz w:val="24"/>
          <w:szCs w:val="24"/>
          <w:color w:val="auto"/>
        </w:rPr>
        <w:t>Washington, D.C. 20549</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35"/>
          <w:szCs w:val="35"/>
          <w:b w:val="1"/>
          <w:bCs w:val="1"/>
          <w:color w:val="auto"/>
        </w:rPr>
        <w:t>FORM 10-K</w:t>
      </w:r>
    </w:p>
    <w:p>
      <w:pPr>
        <w:spacing w:after="0" w:line="18" w:lineRule="exact"/>
        <w:rPr>
          <w:sz w:val="20"/>
          <w:szCs w:val="20"/>
          <w:color w:val="auto"/>
        </w:rPr>
      </w:pPr>
    </w:p>
    <w:p>
      <w:pPr>
        <w:ind w:left="4180" w:right="1900" w:hanging="2298"/>
        <w:spacing w:after="0" w:line="213" w:lineRule="auto"/>
        <w:tabs>
          <w:tab w:leader="none" w:pos="2188" w:val="left"/>
        </w:tabs>
        <w:numPr>
          <w:ilvl w:val="0"/>
          <w:numId w:val="12"/>
        </w:numPr>
        <w:rPr>
          <w:rFonts w:ascii="Times New Roman" w:cs="Times New Roman" w:eastAsia="Times New Roman" w:hAnsi="Times New Roman"/>
          <w:sz w:val="25"/>
          <w:szCs w:val="25"/>
          <w:color w:val="auto"/>
        </w:rPr>
      </w:pPr>
      <w:r>
        <w:rPr>
          <w:rFonts w:ascii="Times New Roman" w:cs="Times New Roman" w:eastAsia="Times New Roman" w:hAnsi="Times New Roman"/>
          <w:sz w:val="24"/>
          <w:szCs w:val="24"/>
          <w:color w:val="auto"/>
        </w:rPr>
        <w:t>Annual Report Pursuant to Section 13 or 15(d) of the Secur ities Exchange Act of 1934</w:t>
      </w:r>
    </w:p>
    <w:p>
      <w:pPr>
        <w:spacing w:after="0" w:line="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For the Fiscal Year Ended December 31,2024</w:t>
      </w:r>
    </w:p>
    <w:p>
      <w:pPr>
        <w:spacing w:after="0" w:line="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or</w:t>
      </w:r>
    </w:p>
    <w:p>
      <w:pPr>
        <w:jc w:val="center"/>
        <w:ind w:right="40"/>
        <w:spacing w:after="0" w:line="232" w:lineRule="auto"/>
        <w:rPr>
          <w:sz w:val="20"/>
          <w:szCs w:val="20"/>
          <w:color w:val="auto"/>
        </w:rPr>
      </w:pPr>
      <w:r>
        <w:rPr>
          <w:rFonts w:ascii="Arial" w:cs="Arial" w:eastAsia="Arial" w:hAnsi="Arial"/>
          <w:sz w:val="31"/>
          <w:szCs w:val="31"/>
          <w:color w:val="auto"/>
        </w:rPr>
        <w:t xml:space="preserve">D </w:t>
      </w:r>
      <w:r>
        <w:rPr>
          <w:rFonts w:ascii="Times New Roman" w:cs="Times New Roman" w:eastAsia="Times New Roman" w:hAnsi="Times New Roman"/>
          <w:sz w:val="23"/>
          <w:szCs w:val="23"/>
          <w:color w:val="auto"/>
        </w:rPr>
        <w:t>Transition Report Pursuant to Section 13 or 15(d) of the Securities</w:t>
      </w:r>
    </w:p>
    <w:p>
      <w:pPr>
        <w:jc w:val="center"/>
        <w:ind w:right="20"/>
        <w:spacing w:after="0" w:line="190" w:lineRule="auto"/>
        <w:rPr>
          <w:sz w:val="20"/>
          <w:szCs w:val="20"/>
          <w:color w:val="auto"/>
        </w:rPr>
      </w:pPr>
      <w:r>
        <w:rPr>
          <w:rFonts w:ascii="Times New Roman" w:cs="Times New Roman" w:eastAsia="Times New Roman" w:hAnsi="Times New Roman"/>
          <w:sz w:val="24"/>
          <w:szCs w:val="24"/>
          <w:color w:val="auto"/>
        </w:rPr>
        <w:t>Exchange Act of 1934</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Commission file number 001-06714</w:t>
      </w:r>
    </w:p>
    <w:p>
      <w:pPr>
        <w:jc w:val="center"/>
        <w:ind w:right="20"/>
        <w:spacing w:after="0" w:line="239" w:lineRule="auto"/>
        <w:rPr>
          <w:sz w:val="20"/>
          <w:szCs w:val="20"/>
          <w:color w:val="auto"/>
        </w:rPr>
      </w:pPr>
      <w:r>
        <w:rPr>
          <w:rFonts w:ascii="Times New Roman" w:cs="Times New Roman" w:eastAsia="Times New Roman" w:hAnsi="Times New Roman"/>
          <w:sz w:val="46"/>
          <w:szCs w:val="46"/>
          <w:b w:val="1"/>
          <w:bCs w:val="1"/>
          <w:color w:val="auto"/>
        </w:rPr>
        <w:t>Graham Holdings Company</w:t>
      </w:r>
    </w:p>
    <w:p>
      <w:pPr>
        <w:jc w:val="center"/>
        <w:ind w:right="20"/>
        <w:spacing w:after="0" w:line="198" w:lineRule="auto"/>
        <w:rPr>
          <w:sz w:val="20"/>
          <w:szCs w:val="20"/>
          <w:color w:val="auto"/>
        </w:rPr>
      </w:pPr>
      <w:r>
        <w:rPr>
          <w:rFonts w:ascii="Times New Roman" w:cs="Times New Roman" w:eastAsia="Times New Roman" w:hAnsi="Times New Roman"/>
          <w:sz w:val="20"/>
          <w:szCs w:val="20"/>
          <w:color w:val="auto"/>
        </w:rPr>
        <w:t>(Exact na me of registrant as specified in its charter)</w:t>
      </w:r>
    </w:p>
    <w:p>
      <w:pPr>
        <w:sectPr>
          <w:pgSz w:w="12240" w:h="15850" w:orient="portrait"/>
          <w:cols w:equalWidth="0" w:num="1">
            <w:col w:w="10580"/>
          </w:cols>
          <w:pgMar w:left="840" w:top="939" w:right="825" w:bottom="420" w:gutter="0" w:footer="0" w:header="0"/>
        </w:sectPr>
      </w:pPr>
    </w:p>
    <w:p>
      <w:pPr>
        <w:spacing w:after="0" w:line="49" w:lineRule="exact"/>
        <w:rPr>
          <w:sz w:val="20"/>
          <w:szCs w:val="20"/>
          <w:color w:val="auto"/>
        </w:rPr>
      </w:pPr>
    </w:p>
    <w:p>
      <w:pPr>
        <w:jc w:val="center"/>
        <w:ind w:right="1380"/>
        <w:spacing w:after="0"/>
        <w:rPr>
          <w:sz w:val="20"/>
          <w:szCs w:val="20"/>
          <w:color w:val="auto"/>
        </w:rPr>
      </w:pPr>
      <w:r>
        <w:rPr>
          <w:rFonts w:ascii="Times New Roman" w:cs="Times New Roman" w:eastAsia="Times New Roman" w:hAnsi="Times New Roman"/>
          <w:sz w:val="18"/>
          <w:szCs w:val="18"/>
          <w:color w:val="auto"/>
        </w:rPr>
        <w:t>Delaware</w:t>
      </w:r>
    </w:p>
    <w:p>
      <w:pPr>
        <w:ind w:left="1600"/>
        <w:spacing w:after="0" w:line="228" w:lineRule="auto"/>
        <w:rPr>
          <w:sz w:val="20"/>
          <w:szCs w:val="20"/>
          <w:color w:val="auto"/>
        </w:rPr>
      </w:pPr>
      <w:r>
        <w:rPr>
          <w:rFonts w:ascii="Times New Roman" w:cs="Times New Roman" w:eastAsia="Times New Roman" w:hAnsi="Times New Roman"/>
          <w:sz w:val="16"/>
          <w:szCs w:val="16"/>
          <w:color w:val="auto"/>
        </w:rPr>
        <w:t>(State or other jurisdiction of</w:t>
      </w:r>
    </w:p>
    <w:p>
      <w:pPr>
        <w:ind w:left="1560"/>
        <w:spacing w:after="0" w:line="212" w:lineRule="auto"/>
        <w:rPr>
          <w:sz w:val="20"/>
          <w:szCs w:val="20"/>
          <w:color w:val="auto"/>
        </w:rPr>
      </w:pPr>
      <w:r>
        <w:rPr>
          <w:rFonts w:ascii="Times New Roman" w:cs="Times New Roman" w:eastAsia="Times New Roman" w:hAnsi="Times New Roman"/>
          <w:sz w:val="16"/>
          <w:szCs w:val="16"/>
          <w:color w:val="auto"/>
        </w:rPr>
        <w:t>incorporation or organization)</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2040"/>
        <w:spacing w:after="0"/>
        <w:rPr>
          <w:sz w:val="20"/>
          <w:szCs w:val="20"/>
          <w:color w:val="auto"/>
        </w:rPr>
      </w:pPr>
      <w:r>
        <w:rPr>
          <w:rFonts w:ascii="Times New Roman" w:cs="Times New Roman" w:eastAsia="Times New Roman" w:hAnsi="Times New Roman"/>
          <w:sz w:val="18"/>
          <w:szCs w:val="18"/>
          <w:color w:val="auto"/>
        </w:rPr>
        <w:t>53-0182885</w:t>
      </w:r>
    </w:p>
    <w:p>
      <w:pPr>
        <w:ind w:left="60"/>
        <w:spacing w:after="0" w:line="216" w:lineRule="auto"/>
        <w:rPr>
          <w:sz w:val="20"/>
          <w:szCs w:val="20"/>
          <w:color w:val="auto"/>
        </w:rPr>
      </w:pPr>
      <w:r>
        <w:rPr>
          <w:rFonts w:ascii="Times New Roman" w:cs="Times New Roman" w:eastAsia="Times New Roman" w:hAnsi="Times New Roman"/>
          <w:sz w:val="16"/>
          <w:szCs w:val="16"/>
          <w:color w:val="auto"/>
        </w:rPr>
        <w:t>(I.R.S. Employer</w:t>
      </w:r>
    </w:p>
    <w:p>
      <w:pPr>
        <w:spacing w:after="0" w:line="223" w:lineRule="auto"/>
        <w:rPr>
          <w:sz w:val="20"/>
          <w:szCs w:val="20"/>
          <w:color w:val="auto"/>
        </w:rPr>
      </w:pPr>
      <w:r>
        <w:rPr>
          <w:rFonts w:ascii="Times New Roman" w:cs="Times New Roman" w:eastAsia="Times New Roman" w:hAnsi="Times New Roman"/>
          <w:sz w:val="16"/>
          <w:szCs w:val="16"/>
          <w:color w:val="auto"/>
        </w:rPr>
        <w:t>Identification No.)</w:t>
      </w:r>
    </w:p>
    <w:p>
      <w:pPr>
        <w:spacing w:after="0" w:line="55" w:lineRule="exact"/>
        <w:rPr>
          <w:sz w:val="20"/>
          <w:szCs w:val="20"/>
          <w:color w:val="auto"/>
        </w:rPr>
      </w:pPr>
    </w:p>
    <w:p>
      <w:pPr>
        <w:sectPr>
          <w:pgSz w:w="12240" w:h="15850" w:orient="portrait"/>
          <w:cols w:equalWidth="0" w:num="2">
            <w:col w:w="6580" w:space="720"/>
            <w:col w:w="3280"/>
          </w:cols>
          <w:pgMar w:left="840" w:top="939" w:right="825" w:bottom="420" w:gutter="0" w:footer="0" w:header="0"/>
          <w:type w:val="continuous"/>
        </w:sectPr>
      </w:pPr>
    </w:p>
    <w:tbl>
      <w:tblPr>
        <w:tblLayout w:type="fixed"/>
        <w:tblInd w:w="840" w:type="dxa"/>
        <w:tblCellMar>
          <w:top w:w="0" w:type="dxa"/>
          <w:left w:w="0" w:type="dxa"/>
          <w:bottom w:w="0" w:type="dxa"/>
          <w:right w:w="0" w:type="dxa"/>
        </w:tblCellMar>
      </w:tblPr>
      <w:tr>
        <w:trPr>
          <w:trHeight w:val="207"/>
        </w:trPr>
        <w:tc>
          <w:tcPr>
            <w:tcW w:w="6680" w:type="dxa"/>
            <w:vAlign w:val="bottom"/>
            <w:gridSpan w:val="2"/>
          </w:tcPr>
          <w:p>
            <w:pPr>
              <w:jc w:val="center"/>
              <w:ind w:right="3092"/>
              <w:spacing w:after="0"/>
              <w:rPr>
                <w:sz w:val="20"/>
                <w:szCs w:val="20"/>
                <w:color w:val="auto"/>
              </w:rPr>
            </w:pPr>
            <w:r>
              <w:rPr>
                <w:rFonts w:ascii="Times New Roman" w:cs="Times New Roman" w:eastAsia="Times New Roman" w:hAnsi="Times New Roman"/>
                <w:sz w:val="18"/>
                <w:szCs w:val="18"/>
                <w:color w:val="auto"/>
              </w:rPr>
              <w:t>1812. North Moore Street, Arlington, Vir ginia</w:t>
            </w:r>
          </w:p>
        </w:tc>
        <w:tc>
          <w:tcPr>
            <w:tcW w:w="2200" w:type="dxa"/>
            <w:vAlign w:val="bottom"/>
          </w:tcPr>
          <w:p>
            <w:pPr>
              <w:jc w:val="right"/>
              <w:ind w:right="1497"/>
              <w:spacing w:after="0"/>
              <w:rPr>
                <w:sz w:val="20"/>
                <w:szCs w:val="20"/>
                <w:color w:val="auto"/>
              </w:rPr>
            </w:pPr>
            <w:r>
              <w:rPr>
                <w:rFonts w:ascii="Times New Roman" w:cs="Times New Roman" w:eastAsia="Times New Roman" w:hAnsi="Times New Roman"/>
                <w:sz w:val="18"/>
                <w:szCs w:val="18"/>
                <w:color w:val="auto"/>
              </w:rPr>
              <w:t>22209</w:t>
            </w:r>
          </w:p>
        </w:tc>
        <w:tc>
          <w:tcPr>
            <w:tcW w:w="0" w:type="dxa"/>
            <w:vAlign w:val="bottom"/>
          </w:tcPr>
          <w:p>
            <w:pPr>
              <w:spacing w:after="0"/>
              <w:rPr>
                <w:sz w:val="1"/>
                <w:szCs w:val="1"/>
                <w:color w:val="auto"/>
              </w:rPr>
            </w:pPr>
          </w:p>
        </w:tc>
      </w:tr>
      <w:tr>
        <w:trPr>
          <w:trHeight w:val="177"/>
        </w:trPr>
        <w:tc>
          <w:tcPr>
            <w:tcW w:w="6680" w:type="dxa"/>
            <w:vAlign w:val="bottom"/>
            <w:gridSpan w:val="2"/>
          </w:tcPr>
          <w:p>
            <w:pPr>
              <w:jc w:val="center"/>
              <w:ind w:right="3112"/>
              <w:spacing w:after="0" w:line="178" w:lineRule="exact"/>
              <w:rPr>
                <w:sz w:val="20"/>
                <w:szCs w:val="20"/>
                <w:color w:val="auto"/>
              </w:rPr>
            </w:pPr>
            <w:r>
              <w:rPr>
                <w:rFonts w:ascii="Times New Roman" w:cs="Times New Roman" w:eastAsia="Times New Roman" w:hAnsi="Times New Roman"/>
                <w:sz w:val="16"/>
                <w:szCs w:val="16"/>
                <w:color w:val="auto"/>
              </w:rPr>
              <w:t>(Address of principal executive offices)</w:t>
            </w:r>
          </w:p>
        </w:tc>
        <w:tc>
          <w:tcPr>
            <w:tcW w:w="2200" w:type="dxa"/>
            <w:vAlign w:val="bottom"/>
          </w:tcPr>
          <w:p>
            <w:pPr>
              <w:jc w:val="center"/>
              <w:ind w:right="1317"/>
              <w:spacing w:after="0" w:line="178" w:lineRule="exact"/>
              <w:rPr>
                <w:sz w:val="20"/>
                <w:szCs w:val="20"/>
                <w:color w:val="auto"/>
              </w:rPr>
            </w:pPr>
            <w:r>
              <w:rPr>
                <w:rFonts w:ascii="Times New Roman" w:cs="Times New Roman" w:eastAsia="Times New Roman" w:hAnsi="Times New Roman"/>
                <w:sz w:val="16"/>
                <w:szCs w:val="16"/>
                <w:color w:val="auto"/>
              </w:rPr>
              <w:t>(Zip Code)</w:t>
            </w:r>
          </w:p>
        </w:tc>
        <w:tc>
          <w:tcPr>
            <w:tcW w:w="0" w:type="dxa"/>
            <w:vAlign w:val="bottom"/>
          </w:tcPr>
          <w:p>
            <w:pPr>
              <w:spacing w:after="0"/>
              <w:rPr>
                <w:sz w:val="1"/>
                <w:szCs w:val="1"/>
                <w:color w:val="auto"/>
              </w:rPr>
            </w:pPr>
          </w:p>
        </w:tc>
      </w:tr>
      <w:tr>
        <w:trPr>
          <w:trHeight w:val="273"/>
        </w:trPr>
        <w:tc>
          <w:tcPr>
            <w:tcW w:w="1620" w:type="dxa"/>
            <w:vAlign w:val="bottom"/>
          </w:tcPr>
          <w:p>
            <w:pPr>
              <w:spacing w:after="0"/>
              <w:rPr>
                <w:sz w:val="23"/>
                <w:szCs w:val="23"/>
                <w:color w:val="auto"/>
              </w:rPr>
            </w:pPr>
          </w:p>
        </w:tc>
        <w:tc>
          <w:tcPr>
            <w:tcW w:w="7260" w:type="dxa"/>
            <w:vAlign w:val="bottom"/>
            <w:gridSpan w:val="2"/>
          </w:tcPr>
          <w:p>
            <w:pPr>
              <w:jc w:val="center"/>
              <w:ind w:right="1537"/>
              <w:spacing w:after="0"/>
              <w:rPr>
                <w:sz w:val="20"/>
                <w:szCs w:val="20"/>
                <w:color w:val="auto"/>
              </w:rPr>
            </w:pPr>
            <w:r>
              <w:rPr>
                <w:rFonts w:ascii="Times New Roman" w:cs="Times New Roman" w:eastAsia="Times New Roman" w:hAnsi="Times New Roman"/>
                <w:sz w:val="18"/>
                <w:szCs w:val="18"/>
                <w:color w:val="auto"/>
              </w:rPr>
              <w:t>Registrant's Telephone Number, Includ ing Area Code: (703) 345-6300</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5060" w:type="dxa"/>
            <w:vAlign w:val="bottom"/>
          </w:tcPr>
          <w:p>
            <w:pPr>
              <w:jc w:val="center"/>
              <w:ind w:left="472"/>
              <w:spacing w:after="0"/>
              <w:rPr>
                <w:sz w:val="20"/>
                <w:szCs w:val="20"/>
                <w:color w:val="auto"/>
              </w:rPr>
            </w:pPr>
            <w:r>
              <w:rPr>
                <w:rFonts w:ascii="Times New Roman" w:cs="Times New Roman" w:eastAsia="Times New Roman" w:hAnsi="Times New Roman"/>
                <w:sz w:val="18"/>
                <w:szCs w:val="18"/>
                <w:color w:val="auto"/>
              </w:rPr>
              <w:t>Securities Registered Pursuant to Section 12(b) of the Ad:</w:t>
            </w:r>
          </w:p>
        </w:tc>
        <w:tc>
          <w:tcPr>
            <w:tcW w:w="2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1620" w:type="dxa"/>
            <w:vAlign w:val="bottom"/>
          </w:tcPr>
          <w:p>
            <w:pPr>
              <w:spacing w:after="0"/>
              <w:rPr>
                <w:sz w:val="18"/>
                <w:szCs w:val="18"/>
                <w:color w:val="auto"/>
              </w:rPr>
            </w:pPr>
          </w:p>
        </w:tc>
        <w:tc>
          <w:tcPr>
            <w:tcW w:w="5060" w:type="dxa"/>
            <w:vAlign w:val="bottom"/>
            <w:vMerge w:val="restart"/>
          </w:tcPr>
          <w:p>
            <w:pPr>
              <w:ind w:left="2300"/>
              <w:spacing w:after="0"/>
              <w:rPr>
                <w:sz w:val="20"/>
                <w:szCs w:val="20"/>
                <w:color w:val="auto"/>
              </w:rPr>
            </w:pPr>
            <w:r>
              <w:rPr>
                <w:rFonts w:ascii="Times New Roman" w:cs="Times New Roman" w:eastAsia="Times New Roman" w:hAnsi="Times New Roman"/>
                <w:sz w:val="16"/>
                <w:szCs w:val="16"/>
                <w:color w:val="auto"/>
              </w:rPr>
              <w:t>Tr ading Symbol(s)</w:t>
            </w:r>
          </w:p>
        </w:tc>
        <w:tc>
          <w:tcPr>
            <w:tcW w:w="2200" w:type="dxa"/>
            <w:vAlign w:val="bottom"/>
          </w:tcPr>
          <w:p>
            <w:pPr>
              <w:jc w:val="center"/>
              <w:ind w:left="517"/>
              <w:spacing w:after="0"/>
              <w:rPr>
                <w:sz w:val="20"/>
                <w:szCs w:val="20"/>
                <w:color w:val="auto"/>
              </w:rPr>
            </w:pPr>
            <w:r>
              <w:rPr>
                <w:rFonts w:ascii="Times New Roman" w:cs="Times New Roman" w:eastAsia="Times New Roman" w:hAnsi="Times New Roman"/>
                <w:sz w:val="16"/>
                <w:szCs w:val="16"/>
                <w:color w:val="auto"/>
              </w:rPr>
              <w:t>Name of each exchange</w:t>
            </w:r>
          </w:p>
        </w:tc>
        <w:tc>
          <w:tcPr>
            <w:tcW w:w="0" w:type="dxa"/>
            <w:vAlign w:val="bottom"/>
          </w:tcPr>
          <w:p>
            <w:pPr>
              <w:spacing w:after="0"/>
              <w:rPr>
                <w:sz w:val="1"/>
                <w:szCs w:val="1"/>
                <w:color w:val="auto"/>
              </w:rPr>
            </w:pPr>
          </w:p>
        </w:tc>
      </w:tr>
      <w:tr>
        <w:trPr>
          <w:trHeight w:val="177"/>
        </w:trPr>
        <w:tc>
          <w:tcPr>
            <w:tcW w:w="1620" w:type="dxa"/>
            <w:vAlign w:val="bottom"/>
          </w:tcPr>
          <w:p>
            <w:pPr>
              <w:ind w:left="300"/>
              <w:spacing w:after="0" w:line="178" w:lineRule="exact"/>
              <w:rPr>
                <w:sz w:val="20"/>
                <w:szCs w:val="20"/>
                <w:color w:val="auto"/>
              </w:rPr>
            </w:pPr>
            <w:r>
              <w:rPr>
                <w:rFonts w:ascii="Times New Roman" w:cs="Times New Roman" w:eastAsia="Times New Roman" w:hAnsi="Times New Roman"/>
                <w:sz w:val="16"/>
                <w:szCs w:val="16"/>
                <w:color w:val="auto"/>
              </w:rPr>
              <w:t>Title of each class</w:t>
            </w:r>
          </w:p>
        </w:tc>
        <w:tc>
          <w:tcPr>
            <w:tcW w:w="5060" w:type="dxa"/>
            <w:vAlign w:val="bottom"/>
            <w:vMerge w:val="continue"/>
          </w:tcPr>
          <w:p>
            <w:pPr>
              <w:spacing w:after="0"/>
              <w:rPr>
                <w:sz w:val="15"/>
                <w:szCs w:val="15"/>
                <w:color w:val="auto"/>
              </w:rPr>
            </w:pPr>
          </w:p>
        </w:tc>
        <w:tc>
          <w:tcPr>
            <w:tcW w:w="2200" w:type="dxa"/>
            <w:vAlign w:val="bottom"/>
          </w:tcPr>
          <w:p>
            <w:pPr>
              <w:jc w:val="center"/>
              <w:ind w:left="497"/>
              <w:spacing w:after="0" w:line="178" w:lineRule="exact"/>
              <w:rPr>
                <w:sz w:val="20"/>
                <w:szCs w:val="20"/>
                <w:color w:val="auto"/>
              </w:rPr>
            </w:pPr>
            <w:r>
              <w:rPr>
                <w:rFonts w:ascii="Times New Roman" w:cs="Times New Roman" w:eastAsia="Times New Roman" w:hAnsi="Times New Roman"/>
                <w:sz w:val="16"/>
                <w:szCs w:val="16"/>
                <w:color w:val="auto"/>
              </w:rPr>
              <w:t>on which registered</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460"/>
        <w:spacing w:after="0"/>
        <w:tabs>
          <w:tab w:leader="none" w:pos="5180" w:val="left"/>
          <w:tab w:leader="none" w:pos="7880" w:val="left"/>
        </w:tabs>
        <w:rPr>
          <w:sz w:val="20"/>
          <w:szCs w:val="20"/>
          <w:color w:val="auto"/>
        </w:rPr>
      </w:pPr>
      <w:r>
        <w:rPr>
          <w:rFonts w:ascii="Times New Roman" w:cs="Times New Roman" w:eastAsia="Times New Roman" w:hAnsi="Times New Roman"/>
          <w:sz w:val="18"/>
          <w:szCs w:val="18"/>
          <w:color w:val="auto"/>
        </w:rPr>
        <w:t>Class B Common Stock, par value</w:t>
      </w:r>
      <w:r>
        <w:rPr>
          <w:sz w:val="20"/>
          <w:szCs w:val="20"/>
          <w:color w:val="auto"/>
        </w:rPr>
        <w:tab/>
      </w:r>
      <w:r>
        <w:rPr>
          <w:rFonts w:ascii="Times New Roman" w:cs="Times New Roman" w:eastAsia="Times New Roman" w:hAnsi="Times New Roman"/>
          <w:sz w:val="22"/>
          <w:szCs w:val="22"/>
          <w:color w:val="auto"/>
        </w:rPr>
        <w:t>GHC</w:t>
      </w:r>
      <w:r>
        <w:rPr>
          <w:sz w:val="20"/>
          <w:szCs w:val="20"/>
          <w:color w:val="auto"/>
        </w:rPr>
        <w:tab/>
      </w:r>
      <w:r>
        <w:rPr>
          <w:rFonts w:ascii="Times New Roman" w:cs="Times New Roman" w:eastAsia="Times New Roman" w:hAnsi="Times New Roman"/>
          <w:sz w:val="18"/>
          <w:szCs w:val="18"/>
          <w:color w:val="auto"/>
        </w:rPr>
        <w:t>New York Stock Exchange</w:t>
      </w:r>
    </w:p>
    <w:p>
      <w:pPr>
        <w:ind w:left="1160"/>
        <w:spacing w:after="0" w:line="203" w:lineRule="auto"/>
        <w:rPr>
          <w:sz w:val="20"/>
          <w:szCs w:val="20"/>
          <w:color w:val="auto"/>
        </w:rPr>
      </w:pPr>
      <w:r>
        <w:rPr>
          <w:rFonts w:ascii="Times New Roman" w:cs="Times New Roman" w:eastAsia="Times New Roman" w:hAnsi="Times New Roman"/>
          <w:sz w:val="18"/>
          <w:szCs w:val="18"/>
          <w:color w:val="auto"/>
        </w:rPr>
        <w:t>$1.00 per share</w:t>
      </w:r>
    </w:p>
    <w:p>
      <w:pPr>
        <w:spacing w:after="0" w:line="6" w:lineRule="exact"/>
        <w:rPr>
          <w:sz w:val="20"/>
          <w:szCs w:val="20"/>
          <w:color w:val="auto"/>
        </w:rPr>
      </w:pPr>
    </w:p>
    <w:p>
      <w:pPr>
        <w:ind w:right="560"/>
        <w:spacing w:after="0" w:line="246" w:lineRule="auto"/>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w:cs="Arial" w:eastAsia="Arial" w:hAnsi="Arial"/>
          <w:sz w:val="15"/>
          <w:szCs w:val="15"/>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24"/>
          <w:szCs w:val="24"/>
          <w:color w:val="auto"/>
        </w:rPr>
        <w:t>D</w:t>
      </w:r>
      <w:r>
        <w:rPr>
          <w:rFonts w:ascii="Times New Roman" w:cs="Times New Roman" w:eastAsia="Times New Roman" w:hAnsi="Times New Roman"/>
          <w:sz w:val="16"/>
          <w:szCs w:val="16"/>
          <w:color w:val="auto"/>
        </w:rPr>
        <w:t xml:space="preserve"> Indicate by check mark if the registmnt is not required to file reports pursuant to Section 13 or Section 15( d) of the Act. Yes </w:t>
      </w:r>
      <w:r>
        <w:rPr>
          <w:rFonts w:ascii="Arial" w:cs="Arial" w:eastAsia="Arial" w:hAnsi="Arial"/>
          <w:sz w:val="23"/>
          <w:szCs w:val="23"/>
          <w:color w:val="auto"/>
        </w:rPr>
        <w:t>D</w:t>
      </w:r>
      <w:r>
        <w:rPr>
          <w:rFonts w:ascii="Times New Roman" w:cs="Times New Roman" w:eastAsia="Times New Roman" w:hAnsi="Times New Roman"/>
          <w:sz w:val="16"/>
          <w:szCs w:val="16"/>
          <w:color w:val="auto"/>
        </w:rPr>
        <w:t xml:space="preserve"> No </w:t>
      </w:r>
      <w:r>
        <w:rPr>
          <w:rFonts w:ascii="Arial" w:cs="Arial" w:eastAsia="Arial" w:hAnsi="Arial"/>
          <w:sz w:val="14"/>
          <w:szCs w:val="14"/>
          <w:color w:val="auto"/>
        </w:rPr>
        <w:t>~</w:t>
      </w:r>
    </w:p>
    <w:p>
      <w:pPr>
        <w:spacing w:after="0" w:line="50" w:lineRule="exact"/>
        <w:rPr>
          <w:sz w:val="20"/>
          <w:szCs w:val="20"/>
          <w:color w:val="auto"/>
        </w:rPr>
      </w:pPr>
    </w:p>
    <w:p>
      <w:pPr>
        <w:jc w:val="both"/>
        <w:ind w:firstLine="20"/>
        <w:spacing w:after="0" w:line="223"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 I) has f iled all reports required to </w:t>
      </w:r>
      <w:r>
        <w:rPr>
          <w:rFonts w:ascii="Arial" w:cs="Arial" w:eastAsia="Arial" w:hAnsi="Arial"/>
          <w:sz w:val="16"/>
          <w:szCs w:val="16"/>
          <w:color w:val="auto"/>
        </w:rPr>
        <w:t>be</w:t>
      </w:r>
      <w:r>
        <w:rPr>
          <w:rFonts w:ascii="Times New Roman" w:cs="Times New Roman" w:eastAsia="Times New Roman" w:hAnsi="Times New Roman"/>
          <w:sz w:val="16"/>
          <w:szCs w:val="16"/>
          <w:color w:val="auto"/>
        </w:rPr>
        <w:t xml:space="preserve"> filed by Section 13 or 15(d) of the Secuiities Exchange Act of 1934 du ring the preceding 12 months (or for such sho rter period that the registrant was required to fi le such reports), and (2) has been subject to such filing requirements for the past 90 days. Yes </w:t>
      </w:r>
      <w:r>
        <w:rPr>
          <w:rFonts w:ascii="Arial" w:cs="Arial" w:eastAsia="Arial" w:hAnsi="Arial"/>
          <w:sz w:val="16"/>
          <w:szCs w:val="16"/>
          <w:color w:val="auto"/>
        </w:rPr>
        <w:t>~</w:t>
      </w:r>
      <w:r>
        <w:rPr>
          <w:rFonts w:ascii="Times New Roman" w:cs="Times New Roman" w:eastAsia="Times New Roman" w:hAnsi="Times New Roman"/>
          <w:sz w:val="16"/>
          <w:szCs w:val="16"/>
          <w:color w:val="auto"/>
        </w:rPr>
        <w:t xml:space="preserve"> No </w:t>
      </w:r>
      <w:r>
        <w:rPr>
          <w:rFonts w:ascii="Times New Roman" w:cs="Times New Roman" w:eastAsia="Times New Roman" w:hAnsi="Times New Roman"/>
          <w:sz w:val="24"/>
          <w:szCs w:val="24"/>
          <w:color w:val="auto"/>
        </w:rPr>
        <w:t>D</w:t>
      </w:r>
    </w:p>
    <w:p>
      <w:pPr>
        <w:spacing w:after="0" w:line="62" w:lineRule="exact"/>
        <w:rPr>
          <w:sz w:val="20"/>
          <w:szCs w:val="20"/>
          <w:color w:val="auto"/>
        </w:rPr>
      </w:pPr>
    </w:p>
    <w:p>
      <w:pPr>
        <w:jc w:val="both"/>
        <w:ind w:right="20" w:firstLine="9"/>
        <w:spacing w:after="0"/>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 nths (or for such shotter period that lhe registrant was required to submit such files). Yes </w:t>
      </w:r>
      <w:r>
        <w:rPr>
          <w:rFonts w:ascii="Arial" w:cs="Arial" w:eastAsia="Arial" w:hAnsi="Arial"/>
          <w:sz w:val="15"/>
          <w:szCs w:val="15"/>
          <w:color w:val="auto"/>
        </w:rPr>
        <w:t>~</w:t>
      </w:r>
      <w:r>
        <w:rPr>
          <w:rFonts w:ascii="Times New Roman" w:cs="Times New Roman" w:eastAsia="Times New Roman" w:hAnsi="Times New Roman"/>
          <w:sz w:val="16"/>
          <w:szCs w:val="16"/>
          <w:color w:val="auto"/>
        </w:rPr>
        <w:t xml:space="preserve"> No </w:t>
      </w:r>
      <w:r>
        <w:rPr>
          <w:rFonts w:ascii="Arial" w:cs="Arial" w:eastAsia="Arial" w:hAnsi="Arial"/>
          <w:sz w:val="23"/>
          <w:szCs w:val="23"/>
          <w:color w:val="auto"/>
        </w:rPr>
        <w:t>D</w:t>
      </w:r>
    </w:p>
    <w:p>
      <w:pPr>
        <w:spacing w:after="0" w:line="209" w:lineRule="exact"/>
        <w:rPr>
          <w:sz w:val="20"/>
          <w:szCs w:val="20"/>
          <w:color w:val="auto"/>
        </w:rPr>
      </w:pPr>
    </w:p>
    <w:p>
      <w:pPr>
        <w:jc w:val="both"/>
        <w:ind w:right="20" w:firstLine="20"/>
        <w:spacing w:after="0" w:line="243" w:lineRule="auto"/>
        <w:rPr>
          <w:sz w:val="20"/>
          <w:szCs w:val="20"/>
          <w:color w:val="auto"/>
        </w:rPr>
      </w:pPr>
      <w:r>
        <w:rPr>
          <w:rFonts w:ascii="Times New Roman" w:cs="Times New Roman" w:eastAsia="Times New Roman" w:hAnsi="Times New Roman"/>
          <w:sz w:val="16"/>
          <w:szCs w:val="16"/>
          <w:color w:val="auto"/>
        </w:rPr>
        <w:t>Indicate by check mark whether lhe registrant is a large accelerated filer, an accele rated filer, a non-accelerated filer, a smaller repotting company, or an emerging growth company. See the definitions of "large accelerated filer," "accelerated filer," "smaller reporti ng company" and "emerging</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growth company" in Rule 12b-2 of the Exchange Act.</w:t>
            </w:r>
          </w:p>
        </w:tc>
        <w:tc>
          <w:tcPr>
            <w:tcW w:w="334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55"/>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940" w:type="dxa"/>
            <w:vAlign w:val="bottom"/>
          </w:tcPr>
          <w:p>
            <w:pPr>
              <w:ind w:left="60"/>
              <w:spacing w:after="0"/>
              <w:rPr>
                <w:sz w:val="20"/>
                <w:szCs w:val="20"/>
                <w:color w:val="auto"/>
              </w:rPr>
            </w:pPr>
            <w:r>
              <w:rPr>
                <w:rFonts w:ascii="Arial" w:cs="Arial" w:eastAsia="Arial" w:hAnsi="Arial"/>
                <w:sz w:val="15"/>
                <w:szCs w:val="15"/>
                <w:color w:val="auto"/>
              </w:rPr>
              <w:t>~</w:t>
            </w:r>
          </w:p>
        </w:tc>
        <w:tc>
          <w:tcPr>
            <w:tcW w:w="4280" w:type="dxa"/>
            <w:vAlign w:val="bottom"/>
          </w:tcPr>
          <w:p>
            <w:pPr>
              <w:spacing w:after="0"/>
              <w:rPr>
                <w:sz w:val="22"/>
                <w:szCs w:val="22"/>
                <w:color w:val="auto"/>
              </w:rPr>
            </w:pPr>
          </w:p>
        </w:tc>
        <w:tc>
          <w:tcPr>
            <w:tcW w:w="33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Accelerated filer</w:t>
            </w:r>
          </w:p>
        </w:tc>
        <w:tc>
          <w:tcPr>
            <w:tcW w:w="220" w:type="dxa"/>
            <w:vAlign w:val="bottom"/>
          </w:tcPr>
          <w:p>
            <w:pPr>
              <w:ind w:left="60"/>
              <w:spacing w:after="0" w:line="256" w:lineRule="exact"/>
              <w:rPr>
                <w:sz w:val="20"/>
                <w:szCs w:val="20"/>
                <w:color w:val="auto"/>
              </w:rPr>
            </w:pPr>
            <w:r>
              <w:rPr>
                <w:rFonts w:ascii="Times New Roman" w:cs="Times New Roman" w:eastAsia="Times New Roman" w:hAnsi="Times New Roman"/>
                <w:sz w:val="26"/>
                <w:szCs w:val="26"/>
                <w:color w:val="auto"/>
              </w:rPr>
              <w:t>0</w:t>
            </w:r>
          </w:p>
        </w:tc>
      </w:tr>
      <w:tr>
        <w:trPr>
          <w:trHeight w:val="268"/>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940" w:type="dxa"/>
            <w:vAlign w:val="bottom"/>
          </w:tcPr>
          <w:p>
            <w:pPr>
              <w:ind w:left="40"/>
              <w:spacing w:after="0"/>
              <w:rPr>
                <w:sz w:val="20"/>
                <w:szCs w:val="20"/>
                <w:color w:val="auto"/>
              </w:rPr>
            </w:pPr>
            <w:r>
              <w:rPr>
                <w:rFonts w:ascii="Arial" w:cs="Arial" w:eastAsia="Arial" w:hAnsi="Arial"/>
                <w:sz w:val="23"/>
                <w:szCs w:val="23"/>
                <w:color w:val="auto"/>
              </w:rPr>
              <w:t>D</w:t>
            </w:r>
          </w:p>
        </w:tc>
        <w:tc>
          <w:tcPr>
            <w:tcW w:w="4280" w:type="dxa"/>
            <w:vAlign w:val="bottom"/>
          </w:tcPr>
          <w:p>
            <w:pPr>
              <w:ind w:left="740"/>
              <w:spacing w:after="0"/>
              <w:rPr>
                <w:sz w:val="20"/>
                <w:szCs w:val="20"/>
                <w:color w:val="auto"/>
              </w:rPr>
            </w:pPr>
            <w:r>
              <w:rPr>
                <w:rFonts w:ascii="Times New Roman" w:cs="Times New Roman" w:eastAsia="Times New Roman" w:hAnsi="Times New Roman"/>
                <w:sz w:val="16"/>
                <w:szCs w:val="16"/>
                <w:color w:val="auto"/>
              </w:rPr>
              <w:t xml:space="preserve">Emerging growlh company  </w:t>
            </w:r>
            <w:r>
              <w:rPr>
                <w:rFonts w:ascii="Arial" w:cs="Arial" w:eastAsia="Arial" w:hAnsi="Arial"/>
                <w:sz w:val="23"/>
                <w:szCs w:val="23"/>
                <w:color w:val="auto"/>
              </w:rPr>
              <w:t>D</w:t>
            </w:r>
          </w:p>
        </w:tc>
        <w:tc>
          <w:tcPr>
            <w:tcW w:w="33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220" w:type="dxa"/>
            <w:vAlign w:val="bottom"/>
          </w:tcPr>
          <w:p>
            <w:pPr>
              <w:ind w:left="60"/>
              <w:spacing w:after="0"/>
              <w:rPr>
                <w:sz w:val="20"/>
                <w:szCs w:val="20"/>
                <w:color w:val="auto"/>
              </w:rPr>
            </w:pPr>
            <w:r>
              <w:rPr>
                <w:rFonts w:ascii="Arial" w:cs="Arial" w:eastAsia="Arial" w:hAnsi="Arial"/>
                <w:sz w:val="23"/>
                <w:szCs w:val="23"/>
                <w:color w:val="auto"/>
                <w:w w:val="84"/>
              </w:rPr>
              <w:t>D</w:t>
            </w:r>
          </w:p>
        </w:tc>
      </w:tr>
    </w:tbl>
    <w:p>
      <w:pPr>
        <w:spacing w:after="0" w:line="69" w:lineRule="exact"/>
        <w:rPr>
          <w:sz w:val="20"/>
          <w:szCs w:val="20"/>
          <w:color w:val="auto"/>
        </w:rPr>
      </w:pPr>
    </w:p>
    <w:p>
      <w:pPr>
        <w:jc w:val="both"/>
        <w:ind w:right="20" w:firstLine="10"/>
        <w:spacing w:after="0" w:line="207"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23"/>
          <w:szCs w:val="23"/>
          <w:color w:val="auto"/>
        </w:rPr>
        <w:t>D</w:t>
      </w:r>
    </w:p>
    <w:p>
      <w:pPr>
        <w:spacing w:after="0" w:line="70" w:lineRule="exact"/>
        <w:rPr>
          <w:sz w:val="20"/>
          <w:szCs w:val="20"/>
          <w:color w:val="auto"/>
        </w:rPr>
      </w:pPr>
    </w:p>
    <w:p>
      <w:pPr>
        <w:jc w:val="both"/>
        <w:ind w:right="20" w:firstLine="10"/>
        <w:spacing w:after="0" w:line="220" w:lineRule="auto"/>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rep01ting under Section 404(b) of the Sarbanes-Oxley Act (15 U.S.C. 7262(b)) by the registered public accounting firm that prepared or issued its audit report. Yes </w:t>
      </w:r>
      <w:r>
        <w:rPr>
          <w:rFonts w:ascii="Arial" w:cs="Arial" w:eastAsia="Arial" w:hAnsi="Arial"/>
          <w:sz w:val="15"/>
          <w:szCs w:val="15"/>
          <w:color w:val="auto"/>
        </w:rPr>
        <w:t>~</w:t>
      </w:r>
      <w:r>
        <w:rPr>
          <w:rFonts w:ascii="Times New Roman" w:cs="Times New Roman" w:eastAsia="Times New Roman" w:hAnsi="Times New Roman"/>
          <w:sz w:val="16"/>
          <w:szCs w:val="16"/>
          <w:color w:val="auto"/>
        </w:rPr>
        <w:t xml:space="preserve"> No </w:t>
      </w:r>
      <w:r>
        <w:rPr>
          <w:rFonts w:ascii="Times New Roman" w:cs="Times New Roman" w:eastAsia="Times New Roman" w:hAnsi="Times New Roman"/>
          <w:sz w:val="25"/>
          <w:szCs w:val="25"/>
          <w:color w:val="auto"/>
        </w:rPr>
        <w:t>0</w:t>
      </w:r>
    </w:p>
    <w:p>
      <w:pPr>
        <w:spacing w:after="0" w:line="57" w:lineRule="exact"/>
        <w:rPr>
          <w:sz w:val="20"/>
          <w:szCs w:val="20"/>
          <w:color w:val="auto"/>
        </w:rPr>
      </w:pPr>
    </w:p>
    <w:p>
      <w:pPr>
        <w:jc w:val="both"/>
        <w:ind w:right="20" w:firstLine="10"/>
        <w:spacing w:after="0" w:line="212"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lhe financial statements of the registrant included in the filing reflect the correction of an error to previously issued financial statements. </w:t>
      </w:r>
      <w:r>
        <w:rPr>
          <w:rFonts w:ascii="Arial" w:cs="Arial" w:eastAsia="Arial" w:hAnsi="Arial"/>
          <w:sz w:val="23"/>
          <w:szCs w:val="23"/>
          <w:color w:val="auto"/>
        </w:rPr>
        <w:t>D</w:t>
      </w:r>
    </w:p>
    <w:p>
      <w:pPr>
        <w:spacing w:after="0" w:line="70" w:lineRule="exact"/>
        <w:rPr>
          <w:sz w:val="20"/>
          <w:szCs w:val="20"/>
          <w:color w:val="auto"/>
        </w:rPr>
      </w:pPr>
    </w:p>
    <w:p>
      <w:pPr>
        <w:jc w:val="both"/>
        <w:ind w:right="20" w:firstLine="11"/>
        <w:spacing w:after="0" w:line="203" w:lineRule="auto"/>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lhat required a recovery analysis of ince ntive-based compensation </w:t>
      </w:r>
      <w:r>
        <w:rPr>
          <w:rFonts w:ascii="Arial" w:cs="Arial" w:eastAsia="Arial" w:hAnsi="Arial"/>
          <w:sz w:val="15"/>
          <w:szCs w:val="15"/>
          <w:color w:val="auto"/>
        </w:rPr>
        <w:t xml:space="preserve">received </w:t>
      </w:r>
      <w:r>
        <w:rPr>
          <w:rFonts w:ascii="Times New Roman" w:cs="Times New Roman" w:eastAsia="Times New Roman" w:hAnsi="Times New Roman"/>
          <w:sz w:val="16"/>
          <w:szCs w:val="16"/>
          <w:color w:val="auto"/>
        </w:rPr>
        <w:t>by</w:t>
      </w:r>
      <w:r>
        <w:rPr>
          <w:rFonts w:ascii="Arial" w:cs="Arial" w:eastAsia="Arial" w:hAnsi="Arial"/>
          <w:sz w:val="15"/>
          <w:szCs w:val="15"/>
          <w:color w:val="auto"/>
        </w:rPr>
        <w:t xml:space="preserve"> any of the registrant'sexecutive officers during the relevam recovery period pursuam to </w:t>
      </w:r>
      <w:r>
        <w:rPr>
          <w:rFonts w:ascii="Times New Roman" w:cs="Times New Roman" w:eastAsia="Times New Roman" w:hAnsi="Times New Roman"/>
          <w:sz w:val="16"/>
          <w:szCs w:val="16"/>
          <w:color w:val="auto"/>
        </w:rPr>
        <w:t>§240.1</w:t>
      </w:r>
      <w:r>
        <w:rPr>
          <w:rFonts w:ascii="Arial" w:cs="Arial" w:eastAsia="Arial" w:hAnsi="Arial"/>
          <w:sz w:val="15"/>
          <w:szCs w:val="15"/>
          <w:color w:val="auto"/>
        </w:rPr>
        <w:t xml:space="preserve"> OD- 1</w:t>
      </w:r>
      <w:r>
        <w:rPr>
          <w:rFonts w:ascii="Times New Roman" w:cs="Times New Roman" w:eastAsia="Times New Roman" w:hAnsi="Times New Roman"/>
          <w:sz w:val="16"/>
          <w:szCs w:val="16"/>
          <w:color w:val="auto"/>
        </w:rPr>
        <w:t>(b).</w:t>
      </w:r>
      <w:r>
        <w:rPr>
          <w:rFonts w:ascii="Arial" w:cs="Arial" w:eastAsia="Arial" w:hAnsi="Arial"/>
          <w:sz w:val="15"/>
          <w:szCs w:val="15"/>
          <w:color w:val="auto"/>
        </w:rPr>
        <w:t xml:space="preserve"> </w:t>
      </w:r>
      <w:r>
        <w:rPr>
          <w:rFonts w:ascii="Times New Roman" w:cs="Times New Roman" w:eastAsia="Times New Roman" w:hAnsi="Times New Roman"/>
          <w:sz w:val="25"/>
          <w:szCs w:val="25"/>
          <w:color w:val="auto"/>
        </w:rPr>
        <w:t>0</w:t>
      </w:r>
    </w:p>
    <w:p>
      <w:pPr>
        <w:spacing w:after="0" w:line="11" w:lineRule="exact"/>
        <w:rPr>
          <w:sz w:val="20"/>
          <w:szCs w:val="20"/>
          <w:color w:val="auto"/>
        </w:rPr>
      </w:pPr>
    </w:p>
    <w:p>
      <w:pPr>
        <w:spacing w:after="0"/>
        <w:tabs>
          <w:tab w:leader="none" w:pos="8440" w:val="left"/>
          <w:tab w:leader="none" w:pos="8860" w:val="left"/>
          <w:tab w:leader="none" w:pos="9260" w:val="left"/>
          <w:tab w:leader="none" w:pos="96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Act).</w:t>
      </w:r>
      <w:r>
        <w:rPr>
          <w:sz w:val="20"/>
          <w:szCs w:val="20"/>
          <w:color w:val="auto"/>
        </w:rPr>
        <w:tab/>
      </w:r>
      <w:r>
        <w:rPr>
          <w:rFonts w:ascii="Times New Roman" w:cs="Times New Roman" w:eastAsia="Times New Roman" w:hAnsi="Times New Roman"/>
          <w:sz w:val="16"/>
          <w:szCs w:val="16"/>
          <w:color w:val="auto"/>
        </w:rPr>
        <w:t>Yes</w:t>
      </w:r>
      <w:r>
        <w:rPr>
          <w:sz w:val="20"/>
          <w:szCs w:val="20"/>
          <w:color w:val="auto"/>
        </w:rPr>
        <w:tab/>
      </w:r>
      <w:r>
        <w:rPr>
          <w:rFonts w:ascii="Arial" w:cs="Arial" w:eastAsia="Arial" w:hAnsi="Arial"/>
          <w:sz w:val="25"/>
          <w:szCs w:val="25"/>
          <w:color w:val="auto"/>
        </w:rPr>
        <w:t>0</w:t>
      </w:r>
      <w:r>
        <w:rPr>
          <w:sz w:val="20"/>
          <w:szCs w:val="20"/>
          <w:color w:val="auto"/>
        </w:rPr>
        <w:tab/>
      </w:r>
      <w:r>
        <w:rPr>
          <w:rFonts w:ascii="Times New Roman" w:cs="Times New Roman" w:eastAsia="Times New Roman" w:hAnsi="Times New Roman"/>
          <w:sz w:val="16"/>
          <w:szCs w:val="16"/>
          <w:color w:val="auto"/>
        </w:rPr>
        <w:t>No</w:t>
      </w:r>
      <w:r>
        <w:rPr>
          <w:sz w:val="20"/>
          <w:szCs w:val="20"/>
          <w:color w:val="auto"/>
        </w:rPr>
        <w:tab/>
      </w:r>
      <w:r>
        <w:rPr>
          <w:rFonts w:ascii="Times New Roman" w:cs="Times New Roman" w:eastAsia="Times New Roman" w:hAnsi="Times New Roman"/>
          <w:sz w:val="16"/>
          <w:szCs w:val="16"/>
          <w:color w:val="auto"/>
        </w:rPr>
        <w:t>[gJ</w:t>
      </w:r>
    </w:p>
    <w:p>
      <w:pPr>
        <w:spacing w:after="0" w:line="79" w:lineRule="exact"/>
        <w:rPr>
          <w:sz w:val="20"/>
          <w:szCs w:val="20"/>
          <w:color w:val="auto"/>
        </w:rPr>
      </w:pPr>
    </w:p>
    <w:p>
      <w:pPr>
        <w:jc w:val="both"/>
        <w:ind w:right="20" w:firstLine="11"/>
        <w:spacing w:after="0" w:line="243" w:lineRule="auto"/>
        <w:rPr>
          <w:sz w:val="20"/>
          <w:szCs w:val="20"/>
          <w:color w:val="auto"/>
        </w:rPr>
      </w:pPr>
      <w:r>
        <w:rPr>
          <w:rFonts w:ascii="Times New Roman" w:cs="Times New Roman" w:eastAsia="Times New Roman" w:hAnsi="Times New Roman"/>
          <w:sz w:val="16"/>
          <w:szCs w:val="16"/>
          <w:color w:val="auto"/>
        </w:rPr>
        <w:t>Aggregate market value of the registrant's common equity held by non-affi liates o n June 28, 2024, based on the closing price for the Company's Class B Common Stock on the New Yo rk Stock Excha nge on such date: approximately $2,356,000,000.</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Shares of common stock outstanding at February 21, 2025:</w:t>
      </w:r>
    </w:p>
    <w:p>
      <w:pPr>
        <w:spacing w:after="0" w:line="92"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6"/>
          <w:szCs w:val="16"/>
          <w:color w:val="auto"/>
        </w:rPr>
        <w:t>Class A Common Stock -  964,00 I shares</w:t>
      </w:r>
    </w:p>
    <w:p>
      <w:pPr>
        <w:spacing w:after="0" w:line="7"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6"/>
          <w:szCs w:val="16"/>
          <w:color w:val="auto"/>
        </w:rPr>
        <w:t>Class B Common Stock -  3,375,982 shares</w:t>
      </w:r>
    </w:p>
    <w:p>
      <w:pPr>
        <w:spacing w:after="0" w:line="6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Documents partially incorporated by reference:</w:t>
      </w:r>
    </w:p>
    <w:p>
      <w:pPr>
        <w:sectPr>
          <w:pgSz w:w="12240" w:h="15850" w:orient="portrait"/>
          <w:cols w:equalWidth="0" w:num="1">
            <w:col w:w="10580"/>
          </w:cols>
          <w:pgMar w:left="840" w:top="939" w:right="825" w:bottom="420" w:gutter="0" w:footer="0" w:header="0"/>
          <w:type w:val="continuous"/>
        </w:sectPr>
      </w:pPr>
    </w:p>
    <w:p>
      <w:pPr>
        <w:spacing w:after="0" w:line="91" w:lineRule="exact"/>
        <w:rPr>
          <w:sz w:val="20"/>
          <w:szCs w:val="20"/>
          <w:color w:val="auto"/>
        </w:rPr>
      </w:pPr>
    </w:p>
    <w:p>
      <w:pPr>
        <w:jc w:val="both"/>
        <w:ind w:left="2200" w:right="2220" w:hanging="7"/>
        <w:spacing w:after="0" w:line="243" w:lineRule="auto"/>
        <w:rPr>
          <w:sz w:val="20"/>
          <w:szCs w:val="20"/>
          <w:color w:val="auto"/>
        </w:rPr>
      </w:pPr>
      <w:r>
        <w:rPr>
          <w:rFonts w:ascii="Times New Roman" w:cs="Times New Roman" w:eastAsia="Times New Roman" w:hAnsi="Times New Roman"/>
          <w:sz w:val="16"/>
          <w:szCs w:val="16"/>
          <w:color w:val="auto"/>
        </w:rPr>
        <w:t>Definitive Proxy Statement for the registrant's 2025 Annual Meeting of Stockholders (inco rporated in Patt Ill to the extent provided in Ite ms I 0, I I, 12, 13 a nd 14 hereof).</w:t>
      </w:r>
    </w:p>
    <w:p>
      <w:pPr>
        <w:sectPr>
          <w:pgSz w:w="12240" w:h="15850" w:orient="portrait"/>
          <w:cols w:equalWidth="0" w:num="1">
            <w:col w:w="10580"/>
          </w:cols>
          <w:pgMar w:left="840" w:top="939" w:right="825" w:bottom="420" w:gutter="0" w:footer="0" w:header="0"/>
          <w:type w:val="continuous"/>
        </w:sectPr>
      </w:pPr>
    </w:p>
    <w:bookmarkStart w:id="15" w:name="page16"/>
    <w:bookmarkEnd w:id="15"/>
    <w:p>
      <w:pPr>
        <w:spacing w:after="0" w:line="5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r>
    </w:p>
    <w:p>
      <w:pPr>
        <w:ind w:left="2320"/>
        <w:spacing w:after="0"/>
        <w:rPr>
          <w:sz w:val="20"/>
          <w:szCs w:val="20"/>
          <w:color w:val="auto"/>
        </w:rPr>
      </w:pPr>
      <w:r>
        <w:rPr>
          <w:rFonts w:ascii="Times New Roman" w:cs="Times New Roman" w:eastAsia="Times New Roman" w:hAnsi="Times New Roman"/>
          <w:sz w:val="19"/>
          <w:szCs w:val="19"/>
          <w:b w:val="1"/>
          <w:bCs w:val="1"/>
          <w:color w:val="auto"/>
        </w:rPr>
        <w:t>GRAHAM HOLDINGS COMPANY 2024 FORM 10-K</w:t>
      </w:r>
    </w:p>
    <w:p>
      <w:pPr>
        <w:spacing w:after="0" w:line="198" w:lineRule="exact"/>
        <w:rPr>
          <w:sz w:val="20"/>
          <w:szCs w:val="20"/>
          <w:color w:val="auto"/>
        </w:rPr>
      </w:pPr>
    </w:p>
    <w:p>
      <w:pPr>
        <w:ind w:left="120"/>
        <w:spacing w:after="0"/>
        <w:tabs>
          <w:tab w:leader="none" w:pos="1100" w:val="left"/>
          <w:tab w:leader="dot" w:pos="2280" w:val="left"/>
          <w:tab w:leader="dot" w:pos="2780" w:val="left"/>
          <w:tab w:leader="dot" w:pos="4660" w:val="left"/>
          <w:tab w:leader="dot" w:pos="6680" w:val="left"/>
          <w:tab w:leader="dot" w:pos="8180" w:val="left"/>
          <w:tab w:leader="dot" w:pos="8920" w:val="left"/>
        </w:tabs>
        <w:rPr>
          <w:sz w:val="20"/>
          <w:szCs w:val="20"/>
          <w:color w:val="auto"/>
        </w:rPr>
      </w:pPr>
      <w:r>
        <w:rPr>
          <w:rFonts w:ascii="Times New Roman" w:cs="Times New Roman" w:eastAsia="Times New Roman" w:hAnsi="Times New Roman"/>
          <w:sz w:val="19"/>
          <w:szCs w:val="19"/>
          <w:color w:val="auto"/>
        </w:rPr>
        <w:t>Item ] .</w:t>
      </w:r>
      <w:r>
        <w:rPr>
          <w:sz w:val="20"/>
          <w:szCs w:val="20"/>
          <w:color w:val="auto"/>
        </w:rPr>
        <w:tab/>
      </w:r>
      <w:r>
        <w:rPr>
          <w:rFonts w:ascii="Times New Roman" w:cs="Times New Roman" w:eastAsia="Times New Roman" w:hAnsi="Times New Roman"/>
          <w:sz w:val="19"/>
          <w:szCs w:val="19"/>
          <w:color w:val="auto"/>
        </w:rPr>
        <w:t>Business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1</w:t>
      </w:r>
    </w:p>
    <w:p>
      <w:pPr>
        <w:spacing w:after="0" w:line="94" w:lineRule="exact"/>
        <w:rPr>
          <w:sz w:val="20"/>
          <w:szCs w:val="20"/>
          <w:color w:val="auto"/>
        </w:rPr>
      </w:pPr>
    </w:p>
    <w:p>
      <w:pPr>
        <w:ind w:left="1120"/>
        <w:spacing w:after="0"/>
        <w:tabs>
          <w:tab w:leader="dot" w:pos="8180" w:val="left"/>
        </w:tabs>
        <w:rPr>
          <w:sz w:val="20"/>
          <w:szCs w:val="20"/>
          <w:color w:val="auto"/>
        </w:rPr>
      </w:pPr>
      <w:r>
        <w:rPr>
          <w:rFonts w:ascii="Times New Roman" w:cs="Times New Roman" w:eastAsia="Times New Roman" w:hAnsi="Times New Roman"/>
          <w:sz w:val="19"/>
          <w:szCs w:val="19"/>
          <w:color w:val="auto"/>
        </w:rPr>
        <w:t>Education</w:t>
      </w:r>
      <w:r>
        <w:rPr>
          <w:sz w:val="20"/>
          <w:szCs w:val="20"/>
          <w:color w:val="auto"/>
        </w:rPr>
        <w:tab/>
      </w:r>
      <w:r>
        <w:rPr>
          <w:rFonts w:ascii="Times New Roman" w:cs="Times New Roman" w:eastAsia="Times New Roman" w:hAnsi="Times New Roman"/>
          <w:sz w:val="16"/>
          <w:szCs w:val="16"/>
          <w:color w:val="auto"/>
        </w:rPr>
        <w:t>.</w:t>
      </w:r>
    </w:p>
    <w:p>
      <w:pPr>
        <w:spacing w:after="0" w:line="88" w:lineRule="exact"/>
        <w:rPr>
          <w:sz w:val="20"/>
          <w:szCs w:val="20"/>
          <w:color w:val="auto"/>
        </w:rPr>
      </w:pPr>
    </w:p>
    <w:p>
      <w:pPr>
        <w:ind w:left="1120"/>
        <w:spacing w:after="0"/>
        <w:tabs>
          <w:tab w:leader="none" w:pos="3180" w:val="left"/>
          <w:tab w:leader="none" w:pos="8840" w:val="left"/>
        </w:tabs>
        <w:rPr>
          <w:sz w:val="20"/>
          <w:szCs w:val="20"/>
          <w:color w:val="auto"/>
        </w:rPr>
      </w:pPr>
      <w:r>
        <w:rPr>
          <w:rFonts w:ascii="Times New Roman" w:cs="Times New Roman" w:eastAsia="Times New Roman" w:hAnsi="Times New Roman"/>
          <w:sz w:val="19"/>
          <w:szCs w:val="19"/>
          <w:color w:val="auto"/>
        </w:rPr>
        <w:t>Television Broadcasting</w:t>
        <w:tab/>
        <w:t>. . . . . . . . . . . . . . . . . . . . . . . . . . . . . . . . . . . . . . . . . . . . . . . . . . .</w:t>
      </w:r>
      <w:r>
        <w:rPr>
          <w:sz w:val="20"/>
          <w:szCs w:val="20"/>
          <w:color w:val="auto"/>
        </w:rPr>
        <w:tab/>
      </w:r>
      <w:r>
        <w:rPr>
          <w:rFonts w:ascii="Times New Roman" w:cs="Times New Roman" w:eastAsia="Times New Roman" w:hAnsi="Times New Roman"/>
          <w:sz w:val="16"/>
          <w:szCs w:val="16"/>
          <w:b w:val="1"/>
          <w:bCs w:val="1"/>
          <w:color w:val="auto"/>
        </w:rPr>
        <w:t>11</w:t>
      </w:r>
    </w:p>
    <w:p>
      <w:pPr>
        <w:spacing w:after="0" w:line="94" w:lineRule="exact"/>
        <w:rPr>
          <w:sz w:val="20"/>
          <w:szCs w:val="20"/>
          <w:color w:val="auto"/>
        </w:rPr>
      </w:pPr>
    </w:p>
    <w:p>
      <w:pPr>
        <w:ind w:left="1120"/>
        <w:spacing w:after="0"/>
        <w:tabs>
          <w:tab w:leader="none" w:pos="8840" w:val="left"/>
        </w:tabs>
        <w:rPr>
          <w:sz w:val="20"/>
          <w:szCs w:val="20"/>
          <w:color w:val="auto"/>
        </w:rPr>
      </w:pPr>
      <w:r>
        <w:rPr>
          <w:rFonts w:ascii="Times New Roman" w:cs="Times New Roman" w:eastAsia="Times New Roman" w:hAnsi="Times New Roman"/>
          <w:sz w:val="19"/>
          <w:szCs w:val="19"/>
          <w:color w:val="auto"/>
        </w:rPr>
        <w:t>Manufacturing . . . . . . . . . . . . . . . . . . . . . . . . . . . . . . . . . . . . . . . . . . . . . . . . . . . . . . . . . . .</w:t>
      </w:r>
      <w:r>
        <w:rPr>
          <w:sz w:val="20"/>
          <w:szCs w:val="20"/>
          <w:color w:val="auto"/>
        </w:rPr>
        <w:tab/>
      </w:r>
      <w:r>
        <w:rPr>
          <w:rFonts w:ascii="Times New Roman" w:cs="Times New Roman" w:eastAsia="Times New Roman" w:hAnsi="Times New Roman"/>
          <w:sz w:val="18"/>
          <w:szCs w:val="18"/>
          <w:color w:val="auto"/>
        </w:rPr>
        <w:t>16</w:t>
      </w:r>
    </w:p>
    <w:p>
      <w:pPr>
        <w:spacing w:after="0" w:line="77" w:lineRule="exact"/>
        <w:rPr>
          <w:sz w:val="20"/>
          <w:szCs w:val="20"/>
          <w:color w:val="auto"/>
        </w:rPr>
      </w:pPr>
    </w:p>
    <w:p>
      <w:pPr>
        <w:ind w:left="1120"/>
        <w:spacing w:after="0"/>
        <w:tabs>
          <w:tab w:leader="none" w:pos="8860" w:val="left"/>
        </w:tabs>
        <w:rPr>
          <w:sz w:val="20"/>
          <w:szCs w:val="20"/>
          <w:color w:val="auto"/>
        </w:rPr>
      </w:pPr>
      <w:r>
        <w:rPr>
          <w:rFonts w:ascii="Times New Roman" w:cs="Times New Roman" w:eastAsia="Times New Roman" w:hAnsi="Times New Roman"/>
          <w:sz w:val="19"/>
          <w:szCs w:val="19"/>
          <w:color w:val="auto"/>
        </w:rPr>
        <w:t>Healthcare  . . . . . . . . . . . . . . . . . . . . . . . . . . . . . . . . . . . . . . . . . . . . . . . . . . . . . . . . . . . . . .</w:t>
      </w:r>
      <w:r>
        <w:rPr>
          <w:sz w:val="20"/>
          <w:szCs w:val="20"/>
          <w:color w:val="auto"/>
        </w:rPr>
        <w:tab/>
      </w:r>
      <w:r>
        <w:rPr>
          <w:rFonts w:ascii="Arial" w:cs="Arial" w:eastAsia="Arial" w:hAnsi="Arial"/>
          <w:sz w:val="14"/>
          <w:szCs w:val="14"/>
          <w:color w:val="auto"/>
        </w:rPr>
        <w:t>16</w:t>
      </w:r>
    </w:p>
    <w:p>
      <w:pPr>
        <w:spacing w:after="0" w:line="116" w:lineRule="exact"/>
        <w:rPr>
          <w:sz w:val="20"/>
          <w:szCs w:val="20"/>
          <w:color w:val="auto"/>
        </w:rPr>
      </w:pPr>
    </w:p>
    <w:p>
      <w:pPr>
        <w:ind w:left="1120"/>
        <w:spacing w:after="0"/>
        <w:tabs>
          <w:tab w:leader="none" w:pos="2180" w:val="left"/>
          <w:tab w:leader="none" w:pos="8840" w:val="left"/>
        </w:tabs>
        <w:rPr>
          <w:sz w:val="20"/>
          <w:szCs w:val="20"/>
          <w:color w:val="auto"/>
        </w:rPr>
      </w:pPr>
      <w:r>
        <w:rPr>
          <w:rFonts w:ascii="Times New Roman" w:cs="Times New Roman" w:eastAsia="Times New Roman" w:hAnsi="Times New Roman"/>
          <w:sz w:val="19"/>
          <w:szCs w:val="19"/>
          <w:color w:val="auto"/>
        </w:rPr>
        <w:t>Automotive</w:t>
        <w:tab/>
        <w:t>. . . . . . . . . . . . . . . . . . . . . . . . . . . . . . . . . . . . . . . . . . . . . . . . . . . . . . . . . . . . .</w:t>
      </w:r>
      <w:r>
        <w:rPr>
          <w:sz w:val="20"/>
          <w:szCs w:val="20"/>
          <w:color w:val="auto"/>
        </w:rPr>
        <w:tab/>
      </w:r>
      <w:r>
        <w:rPr>
          <w:rFonts w:ascii="Times New Roman" w:cs="Times New Roman" w:eastAsia="Times New Roman" w:hAnsi="Times New Roman"/>
          <w:sz w:val="18"/>
          <w:szCs w:val="18"/>
          <w:color w:val="auto"/>
        </w:rPr>
        <w:t>17</w:t>
      </w:r>
    </w:p>
    <w:p>
      <w:pPr>
        <w:spacing w:after="0" w:line="77" w:lineRule="exact"/>
        <w:rPr>
          <w:sz w:val="20"/>
          <w:szCs w:val="20"/>
          <w:color w:val="auto"/>
        </w:rPr>
      </w:pPr>
    </w:p>
    <w:p>
      <w:pPr>
        <w:ind w:left="1120"/>
        <w:spacing w:after="0"/>
        <w:tabs>
          <w:tab w:leader="none" w:pos="8840" w:val="left"/>
        </w:tabs>
        <w:rPr>
          <w:sz w:val="20"/>
          <w:szCs w:val="20"/>
          <w:color w:val="auto"/>
        </w:rPr>
      </w:pPr>
      <w:r>
        <w:rPr>
          <w:rFonts w:ascii="Times New Roman" w:cs="Times New Roman" w:eastAsia="Times New Roman" w:hAnsi="Times New Roman"/>
          <w:sz w:val="19"/>
          <w:szCs w:val="19"/>
          <w:color w:val="auto"/>
        </w:rPr>
        <w:t>Other Activities . . . . . . . . . . . . . . . . . . . . . . . . . . . . . . . . . . . . . . . . . . . . . . . . . . . . . . . . . .</w:t>
      </w:r>
      <w:r>
        <w:rPr>
          <w:sz w:val="20"/>
          <w:szCs w:val="20"/>
          <w:color w:val="auto"/>
        </w:rPr>
        <w:tab/>
      </w:r>
      <w:r>
        <w:rPr>
          <w:rFonts w:ascii="Times New Roman" w:cs="Times New Roman" w:eastAsia="Times New Roman" w:hAnsi="Times New Roman"/>
          <w:sz w:val="18"/>
          <w:szCs w:val="18"/>
          <w:color w:val="auto"/>
        </w:rPr>
        <w:t>17</w:t>
      </w:r>
    </w:p>
    <w:p>
      <w:pPr>
        <w:spacing w:after="0" w:line="99" w:lineRule="exact"/>
        <w:rPr>
          <w:sz w:val="20"/>
          <w:szCs w:val="20"/>
          <w:color w:val="auto"/>
        </w:rPr>
      </w:pPr>
    </w:p>
    <w:p>
      <w:pPr>
        <w:ind w:left="1120"/>
        <w:spacing w:after="0"/>
        <w:tabs>
          <w:tab w:leader="none" w:pos="8840" w:val="left"/>
        </w:tabs>
        <w:rPr>
          <w:sz w:val="20"/>
          <w:szCs w:val="20"/>
          <w:color w:val="auto"/>
        </w:rPr>
      </w:pPr>
      <w:r>
        <w:rPr>
          <w:rFonts w:ascii="Times New Roman" w:cs="Times New Roman" w:eastAsia="Times New Roman" w:hAnsi="Times New Roman"/>
          <w:sz w:val="19"/>
          <w:szCs w:val="19"/>
          <w:color w:val="auto"/>
        </w:rPr>
        <w:t>Competition . . . . . . . . . . . . . . . . . . . . . . . . . . . . . . . . . . . . . . . . . . . . . . . . . . . . . . . . . . . . .</w:t>
      </w:r>
      <w:r>
        <w:rPr>
          <w:sz w:val="20"/>
          <w:szCs w:val="20"/>
          <w:color w:val="auto"/>
        </w:rPr>
        <w:tab/>
      </w:r>
      <w:r>
        <w:rPr>
          <w:rFonts w:ascii="Times New Roman" w:cs="Times New Roman" w:eastAsia="Times New Roman" w:hAnsi="Times New Roman"/>
          <w:sz w:val="18"/>
          <w:szCs w:val="18"/>
          <w:color w:val="auto"/>
        </w:rPr>
        <w:t>19</w:t>
      </w:r>
    </w:p>
    <w:p>
      <w:pPr>
        <w:spacing w:after="0" w:line="109" w:lineRule="exact"/>
        <w:rPr>
          <w:sz w:val="20"/>
          <w:szCs w:val="20"/>
          <w:color w:val="auto"/>
        </w:rPr>
      </w:pPr>
    </w:p>
    <w:p>
      <w:pPr>
        <w:ind w:left="1120"/>
        <w:spacing w:after="0"/>
        <w:tabs>
          <w:tab w:leader="none" w:pos="8820" w:val="left"/>
        </w:tabs>
        <w:rPr>
          <w:sz w:val="20"/>
          <w:szCs w:val="20"/>
          <w:color w:val="auto"/>
        </w:rPr>
      </w:pPr>
      <w:r>
        <w:rPr>
          <w:rFonts w:ascii="Times New Roman" w:cs="Times New Roman" w:eastAsia="Times New Roman" w:hAnsi="Times New Roman"/>
          <w:sz w:val="19"/>
          <w:szCs w:val="19"/>
          <w:color w:val="auto"/>
        </w:rPr>
        <w:t>Executive Officers . . . . . . . . . . . . . . . . . . . . . . . . . . . . . . . . . . . . . . . . . . . . . . . . . . . . . . . .</w:t>
      </w:r>
      <w:r>
        <w:rPr>
          <w:sz w:val="20"/>
          <w:szCs w:val="20"/>
          <w:color w:val="auto"/>
        </w:rPr>
        <w:tab/>
      </w:r>
      <w:r>
        <w:rPr>
          <w:rFonts w:ascii="Times New Roman" w:cs="Times New Roman" w:eastAsia="Times New Roman" w:hAnsi="Times New Roman"/>
          <w:sz w:val="19"/>
          <w:szCs w:val="19"/>
          <w:color w:val="auto"/>
        </w:rPr>
        <w:t>23</w:t>
      </w:r>
    </w:p>
    <w:p>
      <w:pPr>
        <w:spacing w:after="0" w:line="96" w:lineRule="exact"/>
        <w:rPr>
          <w:sz w:val="20"/>
          <w:szCs w:val="20"/>
          <w:color w:val="auto"/>
        </w:rPr>
      </w:pPr>
    </w:p>
    <w:p>
      <w:pPr>
        <w:ind w:left="1120"/>
        <w:spacing w:after="0"/>
        <w:tabs>
          <w:tab w:leader="none" w:pos="8820" w:val="left"/>
        </w:tabs>
        <w:rPr>
          <w:sz w:val="20"/>
          <w:szCs w:val="20"/>
          <w:color w:val="auto"/>
        </w:rPr>
      </w:pPr>
      <w:r>
        <w:rPr>
          <w:rFonts w:ascii="Times New Roman" w:cs="Times New Roman" w:eastAsia="Times New Roman" w:hAnsi="Times New Roman"/>
          <w:sz w:val="19"/>
          <w:szCs w:val="19"/>
          <w:color w:val="auto"/>
        </w:rPr>
        <w:t>Human Capital . . . . . . . . . . . . . . . . . . . . . . . . . . . . . . . . . . . . . . . . . . . . . . . . . . . . . . . . . . .</w:t>
      </w:r>
      <w:r>
        <w:rPr>
          <w:sz w:val="20"/>
          <w:szCs w:val="20"/>
          <w:color w:val="auto"/>
        </w:rPr>
        <w:tab/>
      </w:r>
      <w:r>
        <w:rPr>
          <w:rFonts w:ascii="Times New Roman" w:cs="Times New Roman" w:eastAsia="Times New Roman" w:hAnsi="Times New Roman"/>
          <w:sz w:val="19"/>
          <w:szCs w:val="19"/>
          <w:color w:val="auto"/>
        </w:rPr>
        <w:t>24</w:t>
      </w:r>
    </w:p>
    <w:p>
      <w:pPr>
        <w:spacing w:after="0" w:line="73" w:lineRule="exact"/>
        <w:rPr>
          <w:sz w:val="20"/>
          <w:szCs w:val="20"/>
          <w:color w:val="auto"/>
        </w:rPr>
      </w:pPr>
    </w:p>
    <w:p>
      <w:pPr>
        <w:ind w:left="1120"/>
        <w:spacing w:after="0"/>
        <w:tabs>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Forward-L ooking Statements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27</w:t>
      </w:r>
    </w:p>
    <w:p>
      <w:pPr>
        <w:spacing w:after="0" w:line="62" w:lineRule="exact"/>
        <w:rPr>
          <w:sz w:val="20"/>
          <w:szCs w:val="20"/>
          <w:color w:val="auto"/>
        </w:rPr>
      </w:pPr>
    </w:p>
    <w:p>
      <w:pPr>
        <w:ind w:left="1120"/>
        <w:spacing w:after="0"/>
        <w:tabs>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Available Information</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27</w:t>
      </w:r>
    </w:p>
    <w:p>
      <w:pPr>
        <w:spacing w:after="0" w:line="73" w:lineRule="exact"/>
        <w:rPr>
          <w:sz w:val="20"/>
          <w:szCs w:val="20"/>
          <w:color w:val="auto"/>
        </w:rPr>
      </w:pPr>
    </w:p>
    <w:p>
      <w:pPr>
        <w:ind w:left="120"/>
        <w:spacing w:after="0"/>
        <w:tabs>
          <w:tab w:leader="none" w:pos="1100" w:val="left"/>
          <w:tab w:leader="dot" w:pos="3160" w:val="left"/>
          <w:tab w:leader="dot" w:pos="76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IA.</w:t>
      </w:r>
      <w:r>
        <w:rPr>
          <w:sz w:val="20"/>
          <w:szCs w:val="20"/>
          <w:color w:val="auto"/>
        </w:rPr>
        <w:tab/>
      </w:r>
      <w:r>
        <w:rPr>
          <w:rFonts w:ascii="Times New Roman" w:cs="Times New Roman" w:eastAsia="Times New Roman" w:hAnsi="Times New Roman"/>
          <w:sz w:val="19"/>
          <w:szCs w:val="19"/>
          <w:color w:val="auto"/>
        </w:rPr>
        <w:t>Risk Factors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28</w:t>
      </w:r>
    </w:p>
    <w:p>
      <w:pPr>
        <w:spacing w:after="0" w:line="89"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8"/>
          <w:szCs w:val="18"/>
          <w:color w:val="auto"/>
        </w:rPr>
        <w:t>EB.</w:t>
      </w:r>
      <w:r>
        <w:rPr>
          <w:sz w:val="20"/>
          <w:szCs w:val="20"/>
          <w:color w:val="auto"/>
        </w:rPr>
        <w:tab/>
      </w:r>
      <w:r>
        <w:rPr>
          <w:rFonts w:ascii="Times New Roman" w:cs="Times New Roman" w:eastAsia="Times New Roman" w:hAnsi="Times New Roman"/>
          <w:sz w:val="19"/>
          <w:szCs w:val="19"/>
          <w:color w:val="auto"/>
        </w:rPr>
        <w:t>U nresolved Staff Comments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50</w:t>
      </w:r>
    </w:p>
    <w:p>
      <w:pPr>
        <w:spacing w:after="0" w:line="106" w:lineRule="exact"/>
        <w:rPr>
          <w:sz w:val="20"/>
          <w:szCs w:val="20"/>
          <w:color w:val="auto"/>
        </w:rPr>
      </w:pPr>
    </w:p>
    <w:p>
      <w:pPr>
        <w:ind w:left="120"/>
        <w:spacing w:after="0"/>
        <w:tabs>
          <w:tab w:leader="none" w:pos="1100" w:val="left"/>
          <w:tab w:leader="none" w:pos="2380" w:val="left"/>
          <w:tab w:leader="dot" w:pos="3160" w:val="left"/>
          <w:tab w:leader="dot" w:pos="4280" w:val="left"/>
          <w:tab w:leader="dot" w:pos="5580" w:val="left"/>
          <w:tab w:leader="dot" w:pos="6080" w:val="left"/>
          <w:tab w:leader="dot" w:pos="76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IC.</w:t>
      </w:r>
      <w:r>
        <w:rPr>
          <w:sz w:val="20"/>
          <w:szCs w:val="20"/>
          <w:color w:val="auto"/>
        </w:rPr>
        <w:tab/>
      </w:r>
      <w:r>
        <w:rPr>
          <w:rFonts w:ascii="Times New Roman" w:cs="Times New Roman" w:eastAsia="Times New Roman" w:hAnsi="Times New Roman"/>
          <w:sz w:val="19"/>
          <w:szCs w:val="19"/>
          <w:color w:val="auto"/>
        </w:rPr>
        <w:t>Cybersecuri ty</w:t>
        <w:tab/>
        <w:t>. .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50</w:t>
      </w:r>
    </w:p>
    <w:p>
      <w:pPr>
        <w:spacing w:after="0" w:line="81" w:lineRule="exact"/>
        <w:rPr>
          <w:sz w:val="20"/>
          <w:szCs w:val="20"/>
          <w:color w:val="auto"/>
        </w:rPr>
      </w:pPr>
    </w:p>
    <w:p>
      <w:pPr>
        <w:ind w:left="120"/>
        <w:spacing w:after="0"/>
        <w:tabs>
          <w:tab w:leader="none" w:pos="1100" w:val="left"/>
          <w:tab w:leader="dot" w:pos="3280" w:val="left"/>
          <w:tab w:leader="dot" w:pos="466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Properties</w:t>
      </w:r>
      <w:r>
        <w:rPr>
          <w:sz w:val="20"/>
          <w:szCs w:val="20"/>
          <w:color w:val="auto"/>
        </w:rPr>
        <w:tab/>
      </w:r>
      <w:r>
        <w:rPr>
          <w:rFonts w:ascii="Times New Roman" w:cs="Times New Roman" w:eastAsia="Times New Roman" w:hAnsi="Times New Roman"/>
          <w:sz w:val="19"/>
          <w:szCs w:val="19"/>
          <w:color w:val="auto"/>
        </w:rPr>
        <w:t>.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52</w:t>
      </w:r>
    </w:p>
    <w:p>
      <w:pPr>
        <w:spacing w:after="0" w:line="66" w:lineRule="exact"/>
        <w:rPr>
          <w:sz w:val="20"/>
          <w:szCs w:val="20"/>
          <w:color w:val="auto"/>
        </w:rPr>
      </w:pPr>
    </w:p>
    <w:p>
      <w:pPr>
        <w:ind w:left="120"/>
        <w:spacing w:after="0"/>
        <w:tabs>
          <w:tab w:leader="none" w:pos="1100" w:val="left"/>
          <w:tab w:leader="dot" w:pos="3180" w:val="left"/>
          <w:tab w:leader="dot" w:pos="4180" w:val="left"/>
          <w:tab w:leader="dot" w:pos="76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Legal Proceedings</w:t>
      </w:r>
      <w:r>
        <w:rPr>
          <w:sz w:val="20"/>
          <w:szCs w:val="20"/>
          <w:color w:val="auto"/>
        </w:rPr>
        <w:tab/>
      </w:r>
      <w:r>
        <w:rPr>
          <w:rFonts w:ascii="Times New Roman" w:cs="Times New Roman" w:eastAsia="Times New Roman" w:hAnsi="Times New Roman"/>
          <w:sz w:val="19"/>
          <w:szCs w:val="19"/>
          <w:color w:val="auto"/>
        </w:rPr>
        <w:t>. .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53</w:t>
      </w:r>
    </w:p>
    <w:p>
      <w:pPr>
        <w:spacing w:after="0" w:line="89"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9"/>
          <w:szCs w:val="19"/>
          <w:b w:val="1"/>
          <w:bCs w:val="1"/>
          <w:color w:val="auto"/>
        </w:rPr>
        <w:t>4.</w:t>
      </w:r>
      <w:r>
        <w:rPr>
          <w:sz w:val="20"/>
          <w:szCs w:val="20"/>
          <w:color w:val="auto"/>
        </w:rPr>
        <w:tab/>
      </w:r>
      <w:r>
        <w:rPr>
          <w:rFonts w:ascii="Times New Roman" w:cs="Times New Roman" w:eastAsia="Times New Roman" w:hAnsi="Times New Roman"/>
          <w:sz w:val="19"/>
          <w:szCs w:val="19"/>
          <w:color w:val="auto"/>
        </w:rPr>
        <w:t>Mine Safety Disclosures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53</w:t>
      </w:r>
    </w:p>
    <w:p>
      <w:pPr>
        <w:spacing w:after="0" w:line="81" w:lineRule="exact"/>
        <w:rPr>
          <w:sz w:val="20"/>
          <w:szCs w:val="20"/>
          <w:color w:val="auto"/>
        </w:rPr>
      </w:pPr>
    </w:p>
    <w:p>
      <w:pPr>
        <w:ind w:left="120"/>
        <w:spacing w:after="0"/>
        <w:tabs>
          <w:tab w:leader="none" w:pos="1100" w:val="left"/>
        </w:tabs>
        <w:rPr>
          <w:sz w:val="20"/>
          <w:szCs w:val="20"/>
          <w:color w:val="auto"/>
        </w:rPr>
      </w:pPr>
      <w:r>
        <w:rPr>
          <w:rFonts w:ascii="Times New Roman" w:cs="Times New Roman" w:eastAsia="Times New Roman" w:hAnsi="Times New Roman"/>
          <w:sz w:val="19"/>
          <w:szCs w:val="19"/>
          <w:color w:val="auto"/>
        </w:rPr>
        <w:t xml:space="preserve">Item </w:t>
      </w:r>
      <w:r>
        <w:rPr>
          <w:rFonts w:ascii="Times New Roman" w:cs="Times New Roman" w:eastAsia="Times New Roman" w:hAnsi="Times New Roman"/>
          <w:sz w:val="20"/>
          <w:szCs w:val="20"/>
          <w:color w:val="auto"/>
        </w:rPr>
        <w:t>5.</w:t>
      </w:r>
      <w:r>
        <w:rPr>
          <w:sz w:val="20"/>
          <w:szCs w:val="20"/>
          <w:color w:val="auto"/>
        </w:rPr>
        <w:tab/>
      </w:r>
      <w:r>
        <w:rPr>
          <w:rFonts w:ascii="Times New Roman" w:cs="Times New Roman" w:eastAsia="Times New Roman" w:hAnsi="Times New Roman"/>
          <w:sz w:val="19"/>
          <w:szCs w:val="19"/>
          <w:color w:val="auto"/>
        </w:rPr>
        <w:t>Market for the Registrant's Common Equity, Related Stockholder M atters and  Issuer</w:t>
      </w:r>
    </w:p>
    <w:p>
      <w:pPr>
        <w:spacing w:after="0" w:line="18" w:lineRule="exact"/>
        <w:rPr>
          <w:sz w:val="20"/>
          <w:szCs w:val="20"/>
          <w:color w:val="auto"/>
        </w:rPr>
      </w:pPr>
    </w:p>
    <w:p>
      <w:pPr>
        <w:ind w:left="1120"/>
        <w:spacing w:after="0"/>
        <w:tabs>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Purchases of Equity Securities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53</w:t>
      </w:r>
    </w:p>
    <w:p>
      <w:pPr>
        <w:spacing w:after="0" w:line="75"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9"/>
          <w:szCs w:val="19"/>
          <w:color w:val="auto"/>
        </w:rPr>
        <w:t>6.</w:t>
      </w:r>
      <w:r>
        <w:rPr>
          <w:sz w:val="20"/>
          <w:szCs w:val="20"/>
          <w:color w:val="auto"/>
        </w:rPr>
        <w:tab/>
      </w:r>
      <w:r>
        <w:rPr>
          <w:rFonts w:ascii="Times New Roman" w:cs="Times New Roman" w:eastAsia="Times New Roman" w:hAnsi="Times New Roman"/>
          <w:sz w:val="19"/>
          <w:szCs w:val="19"/>
          <w:color w:val="auto"/>
        </w:rPr>
        <w:t>Reserved</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54</w:t>
      </w:r>
    </w:p>
    <w:p>
      <w:pPr>
        <w:spacing w:after="0" w:line="85" w:lineRule="exact"/>
        <w:rPr>
          <w:sz w:val="20"/>
          <w:szCs w:val="20"/>
          <w:color w:val="auto"/>
        </w:rPr>
      </w:pPr>
    </w:p>
    <w:p>
      <w:pPr>
        <w:ind w:left="120"/>
        <w:spacing w:after="0"/>
        <w:tabs>
          <w:tab w:leader="none" w:pos="1100" w:val="left"/>
          <w:tab w:leader="none" w:pos="2440" w:val="left"/>
          <w:tab w:leader="none" w:pos="3460" w:val="left"/>
          <w:tab w:leader="none" w:pos="3900" w:val="left"/>
          <w:tab w:leader="none" w:pos="4740" w:val="left"/>
          <w:tab w:leader="none" w:pos="5060" w:val="left"/>
          <w:tab w:leader="none" w:pos="5940" w:val="left"/>
          <w:tab w:leader="none" w:pos="6900" w:val="left"/>
          <w:tab w:leader="none" w:pos="7320" w:val="left"/>
          <w:tab w:leader="none" w:pos="8040" w:val="left"/>
        </w:tabs>
        <w:rPr>
          <w:sz w:val="20"/>
          <w:szCs w:val="20"/>
          <w:color w:val="auto"/>
        </w:rPr>
      </w:pPr>
      <w:r>
        <w:rPr>
          <w:rFonts w:ascii="Times New Roman" w:cs="Times New Roman" w:eastAsia="Times New Roman" w:hAnsi="Times New Roman"/>
          <w:sz w:val="19"/>
          <w:szCs w:val="19"/>
          <w:color w:val="auto"/>
        </w:rPr>
        <w:t>Item 7.</w:t>
      </w:r>
      <w:r>
        <w:rPr>
          <w:sz w:val="20"/>
          <w:szCs w:val="20"/>
          <w:color w:val="auto"/>
        </w:rPr>
        <w:tab/>
      </w:r>
      <w:r>
        <w:rPr>
          <w:rFonts w:ascii="Times New Roman" w:cs="Times New Roman" w:eastAsia="Times New Roman" w:hAnsi="Times New Roman"/>
          <w:sz w:val="19"/>
          <w:szCs w:val="19"/>
          <w:color w:val="auto"/>
        </w:rPr>
        <w:t>Management's</w:t>
        <w:tab/>
        <w:t>Discussion</w:t>
        <w:tab/>
        <w:t>and</w:t>
        <w:tab/>
        <w:t>A nalysis</w:t>
        <w:tab/>
        <w:t>of</w:t>
        <w:tab/>
        <w:t>Financial</w:t>
        <w:tab/>
        <w:t>Condition</w:t>
        <w:tab/>
        <w:t>and</w:t>
        <w:tab/>
        <w:t>Results</w:t>
        <w:tab/>
        <w:t>of</w:t>
      </w:r>
    </w:p>
    <w:p>
      <w:pPr>
        <w:spacing w:after="0" w:line="29" w:lineRule="exact"/>
        <w:rPr>
          <w:sz w:val="20"/>
          <w:szCs w:val="20"/>
          <w:color w:val="auto"/>
        </w:rPr>
      </w:pPr>
    </w:p>
    <w:p>
      <w:pPr>
        <w:ind w:left="1120"/>
        <w:spacing w:after="0"/>
        <w:tabs>
          <w:tab w:leader="dot" w:pos="2880" w:val="left"/>
          <w:tab w:leader="dot" w:pos="75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Operations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54</w:t>
      </w:r>
    </w:p>
    <w:p>
      <w:pPr>
        <w:spacing w:after="0" w:line="96"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7A.</w:t>
      </w:r>
      <w:r>
        <w:rPr>
          <w:sz w:val="20"/>
          <w:szCs w:val="20"/>
          <w:color w:val="auto"/>
        </w:rPr>
        <w:tab/>
      </w:r>
      <w:r>
        <w:rPr>
          <w:rFonts w:ascii="Times New Roman" w:cs="Times New Roman" w:eastAsia="Times New Roman" w:hAnsi="Times New Roman"/>
          <w:sz w:val="19"/>
          <w:szCs w:val="19"/>
          <w:color w:val="auto"/>
        </w:rPr>
        <w:t>Quantitative and Qualitative Disclosures About Market Risk</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54</w:t>
      </w:r>
    </w:p>
    <w:p>
      <w:pPr>
        <w:spacing w:after="0" w:line="80" w:lineRule="exact"/>
        <w:rPr>
          <w:sz w:val="20"/>
          <w:szCs w:val="20"/>
          <w:color w:val="auto"/>
        </w:rPr>
      </w:pPr>
    </w:p>
    <w:p>
      <w:pPr>
        <w:ind w:left="120"/>
        <w:spacing w:after="0"/>
        <w:tabs>
          <w:tab w:leader="none" w:pos="1100" w:val="left"/>
          <w:tab w:leader="dot" w:pos="6180" w:val="left"/>
          <w:tab w:leader="dot" w:pos="72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Times New Roman" w:cs="Times New Roman" w:eastAsia="Times New Roman" w:hAnsi="Times New Roman"/>
          <w:sz w:val="20"/>
          <w:szCs w:val="20"/>
          <w:color w:val="auto"/>
        </w:rPr>
        <w:t>8.</w:t>
      </w:r>
      <w:r>
        <w:rPr>
          <w:sz w:val="20"/>
          <w:szCs w:val="20"/>
          <w:color w:val="auto"/>
        </w:rPr>
        <w:tab/>
      </w:r>
      <w:r>
        <w:rPr>
          <w:rFonts w:ascii="Times New Roman" w:cs="Times New Roman" w:eastAsia="Times New Roman" w:hAnsi="Times New Roman"/>
          <w:sz w:val="19"/>
          <w:szCs w:val="19"/>
          <w:color w:val="auto"/>
        </w:rPr>
        <w:t>Financial Statements and Supplementary Data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55</w:t>
      </w:r>
    </w:p>
    <w:p>
      <w:pPr>
        <w:spacing w:after="0" w:line="79" w:lineRule="exact"/>
        <w:rPr>
          <w:sz w:val="20"/>
          <w:szCs w:val="20"/>
          <w:color w:val="auto"/>
        </w:rPr>
      </w:pPr>
    </w:p>
    <w:p>
      <w:pPr>
        <w:ind w:left="120"/>
        <w:spacing w:after="0"/>
        <w:tabs>
          <w:tab w:leader="none" w:pos="1100" w:val="left"/>
          <w:tab w:leader="none" w:pos="1920" w:val="left"/>
          <w:tab w:leader="none" w:pos="2220" w:val="left"/>
          <w:tab w:leader="none" w:pos="2640" w:val="left"/>
          <w:tab w:leader="none" w:pos="3980" w:val="left"/>
          <w:tab w:leader="none" w:pos="4500" w:val="left"/>
          <w:tab w:leader="none" w:pos="5640" w:val="left"/>
          <w:tab w:leader="none" w:pos="5980" w:val="left"/>
          <w:tab w:leader="none" w:pos="7060" w:val="left"/>
          <w:tab w:leader="none" w:pos="7480" w:val="left"/>
        </w:tabs>
        <w:rPr>
          <w:sz w:val="20"/>
          <w:szCs w:val="20"/>
          <w:color w:val="auto"/>
        </w:rPr>
      </w:pPr>
      <w:r>
        <w:rPr>
          <w:rFonts w:ascii="Times New Roman" w:cs="Times New Roman" w:eastAsia="Times New Roman" w:hAnsi="Times New Roman"/>
          <w:sz w:val="19"/>
          <w:szCs w:val="19"/>
          <w:color w:val="auto"/>
        </w:rPr>
        <w:t xml:space="preserve">Item </w:t>
      </w:r>
      <w:r>
        <w:rPr>
          <w:rFonts w:ascii="Times New Roman" w:cs="Times New Roman" w:eastAsia="Times New Roman" w:hAnsi="Times New Roman"/>
          <w:sz w:val="20"/>
          <w:szCs w:val="20"/>
          <w:color w:val="auto"/>
        </w:rPr>
        <w:t>9.</w:t>
      </w:r>
      <w:r>
        <w:rPr>
          <w:sz w:val="20"/>
          <w:szCs w:val="20"/>
          <w:color w:val="auto"/>
        </w:rPr>
        <w:tab/>
      </w:r>
      <w:r>
        <w:rPr>
          <w:rFonts w:ascii="Times New Roman" w:cs="Times New Roman" w:eastAsia="Times New Roman" w:hAnsi="Times New Roman"/>
          <w:sz w:val="19"/>
          <w:szCs w:val="19"/>
          <w:color w:val="auto"/>
        </w:rPr>
        <w:t>Changes</w:t>
        <w:tab/>
        <w:t>in</w:t>
        <w:tab/>
        <w:t>and</w:t>
        <w:tab/>
        <w:t>Disagreements</w:t>
        <w:tab/>
        <w:t>With</w:t>
        <w:tab/>
        <w:t>Accountants</w:t>
        <w:tab/>
        <w:t>on</w:t>
        <w:tab/>
        <w:t>Accounting</w:t>
        <w:tab/>
        <w:t>and</w:t>
        <w:tab/>
        <w:t>Financial</w:t>
      </w:r>
    </w:p>
    <w:p>
      <w:pPr>
        <w:spacing w:after="0" w:line="13" w:lineRule="exact"/>
        <w:rPr>
          <w:sz w:val="20"/>
          <w:szCs w:val="20"/>
          <w:color w:val="auto"/>
        </w:rPr>
      </w:pPr>
    </w:p>
    <w:p>
      <w:pPr>
        <w:ind w:left="1120"/>
        <w:spacing w:after="0"/>
        <w:tabs>
          <w:tab w:leader="dot" w:pos="76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Disclosure</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55</w:t>
      </w:r>
    </w:p>
    <w:p>
      <w:pPr>
        <w:spacing w:after="0" w:line="92" w:lineRule="exact"/>
        <w:rPr>
          <w:sz w:val="20"/>
          <w:szCs w:val="20"/>
          <w:color w:val="auto"/>
        </w:rPr>
      </w:pPr>
    </w:p>
    <w:p>
      <w:pPr>
        <w:ind w:left="120"/>
        <w:spacing w:after="0"/>
        <w:tabs>
          <w:tab w:leader="none" w:pos="1100" w:val="left"/>
          <w:tab w:leader="dot" w:pos="3680" w:val="left"/>
          <w:tab w:leader="dot" w:pos="4660" w:val="left"/>
          <w:tab w:leader="dot" w:pos="66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9A.</w:t>
      </w:r>
      <w:r>
        <w:rPr>
          <w:sz w:val="20"/>
          <w:szCs w:val="20"/>
          <w:color w:val="auto"/>
        </w:rPr>
        <w:tab/>
      </w:r>
      <w:r>
        <w:rPr>
          <w:rFonts w:ascii="Times New Roman" w:cs="Times New Roman" w:eastAsia="Times New Roman" w:hAnsi="Times New Roman"/>
          <w:sz w:val="19"/>
          <w:szCs w:val="19"/>
          <w:color w:val="auto"/>
        </w:rPr>
        <w:t>Controls and Procedures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55</w:t>
      </w:r>
    </w:p>
    <w:p>
      <w:pPr>
        <w:spacing w:after="0" w:line="87"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9B.</w:t>
      </w:r>
      <w:r>
        <w:rPr>
          <w:sz w:val="20"/>
          <w:szCs w:val="20"/>
          <w:color w:val="auto"/>
        </w:rPr>
        <w:tab/>
      </w:r>
      <w:r>
        <w:rPr>
          <w:rFonts w:ascii="Times New Roman" w:cs="Times New Roman" w:eastAsia="Times New Roman" w:hAnsi="Times New Roman"/>
          <w:sz w:val="19"/>
          <w:szCs w:val="19"/>
          <w:color w:val="auto"/>
        </w:rPr>
        <w:t>Other Information</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56</w:t>
      </w:r>
    </w:p>
    <w:p>
      <w:pPr>
        <w:spacing w:after="0" w:line="96" w:lineRule="exact"/>
        <w:rPr>
          <w:sz w:val="20"/>
          <w:szCs w:val="20"/>
          <w:color w:val="auto"/>
        </w:rPr>
      </w:pPr>
    </w:p>
    <w:p>
      <w:pPr>
        <w:ind w:left="120"/>
        <w:spacing w:after="0"/>
        <w:tabs>
          <w:tab w:leader="none" w:pos="1100" w:val="left"/>
          <w:tab w:leader="none" w:pos="666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9C.</w:t>
      </w:r>
      <w:r>
        <w:rPr>
          <w:sz w:val="20"/>
          <w:szCs w:val="20"/>
          <w:color w:val="auto"/>
        </w:rPr>
        <w:tab/>
      </w:r>
      <w:r>
        <w:rPr>
          <w:rFonts w:ascii="Times New Roman" w:cs="Times New Roman" w:eastAsia="Times New Roman" w:hAnsi="Times New Roman"/>
          <w:sz w:val="19"/>
          <w:szCs w:val="19"/>
          <w:color w:val="auto"/>
        </w:rPr>
        <w:t>Disclosure Regarding Foreign Jurisdictions that Prevent Inspections</w:t>
        <w:tab/>
        <w:t>..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56</w:t>
      </w:r>
    </w:p>
    <w:p>
      <w:pPr>
        <w:spacing w:after="0" w:line="81"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Times New Roman" w:cs="Times New Roman" w:eastAsia="Times New Roman" w:hAnsi="Times New Roman"/>
          <w:sz w:val="20"/>
          <w:szCs w:val="20"/>
          <w:color w:val="auto"/>
        </w:rPr>
        <w:t>EO.</w:t>
      </w:r>
      <w:r>
        <w:rPr>
          <w:sz w:val="20"/>
          <w:szCs w:val="20"/>
          <w:color w:val="auto"/>
        </w:rPr>
        <w:tab/>
      </w:r>
      <w:r>
        <w:rPr>
          <w:rFonts w:ascii="Times New Roman" w:cs="Times New Roman" w:eastAsia="Times New Roman" w:hAnsi="Times New Roman"/>
          <w:sz w:val="19"/>
          <w:szCs w:val="19"/>
          <w:color w:val="auto"/>
        </w:rPr>
        <w:t>Directors, Executive Officers and Corporate Governance</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56</w:t>
      </w:r>
    </w:p>
    <w:p>
      <w:pPr>
        <w:spacing w:after="0" w:line="71" w:lineRule="exact"/>
        <w:rPr>
          <w:sz w:val="20"/>
          <w:szCs w:val="20"/>
          <w:color w:val="auto"/>
        </w:rPr>
      </w:pPr>
    </w:p>
    <w:p>
      <w:pPr>
        <w:ind w:left="120"/>
        <w:spacing w:after="0"/>
        <w:tabs>
          <w:tab w:leader="none" w:pos="1100" w:val="left"/>
          <w:tab w:leader="dot" w:pos="6880" w:val="left"/>
          <w:tab w:leader="dot" w:pos="75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8"/>
          <w:szCs w:val="18"/>
          <w:color w:val="auto"/>
        </w:rPr>
        <w:t>E1.</w:t>
      </w:r>
      <w:r>
        <w:rPr>
          <w:sz w:val="20"/>
          <w:szCs w:val="20"/>
          <w:color w:val="auto"/>
        </w:rPr>
        <w:tab/>
      </w:r>
      <w:r>
        <w:rPr>
          <w:rFonts w:ascii="Times New Roman" w:cs="Times New Roman" w:eastAsia="Times New Roman" w:hAnsi="Times New Roman"/>
          <w:sz w:val="19"/>
          <w:szCs w:val="19"/>
          <w:color w:val="auto"/>
        </w:rPr>
        <w:t>Executive Compensation</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57</w:t>
      </w:r>
    </w:p>
    <w:p>
      <w:pPr>
        <w:spacing w:after="0" w:line="83" w:lineRule="exact"/>
        <w:rPr>
          <w:sz w:val="20"/>
          <w:szCs w:val="20"/>
          <w:color w:val="auto"/>
        </w:rPr>
      </w:pPr>
    </w:p>
    <w:p>
      <w:pPr>
        <w:ind w:left="120"/>
        <w:spacing w:after="0"/>
        <w:tabs>
          <w:tab w:leader="none" w:pos="1100" w:val="left"/>
          <w:tab w:leader="none" w:pos="1900" w:val="left"/>
          <w:tab w:leader="none" w:pos="2900" w:val="left"/>
          <w:tab w:leader="none" w:pos="3200" w:val="left"/>
          <w:tab w:leader="none" w:pos="3900" w:val="left"/>
          <w:tab w:leader="none" w:pos="4860" w:val="left"/>
          <w:tab w:leader="none" w:pos="5600" w:val="left"/>
          <w:tab w:leader="none" w:pos="6020" w:val="left"/>
          <w:tab w:leader="none" w:pos="7200" w:val="left"/>
          <w:tab w:leader="none" w:pos="760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8"/>
          <w:szCs w:val="18"/>
          <w:color w:val="auto"/>
        </w:rPr>
        <w:t>E2.</w:t>
      </w:r>
      <w:r>
        <w:rPr>
          <w:sz w:val="20"/>
          <w:szCs w:val="20"/>
          <w:color w:val="auto"/>
        </w:rPr>
        <w:tab/>
      </w:r>
      <w:r>
        <w:rPr>
          <w:rFonts w:ascii="Times New Roman" w:cs="Times New Roman" w:eastAsia="Times New Roman" w:hAnsi="Times New Roman"/>
          <w:sz w:val="19"/>
          <w:szCs w:val="19"/>
          <w:color w:val="auto"/>
        </w:rPr>
        <w:t>Security</w:t>
        <w:tab/>
        <w:t>Ownership</w:t>
        <w:tab/>
        <w:t>of</w:t>
        <w:tab/>
        <w:t>Certa in</w:t>
        <w:tab/>
        <w:t>Beneficial</w:t>
        <w:tab/>
        <w:t>Owners</w:t>
        <w:tab/>
        <w:t>and</w:t>
        <w:tab/>
        <w:t>Management</w:t>
        <w:tab/>
        <w:t>and</w:t>
        <w:tab/>
        <w:t>Related</w:t>
      </w:r>
    </w:p>
    <w:p>
      <w:pPr>
        <w:ind w:left="1120"/>
        <w:spacing w:after="0"/>
        <w:tabs>
          <w:tab w:leader="none" w:pos="28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Stockholder Matters</w:t>
        <w:tab/>
        <w:t>.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57</w:t>
      </w:r>
    </w:p>
    <w:p>
      <w:pPr>
        <w:spacing w:after="0" w:line="62" w:lineRule="exact"/>
        <w:rPr>
          <w:sz w:val="20"/>
          <w:szCs w:val="20"/>
          <w:color w:val="auto"/>
        </w:rPr>
      </w:pPr>
    </w:p>
    <w:p>
      <w:pPr>
        <w:ind w:left="120"/>
        <w:spacing w:after="0"/>
        <w:tabs>
          <w:tab w:leader="none" w:pos="1100" w:val="left"/>
          <w:tab w:leader="none"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9"/>
          <w:szCs w:val="19"/>
          <w:color w:val="auto"/>
        </w:rPr>
        <w:t>E3.</w:t>
      </w:r>
      <w:r>
        <w:rPr>
          <w:sz w:val="20"/>
          <w:szCs w:val="20"/>
          <w:color w:val="auto"/>
        </w:rPr>
        <w:tab/>
      </w:r>
      <w:r>
        <w:rPr>
          <w:rFonts w:ascii="Times New Roman" w:cs="Times New Roman" w:eastAsia="Times New Roman" w:hAnsi="Times New Roman"/>
          <w:sz w:val="19"/>
          <w:szCs w:val="19"/>
          <w:color w:val="auto"/>
        </w:rPr>
        <w:t>Ce1tain Relationships and Related T ransactions, and Director Independence  . .. . . . . .. .</w:t>
      </w:r>
      <w:r>
        <w:rPr>
          <w:sz w:val="20"/>
          <w:szCs w:val="20"/>
          <w:color w:val="auto"/>
        </w:rPr>
        <w:tab/>
      </w:r>
      <w:r>
        <w:rPr>
          <w:rFonts w:ascii="Times New Roman" w:cs="Times New Roman" w:eastAsia="Times New Roman" w:hAnsi="Times New Roman"/>
          <w:sz w:val="20"/>
          <w:szCs w:val="20"/>
          <w:color w:val="auto"/>
        </w:rPr>
        <w:t>57</w:t>
      </w:r>
    </w:p>
    <w:p>
      <w:pPr>
        <w:spacing w:after="0" w:line="81" w:lineRule="exact"/>
        <w:rPr>
          <w:sz w:val="20"/>
          <w:szCs w:val="20"/>
          <w:color w:val="auto"/>
        </w:rPr>
      </w:pPr>
    </w:p>
    <w:p>
      <w:pPr>
        <w:ind w:left="120"/>
        <w:spacing w:after="0"/>
        <w:tabs>
          <w:tab w:leader="none" w:pos="110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8"/>
          <w:szCs w:val="18"/>
          <w:color w:val="auto"/>
        </w:rPr>
        <w:t>H .</w:t>
      </w:r>
      <w:r>
        <w:rPr>
          <w:sz w:val="20"/>
          <w:szCs w:val="20"/>
          <w:color w:val="auto"/>
        </w:rPr>
        <w:tab/>
      </w:r>
      <w:r>
        <w:rPr>
          <w:rFonts w:ascii="Times New Roman" w:cs="Times New Roman" w:eastAsia="Times New Roman" w:hAnsi="Times New Roman"/>
          <w:sz w:val="19"/>
          <w:szCs w:val="19"/>
          <w:color w:val="auto"/>
        </w:rPr>
        <w:t>Principal Accounting Fees and Services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57</w:t>
      </w:r>
    </w:p>
    <w:p>
      <w:pPr>
        <w:spacing w:after="0" w:line="71" w:lineRule="exact"/>
        <w:rPr>
          <w:sz w:val="20"/>
          <w:szCs w:val="20"/>
          <w:color w:val="auto"/>
        </w:rPr>
      </w:pPr>
    </w:p>
    <w:p>
      <w:pPr>
        <w:ind w:left="120"/>
        <w:spacing w:after="0"/>
        <w:tabs>
          <w:tab w:leader="none" w:pos="1100" w:val="left"/>
          <w:tab w:leader="dot" w:pos="6680" w:val="left"/>
          <w:tab w:leader="dot" w:pos="73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Item 15.</w:t>
      </w:r>
      <w:r>
        <w:rPr>
          <w:sz w:val="20"/>
          <w:szCs w:val="20"/>
          <w:color w:val="auto"/>
        </w:rPr>
        <w:tab/>
      </w:r>
      <w:r>
        <w:rPr>
          <w:rFonts w:ascii="Times New Roman" w:cs="Times New Roman" w:eastAsia="Times New Roman" w:hAnsi="Times New Roman"/>
          <w:sz w:val="19"/>
          <w:szCs w:val="19"/>
          <w:color w:val="auto"/>
        </w:rPr>
        <w:t>Exhibits and Financial Statement Schedules</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57</w:t>
      </w:r>
    </w:p>
    <w:p>
      <w:pPr>
        <w:spacing w:after="0" w:line="62" w:lineRule="exact"/>
        <w:rPr>
          <w:sz w:val="20"/>
          <w:szCs w:val="20"/>
          <w:color w:val="auto"/>
        </w:rPr>
      </w:pPr>
    </w:p>
    <w:p>
      <w:pPr>
        <w:ind w:left="120"/>
        <w:spacing w:after="0"/>
        <w:tabs>
          <w:tab w:leader="none" w:pos="1100" w:val="left"/>
          <w:tab w:leader="dot" w:pos="3380" w:val="left"/>
          <w:tab w:leader="dot" w:pos="4080" w:val="left"/>
          <w:tab w:leader="dot" w:pos="76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 xml:space="preserve">Item </w:t>
      </w:r>
      <w:r>
        <w:rPr>
          <w:rFonts w:ascii="Arial" w:cs="Arial" w:eastAsia="Arial" w:hAnsi="Arial"/>
          <w:sz w:val="19"/>
          <w:szCs w:val="19"/>
          <w:color w:val="auto"/>
        </w:rPr>
        <w:t>E6.</w:t>
      </w:r>
      <w:r>
        <w:rPr>
          <w:sz w:val="20"/>
          <w:szCs w:val="20"/>
          <w:color w:val="auto"/>
        </w:rPr>
        <w:tab/>
      </w:r>
      <w:r>
        <w:rPr>
          <w:rFonts w:ascii="Times New Roman" w:cs="Times New Roman" w:eastAsia="Times New Roman" w:hAnsi="Times New Roman"/>
          <w:sz w:val="19"/>
          <w:szCs w:val="19"/>
          <w:color w:val="auto"/>
        </w:rPr>
        <w:t xml:space="preserve">Form </w:t>
      </w:r>
      <w:r>
        <w:rPr>
          <w:rFonts w:ascii="Arial" w:cs="Arial" w:eastAsia="Arial" w:hAnsi="Arial"/>
          <w:sz w:val="18"/>
          <w:szCs w:val="18"/>
          <w:color w:val="auto"/>
        </w:rPr>
        <w:t>10-K</w:t>
      </w:r>
      <w:r>
        <w:rPr>
          <w:rFonts w:ascii="Times New Roman" w:cs="Times New Roman" w:eastAsia="Times New Roman" w:hAnsi="Times New Roman"/>
          <w:sz w:val="19"/>
          <w:szCs w:val="19"/>
          <w:color w:val="auto"/>
        </w:rPr>
        <w:t xml:space="preserve"> Summary</w:t>
      </w:r>
      <w:r>
        <w:rPr>
          <w:sz w:val="20"/>
          <w:szCs w:val="20"/>
          <w:color w:val="auto"/>
        </w:rPr>
        <w:tab/>
      </w:r>
      <w:r>
        <w:rPr>
          <w:rFonts w:ascii="Times New Roman" w:cs="Times New Roman" w:eastAsia="Times New Roman" w:hAnsi="Times New Roman"/>
          <w:sz w:val="19"/>
          <w:szCs w:val="19"/>
          <w:color w:val="auto"/>
        </w:rPr>
        <w:t>. . .</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20"/>
          <w:szCs w:val="20"/>
          <w:color w:val="auto"/>
        </w:rPr>
        <w:t>57</w:t>
      </w:r>
    </w:p>
    <w:p>
      <w:pPr>
        <w:spacing w:after="0" w:line="88" w:lineRule="exact"/>
        <w:rPr>
          <w:sz w:val="20"/>
          <w:szCs w:val="20"/>
          <w:color w:val="auto"/>
        </w:rPr>
      </w:pPr>
    </w:p>
    <w:p>
      <w:pPr>
        <w:ind w:left="120"/>
        <w:spacing w:after="0"/>
        <w:tabs>
          <w:tab w:leader="none" w:pos="8820" w:val="left"/>
        </w:tabs>
        <w:rPr>
          <w:sz w:val="20"/>
          <w:szCs w:val="20"/>
          <w:color w:val="auto"/>
        </w:rPr>
      </w:pPr>
      <w:r>
        <w:rPr>
          <w:rFonts w:ascii="Times New Roman" w:cs="Times New Roman" w:eastAsia="Times New Roman" w:hAnsi="Times New Roman"/>
          <w:sz w:val="19"/>
          <w:szCs w:val="19"/>
          <w:color w:val="auto"/>
        </w:rPr>
        <w:t>INDEX TO EXHIBITS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58</w:t>
      </w:r>
    </w:p>
    <w:p>
      <w:pPr>
        <w:spacing w:after="0" w:line="92" w:lineRule="exact"/>
        <w:rPr>
          <w:sz w:val="20"/>
          <w:szCs w:val="20"/>
          <w:color w:val="auto"/>
        </w:rPr>
      </w:pPr>
    </w:p>
    <w:p>
      <w:pPr>
        <w:ind w:left="120"/>
        <w:spacing w:after="0"/>
        <w:tabs>
          <w:tab w:leader="none" w:pos="1480" w:val="left"/>
          <w:tab w:leader="none" w:pos="8820" w:val="left"/>
        </w:tabs>
        <w:rPr>
          <w:sz w:val="20"/>
          <w:szCs w:val="20"/>
          <w:color w:val="auto"/>
        </w:rPr>
      </w:pPr>
      <w:r>
        <w:rPr>
          <w:rFonts w:ascii="Times New Roman" w:cs="Times New Roman" w:eastAsia="Times New Roman" w:hAnsi="Times New Roman"/>
          <w:sz w:val="19"/>
          <w:szCs w:val="19"/>
          <w:color w:val="auto"/>
        </w:rPr>
        <w:t>SIGNATURES</w:t>
        <w:tab/>
        <w:t>. . . . . . . . . . . . . . . . . . . . . . . . . . . . . . . . . . . . . . . . . . . . . . . . . . . . . . . . . . . . . . . . . . . .</w:t>
      </w:r>
      <w:r>
        <w:rPr>
          <w:sz w:val="20"/>
          <w:szCs w:val="20"/>
          <w:color w:val="auto"/>
        </w:rPr>
        <w:tab/>
      </w:r>
      <w:r>
        <w:rPr>
          <w:rFonts w:ascii="Times New Roman" w:cs="Times New Roman" w:eastAsia="Times New Roman" w:hAnsi="Times New Roman"/>
          <w:sz w:val="19"/>
          <w:szCs w:val="19"/>
          <w:color w:val="auto"/>
        </w:rPr>
        <w:t>61</w:t>
      </w:r>
    </w:p>
    <w:p>
      <w:pPr>
        <w:spacing w:after="0" w:line="96" w:lineRule="exact"/>
        <w:rPr>
          <w:sz w:val="20"/>
          <w:szCs w:val="20"/>
          <w:color w:val="auto"/>
        </w:rPr>
      </w:pPr>
    </w:p>
    <w:p>
      <w:pPr>
        <w:ind w:left="120"/>
        <w:spacing w:after="0"/>
        <w:tabs>
          <w:tab w:leader="dot" w:pos="7480" w:val="left"/>
          <w:tab w:leader="dot" w:pos="8180" w:val="left"/>
          <w:tab w:leader="dot" w:pos="8820" w:val="left"/>
        </w:tabs>
        <w:rPr>
          <w:sz w:val="20"/>
          <w:szCs w:val="20"/>
          <w:color w:val="auto"/>
        </w:rPr>
      </w:pPr>
      <w:r>
        <w:rPr>
          <w:rFonts w:ascii="Times New Roman" w:cs="Times New Roman" w:eastAsia="Times New Roman" w:hAnsi="Times New Roman"/>
          <w:sz w:val="19"/>
          <w:szCs w:val="19"/>
          <w:color w:val="auto"/>
        </w:rPr>
        <w:t>INDEX TO FiNANCIAL INFORMATION</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w:t>
      </w:r>
      <w:r>
        <w:rPr>
          <w:sz w:val="20"/>
          <w:szCs w:val="20"/>
          <w:color w:val="auto"/>
        </w:rPr>
        <w:tab/>
      </w:r>
      <w:r>
        <w:rPr>
          <w:rFonts w:ascii="Times New Roman" w:cs="Times New Roman" w:eastAsia="Times New Roman" w:hAnsi="Times New Roman"/>
          <w:sz w:val="19"/>
          <w:szCs w:val="19"/>
          <w:color w:val="auto"/>
        </w:rPr>
        <w:t>62</w:t>
      </w:r>
    </w:p>
    <w:p>
      <w:pPr>
        <w:sectPr>
          <w:pgSz w:w="12240" w:h="15850" w:orient="portrait"/>
          <w:cols w:equalWidth="0" w:num="1">
            <w:col w:w="9365"/>
          </w:cols>
          <w:pgMar w:left="1440" w:top="1440" w:right="1440" w:bottom="874" w:gutter="0" w:footer="0" w:header="0"/>
        </w:sectPr>
      </w:pPr>
    </w:p>
    <w:bookmarkStart w:id="16" w:name="page17"/>
    <w:bookmarkEnd w:id="16"/>
    <w:p>
      <w:pPr>
        <w:jc w:val="center"/>
        <w:ind w:right="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PART I</w:t>
      </w:r>
    </w:p>
    <w:p>
      <w:pPr>
        <w:spacing w:after="0" w:line="176"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 xml:space="preserve">Item </w:t>
      </w:r>
      <w:r>
        <w:rPr>
          <w:rFonts w:ascii="Arial" w:cs="Arial" w:eastAsia="Arial" w:hAnsi="Arial"/>
          <w:sz w:val="18"/>
          <w:szCs w:val="18"/>
          <w:b w:val="1"/>
          <w:bCs w:val="1"/>
          <w:color w:val="auto"/>
        </w:rPr>
        <w:t>1.</w:t>
      </w:r>
      <w:r>
        <w:rPr>
          <w:sz w:val="20"/>
          <w:szCs w:val="20"/>
          <w:color w:val="auto"/>
        </w:rPr>
        <w:tab/>
      </w:r>
      <w:r>
        <w:rPr>
          <w:rFonts w:ascii="Times New Roman" w:cs="Times New Roman" w:eastAsia="Times New Roman" w:hAnsi="Times New Roman"/>
          <w:sz w:val="20"/>
          <w:szCs w:val="20"/>
          <w:color w:val="auto"/>
        </w:rPr>
        <w:t>Business.</w:t>
      </w:r>
    </w:p>
    <w:p>
      <w:pPr>
        <w:spacing w:after="0" w:line="132"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 xml:space="preserve">Graham Ho ldings Company (the Company) is a diversified holding company whose operations include educational services, television broadcasting, manufacturing, healthcare, automotive dealerships and other businesses. Through Kaplan, Inc. (Kaplan), the Company provides a wide variety of educational services to students, schools, colleges, universities and businesses, both domestically and outside the United States (U.S.). Kaplan's educational services include academic preparation programs for international students, English-language programs, operations support services for pre-college, certificate, undergraduate and graduate programs, exam preparation for high school and graduate students and for professional certifications and licensll.lres, career and academic advisement services to businesses, and a United Kingdom (U.K.) sixth-form college that prepares students for A-level examinations. The Company's television broadcasting segment owns and operates seven television broadcast stations and provides social media manage ment tools designed to connect newsrooms with their users. The Company's manufacturing companies include a supplier of pressure-treated wood, a manufacturer of electrical solutions, a manufacturer of lifting solutions, and a supplier of parts used in e lectric utilities and industrial systems. 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 The Company's automotive business comprises eight dealerships and valet repair services. The Company's other businesses include restaurants; a custom framing company; a marketing solutions provider; a customer data and analytics software company; </w:t>
      </w:r>
      <w:r>
        <w:rPr>
          <w:rFonts w:ascii="Times New Roman" w:cs="Times New Roman" w:eastAsia="Times New Roman" w:hAnsi="Times New Roman"/>
          <w:sz w:val="19"/>
          <w:szCs w:val="19"/>
          <w:i w:val="1"/>
          <w:iCs w:val="1"/>
          <w:color w:val="auto"/>
        </w:rPr>
        <w:t>Slate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Foreign Policy</w:t>
      </w:r>
      <w:r>
        <w:rPr>
          <w:rFonts w:ascii="Times New Roman" w:cs="Times New Roman" w:eastAsia="Times New Roman" w:hAnsi="Times New Roman"/>
          <w:sz w:val="19"/>
          <w:szCs w:val="19"/>
          <w:color w:val="auto"/>
        </w:rPr>
        <w:t xml:space="preserve"> magazines; a daily local news podcast and newsletter company; a software-as-a-service platform providler that enables podcasters and media companies to monetize audio content through paid subscriptions, memberships, and audiobooks; an online art gallery and in-person art fair business; an online commerce platform featuring original art and designs on an array of consumer products; and an owner and operator of websites.</w:t>
      </w:r>
    </w:p>
    <w:p>
      <w:pPr>
        <w:spacing w:after="0" w:line="200" w:lineRule="exact"/>
        <w:rPr>
          <w:sz w:val="20"/>
          <w:szCs w:val="20"/>
          <w:color w:val="auto"/>
        </w:rPr>
      </w:pPr>
    </w:p>
    <w:p>
      <w:pPr>
        <w:spacing w:after="0" w:line="256" w:lineRule="exact"/>
        <w:rPr>
          <w:sz w:val="20"/>
          <w:szCs w:val="20"/>
          <w:color w:val="auto"/>
        </w:rPr>
      </w:pPr>
    </w:p>
    <w:p>
      <w:pPr>
        <w:jc w:val="both"/>
        <w:ind w:left="120" w:right="125" w:firstLine="11"/>
        <w:spacing w:after="0" w:line="260" w:lineRule="auto"/>
        <w:rPr>
          <w:sz w:val="20"/>
          <w:szCs w:val="20"/>
          <w:color w:val="auto"/>
        </w:rPr>
      </w:pPr>
      <w:r>
        <w:rPr>
          <w:rFonts w:ascii="Times New Roman" w:cs="Times New Roman" w:eastAsia="Times New Roman" w:hAnsi="Times New Roman"/>
          <w:sz w:val="19"/>
          <w:szCs w:val="19"/>
          <w:color w:val="auto"/>
        </w:rPr>
        <w:t>Financial information concerning the principal segments of the Company's business for the past three fiscal years is conta ined in Note 19 to the Company's Consolidated Financia·l Statements appearing e lsewhere in this Annual Report on Form 10-K. Revenues for each segment are shown in Note 19 gross of intersegment sales. Consolidated revenues are reported net of intersegment sales, which did not exceed 0.1% of consolidated operating revenues.</w:t>
      </w:r>
    </w:p>
    <w:p>
      <w:pPr>
        <w:spacing w:after="0" w:line="200" w:lineRule="exact"/>
        <w:rPr>
          <w:sz w:val="20"/>
          <w:szCs w:val="20"/>
          <w:color w:val="auto"/>
        </w:rPr>
      </w:pPr>
    </w:p>
    <w:p>
      <w:pPr>
        <w:spacing w:after="0" w:line="227"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Company's operations </w:t>
      </w:r>
      <w:r>
        <w:rPr>
          <w:rFonts w:ascii="Times New Roman" w:cs="Times New Roman" w:eastAsia="Times New Roman" w:hAnsi="Times New Roman"/>
          <w:sz w:val="18"/>
          <w:szCs w:val="18"/>
          <w:color w:val="auto"/>
        </w:rPr>
        <w:t>m</w:t>
      </w:r>
      <w:r>
        <w:rPr>
          <w:rFonts w:ascii="Times New Roman" w:cs="Times New Roman" w:eastAsia="Times New Roman" w:hAnsi="Times New Roman"/>
          <w:sz w:val="19"/>
          <w:szCs w:val="19"/>
          <w:color w:val="auto"/>
        </w:rPr>
        <w:t xml:space="preserve"> geographic areas outside the U.S. consist primarily of Kaplan's non-U.S. operations. During each of the fiscal years 2024, 2023 and 2022, these operations accounted for approximately 22%, 21 % and 20%, respectively, of the Company's consolidated revenues, and the identifiable assets attributable to non-U.S. operations represented approximately 18% and 20% of the Company's consolidated assets at December 3 1, 2024 and 2023, respectively.</w:t>
      </w:r>
    </w:p>
    <w:p>
      <w:pPr>
        <w:spacing w:after="0" w:line="2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EDUCATION</w:t>
      </w:r>
    </w:p>
    <w:p>
      <w:pPr>
        <w:spacing w:after="0" w:line="112" w:lineRule="exact"/>
        <w:rPr>
          <w:sz w:val="20"/>
          <w:szCs w:val="20"/>
          <w:color w:val="auto"/>
        </w:rPr>
      </w:pPr>
    </w:p>
    <w:p>
      <w:pPr>
        <w:jc w:val="both"/>
        <w:ind w:left="120" w:right="125" w:firstLine="21"/>
        <w:spacing w:after="0" w:line="263" w:lineRule="auto"/>
        <w:rPr>
          <w:sz w:val="20"/>
          <w:szCs w:val="20"/>
          <w:color w:val="auto"/>
        </w:rPr>
      </w:pPr>
      <w:r>
        <w:rPr>
          <w:rFonts w:ascii="Times New Roman" w:cs="Times New Roman" w:eastAsia="Times New Roman" w:hAnsi="Times New Roman"/>
          <w:sz w:val="19"/>
          <w:szCs w:val="19"/>
          <w:color w:val="auto"/>
        </w:rPr>
        <w:t xml:space="preserve">Kaplan provides an extensive range of education and related services worldwide for students, universities and businesses. Kaplan products and services reach learners directly or through Kaplan's many relationships. These relationships include approximately 16,100 companies and approximately 2,770 universities, co]leges, schools and school districts, which, along with individual students and professionals, pay for Kaplan's products and services. In 2024, Kaplan was the provider for the educational needs of approxnmately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,267,000 students and professionals worldwide who engaged with Kaplan services and materials in-person, online, through their schools (K-12, college, or university) or through their employer education or coaching programs. In 2024, Kaplan's reach a lso included sales of </w:t>
      </w:r>
      <w:r>
        <w:rPr>
          <w:rFonts w:ascii="Arial" w:cs="Arial" w:eastAsia="Arial" w:hAnsi="Arial"/>
          <w:sz w:val="19"/>
          <w:szCs w:val="19"/>
          <w:color w:val="auto"/>
        </w:rPr>
        <w:t>I</w:t>
      </w:r>
      <w:r>
        <w:rPr>
          <w:rFonts w:ascii="Times New Roman" w:cs="Times New Roman" w:eastAsia="Times New Roman" w:hAnsi="Times New Roman"/>
          <w:sz w:val="19"/>
          <w:szCs w:val="19"/>
          <w:color w:val="auto"/>
        </w:rPr>
        <w:t xml:space="preserve"> ,700,000 units of book/study aid products to individuals, businesses, schools, colleges and universities.</w:t>
      </w:r>
    </w:p>
    <w:p>
      <w:pPr>
        <w:spacing w:after="0" w:line="200" w:lineRule="exact"/>
        <w:rPr>
          <w:sz w:val="20"/>
          <w:szCs w:val="20"/>
          <w:color w:val="auto"/>
        </w:rPr>
      </w:pPr>
    </w:p>
    <w:p>
      <w:pPr>
        <w:spacing w:after="0" w:line="230"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 xml:space="preserve">Kaplan conducts its bu siness through three operating segments: Kaplan International </w:t>
      </w:r>
      <w:r>
        <w:rPr>
          <w:rFonts w:ascii="Arial" w:cs="Arial" w:eastAsia="Arial" w:hAnsi="Arial"/>
          <w:sz w:val="17"/>
          <w:szCs w:val="17"/>
          <w:color w:val="auto"/>
        </w:rPr>
        <w:t>(KI),</w:t>
      </w:r>
      <w:r>
        <w:rPr>
          <w:rFonts w:ascii="Times New Roman" w:cs="Times New Roman" w:eastAsia="Times New Roman" w:hAnsi="Times New Roman"/>
          <w:sz w:val="19"/>
          <w:szCs w:val="19"/>
          <w:color w:val="auto"/>
        </w:rPr>
        <w:t xml:space="preserve"> and the Kaplan Higher Education (KHE) and Supplemental Education segments under Kaplan North America (KNA). In addition, the results of Kaplan's investment activities in education sector-related companies are reflected in Kaplan Corporate.</w:t>
      </w:r>
    </w:p>
    <w:p>
      <w:pPr>
        <w:sectPr>
          <w:pgSz w:w="12240" w:h="15850" w:orient="portrait"/>
          <w:cols w:equalWidth="0" w:num="1">
            <w:col w:w="9365"/>
          </w:cols>
          <w:pgMar w:left="1440" w:top="1356" w:right="1440" w:bottom="721" w:gutter="0" w:footer="0" w:header="0"/>
        </w:sectPr>
      </w:pPr>
    </w:p>
    <w:p>
      <w:pPr>
        <w:spacing w:after="0" w:line="200" w:lineRule="exact"/>
        <w:rPr>
          <w:sz w:val="20"/>
          <w:szCs w:val="20"/>
          <w:color w:val="auto"/>
        </w:rPr>
      </w:pPr>
    </w:p>
    <w:p>
      <w:pPr>
        <w:spacing w:after="0" w:line="301" w:lineRule="exact"/>
        <w:rPr>
          <w:sz w:val="20"/>
          <w:szCs w:val="20"/>
          <w:color w:val="auto"/>
        </w:rPr>
      </w:pPr>
    </w:p>
    <w:p>
      <w:pPr>
        <w:ind w:left="5920"/>
        <w:spacing w:after="0"/>
        <w:rPr>
          <w:sz w:val="20"/>
          <w:szCs w:val="20"/>
          <w:color w:val="auto"/>
        </w:rPr>
      </w:pPr>
      <w:r>
        <w:rPr>
          <w:rFonts w:ascii="Times New Roman" w:cs="Times New Roman" w:eastAsia="Times New Roman" w:hAnsi="Times New Roman"/>
          <w:sz w:val="19"/>
          <w:szCs w:val="19"/>
          <w:color w:val="auto"/>
        </w:rPr>
        <w:t>GRAHAM HOLDINGS COMPANY</w:t>
      </w:r>
    </w:p>
    <w:p>
      <w:pPr>
        <w:sectPr>
          <w:pgSz w:w="12240" w:h="15850" w:orient="portrait"/>
          <w:cols w:equalWidth="0" w:num="1">
            <w:col w:w="9365"/>
          </w:cols>
          <w:pgMar w:left="1440" w:top="1356" w:right="1440" w:bottom="721" w:gutter="0" w:footer="0" w:header="0"/>
          <w:type w:val="continuous"/>
        </w:sectPr>
      </w:pPr>
    </w:p>
    <w:bookmarkStart w:id="17" w:name="page18"/>
    <w:bookmarkEnd w:id="17"/>
    <w:p>
      <w:pPr>
        <w:ind w:left="1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Kapla n International</w:t>
      </w:r>
    </w:p>
    <w:p>
      <w:pPr>
        <w:spacing w:after="0" w:line="128" w:lineRule="exact"/>
        <w:rPr>
          <w:sz w:val="20"/>
          <w:szCs w:val="20"/>
          <w:color w:val="auto"/>
        </w:rPr>
      </w:pPr>
    </w:p>
    <w:p>
      <w:pPr>
        <w:jc w:val="both"/>
        <w:ind w:left="120" w:right="125" w:hanging="2"/>
        <w:spacing w:after="0" w:line="257" w:lineRule="auto"/>
        <w:rPr>
          <w:sz w:val="20"/>
          <w:szCs w:val="20"/>
          <w:color w:val="auto"/>
        </w:rPr>
      </w:pPr>
      <w:r>
        <w:rPr>
          <w:rFonts w:ascii="Arial" w:cs="Arial" w:eastAsia="Arial" w:hAnsi="Arial"/>
          <w:sz w:val="19"/>
          <w:szCs w:val="19"/>
          <w:color w:val="auto"/>
        </w:rPr>
        <w:t xml:space="preserve">Kl </w:t>
      </w:r>
      <w:r>
        <w:rPr>
          <w:rFonts w:ascii="Times New Roman" w:cs="Times New Roman" w:eastAsia="Times New Roman" w:hAnsi="Times New Roman"/>
          <w:sz w:val="19"/>
          <w:szCs w:val="19"/>
          <w:color w:val="auto"/>
        </w:rPr>
        <w:t>operates businesses in Europe and the Middle East, North Amedca and the Asia Pacific region, each of which</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is discussed below.</w:t>
      </w:r>
    </w:p>
    <w:p>
      <w:pPr>
        <w:spacing w:after="0" w:line="240" w:lineRule="exact"/>
        <w:rPr>
          <w:sz w:val="20"/>
          <w:szCs w:val="20"/>
          <w:color w:val="auto"/>
        </w:rPr>
      </w:pPr>
    </w:p>
    <w:p>
      <w:pPr>
        <w:jc w:val="both"/>
        <w:ind w:left="120" w:right="125" w:hanging="6"/>
        <w:spacing w:after="0" w:line="260" w:lineRule="auto"/>
        <w:rPr>
          <w:sz w:val="20"/>
          <w:szCs w:val="20"/>
          <w:color w:val="auto"/>
        </w:rPr>
      </w:pPr>
      <w:r>
        <w:rPr>
          <w:rFonts w:ascii="Times New Roman" w:cs="Times New Roman" w:eastAsia="Times New Roman" w:hAnsi="Times New Roman"/>
          <w:sz w:val="20"/>
          <w:szCs w:val="20"/>
          <w:i w:val="1"/>
          <w:iCs w:val="1"/>
          <w:color w:val="auto"/>
        </w:rPr>
        <w:t>Europ e and the Middle East.</w:t>
      </w:r>
      <w:r>
        <w:rPr>
          <w:sz w:val="20"/>
          <w:szCs w:val="20"/>
          <w:color w:val="auto"/>
        </w:rPr>
        <w:t xml:space="preserve"> </w:t>
      </w:r>
      <w:r>
        <w:rPr>
          <w:rFonts w:ascii="Times New Roman" w:cs="Times New Roman" w:eastAsia="Times New Roman" w:hAnsi="Times New Roman"/>
          <w:sz w:val="19"/>
          <w:szCs w:val="19"/>
          <w:color w:val="auto"/>
        </w:rPr>
        <w:t>In Europe, KI operates the following businesses, all of which are based in the U.K. and Ireland: Kaplan UK, KT Pathways, Kaplan Languages Group, Mander Portman Woodward (MPW), Dublin Business School, Kaplan Open Learning and BridgeU. In the Middle East, Kaplan Professional Middle East is based in the United Arab Emirates.</w:t>
      </w:r>
    </w:p>
    <w:p>
      <w:pPr>
        <w:spacing w:after="0" w:line="200" w:lineRule="exact"/>
        <w:rPr>
          <w:sz w:val="20"/>
          <w:szCs w:val="20"/>
          <w:color w:val="auto"/>
        </w:rPr>
      </w:pPr>
    </w:p>
    <w:p>
      <w:pPr>
        <w:spacing w:after="0" w:line="276"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The Kaplan UK business in Europe, through Kaplan Financial Limited, is a provider of apprenticeship training and test preparation services for accounting and fi nancial servnces professionals, including those studying for ACCA, CTMA and ICAEW qualifications. Headquartered in London, England, Kaplan UK has 14 training centers located throughout the U.K. In 2024, Kaplan UK provided courses to over 44,000 students in accountancy and financial services. In 2018, the Solicitors Regul ation Authority (SRA) awarded Kaplan UK the contract to become the sole authorized assessment provider for the Solicitors Qualifying Examination (SQE) for all candidates seeking to become a solicitor in E ngland and Wales. The first SQE assessments took place in 2021 .</w:t>
      </w:r>
    </w:p>
    <w:p>
      <w:pPr>
        <w:spacing w:after="0" w:line="228"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 xml:space="preserve">The </w:t>
      </w:r>
      <w:r>
        <w:rPr>
          <w:rFonts w:ascii="Arial" w:cs="Arial" w:eastAsia="Arial" w:hAnsi="Arial"/>
          <w:sz w:val="19"/>
          <w:szCs w:val="19"/>
          <w:color w:val="auto"/>
        </w:rPr>
        <w:t>Kl</w:t>
      </w:r>
      <w:r>
        <w:rPr>
          <w:rFonts w:ascii="Times New Roman" w:cs="Times New Roman" w:eastAsia="Times New Roman" w:hAnsi="Times New Roman"/>
          <w:sz w:val="19"/>
          <w:szCs w:val="19"/>
          <w:color w:val="auto"/>
        </w:rPr>
        <w:t xml:space="preserve"> Pathways business offers academic preparation programs designed for international students who wish to study for degrees at universities in English-speaking countries. KI Pathways also recruits international students for enrollment in certain U.S., U.K. and Canadian university partner programs. In 2024, university preparation programs were delivered in Australia, Japan, Singapore, and the U.K.</w:t>
      </w:r>
    </w:p>
    <w:p>
      <w:pPr>
        <w:spacing w:after="0" w:line="250" w:lineRule="exact"/>
        <w:rPr>
          <w:sz w:val="20"/>
          <w:szCs w:val="20"/>
          <w:color w:val="auto"/>
        </w:rPr>
      </w:pPr>
    </w:p>
    <w:p>
      <w:pPr>
        <w:jc w:val="both"/>
        <w:ind w:left="100" w:right="125" w:firstLine="13"/>
        <w:spacing w:after="0" w:line="262" w:lineRule="auto"/>
        <w:rPr>
          <w:sz w:val="20"/>
          <w:szCs w:val="20"/>
          <w:color w:val="auto"/>
        </w:rPr>
      </w:pPr>
      <w:r>
        <w:rPr>
          <w:rFonts w:ascii="Times New Roman" w:cs="Times New Roman" w:eastAsia="Times New Roman" w:hAnsi="Times New Roman"/>
          <w:sz w:val="19"/>
          <w:szCs w:val="19"/>
          <w:color w:val="auto"/>
        </w:rPr>
        <w:t xml:space="preserve">The Kaplan Languages Group (KLG) business is comprised of Kaplan International Languages, Alpadia Language Schools, and Azurlingua. In 2024, KLG served approximately 36,000 students in language training, academic p1·eparation, and preparation for proficiency exams to he lp students advance their educational and professional goals. As of December 31, 2024, KLG operated 20 English-language Kaplan schools, with 13 located in the U.K., Ireland, and Canada and six in the U.S. and an online language school. Additionally, KLG operates four Alpadia schools, with one in France, two in Germany, and one in Switzerland, as well as Alpadia language camps for juniors (from </w:t>
      </w:r>
      <w:r>
        <w:rPr>
          <w:rFonts w:ascii="Times New Roman" w:cs="Times New Roman" w:eastAsia="Times New Roman" w:hAnsi="Times New Roman"/>
          <w:sz w:val="17"/>
          <w:szCs w:val="17"/>
          <w:color w:val="auto"/>
        </w:rPr>
        <w:t>8+)</w:t>
      </w:r>
      <w:r>
        <w:rPr>
          <w:rFonts w:ascii="Times New Roman" w:cs="Times New Roman" w:eastAsia="Times New Roman" w:hAnsi="Times New Roman"/>
          <w:sz w:val="19"/>
          <w:szCs w:val="19"/>
          <w:color w:val="auto"/>
        </w:rPr>
        <w:t xml:space="preserve"> and teens in the U.K., France, Germany and Switzerland. In 2024, KLG also acquired Azurlingua, a language school in Nice, France, offering French-language programs for adults and juniors. KLG also includes ESL Education (ESL), a study abroad agency with offices throughout Europe. ESL connects students with partner schools including KLG's schools. The language travel business is expected to encou nter ongoing headwinds on several fronts, including price competition and u ncertainty around immigration and student visa policy in some markets.</w:t>
      </w:r>
    </w:p>
    <w:p>
      <w:pPr>
        <w:spacing w:after="0" w:line="200" w:lineRule="exact"/>
        <w:rPr>
          <w:sz w:val="20"/>
          <w:szCs w:val="20"/>
          <w:color w:val="auto"/>
        </w:rPr>
      </w:pPr>
    </w:p>
    <w:p>
      <w:pPr>
        <w:spacing w:after="0" w:line="276"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MPW is a U.K. independent sixth-form college that prepares domestic and international students for the A-level examinations that U.K. universities require for admission. MPW comprises three fifth- and sixth-form colleges in London, Cambridge and Birmingham.</w:t>
      </w:r>
    </w:p>
    <w:p>
      <w:pPr>
        <w:spacing w:after="0" w:line="231" w:lineRule="exact"/>
        <w:rPr>
          <w:sz w:val="20"/>
          <w:szCs w:val="20"/>
          <w:color w:val="auto"/>
        </w:rPr>
      </w:pPr>
    </w:p>
    <w:p>
      <w:pPr>
        <w:jc w:val="both"/>
        <w:ind w:left="120" w:right="105" w:firstLine="10"/>
        <w:spacing w:after="0" w:line="256" w:lineRule="auto"/>
        <w:rPr>
          <w:sz w:val="20"/>
          <w:szCs w:val="20"/>
          <w:color w:val="auto"/>
        </w:rPr>
      </w:pPr>
      <w:r>
        <w:rPr>
          <w:rFonts w:ascii="Times New Roman" w:cs="Times New Roman" w:eastAsia="Times New Roman" w:hAnsi="Times New Roman"/>
          <w:sz w:val="19"/>
          <w:szCs w:val="19"/>
          <w:color w:val="auto"/>
        </w:rPr>
        <w:t>Kl also operates Dublin Business School in Ireland, a higher education institution, and Kaplan Open Learning in the U.K., an online learning institution working in partnership with the University of Essex and the University of Liverpool. At the end of 2024, these institutions enrolled an aggregate of approximately l l, 100 students.</w:t>
      </w:r>
    </w:p>
    <w:p>
      <w:pPr>
        <w:spacing w:after="0" w:line="245" w:lineRule="exact"/>
        <w:rPr>
          <w:sz w:val="20"/>
          <w:szCs w:val="20"/>
          <w:color w:val="auto"/>
        </w:rPr>
      </w:pPr>
    </w:p>
    <w:p>
      <w:pPr>
        <w:jc w:val="both"/>
        <w:ind w:left="120" w:right="125" w:firstLine="1"/>
        <w:spacing w:after="0" w:line="250" w:lineRule="auto"/>
        <w:rPr>
          <w:sz w:val="20"/>
          <w:szCs w:val="20"/>
          <w:color w:val="auto"/>
        </w:rPr>
      </w:pPr>
      <w:r>
        <w:rPr>
          <w:rFonts w:ascii="Times New Roman" w:cs="Times New Roman" w:eastAsia="Times New Roman" w:hAnsi="Times New Roman"/>
          <w:sz w:val="19"/>
          <w:szCs w:val="19"/>
          <w:color w:val="auto"/>
        </w:rPr>
        <w:t>In 2024, Kaplan Professional Middle East, a financial training !business operating in the United Arab Emirates and Saudi Arabia, taught approximately 4,500 students.</w:t>
      </w:r>
    </w:p>
    <w:p>
      <w:pPr>
        <w:spacing w:after="0" w:line="240" w:lineRule="exact"/>
        <w:rPr>
          <w:sz w:val="20"/>
          <w:szCs w:val="20"/>
          <w:color w:val="auto"/>
        </w:rPr>
      </w:pPr>
    </w:p>
    <w:p>
      <w:pPr>
        <w:jc w:val="both"/>
        <w:ind w:left="120" w:right="125" w:firstLine="5"/>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U.K. Immigration Regulations. </w:t>
      </w:r>
      <w:r>
        <w:rPr>
          <w:rFonts w:ascii="Times New Roman" w:cs="Times New Roman" w:eastAsia="Times New Roman" w:hAnsi="Times New Roman"/>
          <w:sz w:val="18"/>
          <w:szCs w:val="18"/>
          <w:color w:val="auto"/>
        </w:rPr>
        <w:t>Certain</w:t>
      </w:r>
      <w:r>
        <w:rPr>
          <w:rFonts w:ascii="Times New Roman" w:cs="Times New Roman" w:eastAsia="Times New Roman" w:hAnsi="Times New Roman"/>
          <w:sz w:val="20"/>
          <w:szCs w:val="20"/>
          <w:i w:val="1"/>
          <w:iCs w:val="1"/>
          <w:color w:val="auto"/>
        </w:rPr>
        <w:t xml:space="preserve"> </w:t>
      </w:r>
      <w:r>
        <w:rPr>
          <w:rFonts w:ascii="Arial" w:cs="Arial" w:eastAsia="Arial" w:hAnsi="Arial"/>
          <w:sz w:val="18"/>
          <w:szCs w:val="18"/>
          <w:color w:val="auto"/>
        </w:rPr>
        <w:t>Kl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businesses serve a significant number of international students,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 xml:space="preserve">therefore it is critical that these businesses are able to sponsor international students to come to the U.K. United Kingdom Visas and Immigration (UKVI) administers certain regulations pursuant to which education institutions in the U.K. that wish to enroll international students are required to hold Student Visa sponsor licenses. The KI Pathways business is required to hold Student Visa licenses for international students aged </w:t>
      </w:r>
      <w:r>
        <w:rPr>
          <w:rFonts w:ascii="Arial" w:cs="Arial" w:eastAsia="Arial" w:hAnsi="Arial"/>
          <w:sz w:val="16"/>
          <w:szCs w:val="16"/>
          <w:color w:val="auto"/>
        </w:rPr>
        <w:t>16</w:t>
      </w:r>
      <w:r>
        <w:rPr>
          <w:rFonts w:ascii="Times New Roman" w:cs="Times New Roman" w:eastAsia="Times New Roman" w:hAnsi="Times New Roman"/>
          <w:sz w:val="18"/>
          <w:szCs w:val="18"/>
          <w:color w:val="auto"/>
        </w:rPr>
        <w:t xml:space="preserve"> and above who enter the U.K. on a Student Visa to enroll in the courses </w:t>
      </w:r>
      <w:r>
        <w:rPr>
          <w:rFonts w:ascii="Arial" w:cs="Arial" w:eastAsia="Arial" w:hAnsi="Arial"/>
          <w:sz w:val="18"/>
          <w:szCs w:val="18"/>
          <w:color w:val="auto"/>
        </w:rPr>
        <w:t>Kl</w:t>
      </w:r>
      <w:r>
        <w:rPr>
          <w:rFonts w:ascii="Times New Roman" w:cs="Times New Roman" w:eastAsia="Times New Roman" w:hAnsi="Times New Roman"/>
          <w:sz w:val="18"/>
          <w:szCs w:val="18"/>
          <w:color w:val="auto"/>
        </w:rPr>
        <w:t xml:space="preserve"> Pathways delivers.</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9"/>
          <w:szCs w:val="19"/>
          <w:color w:val="auto"/>
        </w:rPr>
        <w:t>2</w:t>
        <w:tab/>
        <w:t>2024 FORM 10-K</w:t>
      </w:r>
    </w:p>
    <w:p>
      <w:pPr>
        <w:sectPr>
          <w:pgSz w:w="12240" w:h="15850" w:orient="portrait"/>
          <w:cols w:equalWidth="0" w:num="1">
            <w:col w:w="9365"/>
          </w:cols>
          <w:pgMar w:left="1440" w:top="1385" w:right="1440" w:bottom="721" w:gutter="0" w:footer="0" w:header="0"/>
          <w:type w:val="continuous"/>
        </w:sectPr>
      </w:pPr>
    </w:p>
    <w:bookmarkStart w:id="18" w:name="page19"/>
    <w:bookmarkEnd w:id="18"/>
    <w:p>
      <w:pPr>
        <w:jc w:val="both"/>
        <w:ind w:left="120" w:right="125" w:firstLine="10"/>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Each Student Visa license holder is required to hold Educational Oversight accreditation, which requires the submission of statutory data returns, reviews and inspections by the appropriate regulatory body. Student Visa license holders are also required to pass the annual Basic Compliance Assessrnent (BCA). For the U1irteenth consecutive year, all </w:t>
      </w:r>
      <w:r>
        <w:rPr>
          <w:rFonts w:ascii="Arial" w:cs="Arial" w:eastAsia="Arial" w:hAnsi="Arial"/>
          <w:sz w:val="18"/>
          <w:szCs w:val="18"/>
          <w:i w:val="1"/>
          <w:iCs w:val="1"/>
          <w:color w:val="auto"/>
        </w:rPr>
        <w:t>Kl</w:t>
      </w:r>
      <w:r>
        <w:rPr>
          <w:rFonts w:ascii="Times New Roman" w:cs="Times New Roman" w:eastAsia="Times New Roman" w:hAnsi="Times New Roman"/>
          <w:sz w:val="19"/>
          <w:szCs w:val="19"/>
          <w:color w:val="auto"/>
        </w:rPr>
        <w:t xml:space="preserve"> institutions have retained Educational Oversight accreditation. All Student Visa annual BCA renewals have been approved. Students at English language schools generalny choose to enter the U.K. on a Visitor or Short-Term Student visa. The MPW schools each hold current Student Visa and Child Student Visa (applicable to students aged </w:t>
      </w:r>
      <w:r>
        <w:rPr>
          <w:rFonts w:ascii="Times New Roman" w:cs="Times New Roman" w:eastAsia="Times New Roman" w:hAnsi="Times New Roman"/>
          <w:sz w:val="18"/>
          <w:szCs w:val="18"/>
          <w:color w:val="auto"/>
        </w:rPr>
        <w:t>4-17)</w:t>
      </w:r>
      <w:r>
        <w:rPr>
          <w:rFonts w:ascii="Times New Roman" w:cs="Times New Roman" w:eastAsia="Times New Roman" w:hAnsi="Times New Roman"/>
          <w:sz w:val="19"/>
          <w:szCs w:val="19"/>
          <w:color w:val="auto"/>
        </w:rPr>
        <w:t xml:space="preserve"> licenses and have performed well consistently, with good records in their inspections by their applicable oversight bodies.</w:t>
      </w:r>
    </w:p>
    <w:p>
      <w:pPr>
        <w:spacing w:after="0" w:line="262" w:lineRule="exact"/>
        <w:rPr>
          <w:sz w:val="20"/>
          <w:szCs w:val="20"/>
          <w:color w:val="auto"/>
        </w:rPr>
      </w:pPr>
    </w:p>
    <w:p>
      <w:pPr>
        <w:jc w:val="both"/>
        <w:ind w:left="120" w:right="125" w:firstLine="2"/>
        <w:spacing w:after="0" w:line="263" w:lineRule="auto"/>
        <w:rPr>
          <w:sz w:val="20"/>
          <w:szCs w:val="20"/>
          <w:color w:val="auto"/>
        </w:rPr>
      </w:pPr>
      <w:r>
        <w:rPr>
          <w:rFonts w:ascii="Times New Roman" w:cs="Times New Roman" w:eastAsia="Times New Roman" w:hAnsi="Times New Roman"/>
          <w:sz w:val="19"/>
          <w:szCs w:val="19"/>
          <w:color w:val="auto"/>
        </w:rPr>
        <w:t xml:space="preserve">The H igher Education and Research Act 2017 created a regulator for higher education in England, the Office for Students (OfS). </w:t>
      </w:r>
      <w:r>
        <w:rPr>
          <w:rFonts w:ascii="Arial" w:cs="Arial" w:eastAsia="Arial" w:hAnsi="Arial"/>
          <w:sz w:val="19"/>
          <w:szCs w:val="19"/>
          <w:i w:val="1"/>
          <w:iCs w:val="1"/>
          <w:color w:val="auto"/>
        </w:rPr>
        <w:t>All</w:t>
      </w:r>
      <w:r>
        <w:rPr>
          <w:rFonts w:ascii="Times New Roman" w:cs="Times New Roman" w:eastAsia="Times New Roman" w:hAnsi="Times New Roman"/>
          <w:sz w:val="19"/>
          <w:szCs w:val="19"/>
          <w:color w:val="auto"/>
        </w:rPr>
        <w:t xml:space="preserve"> of Kl's higher education businesses in the U.K., excluding Glasgow International College and University of York International Pathway College, retained registration with the OfS in 2024 to ensure that they could continue operating and retain their Student Visa sponsor licenses and/or continue to accept students funded by U.K. student loans. Glasgow International College, located in Scotland, is not regulated by the OfS and remains overseen by the Quality Assurance Agency for Higher Education (QAA). The University of York International Pathway College forms part of the University of York's OfS registration. No assurance can be given that each </w:t>
      </w:r>
      <w:r>
        <w:rPr>
          <w:rFonts w:ascii="Times New Roman" w:cs="Times New Roman" w:eastAsia="Times New Roman" w:hAnsi="Times New Roman"/>
          <w:sz w:val="19"/>
          <w:szCs w:val="19"/>
          <w:i w:val="1"/>
          <w:iCs w:val="1"/>
          <w:color w:val="auto"/>
        </w:rPr>
        <w:t>K1</w:t>
      </w:r>
      <w:r>
        <w:rPr>
          <w:rFonts w:ascii="Times New Roman" w:cs="Times New Roman" w:eastAsia="Times New Roman" w:hAnsi="Times New Roman"/>
          <w:sz w:val="19"/>
          <w:szCs w:val="19"/>
          <w:color w:val="auto"/>
        </w:rPr>
        <w:t xml:space="preserve"> business in the U.K. will be able to maintain its Student Visa or Child Student Visa license and Educational Oversight or OfS/QAA registration. Maintenance of each of these approvals requires compliance with several core metrics that may be difficult to sustain. The loss by one or more institutions of the Student Visa or Child Student Visa license, Educational Oversight accreditation or OfS/QAA registration would have a material adverse effect on </w:t>
      </w:r>
      <w:r>
        <w:rPr>
          <w:rFonts w:ascii="Times New Roman" w:cs="Times New Roman" w:eastAsia="Times New Roman" w:hAnsi="Times New Roman"/>
          <w:sz w:val="19"/>
          <w:szCs w:val="19"/>
          <w:i w:val="1"/>
          <w:iCs w:val="1"/>
          <w:color w:val="auto"/>
        </w:rPr>
        <w:t>K1</w:t>
      </w:r>
      <w:r>
        <w:rPr>
          <w:rFonts w:ascii="Times New Roman" w:cs="Times New Roman" w:eastAsia="Times New Roman" w:hAnsi="Times New Roman"/>
          <w:sz w:val="19"/>
          <w:szCs w:val="19"/>
          <w:color w:val="auto"/>
        </w:rPr>
        <w:t xml:space="preserve"> Europe's operating results.</w:t>
      </w:r>
    </w:p>
    <w:p>
      <w:pPr>
        <w:spacing w:after="0" w:line="238" w:lineRule="exact"/>
        <w:rPr>
          <w:sz w:val="20"/>
          <w:szCs w:val="20"/>
          <w:color w:val="auto"/>
        </w:rPr>
      </w:pPr>
    </w:p>
    <w:p>
      <w:pPr>
        <w:jc w:val="both"/>
        <w:ind w:left="120" w:right="125" w:hanging="5"/>
        <w:spacing w:after="0" w:line="269" w:lineRule="auto"/>
        <w:rPr>
          <w:sz w:val="20"/>
          <w:szCs w:val="20"/>
          <w:color w:val="auto"/>
        </w:rPr>
      </w:pPr>
      <w:r>
        <w:rPr>
          <w:rFonts w:ascii="Times New Roman" w:cs="Times New Roman" w:eastAsia="Times New Roman" w:hAnsi="Times New Roman"/>
          <w:sz w:val="20"/>
          <w:szCs w:val="20"/>
          <w:i w:val="1"/>
          <w:iCs w:val="1"/>
          <w:color w:val="auto"/>
        </w:rPr>
        <w:t>Asia Pacific.</w:t>
      </w:r>
      <w:r>
        <w:rPr>
          <w:sz w:val="20"/>
          <w:szCs w:val="20"/>
          <w:color w:val="auto"/>
        </w:rPr>
        <w:t xml:space="preserve"> </w:t>
      </w:r>
      <w:r>
        <w:rPr>
          <w:rFonts w:ascii="Times New Roman" w:cs="Times New Roman" w:eastAsia="Times New Roman" w:hAnsi="Times New Roman"/>
          <w:sz w:val="19"/>
          <w:szCs w:val="19"/>
          <w:color w:val="auto"/>
        </w:rPr>
        <w:t>In the Asia Pacific region, Kaplan operates businesses primarily in Singapore, Australia, New Zealand and the People's Republic of China, including the Hong Kong Special Administrative Region (Hong Kong).</w:t>
      </w:r>
    </w:p>
    <w:p>
      <w:pPr>
        <w:spacing w:after="0" w:line="200" w:lineRule="exact"/>
        <w:rPr>
          <w:sz w:val="20"/>
          <w:szCs w:val="20"/>
          <w:color w:val="auto"/>
        </w:rPr>
      </w:pPr>
    </w:p>
    <w:p>
      <w:pPr>
        <w:spacing w:after="0" w:line="273" w:lineRule="exact"/>
        <w:rPr>
          <w:sz w:val="20"/>
          <w:szCs w:val="20"/>
          <w:color w:val="auto"/>
        </w:rPr>
      </w:pPr>
    </w:p>
    <w:p>
      <w:pPr>
        <w:jc w:val="both"/>
        <w:ind w:left="120" w:right="125" w:firstLine="3"/>
        <w:spacing w:after="0" w:line="258" w:lineRule="auto"/>
        <w:rPr>
          <w:sz w:val="20"/>
          <w:szCs w:val="20"/>
          <w:color w:val="auto"/>
        </w:rPr>
      </w:pPr>
      <w:r>
        <w:rPr>
          <w:rFonts w:ascii="Times New Roman" w:cs="Times New Roman" w:eastAsia="Times New Roman" w:hAnsi="Times New Roman"/>
          <w:sz w:val="20"/>
          <w:szCs w:val="20"/>
          <w:i w:val="1"/>
          <w:iCs w:val="1"/>
          <w:color w:val="auto"/>
        </w:rPr>
        <w:t xml:space="preserve">Singapore. </w:t>
      </w:r>
      <w:r>
        <w:rPr>
          <w:rFonts w:ascii="Times New Roman" w:cs="Times New Roman" w:eastAsia="Times New Roman" w:hAnsi="Times New Roman"/>
          <w:sz w:val="19"/>
          <w:szCs w:val="19"/>
          <w:color w:val="auto"/>
        </w:rPr>
        <w:t>In Singapore, Kaplan operates two businesses: Kaplan Higher Education and Kaplan Financial.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During 2024, the Kaplan Higher Education and Kaplan Financial divisions served more than 5,900 students from Singapore and approximately 4,300 students from other countries throughout Asia and Western Europe. Kaplan Financial provided short courses to approximately 600 professionals, managers, executives and businesspeople in 2024.</w:t>
      </w:r>
    </w:p>
    <w:p>
      <w:pPr>
        <w:spacing w:after="0" w:line="200" w:lineRule="exact"/>
        <w:rPr>
          <w:sz w:val="20"/>
          <w:szCs w:val="20"/>
          <w:color w:val="auto"/>
        </w:rPr>
      </w:pPr>
    </w:p>
    <w:p>
      <w:pPr>
        <w:spacing w:after="0" w:line="285"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Kaplan Singapore's Higher Education business provides students with the opportunity to earn bachelor's and postgraduate degrees in various fields on either a part-time or full-time basis. Kaplan Singapore's students receive degrees from affiliated educational institutions in Australia, Ireland and the U.K. fn addition, this division offers pre-university and diploma programs.</w:t>
      </w:r>
    </w:p>
    <w:p>
      <w:pPr>
        <w:spacing w:after="0" w:line="257" w:lineRule="exact"/>
        <w:rPr>
          <w:sz w:val="20"/>
          <w:szCs w:val="20"/>
          <w:color w:val="auto"/>
        </w:rPr>
      </w:pPr>
    </w:p>
    <w:p>
      <w:pPr>
        <w:jc w:val="both"/>
        <w:ind w:left="120" w:right="125" w:firstLine="1"/>
        <w:spacing w:after="0" w:line="257" w:lineRule="auto"/>
        <w:rPr>
          <w:sz w:val="20"/>
          <w:szCs w:val="20"/>
          <w:color w:val="auto"/>
        </w:rPr>
      </w:pPr>
      <w:r>
        <w:rPr>
          <w:rFonts w:ascii="Times New Roman" w:cs="Times New Roman" w:eastAsia="Times New Roman" w:hAnsi="Times New Roman"/>
          <w:sz w:val="19"/>
          <w:szCs w:val="19"/>
          <w:color w:val="auto"/>
        </w:rPr>
        <w:t>Kaplan Singapore's Kaplan Financial business provides preparatory courses for professional qtJalifications in accountancy and finance, such as the Association of Chartered Certified Accountants (ACCA), Chartered Financial Analyst (CFA) and Singapore Chartered Accountant (SCA).</w:t>
      </w:r>
    </w:p>
    <w:p>
      <w:pPr>
        <w:spacing w:after="0" w:line="245" w:lineRule="exact"/>
        <w:rPr>
          <w:sz w:val="20"/>
          <w:szCs w:val="20"/>
          <w:color w:val="auto"/>
        </w:rPr>
      </w:pPr>
    </w:p>
    <w:p>
      <w:pPr>
        <w:jc w:val="both"/>
        <w:ind w:left="120" w:right="125" w:hanging="3"/>
        <w:spacing w:after="0" w:line="262" w:lineRule="auto"/>
        <w:rPr>
          <w:sz w:val="20"/>
          <w:szCs w:val="20"/>
          <w:color w:val="auto"/>
        </w:rPr>
      </w:pPr>
      <w:r>
        <w:rPr>
          <w:rFonts w:ascii="Times New Roman" w:cs="Times New Roman" w:eastAsia="Times New Roman" w:hAnsi="Times New Roman"/>
          <w:sz w:val="20"/>
          <w:szCs w:val="20"/>
          <w:i w:val="1"/>
          <w:iCs w:val="1"/>
          <w:color w:val="auto"/>
        </w:rPr>
        <w:t>Australia.</w:t>
      </w:r>
      <w:r>
        <w:rPr>
          <w:sz w:val="20"/>
          <w:szCs w:val="20"/>
          <w:color w:val="auto"/>
        </w:rPr>
        <w:t xml:space="preserve"> </w:t>
      </w:r>
      <w:r>
        <w:rPr>
          <w:rFonts w:ascii="Times New Roman" w:cs="Times New Roman" w:eastAsia="Times New Roman" w:hAnsi="Times New Roman"/>
          <w:sz w:val="19"/>
          <w:szCs w:val="19"/>
          <w:color w:val="auto"/>
        </w:rPr>
        <w:t>In Australia, Kaplan delivers a broad range of financial services programs from certificate level through master's level, professional development offerings through Kaplan Professional, and higher education programs in business, accounting, business analytics, hospitality, and information technology through Kaplan Business School. In 2024, Kaplan Business School provided courses to approximately I 0,800 students through face-to-face and online modalities. Kaplan Professional offered programs to approximately 25,000 students through online or distance-learning programs. In 2024, Kaplan Professional also had approximately 49,000 subscribers for Ontrack, its continuing professional development platform for financial services professionals.</w:t>
      </w:r>
    </w:p>
    <w:p>
      <w:pPr>
        <w:spacing w:after="0" w:line="264"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Kaplan Australia Pathways business is also part of KI Pathways. In 2024, it consisted of Murdoch College, the University of Newcastle College of International Education and the University of Adelaide College, and offered face-to-face pathways and foundational education to approximately 2,100 students wishing to enter the</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91" w:lineRule="exact"/>
        <w:rPr>
          <w:sz w:val="20"/>
          <w:szCs w:val="20"/>
          <w:color w:val="auto"/>
        </w:rPr>
      </w:pPr>
    </w:p>
    <w:p>
      <w:pPr>
        <w:ind w:left="5920"/>
        <w:spacing w:after="0"/>
        <w:tabs>
          <w:tab w:leader="none" w:pos="9120" w:val="left"/>
        </w:tabs>
        <w:rPr>
          <w:sz w:val="20"/>
          <w:szCs w:val="20"/>
          <w:color w:val="auto"/>
        </w:rPr>
      </w:pPr>
      <w:r>
        <w:rPr>
          <w:rFonts w:ascii="Times New Roman" w:cs="Times New Roman" w:eastAsia="Times New Roman" w:hAnsi="Times New Roman"/>
          <w:sz w:val="19"/>
          <w:szCs w:val="19"/>
          <w:color w:val="auto"/>
        </w:rPr>
        <w:t>GRAHAM HOLDINGS COMPANY</w:t>
        <w:tab/>
        <w:t>3</w:t>
      </w:r>
    </w:p>
    <w:p>
      <w:pPr>
        <w:sectPr>
          <w:pgSz w:w="12240" w:h="15850" w:orient="portrait"/>
          <w:cols w:equalWidth="0" w:num="1">
            <w:col w:w="9365"/>
          </w:cols>
          <w:pgMar w:left="1440" w:top="1394" w:right="1440" w:bottom="721" w:gutter="0" w:footer="0" w:header="0"/>
          <w:type w:val="continuous"/>
        </w:sectPr>
      </w:pPr>
    </w:p>
    <w:bookmarkStart w:id="19" w:name="page20"/>
    <w:bookmarkEnd w:id="19"/>
    <w:p>
      <w:pPr>
        <w:jc w:val="both"/>
        <w:ind w:left="120" w:right="125" w:firstLine="8"/>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associated universities. In October 2024, Kaplan received regulatory approval to be the registered provider for pathways programs transitioning into the newly established Adelaide University (formed by the merger of the University of Adelaide and the </w:t>
      </w:r>
      <w:r>
        <w:rPr>
          <w:rFonts w:ascii="Arial" w:cs="Arial" w:eastAsia="Arial" w:hAnsi="Arial"/>
          <w:sz w:val="14"/>
          <w:szCs w:val="14"/>
          <w:color w:val="auto"/>
        </w:rPr>
        <w:t>Univers~ty</w:t>
      </w:r>
      <w:r>
        <w:rPr>
          <w:rFonts w:ascii="Times New Roman" w:cs="Times New Roman" w:eastAsia="Times New Roman" w:hAnsi="Times New Roman"/>
          <w:sz w:val="19"/>
          <w:szCs w:val="19"/>
          <w:color w:val="auto"/>
        </w:rPr>
        <w:t xml:space="preserve"> of South Australia).</w:t>
      </w:r>
    </w:p>
    <w:p>
      <w:pPr>
        <w:spacing w:after="0" w:line="252" w:lineRule="exact"/>
        <w:rPr>
          <w:sz w:val="20"/>
          <w:szCs w:val="20"/>
          <w:color w:val="auto"/>
        </w:rPr>
      </w:pPr>
    </w:p>
    <w:p>
      <w:pPr>
        <w:jc w:val="both"/>
        <w:ind w:left="120" w:right="125" w:firstLine="11"/>
        <w:spacing w:after="0" w:line="259" w:lineRule="auto"/>
        <w:rPr>
          <w:sz w:val="20"/>
          <w:szCs w:val="20"/>
          <w:color w:val="auto"/>
        </w:rPr>
      </w:pPr>
      <w:r>
        <w:rPr>
          <w:rFonts w:ascii="Times New Roman" w:cs="Times New Roman" w:eastAsia="Times New Roman" w:hAnsi="Times New Roman"/>
          <w:sz w:val="19"/>
          <w:szCs w:val="19"/>
          <w:color w:val="auto"/>
        </w:rPr>
        <w:t>At the end of 2024, Australia introduced an indicative Student Visa approval allocation for post-secondary education providers. A slow down in Student Visa approvals will apply once the institution reaches 80% of its indicative visa approval allocation. These measures are impacting, and will continue to impact, Kaplan's international student recruitment for its colleges and partner universities.</w:t>
      </w:r>
    </w:p>
    <w:p>
      <w:pPr>
        <w:spacing w:after="0" w:line="265" w:lineRule="exact"/>
        <w:rPr>
          <w:sz w:val="20"/>
          <w:szCs w:val="20"/>
          <w:color w:val="auto"/>
        </w:rPr>
      </w:pPr>
    </w:p>
    <w:p>
      <w:pPr>
        <w:jc w:val="both"/>
        <w:ind w:left="120" w:right="125"/>
        <w:spacing w:after="0" w:line="247" w:lineRule="auto"/>
        <w:rPr>
          <w:sz w:val="20"/>
          <w:szCs w:val="20"/>
          <w:color w:val="auto"/>
        </w:rPr>
      </w:pPr>
      <w:r>
        <w:rPr>
          <w:rFonts w:ascii="Times New Roman" w:cs="Times New Roman" w:eastAsia="Times New Roman" w:hAnsi="Times New Roman"/>
          <w:sz w:val="19"/>
          <w:szCs w:val="19"/>
          <w:color w:val="auto"/>
        </w:rPr>
        <w:t>Kaplan</w:t>
      </w:r>
      <w:r>
        <w:rPr>
          <w:sz w:val="20"/>
          <w:szCs w:val="20"/>
          <w:color w:val="auto"/>
        </w:rPr>
        <w:t xml:space="preserve"> </w:t>
      </w:r>
      <w:r>
        <w:rPr>
          <w:rFonts w:ascii="Times New Roman" w:cs="Times New Roman" w:eastAsia="Times New Roman" w:hAnsi="Times New Roman"/>
          <w:sz w:val="19"/>
          <w:szCs w:val="19"/>
          <w:color w:val="auto"/>
        </w:rPr>
        <w:t>International New Zealand operates a pathways college in Auckland in pa11nership with Massey University, known as Massey University College.</w:t>
      </w:r>
    </w:p>
    <w:p>
      <w:pPr>
        <w:spacing w:after="0" w:line="266" w:lineRule="exact"/>
        <w:rPr>
          <w:sz w:val="20"/>
          <w:szCs w:val="20"/>
          <w:color w:val="auto"/>
        </w:rPr>
      </w:pPr>
    </w:p>
    <w:p>
      <w:pPr>
        <w:jc w:val="both"/>
        <w:ind w:left="120" w:right="145" w:firstLine="9"/>
        <w:spacing w:after="0" w:line="247" w:lineRule="auto"/>
        <w:rPr>
          <w:sz w:val="20"/>
          <w:szCs w:val="20"/>
          <w:color w:val="auto"/>
        </w:rPr>
      </w:pPr>
      <w:r>
        <w:rPr>
          <w:rFonts w:ascii="Times New Roman" w:cs="Times New Roman" w:eastAsia="Times New Roman" w:hAnsi="Times New Roman"/>
          <w:sz w:val="19"/>
          <w:szCs w:val="19"/>
          <w:color w:val="auto"/>
        </w:rPr>
        <w:t>Kaplan Australia sold Red Marker Pty Ltd., a machine learning and artificial intenligence-based provider of legal risk detection for digital, advertising and marketing content, in July 2024.</w:t>
      </w:r>
    </w:p>
    <w:p>
      <w:pPr>
        <w:spacing w:after="0" w:line="275" w:lineRule="exact"/>
        <w:rPr>
          <w:sz w:val="20"/>
          <w:szCs w:val="20"/>
          <w:color w:val="auto"/>
        </w:rPr>
      </w:pPr>
    </w:p>
    <w:p>
      <w:pPr>
        <w:jc w:val="both"/>
        <w:ind w:left="120" w:right="125"/>
        <w:spacing w:after="0" w:line="247" w:lineRule="auto"/>
        <w:rPr>
          <w:sz w:val="20"/>
          <w:szCs w:val="20"/>
          <w:color w:val="auto"/>
        </w:rPr>
      </w:pPr>
      <w:r>
        <w:rPr>
          <w:rFonts w:ascii="Arial" w:cs="Arial" w:eastAsia="Arial" w:hAnsi="Arial"/>
          <w:sz w:val="18"/>
          <w:szCs w:val="18"/>
          <w:i w:val="1"/>
          <w:iCs w:val="1"/>
          <w:color w:val="auto"/>
        </w:rPr>
        <w:t>H ong Kong.</w:t>
      </w:r>
      <w:r>
        <w:rPr>
          <w:sz w:val="20"/>
          <w:szCs w:val="20"/>
          <w:color w:val="auto"/>
        </w:rPr>
        <w:t xml:space="preserve"> </w:t>
      </w:r>
      <w:r>
        <w:rPr>
          <w:rFonts w:ascii="Times New Roman" w:cs="Times New Roman" w:eastAsia="Times New Roman" w:hAnsi="Times New Roman"/>
          <w:sz w:val="19"/>
          <w:szCs w:val="19"/>
          <w:color w:val="auto"/>
        </w:rPr>
        <w:t>Ln Hong Kong, Kaplan operates three main business units: Kaplan Financial, Kaplan Language Training and Kaplan Higher Education, serving approximately 5,100 students annually.</w:t>
      </w:r>
    </w:p>
    <w:p>
      <w:pPr>
        <w:spacing w:after="0" w:line="265" w:lineRule="exact"/>
        <w:rPr>
          <w:sz w:val="20"/>
          <w:szCs w:val="20"/>
          <w:color w:val="auto"/>
        </w:rPr>
      </w:pPr>
    </w:p>
    <w:p>
      <w:pPr>
        <w:jc w:val="both"/>
        <w:ind w:left="120" w:right="125" w:firstLine="9"/>
        <w:spacing w:after="0" w:line="247" w:lineRule="auto"/>
        <w:rPr>
          <w:sz w:val="20"/>
          <w:szCs w:val="20"/>
          <w:color w:val="auto"/>
        </w:rPr>
      </w:pPr>
      <w:r>
        <w:rPr>
          <w:rFonts w:ascii="Times New Roman" w:cs="Times New Roman" w:eastAsia="Times New Roman" w:hAnsi="Times New Roman"/>
          <w:sz w:val="19"/>
          <w:szCs w:val="19"/>
          <w:color w:val="auto"/>
        </w:rPr>
        <w:t>Kaplan Hong Kong's Financial division delivers preparatory courses to students and business executives wishing to earn professional qualifications in accountancy, financial markets designations and other professjonal fields.</w:t>
      </w:r>
    </w:p>
    <w:p>
      <w:pPr>
        <w:spacing w:after="0" w:line="275" w:lineRule="exact"/>
        <w:rPr>
          <w:sz w:val="20"/>
          <w:szCs w:val="20"/>
          <w:color w:val="auto"/>
        </w:rPr>
      </w:pPr>
    </w:p>
    <w:p>
      <w:pPr>
        <w:jc w:val="both"/>
        <w:ind w:left="120" w:right="125" w:firstLine="11"/>
        <w:spacing w:after="0" w:line="247" w:lineRule="auto"/>
        <w:rPr>
          <w:sz w:val="20"/>
          <w:szCs w:val="20"/>
          <w:color w:val="auto"/>
        </w:rPr>
      </w:pPr>
      <w:r>
        <w:rPr>
          <w:rFonts w:ascii="Times New Roman" w:cs="Times New Roman" w:eastAsia="Times New Roman" w:hAnsi="Times New Roman"/>
          <w:sz w:val="19"/>
          <w:szCs w:val="19"/>
          <w:color w:val="auto"/>
        </w:rPr>
        <w:t>Kaplan Hong Kong's Language Training division offers test preparation for both overseas study and college applications, including TOEFL, IELTS, SAT and GMAT.</w:t>
      </w:r>
    </w:p>
    <w:p>
      <w:pPr>
        <w:spacing w:after="0" w:line="275" w:lineRule="exact"/>
        <w:rPr>
          <w:sz w:val="20"/>
          <w:szCs w:val="20"/>
          <w:color w:val="auto"/>
        </w:rPr>
      </w:pPr>
    </w:p>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t>Kaplan Hong Kong's Higher Education division offers both part-time and full-time programs to local students in Hong Kong and international students from Europe, providing students with the opportunity to earn diplomas, bache1or's and postgraduate degrees in various fields from affiliated educational institutions in Australia, the U.K. and Germany.</w:t>
      </w:r>
    </w:p>
    <w:p>
      <w:pPr>
        <w:spacing w:after="0" w:line="200" w:lineRule="exact"/>
        <w:rPr>
          <w:sz w:val="20"/>
          <w:szCs w:val="20"/>
          <w:color w:val="auto"/>
        </w:rPr>
      </w:pPr>
    </w:p>
    <w:p>
      <w:pPr>
        <w:spacing w:after="0" w:line="269" w:lineRule="exact"/>
        <w:rPr>
          <w:sz w:val="20"/>
          <w:szCs w:val="20"/>
          <w:color w:val="auto"/>
        </w:rPr>
      </w:pPr>
    </w:p>
    <w:p>
      <w:pPr>
        <w:jc w:val="both"/>
        <w:ind w:left="120" w:right="125" w:firstLine="10"/>
        <w:spacing w:after="0" w:line="264" w:lineRule="auto"/>
        <w:rPr>
          <w:sz w:val="20"/>
          <w:szCs w:val="20"/>
          <w:color w:val="auto"/>
        </w:rPr>
      </w:pPr>
      <w:r>
        <w:rPr>
          <w:rFonts w:ascii="Times New Roman" w:cs="Times New Roman" w:eastAsia="Times New Roman" w:hAnsi="Times New Roman"/>
          <w:sz w:val="19"/>
          <w:szCs w:val="19"/>
          <w:color w:val="auto"/>
        </w:rPr>
        <w:t>In 2014, Kaplan Holdings Limited (Hong Kong) signed a joint venture agreement with CITIC Press Corporation. Under the terms of the agreement, the parties incorporated a joint venture company, Kaplan CJTIC Education Co. Limited, 49% of which is owned by Kaplan Holdings Limited. The joint venture company carried out the publishing and distribution of Kaplan Financial training products in the People's Republic of China. In 2024, the parties signed an agreement terminating the joint venture, and in its place have entered into licensing arrangements for specified content in China. Kaplan CITIC Education Co. is in the process of voluntary liquidation.</w:t>
      </w:r>
    </w:p>
    <w:p>
      <w:pPr>
        <w:spacing w:after="0" w:line="200" w:lineRule="exact"/>
        <w:rPr>
          <w:sz w:val="20"/>
          <w:szCs w:val="20"/>
          <w:color w:val="auto"/>
        </w:rPr>
      </w:pPr>
    </w:p>
    <w:p>
      <w:pPr>
        <w:spacing w:after="0" w:line="290" w:lineRule="exact"/>
        <w:rPr>
          <w:sz w:val="20"/>
          <w:szCs w:val="20"/>
          <w:color w:val="auto"/>
        </w:rPr>
      </w:pPr>
    </w:p>
    <w:p>
      <w:pPr>
        <w:jc w:val="both"/>
        <w:ind w:left="120" w:right="125" w:firstLine="10"/>
        <w:spacing w:after="0" w:line="259" w:lineRule="auto"/>
        <w:rPr>
          <w:sz w:val="20"/>
          <w:szCs w:val="20"/>
          <w:color w:val="auto"/>
        </w:rPr>
      </w:pPr>
      <w:r>
        <w:rPr>
          <w:rFonts w:ascii="Times New Roman" w:cs="Times New Roman" w:eastAsia="Times New Roman" w:hAnsi="Times New Roman"/>
          <w:sz w:val="19"/>
          <w:szCs w:val="19"/>
          <w:color w:val="auto"/>
        </w:rPr>
        <w:t xml:space="preserve">Each of Kaplan's international businesses is subject to unique and often complex regulatory environments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the countries in which they operate, and the degree of consistency in the application and interpretation of such regulations can vary significantly in certain jurisdictions.</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Kaplan North America</w:t>
      </w:r>
    </w:p>
    <w:p>
      <w:pPr>
        <w:spacing w:after="0" w:line="159"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KNA is comprised of two segments, Kaplan Higher Education and Kaplan Supplemental Education. Through its KHE segment, KNA provides operational support services to i.nstitutions of higher education for their online certificate and degree programs. KNA's non-academic operational support services are provided to institutions such as Purdue University, Purdue University Global, Creighton University, Wake Forest Urdversity, Lynn University and UMass Global. Through its Supplemental Education segment, KNA sells exam preparation, professional licensure, certification, and continuing education courses directly to students and professionals, and indirectly through agreements with institutions and corporatio ns or governmental entities servicing public schools and institutions. This segment also develops and delivers online courses for high school students to explore careers and future study (Prelum). The Supplemental Education segment also provides career and</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380" w:val="left"/>
        </w:tabs>
        <w:rPr>
          <w:sz w:val="20"/>
          <w:szCs w:val="20"/>
          <w:color w:val="auto"/>
        </w:rPr>
      </w:pPr>
      <w:r>
        <w:rPr>
          <w:rFonts w:ascii="Times New Roman" w:cs="Times New Roman" w:eastAsia="Times New Roman" w:hAnsi="Times New Roman"/>
          <w:sz w:val="19"/>
          <w:szCs w:val="19"/>
          <w:color w:val="auto"/>
        </w:rPr>
        <w:t>4</w:t>
        <w:tab/>
        <w:t xml:space="preserve">2024 </w:t>
      </w:r>
      <w:r>
        <w:rPr>
          <w:rFonts w:ascii="Times New Roman" w:cs="Times New Roman" w:eastAsia="Times New Roman" w:hAnsi="Times New Roman"/>
          <w:sz w:val="18"/>
          <w:szCs w:val="18"/>
          <w:color w:val="auto"/>
        </w:rPr>
        <w:t>FORM</w:t>
      </w:r>
      <w:r>
        <w:rPr>
          <w:rFonts w:ascii="Times New Roman" w:cs="Times New Roman" w:eastAsia="Times New Roman" w:hAnsi="Times New Roman"/>
          <w:sz w:val="19"/>
          <w:szCs w:val="19"/>
          <w:color w:val="auto"/>
        </w:rPr>
        <w:t xml:space="preserve"> 10-K</w:t>
      </w:r>
    </w:p>
    <w:p>
      <w:pPr>
        <w:sectPr>
          <w:pgSz w:w="12240" w:h="15850" w:orient="portrait"/>
          <w:cols w:equalWidth="0" w:num="1">
            <w:col w:w="9365"/>
          </w:cols>
          <w:pgMar w:left="1440" w:top="1392" w:right="1440" w:bottom="721" w:gutter="0" w:footer="0" w:header="0"/>
          <w:type w:val="continuous"/>
        </w:sectPr>
      </w:pPr>
    </w:p>
    <w:bookmarkStart w:id="20" w:name="page21"/>
    <w:bookmarkEnd w:id="20"/>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education advisory services to corporations and state governments and their employees and, through a subsidiary, creates questions for the state bar exam for the state of California through an agreement with the State Bar o f California.</w:t>
      </w:r>
    </w:p>
    <w:p>
      <w:pPr>
        <w:spacing w:after="0" w:line="3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Kaplan Higher Education</w:t>
      </w:r>
    </w:p>
    <w:p>
      <w:pPr>
        <w:spacing w:after="0" w:line="144" w:lineRule="exact"/>
        <w:rPr>
          <w:sz w:val="20"/>
          <w:szCs w:val="20"/>
          <w:color w:val="auto"/>
        </w:rPr>
      </w:pPr>
    </w:p>
    <w:p>
      <w:pPr>
        <w:jc w:val="both"/>
        <w:ind w:left="120" w:right="125" w:firstLine="8"/>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Transition and Support Operation s f or Purdue University Globa l. </w:t>
      </w:r>
      <w:r>
        <w:rPr>
          <w:rFonts w:ascii="Times New Roman" w:cs="Times New Roman" w:eastAsia="Times New Roman" w:hAnsi="Times New Roman"/>
          <w:sz w:val="19"/>
          <w:szCs w:val="19"/>
          <w:color w:val="auto"/>
        </w:rPr>
        <w:t>KNA provides operations support functions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to Purdue University Global (Purdue Global), which operates largely online as an Indiana public university affiliated with Purdue University. The operations support activities that KNA provides to Purdue Global include techno logy support, helpdesk functions, admissions support, financial aid processing, back-office business functions, certain test preparation and other non-academic functions. KNA also provides similar functions for online programs of other university partners such as Wake Forest University, University of Massachusetts, and Creighton University.</w:t>
      </w:r>
    </w:p>
    <w:p>
      <w:pPr>
        <w:spacing w:after="0" w:line="200" w:lineRule="exact"/>
        <w:rPr>
          <w:sz w:val="20"/>
          <w:szCs w:val="20"/>
          <w:color w:val="auto"/>
        </w:rPr>
      </w:pPr>
    </w:p>
    <w:p>
      <w:pPr>
        <w:spacing w:after="0" w:line="295"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The support functions provided to Purdue Global are provided under a Transition and Operations Support Agreement (TOSA), which was entered! into in March 2018 at the time Kaplan transferred the institutional assets and academic operations of Kaplan University (its postsecondary education operations) to Purdue Global. The TOSA was amended in July 2019. Pursuant to the TOSA, KNA is not entitled to receive any reimbursement of costs incurred in providing support functions, or any fee, unless and until Purdue Global has first cove red all of its academic costs (subject to a cap). If Purdue Global achieves cost efficiencies in its operations, Purdue Global may be entitled to an additional payment equal to 20% of such cost efficiencies (Purdue Efficiency Payment). In addition, during each of Purdue Global's first five years until 2023, prior to any payment to KNA, Purdue Global was entitled to a priority payment of $10 million per year beyond costs (Purdue P riority Payment). Upon closing of the transaction, Kaplan paid to Purdue Global an advance in the amount of $20 million, representing, and in lieu of; a Purdue Priority Payment for each of the fiscal years ending June 30; 2019; and June 30; 2020. Kaplan is entitled to reimbursement of this advance, subject to available cash or upon termination of the TOSA.</w:t>
      </w:r>
    </w:p>
    <w:p>
      <w:pPr>
        <w:spacing w:after="0" w:line="256" w:lineRule="exact"/>
        <w:rPr>
          <w:sz w:val="20"/>
          <w:szCs w:val="20"/>
          <w:color w:val="auto"/>
        </w:rPr>
      </w:pPr>
    </w:p>
    <w:p>
      <w:pPr>
        <w:jc w:val="both"/>
        <w:ind w:left="120" w:right="105" w:firstLine="2"/>
        <w:spacing w:after="0" w:line="261" w:lineRule="auto"/>
        <w:rPr>
          <w:sz w:val="20"/>
          <w:szCs w:val="20"/>
          <w:color w:val="auto"/>
        </w:rPr>
      </w:pPr>
      <w:r>
        <w:rPr>
          <w:rFonts w:ascii="Times New Roman" w:cs="Times New Roman" w:eastAsia="Times New Roman" w:hAnsi="Times New Roman"/>
          <w:sz w:val="19"/>
          <w:szCs w:val="19"/>
          <w:color w:val="auto"/>
        </w:rPr>
        <w:t xml:space="preserve">To the extent that there is remaining revenue, KNA is then reimbursed for its operating costs (subject to a cap) of providing the support functions. </w:t>
      </w:r>
      <w:r>
        <w:rPr>
          <w:rFonts w:ascii="Arial" w:cs="Arial" w:eastAsia="Arial" w:hAnsi="Arial"/>
          <w:sz w:val="18"/>
          <w:szCs w:val="18"/>
          <w:color w:val="auto"/>
        </w:rPr>
        <w:t>If</w:t>
      </w:r>
      <w:r>
        <w:rPr>
          <w:rFonts w:ascii="Times New Roman" w:cs="Times New Roman" w:eastAsia="Times New Roman" w:hAnsi="Times New Roman"/>
          <w:sz w:val="19"/>
          <w:szCs w:val="19"/>
          <w:color w:val="auto"/>
        </w:rPr>
        <w:t xml:space="preserve"> KNA achieves cost efficiencies in its operations, then KNA may be entitled to an additional payment equal to 20% of such cost efficiencies (KNA Efficiency Payment). T he TOSA, as amended, reflects the parties' intent that, subject to available cash (calculated as cash balance minus cash deficiencies, if any, projected for the next s ix -month period based on applicabJe budget), KNA is entitled to receive a payment equal to 12.5% (increased to 13% beginning on June 30, 2023 and through June 30, 2027) of Purdue Global's revenue, which serves as the deferred purchase price for the transfer of Kaplan University to Purdue Global (Deferred Purchase Price). Separately, KNA is entitled to a fee for services provided equal to 8% of KNA's costs of providing such services to Purdue Glo bal (Contributor Service Fee). KNA 's Contributor Service Fee is deducted from any amounts owed to KNA for the Deferred P urchase Price. Together, these payments are known as "Contributor Compensation." In each case, the Contributor Compensation remains subject to available cash and certain limitations on unpaid amounts carrying over from year to year.</w:t>
      </w:r>
    </w:p>
    <w:p>
      <w:pPr>
        <w:spacing w:after="0" w:line="267" w:lineRule="exact"/>
        <w:rPr>
          <w:sz w:val="20"/>
          <w:szCs w:val="20"/>
          <w:color w:val="auto"/>
        </w:rPr>
      </w:pPr>
    </w:p>
    <w:p>
      <w:pPr>
        <w:jc w:val="both"/>
        <w:ind w:left="120" w:right="125" w:firstLine="8"/>
        <w:spacing w:after="0" w:line="262" w:lineRule="auto"/>
        <w:rPr>
          <w:sz w:val="20"/>
          <w:szCs w:val="20"/>
          <w:color w:val="auto"/>
        </w:rPr>
      </w:pPr>
      <w:r>
        <w:rPr>
          <w:rFonts w:ascii="Times New Roman" w:cs="Times New Roman" w:eastAsia="Times New Roman" w:hAnsi="Times New Roman"/>
          <w:sz w:val="19"/>
          <w:szCs w:val="19"/>
          <w:color w:val="auto"/>
        </w:rPr>
        <w:t xml:space="preserve">In additio n, beginning in 2023, to the extent that there are sufficient revenues after payment of the KNA Efficiency Payment (if any), Purdue Global is entitled to an annual payment equal to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0% of the remaining revenue after the KNA Efficiency Payment (if any) is paid, subject to certain other adjustments.</w:t>
      </w:r>
    </w:p>
    <w:p>
      <w:pPr>
        <w:spacing w:after="0" w:line="248"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TOSA has a 30-year initial term, which will automatically renew for five-year periods unless terminated. After the sixth year, Purdue Global has the right to terminate the agreement upon payme nt of an early termination fee equal </w:t>
      </w:r>
      <w:r>
        <w:rPr>
          <w:rFonts w:ascii="Times New Roman" w:cs="Times New Roman" w:eastAsia="Times New Roman" w:hAnsi="Times New Roman"/>
          <w:sz w:val="18"/>
          <w:szCs w:val="18"/>
          <w:color w:val="auto"/>
        </w:rPr>
        <w:t>to</w:t>
      </w:r>
      <w:r>
        <w:rPr>
          <w:rFonts w:ascii="Times New Roman" w:cs="Times New Roman" w:eastAsia="Times New Roman" w:hAnsi="Times New Roman"/>
          <w:sz w:val="19"/>
          <w:szCs w:val="19"/>
          <w:color w:val="auto"/>
        </w:rPr>
        <w:t xml:space="preserve"> 125% of Purdue Global's total revenue earned during t11e preceding 12-month period, which payment would be made pursuant to a 10-year note, and att the e lection of Purdue Global, for no additional consideration, it may receive certain tangible assets used exclusively by KNA to provide the support functions pursuant to the TOSA. At the end of the 30-year term, if Purdue Global does not re new the TOSA, Purdue Global will be obligated to make a final payment of 75% of its total revenue earned during the preceding 12-month period, which payment will be made pursuant to a 10-year note, and, at the election of Purdue Global, for no</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86" w:lineRule="exact"/>
        <w:rPr>
          <w:sz w:val="20"/>
          <w:szCs w:val="20"/>
          <w:color w:val="auto"/>
        </w:rPr>
      </w:pPr>
    </w:p>
    <w:p>
      <w:pPr>
        <w:ind w:left="5920"/>
        <w:spacing w:after="0"/>
        <w:tabs>
          <w:tab w:leader="none" w:pos="91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6"/>
          <w:szCs w:val="16"/>
          <w:color w:val="auto"/>
        </w:rPr>
        <w:t>5</w:t>
      </w:r>
    </w:p>
    <w:p>
      <w:pPr>
        <w:sectPr>
          <w:pgSz w:w="12240" w:h="15850" w:orient="portrait"/>
          <w:cols w:equalWidth="0" w:num="1">
            <w:col w:w="9365"/>
          </w:cols>
          <w:pgMar w:left="1440" w:top="1394" w:right="1440" w:bottom="721" w:gutter="0" w:footer="0" w:header="0"/>
          <w:type w:val="continuous"/>
        </w:sectPr>
      </w:pPr>
    </w:p>
    <w:bookmarkStart w:id="21" w:name="page22"/>
    <w:bookmarkEnd w:id="21"/>
    <w:p>
      <w:pPr>
        <w:jc w:val="both"/>
        <w:ind w:left="120" w:right="10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additional consideration, it may rece ive certain asset&lt;; used exclusively by KNA to provide the s upp01t activities pursuant to the TOSA. E ither party may terminate the TOSA at any time if Purdue Global generates (i) $25 million in cash operating losses for three consecutive years or (ii) aggregate cash operating losses greater than </w:t>
      </w:r>
      <w:r>
        <w:rPr>
          <w:rFonts w:ascii="Times New Roman" w:cs="Times New Roman" w:eastAsia="Times New Roman" w:hAnsi="Times New Roman"/>
          <w:sz w:val="20"/>
          <w:szCs w:val="20"/>
          <w:color w:val="auto"/>
        </w:rPr>
        <w:t>$75</w:t>
      </w:r>
      <w:r>
        <w:rPr>
          <w:rFonts w:ascii="Times New Roman" w:cs="Times New Roman" w:eastAsia="Times New Roman" w:hAnsi="Times New Roman"/>
          <w:sz w:val="19"/>
          <w:szCs w:val="19"/>
          <w:color w:val="auto"/>
        </w:rPr>
        <w:t xml:space="preserve"> million at any point during the initial term. Operating loss is defined as the amount by which the sum of (I ) Purdue Global's and KNA's respective costs in performing academic and support functions and (2) the $ 10 million Purdue Priority Payment in each of the first five years fol lowing March 22, 2018, exceeds the revenue Purdue Global generates for the applicable fiscal year. Upon termination for any reason, Purdue Global will retain the assets that Kaplan contributed pursuant to the TOSA. Each party also has certain termination rights in connection with a material default or material breach of the TOSA by the other party. Short of termination, Purdue Global has the rig ht to take over from Kaplan the provEsion of certain back-office support function s at any time with nine months' notice. Those functions include technology support, human resources, facility and property management, finance and accounting, communications, and default management. In 2022, pursuant to the TOSA, Purdue Global began providing certain functions previously provided by KNA in- house. Those functions include huma n resources, finance and accounting, facility management, and communications services.</w:t>
      </w:r>
    </w:p>
    <w:p>
      <w:pPr>
        <w:spacing w:after="0" w:line="258" w:lineRule="exact"/>
        <w:rPr>
          <w:sz w:val="20"/>
          <w:szCs w:val="20"/>
          <w:color w:val="auto"/>
        </w:rPr>
      </w:pPr>
    </w:p>
    <w:p>
      <w:pPr>
        <w:jc w:val="both"/>
        <w:ind w:left="120" w:right="125" w:firstLine="3"/>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Postsecondary Online Managed Services. </w:t>
      </w:r>
      <w:r>
        <w:rPr>
          <w:rFonts w:ascii="Times New Roman" w:cs="Times New Roman" w:eastAsia="Times New Roman" w:hAnsi="Times New Roman"/>
          <w:sz w:val="18"/>
          <w:szCs w:val="18"/>
          <w:color w:val="auto"/>
        </w:rPr>
        <w:t>ln addition to services provided to Purdue Global through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TOSA, KNA provides specific non-academic managed services to online university programs at institutions including Wake Forest University, Creighton University, Lynn University, University of Massachusetts Global, and Purdue University , serving 80,208 stude nts in 2024. These services include analytics, technology support, marketing, student advising and admissions support, and curriculum development support. Kaplan receives payment from university clients for these services, which may be based in part on the revenue of the programs Kaplan supports.</w:t>
      </w:r>
    </w:p>
    <w:p>
      <w:pPr>
        <w:spacing w:after="0" w:line="200" w:lineRule="exact"/>
        <w:rPr>
          <w:sz w:val="20"/>
          <w:szCs w:val="20"/>
          <w:color w:val="auto"/>
        </w:rPr>
      </w:pPr>
    </w:p>
    <w:p>
      <w:pPr>
        <w:spacing w:after="0" w:line="267" w:lineRule="exact"/>
        <w:rPr>
          <w:sz w:val="20"/>
          <w:szCs w:val="20"/>
          <w:color w:val="auto"/>
        </w:rPr>
      </w:pPr>
    </w:p>
    <w:p>
      <w:pPr>
        <w:jc w:val="both"/>
        <w:ind w:left="120" w:right="125" w:firstLine="5"/>
        <w:spacing w:after="0" w:line="275" w:lineRule="auto"/>
        <w:rPr>
          <w:sz w:val="20"/>
          <w:szCs w:val="20"/>
          <w:color w:val="auto"/>
        </w:rPr>
      </w:pPr>
      <w:r>
        <w:rPr>
          <w:rFonts w:ascii="Times New Roman" w:cs="Times New Roman" w:eastAsia="Times New Roman" w:hAnsi="Times New Roman"/>
          <w:sz w:val="20"/>
          <w:szCs w:val="20"/>
          <w:i w:val="1"/>
          <w:iCs w:val="1"/>
          <w:color w:val="auto"/>
        </w:rPr>
        <w:t xml:space="preserve">Higher Education Regulatory Environment. </w:t>
      </w:r>
      <w:r>
        <w:rPr>
          <w:rFonts w:ascii="Times New Roman" w:cs="Times New Roman" w:eastAsia="Times New Roman" w:hAnsi="Times New Roman"/>
          <w:sz w:val="18"/>
          <w:szCs w:val="18"/>
          <w:color w:val="auto"/>
        </w:rPr>
        <w:t>KNA no longer owns or operates Kaplan University or any other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 xml:space="preserve">institution participating in student financial aid programs created under Title IV of the U.S. Federal Higher Education Act of 1965 (Higher Education Act), as amended (Title IV). KNA provides services to Purdue Global, Purdue University, Wake Forest University, Lynn University, U niversity of Massachusetts Global, Creighton Unive rsity, and other Title IV participating institutions that may require KNA to comply with certain laws and regulations, including applicable statutory provisions of Title IV. Cun·ently, KNA also provides financial aid services to Purdue Global (but no other institution). Due to the provision of these services to P urdue Global, pursuant to current U.S. Department of Education (ED) guidance, KNA meets (he definition of </w:t>
      </w:r>
      <w:r>
        <w:rPr>
          <w:rFonts w:ascii="Times New Roman" w:cs="Times New Roman" w:eastAsia="Times New Roman" w:hAnsi="Times New Roman"/>
          <w:sz w:val="20"/>
          <w:szCs w:val="20"/>
          <w:color w:val="auto"/>
        </w:rPr>
        <w:t>a</w:t>
      </w:r>
      <w:r>
        <w:rPr>
          <w:rFonts w:ascii="Times New Roman" w:cs="Times New Roman" w:eastAsia="Times New Roman" w:hAnsi="Times New Roman"/>
          <w:sz w:val="18"/>
          <w:szCs w:val="18"/>
          <w:color w:val="auto"/>
        </w:rPr>
        <w:t xml:space="preserve"> "Third-Party Servicer" contained in the Title IV regulations. As a Third-Party Servicer, KNA is subject to applicable statutory provisions of Title IV and ED regulations that, among other things, require KNA to be jointly and severally liable with Purdue Global to the ED for any violation by KNA or Purdue Global of any Title IV statute or ED regulation or requirement. Changes to the ED's guidance on Third-Party Servicers, including a change to the definition of what entity o r services fall within the scope of the Third-Pa1ty Servicer regulatio ns, could cause KNA to </w:t>
      </w:r>
      <w:r>
        <w:rPr>
          <w:rFonts w:ascii="Arial" w:cs="Arial" w:eastAsia="Arial" w:hAnsi="Arial"/>
          <w:sz w:val="19"/>
          <w:szCs w:val="19"/>
          <w:color w:val="auto"/>
        </w:rPr>
        <w:t>be</w:t>
      </w:r>
      <w:r>
        <w:rPr>
          <w:rFonts w:ascii="Times New Roman" w:cs="Times New Roman" w:eastAsia="Times New Roman" w:hAnsi="Times New Roman"/>
          <w:sz w:val="18"/>
          <w:szCs w:val="18"/>
          <w:color w:val="auto"/>
        </w:rPr>
        <w:t xml:space="preserve"> considered a Third-Party Servicer for other universilty clients. KNA is also subject to other federal and state laws, including, but not limited to,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the applicable provisio ns of the Family Educational Rights and Privacy Act regarding the privacy of student records . KNA's failure to comply with these and other federal and state laws and regulations could result in adverse consequences to KNA's business, including, for example:</w:t>
      </w:r>
    </w:p>
    <w:p>
      <w:pPr>
        <w:spacing w:after="0" w:line="200" w:lineRule="exact"/>
        <w:rPr>
          <w:sz w:val="20"/>
          <w:szCs w:val="20"/>
          <w:color w:val="auto"/>
        </w:rPr>
      </w:pPr>
    </w:p>
    <w:p>
      <w:pPr>
        <w:spacing w:after="0" w:line="396" w:lineRule="exact"/>
        <w:rPr>
          <w:sz w:val="20"/>
          <w:szCs w:val="20"/>
          <w:color w:val="auto"/>
        </w:rPr>
      </w:pPr>
    </w:p>
    <w:p>
      <w:pPr>
        <w:jc w:val="both"/>
        <w:ind w:left="920" w:right="125" w:hanging="9"/>
        <w:spacing w:after="0" w:line="264" w:lineRule="auto"/>
        <w:rPr>
          <w:sz w:val="20"/>
          <w:szCs w:val="20"/>
          <w:color w:val="auto"/>
        </w:rPr>
      </w:pPr>
      <w:r>
        <w:rPr>
          <w:rFonts w:ascii="Times New Roman" w:cs="Times New Roman" w:eastAsia="Times New Roman" w:hAnsi="Times New Roman"/>
          <w:sz w:val="19"/>
          <w:szCs w:val="19"/>
          <w:color w:val="auto"/>
        </w:rPr>
        <w:t>The imposition on</w:t>
      </w:r>
      <w:r>
        <w:rPr>
          <w:sz w:val="20"/>
          <w:szCs w:val="20"/>
          <w:color w:val="auto"/>
        </w:rPr>
        <w:t xml:space="preserve"> </w:t>
      </w:r>
      <w:r>
        <w:rPr>
          <w:rFonts w:ascii="Times New Roman" w:cs="Times New Roman" w:eastAsia="Times New Roman" w:hAnsi="Times New Roman"/>
          <w:sz w:val="19"/>
          <w:szCs w:val="19"/>
          <w:color w:val="auto"/>
        </w:rPr>
        <w:t>KNA and/or Kaplan of fines, other sanctions or liabilities, inc luding, without limitation, repayment obligations for Title IV funds to the ED or the termination or limitation on Kaplan's eligibility to provide services as a Third-Party Servicer to any Title IV participating institutio n;</w:t>
      </w:r>
    </w:p>
    <w:p>
      <w:pPr>
        <w:spacing w:after="0" w:line="366" w:lineRule="exact"/>
        <w:rPr>
          <w:sz w:val="20"/>
          <w:szCs w:val="20"/>
          <w:color w:val="auto"/>
        </w:rPr>
      </w:pPr>
    </w:p>
    <w:p>
      <w:pPr>
        <w:jc w:val="both"/>
        <w:ind w:left="920" w:right="125" w:firstLine="11"/>
        <w:spacing w:after="0" w:line="251" w:lineRule="auto"/>
        <w:rPr>
          <w:sz w:val="20"/>
          <w:szCs w:val="20"/>
          <w:color w:val="auto"/>
        </w:rPr>
      </w:pPr>
      <w:r>
        <w:rPr>
          <w:rFonts w:ascii="Times New Roman" w:cs="Times New Roman" w:eastAsia="Times New Roman" w:hAnsi="Times New Roman"/>
          <w:sz w:val="19"/>
          <w:szCs w:val="19"/>
          <w:color w:val="auto"/>
        </w:rPr>
        <w:t>Adverse effects on KNA's business and results of operations from a reduction or loss in KNA's revenues under the TOSA or any other agreement with any Title IV participating institution if a client institution loses or has limits placed on its Title IV eligibility, accreditation, operations or state</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400" w:hanging="288"/>
        <w:spacing w:after="0"/>
        <w:tabs>
          <w:tab w:leader="none" w:pos="400"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2024 FORM 10-K</w:t>
      </w:r>
    </w:p>
    <w:p>
      <w:pPr>
        <w:sectPr>
          <w:pgSz w:w="12240" w:h="15850" w:orient="portrait"/>
          <w:cols w:equalWidth="0" w:num="1">
            <w:col w:w="9365"/>
          </w:cols>
          <w:pgMar w:left="1440" w:top="1395" w:right="1440" w:bottom="721" w:gutter="0" w:footer="0" w:header="0"/>
          <w:type w:val="continuous"/>
        </w:sectPr>
      </w:pPr>
    </w:p>
    <w:bookmarkStart w:id="22" w:name="page23"/>
    <w:bookmarkEnd w:id="22"/>
    <w:p>
      <w:pPr>
        <w:ind w:left="920" w:right="125" w:hanging="1"/>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licensure, or is subject to fines, repayment obligations or other adverse actions due to noncompliance by KNA (or the institution) with Title IV, accredito r, federa l or state agency requirements;</w:t>
      </w:r>
    </w:p>
    <w:p>
      <w:pPr>
        <w:spacing w:after="0" w:line="162" w:lineRule="exact"/>
        <w:rPr>
          <w:sz w:val="20"/>
          <w:szCs w:val="20"/>
          <w:color w:val="auto"/>
        </w:rPr>
      </w:pPr>
    </w:p>
    <w:p>
      <w:pPr>
        <w:ind w:left="940" w:right="125" w:hanging="9"/>
        <w:spacing w:after="0" w:line="241" w:lineRule="auto"/>
        <w:rPr>
          <w:sz w:val="20"/>
          <w:szCs w:val="20"/>
          <w:color w:val="auto"/>
        </w:rPr>
      </w:pPr>
      <w:r>
        <w:rPr>
          <w:rFonts w:ascii="Times New Roman" w:cs="Times New Roman" w:eastAsia="Times New Roman" w:hAnsi="Times New Roman"/>
          <w:sz w:val="19"/>
          <w:szCs w:val="19"/>
          <w:color w:val="auto"/>
        </w:rPr>
        <w:t>Liability</w:t>
      </w:r>
      <w:r>
        <w:rPr>
          <w:sz w:val="20"/>
          <w:szCs w:val="20"/>
          <w:color w:val="auto"/>
        </w:rPr>
        <w:t xml:space="preserve"> </w:t>
      </w:r>
      <w:r>
        <w:rPr>
          <w:rFonts w:ascii="Times New Roman" w:cs="Times New Roman" w:eastAsia="Times New Roman" w:hAnsi="Times New Roman"/>
          <w:sz w:val="19"/>
          <w:szCs w:val="19"/>
          <w:color w:val="auto"/>
        </w:rPr>
        <w:t>under the TOSA o r any other agreement with any Title IV participating institution for noncompliance with federal, state or accreditation requ irements arising from KNA's conduct; and</w:t>
      </w:r>
    </w:p>
    <w:p>
      <w:pPr>
        <w:spacing w:after="0" w:line="152" w:lineRule="exact"/>
        <w:rPr>
          <w:sz w:val="20"/>
          <w:szCs w:val="20"/>
          <w:color w:val="auto"/>
        </w:rPr>
      </w:pPr>
    </w:p>
    <w:p>
      <w:pPr>
        <w:ind w:left="920" w:right="125"/>
        <w:spacing w:after="0" w:line="252" w:lineRule="auto"/>
        <w:rPr>
          <w:sz w:val="20"/>
          <w:szCs w:val="20"/>
          <w:color w:val="auto"/>
        </w:rPr>
      </w:pPr>
      <w:r>
        <w:rPr>
          <w:rFonts w:ascii="Times New Roman" w:cs="Times New Roman" w:eastAsia="Times New Roman" w:hAnsi="Times New Roman"/>
          <w:sz w:val="19"/>
          <w:szCs w:val="19"/>
          <w:color w:val="auto"/>
        </w:rPr>
        <w:t>Liability for noncompliance with Title IV or other federal or state laws and regulations occurring prior to the transfer of Kaplan University to Purdue.</w:t>
      </w:r>
    </w:p>
    <w:p>
      <w:pPr>
        <w:spacing w:after="0" w:line="256" w:lineRule="exact"/>
        <w:rPr>
          <w:sz w:val="20"/>
          <w:szCs w:val="20"/>
          <w:color w:val="auto"/>
        </w:rPr>
      </w:pPr>
    </w:p>
    <w:p>
      <w:pPr>
        <w:jc w:val="both"/>
        <w:ind w:left="120" w:right="105" w:firstLine="1"/>
        <w:spacing w:after="0" w:line="263" w:lineRule="auto"/>
        <w:rPr>
          <w:sz w:val="20"/>
          <w:szCs w:val="20"/>
          <w:color w:val="auto"/>
        </w:rPr>
      </w:pPr>
      <w:r>
        <w:rPr>
          <w:rFonts w:ascii="Times New Roman" w:cs="Times New Roman" w:eastAsia="Times New Roman" w:hAnsi="Times New Roman"/>
          <w:sz w:val="19"/>
          <w:szCs w:val="19"/>
          <w:color w:val="auto"/>
        </w:rPr>
        <w:t>The laws, regulations and other requirements applicable to KNA or any KNA c lient institutions are subject to change and to interpretation. For example, borrower defense to repayment (BDTR) regulations that allow students to discharge certain federal loans and provide a process for the ED to recover the discharged amounts from the students' school, and closed school loan discharges may create liability for Kaplan as a past owner of Title IV eligible instinHions. The ED also finalized changes to the BDTR regulations which expand the types of claims that can be made by students, reinstating the ability of the ED to consider claims as a group, removing limitation periods on claims, and changing the process for seeking recoupment from institutions. In addition, as part of a Negotiated Rulemaking, new rules and changes to existing rules were finalized by the ED in the fourth quarter of 2022 and became effective on July 1, 2023. Included in these new rules is a change to the Title IV definition of "nonprofit" institution to generally exclude from that definition any institution that is an obligor on a debt owed to a former owner of the institution or that maintains a revenue-based service agreement with a former owner of the institution. The ED intends to apply this new definition to public institutions as well as private nonprofit institutions. Such regulatory changes, including those described above, could subject Kaplan or its partner institutions to additional regulatory requirements and b abilities.</w:t>
      </w:r>
    </w:p>
    <w:p>
      <w:pPr>
        <w:spacing w:after="0" w:line="200" w:lineRule="exact"/>
        <w:rPr>
          <w:sz w:val="20"/>
          <w:szCs w:val="20"/>
          <w:color w:val="auto"/>
        </w:rPr>
      </w:pPr>
    </w:p>
    <w:p>
      <w:pPr>
        <w:spacing w:after="0" w:line="292" w:lineRule="exact"/>
        <w:rPr>
          <w:sz w:val="20"/>
          <w:szCs w:val="20"/>
          <w:color w:val="auto"/>
        </w:rPr>
      </w:pPr>
    </w:p>
    <w:p>
      <w:pPr>
        <w:jc w:val="both"/>
        <w:ind w:left="120" w:right="105" w:firstLine="13"/>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Incentive compensation. </w:t>
      </w:r>
      <w:r>
        <w:rPr>
          <w:rFonts w:ascii="Times New Roman" w:cs="Times New Roman" w:eastAsia="Times New Roman" w:hAnsi="Times New Roman"/>
          <w:sz w:val="19"/>
          <w:szCs w:val="19"/>
          <w:color w:val="auto"/>
        </w:rPr>
        <w:t>Under the ED's incentive compensation rule, an institution participating in Title IV</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programs may not provide any commission; bonus or other incentive payment </w:t>
      </w:r>
      <w:r>
        <w:rPr>
          <w:rFonts w:ascii="Times New Roman" w:cs="Times New Roman" w:eastAsia="Times New Roman" w:hAnsi="Times New Roman"/>
          <w:sz w:val="18"/>
          <w:szCs w:val="18"/>
          <w:color w:val="auto"/>
        </w:rPr>
        <w:t>to</w:t>
      </w:r>
      <w:r>
        <w:rPr>
          <w:rFonts w:ascii="Times New Roman" w:cs="Times New Roman" w:eastAsia="Times New Roman" w:hAnsi="Times New Roman"/>
          <w:sz w:val="19"/>
          <w:szCs w:val="19"/>
          <w:color w:val="auto"/>
        </w:rPr>
        <w:t xml:space="preserve"> any person or entity engaged in any student recruiting or admission activities or in making decisions regarding the awarding of Title IV funds if such payment is based directly or indirectly on success in securing enrollments or financial aid. KNA is a third party providing bundled services to Title IV pa1ticipating institutions that include recruiting and, in the case of Purdue Global, financial aid services. As such, KNA is also subject to the incentive compensation rules as applied to the institutions it serves and cannot provide any commission, bonus or other incentive payment to any covered employees, subcontractors or other party engaged in certain student recruiting, admission or financial aid activities based on success in securing e nrollments or fi nancial aEd. In addition, tu ition revenue-sharing payments to KNA under the TOSA (as well as any other agreement with any Title IV participating institution) must comply with the ED's revenue sharing guidance related to bundled services agreements. For more information, see Item lA. Risk Factors. Failure to Comply with the ED's Title IV Incentive Compensation Rule Could Subject Kaplan to Liabilities, Sanctions and Fines.</w:t>
      </w:r>
    </w:p>
    <w:p>
      <w:pPr>
        <w:spacing w:after="0" w:line="200" w:lineRule="exact"/>
        <w:rPr>
          <w:sz w:val="20"/>
          <w:szCs w:val="20"/>
          <w:color w:val="auto"/>
        </w:rPr>
      </w:pPr>
    </w:p>
    <w:p>
      <w:pPr>
        <w:spacing w:after="0" w:line="293" w:lineRule="exact"/>
        <w:rPr>
          <w:sz w:val="20"/>
          <w:szCs w:val="20"/>
          <w:color w:val="auto"/>
        </w:rPr>
      </w:pPr>
    </w:p>
    <w:p>
      <w:pPr>
        <w:jc w:val="both"/>
        <w:ind w:left="120" w:right="105" w:firstLine="5"/>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Misrepresentations. </w:t>
      </w:r>
      <w:r>
        <w:rPr>
          <w:rFonts w:ascii="Times New Roman" w:cs="Times New Roman" w:eastAsia="Times New Roman" w:hAnsi="Times New Roman"/>
          <w:sz w:val="19"/>
          <w:szCs w:val="19"/>
          <w:color w:val="auto"/>
        </w:rPr>
        <w:t>A Title IV participating institution is required to comply with the ED regulations related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misrepresentations and with related federal and state laws. These laws and regulations are broad in scope and may extend to statements by servicers, such as KNA, that provide marketing or certain other services to such institutions. The laws and regulations may also apply to KNA's employees and agents with respect to statements addressing the nature of an institution's programs, financial c harges or the employability of its graduates. Additionally, failure to comply with these and other federal and state laws and regulations regarding misrepresentations and marketing practices could result in the :imposition on KNA or its client institutions of fines, other sanctions or liabilities, including, without limitation, federal student a id repayment obi igations to the ED, the termination or limitation on KNA's eligibility to provide services as a third-party servicer to T itle IV participating institutions, the termination or limitation of a client institution's eligibility to participate in the Title IV programs, or legal action by students or other third parties. A vio 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losses resulting from the violation and could result in fines, other sanctions or liabilities imposed on KNA.</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5920"/>
        <w:spacing w:after="0"/>
        <w:tabs>
          <w:tab w:leader="none" w:pos="91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6"/>
          <w:szCs w:val="16"/>
          <w:color w:val="auto"/>
        </w:rPr>
        <w:t>7</w:t>
      </w:r>
    </w:p>
    <w:p>
      <w:pPr>
        <w:sectPr>
          <w:pgSz w:w="12240" w:h="15850" w:orient="portrait"/>
          <w:cols w:equalWidth="0" w:num="1">
            <w:col w:w="9365"/>
          </w:cols>
          <w:pgMar w:left="1440" w:top="1394" w:right="1440" w:bottom="721" w:gutter="0" w:footer="0" w:header="0"/>
          <w:type w:val="continuous"/>
        </w:sectPr>
      </w:pPr>
    </w:p>
    <w:bookmarkStart w:id="23" w:name="page24"/>
    <w:bookmarkEnd w:id="23"/>
    <w:p>
      <w:pPr>
        <w:jc w:val="both"/>
        <w:ind w:left="120" w:right="105" w:firstLine="8"/>
        <w:spacing w:after="0" w:line="262" w:lineRule="auto"/>
        <w:rPr>
          <w:sz w:val="20"/>
          <w:szCs w:val="20"/>
          <w:color w:val="auto"/>
        </w:rPr>
      </w:pPr>
      <w:r>
        <w:rPr>
          <w:rFonts w:ascii="Times New Roman" w:cs="Times New Roman" w:eastAsia="Times New Roman" w:hAnsi="Times New Roman"/>
          <w:sz w:val="19"/>
          <w:szCs w:val="19"/>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Compliance </w:t>
      </w:r>
      <w:r>
        <w:rPr>
          <w:rFonts w:ascii="Times New Roman" w:cs="Times New Roman" w:eastAsia="Times New Roman" w:hAnsi="Times New Roman"/>
          <w:sz w:val="18"/>
          <w:szCs w:val="18"/>
          <w:i w:val="1"/>
          <w:iCs w:val="1"/>
          <w:color w:val="auto"/>
        </w:rPr>
        <w:t>by</w:t>
      </w:r>
      <w:r>
        <w:rPr>
          <w:rFonts w:ascii="Times New Roman" w:cs="Times New Roman" w:eastAsia="Times New Roman" w:hAnsi="Times New Roman"/>
          <w:sz w:val="19"/>
          <w:szCs w:val="19"/>
          <w:i w:val="1"/>
          <w:iCs w:val="1"/>
          <w:color w:val="auto"/>
        </w:rPr>
        <w:t xml:space="preserve"> client insti!Utions with Title IV program requirements and other federal, state and accreditation requirements. </w:t>
      </w:r>
      <w:r>
        <w:rPr>
          <w:rFonts w:ascii="Times New Roman" w:cs="Times New Roman" w:eastAsia="Times New Roman" w:hAnsi="Times New Roman"/>
          <w:sz w:val="19"/>
          <w:szCs w:val="19"/>
          <w:color w:val="auto"/>
        </w:rPr>
        <w:t>KNA currently prov ides services to education institutions that are subject to federal and state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laws and regulations and extensive accrediting body requirernents. A material portion of KNA 's revenues is attributable to deferred purchase price and service fees it receives under the TOSA with Purdue Global, which are dependent upon revenues generated by Purdue Global and Purdue Global's eligibility to participate in the Title IV federal student aid program. To maintain Title IV elig ibility, Purdue G lobal and KNA 's other client institutions must be certified by the ED as eligible institutions, maintain authorizations by applicable state education agencies and be accredited by an accrediting commission recognized by the ED. Purdue Global and KNA' s other client institutions must also comply with the extensive statutory and regulatory requirements of the Highe r Education Act and other state a nd federal laws and accrediting standards relating to their financial aid management, educational programs, financial strength, disbursement and return of Title IV funds, facilities, recruiting practices, representations made by the school and other parties, and various other matters. Additionally, Purdue Global and other client institutions are subject to laws and regulations that, among other things, limit student default rates on the repayment of Title IV loans, permit borrower defenses to repayment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and require state authorization and institutional and programmatic accreditation. If the ED finds that Purdue Global o r other client institutions have failed to comply with Title IV requirements or imprope rly disbursed o r retained Title IV program funds, it may take one or more of a number of actions, including, but not limited to:</w:t>
      </w:r>
    </w:p>
    <w:p>
      <w:pPr>
        <w:spacing w:after="0" w:line="36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fining the school;</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requiring the school to repay T itle IV program funds;</w:t>
      </w:r>
    </w:p>
    <w:p>
      <w:pPr>
        <w:spacing w:after="0" w:line="1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limiting or terminating the schoo l's eligibility to participate in Title TV programs;</w:t>
      </w:r>
    </w:p>
    <w:p>
      <w:pPr>
        <w:spacing w:after="0" w:line="153" w:lineRule="exact"/>
        <w:rPr>
          <w:sz w:val="20"/>
          <w:szCs w:val="20"/>
          <w:color w:val="auto"/>
        </w:rPr>
      </w:pPr>
    </w:p>
    <w:p>
      <w:pPr>
        <w:ind w:left="940" w:right="125" w:hanging="323"/>
        <w:spacing w:after="0" w:line="252" w:lineRule="auto"/>
        <w:tabs>
          <w:tab w:leader="none" w:pos="939"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initiating an emergency action to suspend the school's participation in T itle IV programs without prior notice or opportunity for a hearing;</w:t>
      </w:r>
    </w:p>
    <w:p>
      <w:pPr>
        <w:spacing w:after="0" w:line="132" w:lineRule="exact"/>
        <w:rPr>
          <w:rFonts w:ascii="Times New Roman" w:cs="Times New Roman" w:eastAsia="Times New Roman" w:hAnsi="Times New Roman"/>
          <w:sz w:val="19"/>
          <w:szCs w:val="19"/>
          <w:color w:val="auto"/>
        </w:rPr>
      </w:pPr>
    </w:p>
    <w:p>
      <w:pPr>
        <w:ind w:left="940" w:right="125" w:hanging="323"/>
        <w:spacing w:after="0" w:line="252" w:lineRule="auto"/>
        <w:tabs>
          <w:tab w:leader="none" w:pos="932" w:val="left"/>
        </w:tabs>
        <w:numPr>
          <w:ilvl w:val="0"/>
          <w:numId w:val="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transferring the school to a method of Title IV payment that would adversely affect the timing of the institutio n's receipt of Title IV funds;</w:t>
      </w:r>
    </w:p>
    <w:p>
      <w:pPr>
        <w:spacing w:after="0" w:line="133"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requiring the school to submit a letter of credit;</w:t>
      </w:r>
    </w:p>
    <w:p>
      <w:pPr>
        <w:spacing w:after="0" w:line="152" w:lineRule="exact"/>
        <w:rPr>
          <w:rFonts w:ascii="Times New Roman" w:cs="Times New Roman" w:eastAsia="Times New Roman" w:hAnsi="Times New Roman"/>
          <w:sz w:val="19"/>
          <w:szCs w:val="19"/>
          <w:color w:val="auto"/>
        </w:rPr>
      </w:pPr>
    </w:p>
    <w:p>
      <w:pPr>
        <w:ind w:left="920" w:right="125" w:hanging="1"/>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denying or refusing to consider the school's application for renewal o f its certification to partic ipate in the Title IV programs or for approval to add a new campus or educational program; and</w:t>
      </w:r>
    </w:p>
    <w:p>
      <w:pPr>
        <w:spacing w:after="0" w:line="133" w:lineRule="exact"/>
        <w:rPr>
          <w:rFonts w:ascii="Times New Roman" w:cs="Times New Roman" w:eastAsia="Times New Roman" w:hAnsi="Times New Roman"/>
          <w:sz w:val="19"/>
          <w:szCs w:val="19"/>
          <w:color w:val="auto"/>
        </w:rPr>
      </w:pPr>
    </w:p>
    <w:p>
      <w:pPr>
        <w:ind w:left="9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referring the matter for possible civil or criminal investigation.</w:t>
      </w:r>
    </w:p>
    <w:p>
      <w:pPr>
        <w:spacing w:after="0" w:line="275" w:lineRule="exact"/>
        <w:rPr>
          <w:sz w:val="20"/>
          <w:szCs w:val="20"/>
          <w:color w:val="auto"/>
        </w:rPr>
      </w:pPr>
    </w:p>
    <w:p>
      <w:pPr>
        <w:jc w:val="both"/>
        <w:ind w:left="120" w:right="125" w:hanging="4"/>
        <w:spacing w:after="0" w:line="262" w:lineRule="auto"/>
        <w:rPr>
          <w:sz w:val="20"/>
          <w:szCs w:val="20"/>
          <w:color w:val="auto"/>
        </w:rPr>
      </w:pPr>
      <w:r>
        <w:rPr>
          <w:rFonts w:ascii="Arial" w:cs="Arial" w:eastAsia="Arial" w:hAnsi="Arial"/>
          <w:sz w:val="19"/>
          <w:szCs w:val="19"/>
          <w:color w:val="auto"/>
        </w:rPr>
        <w:t xml:space="preserve">If </w:t>
      </w:r>
      <w:r>
        <w:rPr>
          <w:rFonts w:ascii="Times New Roman" w:cs="Times New Roman" w:eastAsia="Times New Roman" w:hAnsi="Times New Roman"/>
          <w:sz w:val="19"/>
          <w:szCs w:val="19"/>
          <w:color w:val="auto"/>
        </w:rPr>
        <w:t>Purdue Global or other client institutions lose or have limits placed on their Title IV eligibility, accreditation or</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 xml:space="preserve">state licensure, or if they are subject to fi nes, repayment obligations or other adverse actions due to their or KNA' s noncompliance with Title IV regulations, accreditor or state agency requirements or other state or federal laws, KNA 's financial results of operations could be adversely affected. After acquiring Kaplan University, on August 3, 2018, Purdue Global received an updated Provisio nal Program Participation Agreement (PPPA) from the ED which is necessary for continued participation in the federal Title IV programs after the change in ownership from Kaplan to Purdue. On November 25, 2024, the ED approved Pmdue Global's Application for Participation in the T itle IV program and granted a full Program Participation Agreement. This Program Participation Ag reeme nt expires o n December 3 1, 2028, and will need to be re newed prior to that date pursuant </w:t>
      </w:r>
      <w:r>
        <w:rPr>
          <w:rFonts w:ascii="Times New Roman" w:cs="Times New Roman" w:eastAsia="Times New Roman" w:hAnsi="Times New Roman"/>
          <w:sz w:val="16"/>
          <w:szCs w:val="16"/>
          <w:color w:val="auto"/>
        </w:rPr>
        <w:t xml:space="preserve">LO </w:t>
      </w:r>
      <w:r>
        <w:rPr>
          <w:rFonts w:ascii="Times New Roman" w:cs="Times New Roman" w:eastAsia="Times New Roman" w:hAnsi="Times New Roman"/>
          <w:sz w:val="19"/>
          <w:szCs w:val="19"/>
          <w:color w:val="auto"/>
        </w:rPr>
        <w:t>federal regulations. Per the terms of the Program Participation Agreement, Purdue Global must report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8"/>
          <w:szCs w:val="18"/>
          <w:color w:val="auto"/>
        </w:rPr>
        <w:t>to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9"/>
          <w:szCs w:val="19"/>
          <w:color w:val="auto"/>
        </w:rPr>
        <w:t>ED any accredita tion or governmental agency action or class action lawsuit.</w:t>
      </w:r>
    </w:p>
    <w:p>
      <w:pPr>
        <w:spacing w:after="0" w:line="257" w:lineRule="exact"/>
        <w:rPr>
          <w:sz w:val="20"/>
          <w:szCs w:val="20"/>
          <w:color w:val="auto"/>
        </w:rPr>
      </w:pPr>
    </w:p>
    <w:p>
      <w:pPr>
        <w:jc w:val="both"/>
        <w:ind w:left="120" w:right="125" w:hanging="1"/>
        <w:spacing w:after="0" w:line="257" w:lineRule="auto"/>
        <w:rPr>
          <w:sz w:val="20"/>
          <w:szCs w:val="20"/>
          <w:color w:val="auto"/>
        </w:rPr>
      </w:pPr>
      <w:r>
        <w:rPr>
          <w:rFonts w:ascii="Times New Roman" w:cs="Times New Roman" w:eastAsia="Times New Roman" w:hAnsi="Times New Roman"/>
          <w:sz w:val="19"/>
          <w:szCs w:val="19"/>
          <w:i w:val="1"/>
          <w:iCs w:val="1"/>
          <w:color w:val="auto"/>
        </w:rPr>
        <w:t>Comp liance, regulatory actions, reviews and litigation.</w:t>
      </w:r>
      <w:r>
        <w:rPr>
          <w:sz w:val="20"/>
          <w:szCs w:val="20"/>
          <w:color w:val="auto"/>
        </w:rPr>
        <w:t xml:space="preserve"> </w:t>
      </w:r>
      <w:r>
        <w:rPr>
          <w:rFonts w:ascii="Times New Roman" w:cs="Times New Roman" w:eastAsia="Times New Roman" w:hAnsi="Times New Roman"/>
          <w:sz w:val="19"/>
          <w:szCs w:val="19"/>
          <w:color w:val="auto"/>
        </w:rPr>
        <w:t>KNA and its client institutions are subject to reviews, audits, investigations and other compliance reviews conducted by various regulatory agencies and auditors, including, among others, the ED, the ED's Office of the Inspector General, accrediting bodies and state and</w:t>
      </w:r>
    </w:p>
    <w:p>
      <w:pPr>
        <w:sectPr>
          <w:pgSz w:w="12240" w:h="15850" w:orient="portrait"/>
          <w:cols w:equalWidth="0" w:num="1">
            <w:col w:w="9365"/>
          </w:cols>
          <w:pgMar w:left="1440" w:top="1396" w:right="1440" w:bottom="721" w:gutter="0" w:footer="0" w:header="0"/>
        </w:sect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380" w:val="left"/>
        </w:tabs>
        <w:rPr>
          <w:sz w:val="20"/>
          <w:szCs w:val="20"/>
          <w:color w:val="auto"/>
        </w:rPr>
      </w:pPr>
      <w:r>
        <w:rPr>
          <w:rFonts w:ascii="Times New Roman" w:cs="Times New Roman" w:eastAsia="Times New Roman" w:hAnsi="Times New Roman"/>
          <w:sz w:val="19"/>
          <w:szCs w:val="19"/>
          <w:color w:val="auto"/>
        </w:rPr>
        <w:t>8</w:t>
        <w:tab/>
        <w:t>2024 FORM 10-K</w:t>
      </w:r>
    </w:p>
    <w:p>
      <w:pPr>
        <w:sectPr>
          <w:pgSz w:w="12240" w:h="15850" w:orient="portrait"/>
          <w:cols w:equalWidth="0" w:num="1">
            <w:col w:w="9365"/>
          </w:cols>
          <w:pgMar w:left="1440" w:top="1396" w:right="1440" w:bottom="721" w:gutter="0" w:footer="0" w:header="0"/>
          <w:type w:val="continuous"/>
        </w:sectPr>
      </w:pPr>
    </w:p>
    <w:bookmarkStart w:id="24" w:name="page25"/>
    <w:bookmarkEnd w:id="24"/>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various other federal agencies. These compliance reviews could result in findings of noncompliance with statutory and regulatory requirements that could, in turn, result in the imposition of fines, liabilities, civil or criminal penalties or other sanctions against KNA and its diem institutions. Separately, if KNA provides frnancial aid services to more than one Title IV participating institution (i.e., one or more participating institutions in addition to Purdue Global), or if the ED expandls the current interpretation of the definition of Third-Party Servicer to include services in addition to providing financial aid services, KNA wi ll be required to arrange for an independent auditor to conduct an annual Title IV compliance aUJdit of KNA's compliance with applicable ED requirements. KNA's client institutions are also required to arrange for an independent auditor to condLtct an annual Titk IV compliance audit of their compliance with applicable ED requirements, including requirements related to services provided by KNA.</w:t>
      </w:r>
    </w:p>
    <w:p>
      <w:pPr>
        <w:spacing w:after="0" w:line="200" w:lineRule="exact"/>
        <w:rPr>
          <w:sz w:val="20"/>
          <w:szCs w:val="20"/>
          <w:color w:val="auto"/>
        </w:rPr>
      </w:pPr>
    </w:p>
    <w:p>
      <w:pPr>
        <w:spacing w:after="0" w:line="285" w:lineRule="exact"/>
        <w:rPr>
          <w:sz w:val="20"/>
          <w:szCs w:val="20"/>
          <w:color w:val="auto"/>
        </w:rPr>
      </w:pPr>
    </w:p>
    <w:p>
      <w:pPr>
        <w:jc w:val="both"/>
        <w:ind w:left="120" w:right="105" w:firstLine="1"/>
        <w:spacing w:after="0" w:line="263" w:lineRule="auto"/>
        <w:rPr>
          <w:sz w:val="20"/>
          <w:szCs w:val="20"/>
          <w:color w:val="auto"/>
        </w:rPr>
      </w:pPr>
      <w:r>
        <w:rPr>
          <w:rFonts w:ascii="Times New Roman" w:cs="Times New Roman" w:eastAsia="Times New Roman" w:hAnsi="Times New Roman"/>
          <w:sz w:val="19"/>
          <w:szCs w:val="19"/>
          <w:color w:val="auto"/>
        </w:rPr>
        <w:t>In May 2021, Kaplan received notice from the ED that it would be conducting a fact-finding process pursuant to the BDTR regulations to determine the validity of BDTR claims and a request for documents related to several of Kaplan's previously owned schools. In 2021, Kaplan received BDTR applications from the ED seeking discharge of approximately $35 million in loans, excluding interest, from former Kaplan U11iversity students. It is not clear to what extent the ED will exclude claims based on the underlying statutes of limitations, evidence provided by Kaplan, prior settlements with these students relieving their debt outside of the BDTR process, or any prior investigation related to schools attended by the student applicants. The ED's process for adjudicating these claims is subject to the borrower defense regulations including those final ized in 2022 and effective July I, 2023.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 Under the rule, the recoupment process applies only to loans first disbursed after July I, 2023; however, the discharge process and standards apply to any pending application regardless of the loan date.</w:t>
      </w:r>
    </w:p>
    <w:p>
      <w:pPr>
        <w:spacing w:after="0" w:line="200" w:lineRule="exact"/>
        <w:rPr>
          <w:sz w:val="20"/>
          <w:szCs w:val="20"/>
          <w:color w:val="auto"/>
        </w:rPr>
      </w:pPr>
    </w:p>
    <w:p>
      <w:pPr>
        <w:spacing w:after="0" w:line="292" w:lineRule="exact"/>
        <w:rPr>
          <w:sz w:val="20"/>
          <w:szCs w:val="20"/>
          <w:color w:val="auto"/>
        </w:rPr>
      </w:pPr>
    </w:p>
    <w:p>
      <w:pPr>
        <w:jc w:val="both"/>
        <w:ind w:left="120" w:right="105" w:firstLine="21"/>
        <w:spacing w:after="0" w:line="262" w:lineRule="auto"/>
        <w:rPr>
          <w:sz w:val="20"/>
          <w:szCs w:val="20"/>
          <w:color w:val="auto"/>
        </w:rPr>
      </w:pPr>
      <w:r>
        <w:rPr>
          <w:rFonts w:ascii="Times New Roman" w:cs="Times New Roman" w:eastAsia="Times New Roman" w:hAnsi="Times New Roman"/>
          <w:sz w:val="19"/>
          <w:szCs w:val="19"/>
          <w:color w:val="auto"/>
        </w:rPr>
        <w:t xml:space="preserve">Kaplan believes it has substantive as well as procedural defenses to the borrower defense claims that would bar any student discharge or school liability, including that the claims are barred by the applicable statute of lin1itaitions, are unproven, incomplete and fail to meet regul atory filing req uirements. Kaplan expects to vigorously defend any attempt by the ED to hold Kaplan liable for any ultimate student discharges. Kaplan responded to the initial set of claims in 2021 with documentary and narrative evlidence to refute the allegations, demonstrate their lack of merit, and support the denial of all such claims by the ED. Kaplan intends to similarly respond to any new claims that apply to Kaplan University or other prior Kaplan-owned schools.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claims are successful, the ED may seek reimbursement for the amount discharged from Kaplan.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iED initiates a reimblUrsement action against Kaplan followi ng approval of former students' BDTR applications, Kaplan may be subject to significant liability.</w:t>
      </w:r>
    </w:p>
    <w:p>
      <w:pPr>
        <w:spacing w:after="0" w:line="200" w:lineRule="exact"/>
        <w:rPr>
          <w:sz w:val="20"/>
          <w:szCs w:val="20"/>
          <w:color w:val="auto"/>
        </w:rPr>
      </w:pPr>
    </w:p>
    <w:p>
      <w:pPr>
        <w:spacing w:after="0" w:line="293" w:lineRule="exact"/>
        <w:rPr>
          <w:sz w:val="20"/>
          <w:szCs w:val="20"/>
          <w:color w:val="auto"/>
        </w:rPr>
      </w:pPr>
    </w:p>
    <w:p>
      <w:pPr>
        <w:jc w:val="both"/>
        <w:ind w:left="120" w:right="125" w:firstLine="12"/>
        <w:spacing w:after="0" w:line="262" w:lineRule="auto"/>
        <w:rPr>
          <w:sz w:val="20"/>
          <w:szCs w:val="20"/>
          <w:color w:val="auto"/>
        </w:rPr>
      </w:pPr>
      <w:r>
        <w:rPr>
          <w:rFonts w:ascii="Times New Roman" w:cs="Times New Roman" w:eastAsia="Times New Roman" w:hAnsi="Times New Roman"/>
          <w:sz w:val="19"/>
          <w:szCs w:val="19"/>
          <w:color w:val="auto"/>
        </w:rPr>
        <w:t xml:space="preserve">As part of the </w:t>
      </w:r>
      <w:r>
        <w:rPr>
          <w:rFonts w:ascii="Times New Roman" w:cs="Times New Roman" w:eastAsia="Times New Roman" w:hAnsi="Times New Roman"/>
          <w:sz w:val="19"/>
          <w:szCs w:val="19"/>
          <w:i w:val="1"/>
          <w:iCs w:val="1"/>
          <w:color w:val="auto"/>
        </w:rPr>
        <w:t>Sweet v. Cardona</w:t>
      </w:r>
      <w:r>
        <w:rPr>
          <w:rFonts w:ascii="Times New Roman" w:cs="Times New Roman" w:eastAsia="Times New Roman" w:hAnsi="Times New Roman"/>
          <w:sz w:val="19"/>
          <w:szCs w:val="19"/>
          <w:color w:val="auto"/>
        </w:rPr>
        <w:t xml:space="preserve"> settlement described below, the ED agreed to review any BDTR applications submitted between June 23, 2022 and November 15, 2022 on an expedited basis. In January 2024, Kaplan was informed that the ED received applications during this time period regarding former Kaplan University and Purdue Global students. Kaplan received those applications and believes none of the applications has merit and that the applications are far outside any statute of limitations period and according ly Kaplan responded similarly to responses for prior claims. The total discharge amount sought or how much of that amount would apply to Kaplan University students is not fully known. The </w:t>
      </w:r>
      <w:r>
        <w:rPr>
          <w:rFonts w:ascii="Times New Roman" w:cs="Times New Roman" w:eastAsia="Times New Roman" w:hAnsi="Times New Roman"/>
          <w:sz w:val="19"/>
          <w:szCs w:val="19"/>
          <w:i w:val="1"/>
          <w:iCs w:val="1"/>
          <w:color w:val="auto"/>
        </w:rPr>
        <w:t>Sweet v. Cardona</w:t>
      </w:r>
      <w:r>
        <w:rPr>
          <w:rFonts w:ascii="Times New Roman" w:cs="Times New Roman" w:eastAsia="Times New Roman" w:hAnsi="Times New Roman"/>
          <w:sz w:val="19"/>
          <w:szCs w:val="19"/>
          <w:color w:val="auto"/>
        </w:rPr>
        <w:t xml:space="preserve"> settlement requires the ED to adjudicate applications received during the designated time period pursuant to the requirements of the 20 16 Borrower Defense Regulation. As noted, if the claims are successful, the ED may seek reimbursement for the amount discharged from Kaplan. Kaplan believes it has significant defenses against any auempt by the ED at recoupment including the claims' collective lack of merit, the applicable statute of limitations periods, and the ED's standing for recoupment given the </w:t>
      </w:r>
      <w:r>
        <w:rPr>
          <w:rFonts w:ascii="Times New Roman" w:cs="Times New Roman" w:eastAsia="Times New Roman" w:hAnsi="Times New Roman"/>
          <w:sz w:val="19"/>
          <w:szCs w:val="19"/>
          <w:i w:val="1"/>
          <w:iCs w:val="1"/>
          <w:color w:val="auto"/>
        </w:rPr>
        <w:t>Sweet</w:t>
      </w:r>
      <w:r>
        <w:rPr>
          <w:rFonts w:ascii="Times New Roman" w:cs="Times New Roman" w:eastAsia="Times New Roman" w:hAnsi="Times New Roman"/>
          <w:sz w:val="19"/>
          <w:szCs w:val="19"/>
          <w:color w:val="auto"/>
        </w:rPr>
        <w:t xml:space="preserve"> settlement described below. Regardless, if the ED initiates a reimbursement action against Kaplan following approval of former students' BDTR applications, Kaplan may be subject to significant liability.</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5920"/>
        <w:spacing w:after="0"/>
        <w:tabs>
          <w:tab w:leader="none" w:pos="91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6"/>
          <w:szCs w:val="16"/>
          <w:color w:val="auto"/>
        </w:rPr>
        <w:t>9</w:t>
      </w:r>
    </w:p>
    <w:p>
      <w:pPr>
        <w:sectPr>
          <w:pgSz w:w="12240" w:h="15850" w:orient="portrait"/>
          <w:cols w:equalWidth="0" w:num="1">
            <w:col w:w="9365"/>
          </w:cols>
          <w:pgMar w:left="1440" w:top="1394" w:right="1440" w:bottom="721" w:gutter="0" w:footer="0" w:header="0"/>
          <w:type w:val="continuous"/>
        </w:sectPr>
      </w:pPr>
    </w:p>
    <w:bookmarkStart w:id="25" w:name="page26"/>
    <w:bookmarkEnd w:id="25"/>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In November 2022, the Northern District of California approved the settlement agreement in the lawsuit </w:t>
      </w:r>
      <w:r>
        <w:rPr>
          <w:rFonts w:ascii="Times New Roman" w:cs="Times New Roman" w:eastAsia="Times New Roman" w:hAnsi="Times New Roman"/>
          <w:sz w:val="19"/>
          <w:szCs w:val="19"/>
          <w:i w:val="1"/>
          <w:iCs w:val="1"/>
          <w:color w:val="auto"/>
        </w:rPr>
        <w:t>Sweet 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Cardona. </w:t>
      </w:r>
      <w:r>
        <w:rPr>
          <w:rFonts w:ascii="Times New Roman" w:cs="Times New Roman" w:eastAsia="Times New Roman" w:hAnsi="Times New Roman"/>
          <w:sz w:val="19"/>
          <w:szCs w:val="19"/>
          <w:color w:val="auto"/>
        </w:rPr>
        <w:t>The Plaintiffs in that lawsuit claimed that the ED fai led to properly consider and decide pending BDTR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claims. As part of lhe selllement, the ED agreed to di:scharge loans of borrowers who allended 150 specific schools, including all schools formerly owned by Kaplan, and who had BDTR claims pending as of the June 22, 2022 settlement execution date. This discharge will likely cover each of the first set of applications the ED sent to Kaplan and to which Kaplan previously responded. The ED and the Court made clear that these discharges as part of a settlement are not determinations that the pending BDTR claims are valid and the fact of the settlement discharge cannot be used as evidence of any determination of wrongdoing by the institutions. However, despite the fact that the loans are discharged per the settlement, the ED may still attempt to separately adjudicate the associated BDTR claims and follow the regulatory process for seeking recoupment from the institutions for such claims. As noted above, this settlemen t likely also applies to the resolution, future adjudication, and possible discharge of the newly noticed claims. As also noted, the ED could attempt to recoup from Kaplan some or all of any discharged amount for the newly noticed claims.</w:t>
      </w:r>
    </w:p>
    <w:p>
      <w:pPr>
        <w:spacing w:after="0" w:line="200" w:lineRule="exact"/>
        <w:rPr>
          <w:sz w:val="20"/>
          <w:szCs w:val="20"/>
          <w:color w:val="auto"/>
        </w:rPr>
      </w:pPr>
    </w:p>
    <w:p>
      <w:pPr>
        <w:spacing w:after="0" w:line="284"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In addition, Kaplan could be the subject of future compliance reviews or lawsuits related to formerly owned Kaplan University and KHE schools in connection with the pre-sale conduct of such schools that could result in monetary liabilities or fines or other sanctions against Kaplan.</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Supplemental Education</w:t>
      </w:r>
    </w:p>
    <w:p>
      <w:pPr>
        <w:spacing w:after="0" w:line="145"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KNA' s Supplemental Education segment includes exam preparation, professional licensure and certification, corporate training, career advising, and continuing education as well as Prelum programs. KNA offers a wide array of programs and services across various markets focusing on lifetime value creation and professional lifecycles. These markets are discussed below.</w:t>
      </w:r>
    </w:p>
    <w:p>
      <w:pPr>
        <w:spacing w:after="0" w:line="257"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ln 2024, KNA served over 713,95li students through its exam preparation, professional Licensure and certification, and corporate training and continuing education pmgrams and related products (such as tutoring, online question banks and online practice tests), excluding sales of test prep books by third- party retailers. KNA also publishes test preparation and reference resources sold through retail chanlilels. At the end of 2024, KNA published approximately 1,197 titles available in digital and print formats, including approximately 339 digital products, and sold approximately I ,317,333 books in 2024. Virtually all KNA exam preparation programs are offered online, typically in a live online classroom or a self-study format, althoug!h some programs are offered in person. Private tutoring services are provided onJjne. In 2024, KNA served approximately 3,261 business-to-business clients, including approximately 161 Fortune 500 companies.</w:t>
      </w:r>
    </w:p>
    <w:p>
      <w:pPr>
        <w:spacing w:after="0" w:line="247" w:lineRule="exact"/>
        <w:rPr>
          <w:sz w:val="20"/>
          <w:szCs w:val="20"/>
          <w:color w:val="auto"/>
        </w:rPr>
      </w:pPr>
    </w:p>
    <w:p>
      <w:pPr>
        <w:jc w:val="both"/>
        <w:ind w:left="120" w:right="125"/>
        <w:spacing w:after="0" w:line="260" w:lineRule="auto"/>
        <w:rPr>
          <w:sz w:val="20"/>
          <w:szCs w:val="20"/>
          <w:color w:val="auto"/>
        </w:rPr>
      </w:pPr>
      <w:r>
        <w:rPr>
          <w:rFonts w:ascii="Arial" w:cs="Arial" w:eastAsia="Arial" w:hAnsi="Arial"/>
          <w:sz w:val="18"/>
          <w:szCs w:val="18"/>
          <w:i w:val="1"/>
          <w:iCs w:val="1"/>
          <w:color w:val="auto"/>
        </w:rPr>
        <w:t xml:space="preserve">High School Segment. </w:t>
      </w:r>
      <w:r>
        <w:rPr>
          <w:rFonts w:ascii="Times New Roman" w:cs="Times New Roman" w:eastAsia="Times New Roman" w:hAnsi="Times New Roman"/>
          <w:sz w:val="19"/>
          <w:szCs w:val="19"/>
          <w:color w:val="auto"/>
        </w:rPr>
        <w:t>KNA provides exam preparation for high school students under the Kaplan Test Prep</w:t>
      </w:r>
      <w:r>
        <w:rPr>
          <w:rFonts w:ascii="Arial" w:cs="Arial" w:eastAsia="Arial" w:hAnsi="Arial"/>
          <w:sz w:val="18"/>
          <w:szCs w:val="18"/>
          <w:i w:val="1"/>
          <w:iCs w:val="1"/>
          <w:color w:val="auto"/>
        </w:rPr>
        <w:t xml:space="preserve"> </w:t>
      </w:r>
      <w:r>
        <w:rPr>
          <w:rFonts w:ascii="Times New Roman" w:cs="Times New Roman" w:eastAsia="Times New Roman" w:hAnsi="Times New Roman"/>
          <w:sz w:val="19"/>
          <w:szCs w:val="19"/>
          <w:color w:val="auto"/>
        </w:rPr>
        <w:t>and Barron's Educational Series brands for a broad range of standardized, high-stakes tests, including the SAT, ACT, and AP Exams. KNA also provides college advising, admissions consulting, tutoring and other advisory services.</w:t>
      </w:r>
    </w:p>
    <w:p>
      <w:pPr>
        <w:spacing w:after="0" w:line="200" w:lineRule="exact"/>
        <w:rPr>
          <w:sz w:val="20"/>
          <w:szCs w:val="20"/>
          <w:color w:val="auto"/>
        </w:rPr>
      </w:pPr>
    </w:p>
    <w:p>
      <w:pPr>
        <w:spacing w:after="0" w:line="291" w:lineRule="exact"/>
        <w:rPr>
          <w:sz w:val="20"/>
          <w:szCs w:val="20"/>
          <w:color w:val="auto"/>
        </w:rPr>
      </w:pPr>
    </w:p>
    <w:p>
      <w:pPr>
        <w:jc w:val="both"/>
        <w:ind w:left="120" w:right="125"/>
        <w:spacing w:after="0" w:line="263" w:lineRule="auto"/>
        <w:rPr>
          <w:sz w:val="20"/>
          <w:szCs w:val="20"/>
          <w:color w:val="auto"/>
        </w:rPr>
      </w:pPr>
      <w:r>
        <w:rPr>
          <w:rFonts w:ascii="Arial" w:cs="Arial" w:eastAsia="Arial" w:hAnsi="Arial"/>
          <w:sz w:val="18"/>
          <w:szCs w:val="18"/>
          <w:i w:val="1"/>
          <w:iCs w:val="1"/>
          <w:color w:val="auto"/>
        </w:rPr>
        <w:t>Pre-college Programs.</w:t>
      </w:r>
      <w:r>
        <w:rPr>
          <w:sz w:val="20"/>
          <w:szCs w:val="20"/>
          <w:color w:val="auto"/>
        </w:rPr>
        <w:t xml:space="preserve"> </w:t>
      </w:r>
      <w:r>
        <w:rPr>
          <w:rFonts w:ascii="Times New Roman" w:cs="Times New Roman" w:eastAsia="Times New Roman" w:hAnsi="Times New Roman"/>
          <w:sz w:val="19"/>
          <w:szCs w:val="19"/>
          <w:color w:val="auto"/>
        </w:rPr>
        <w:t>KNA provides online Prelum programs for high school students to explore careers and courses in partnership with leading postsecondary institutions. The programs also enable KNA's university partners to build a relationship with prospective students and to introduce them to their academic offerings, unique educational approach and culture. KNA's Prelum programs have served thousands of students all over the world and in all 50 states, and include more than 75 programs in partnership with 1 1 highly ranked and respected universities.</w:t>
      </w:r>
    </w:p>
    <w:p>
      <w:pPr>
        <w:spacing w:after="0" w:line="200" w:lineRule="exact"/>
        <w:rPr>
          <w:sz w:val="20"/>
          <w:szCs w:val="20"/>
          <w:color w:val="auto"/>
        </w:rPr>
      </w:pPr>
    </w:p>
    <w:p>
      <w:pPr>
        <w:spacing w:after="0" w:line="278"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20"/>
          <w:szCs w:val="20"/>
          <w:i w:val="1"/>
          <w:iCs w:val="1"/>
          <w:color w:val="auto"/>
        </w:rPr>
        <w:t>College Segment.</w:t>
      </w:r>
      <w:r>
        <w:rPr>
          <w:sz w:val="20"/>
          <w:szCs w:val="20"/>
          <w:color w:val="auto"/>
        </w:rPr>
        <w:t xml:space="preserve"> </w:t>
      </w:r>
      <w:r>
        <w:rPr>
          <w:rFonts w:ascii="Times New Roman" w:cs="Times New Roman" w:eastAsia="Times New Roman" w:hAnsi="Times New Roman"/>
          <w:sz w:val="19"/>
          <w:szCs w:val="19"/>
          <w:color w:val="auto"/>
        </w:rPr>
        <w:t xml:space="preserve">KNA provides exam preparation for students under Kaplan Test Prep and Manhattan Prep including the law school admissions test (LSAT), the medical college admissions test (MCAT), graduate admissions tests (GMAT and GRE), and licensing exam preparation for engineers, architects and designers. This segment also provides preparation for Engineering </w:t>
      </w:r>
      <w:r>
        <w:rPr>
          <w:rFonts w:ascii="Times New Roman" w:cs="Times New Roman" w:eastAsia="Times New Roman" w:hAnsi="Times New Roman"/>
          <w:sz w:val="18"/>
          <w:szCs w:val="18"/>
          <w:color w:val="auto"/>
        </w:rPr>
        <w:t>&amp;</w:t>
      </w:r>
      <w:r>
        <w:rPr>
          <w:rFonts w:ascii="Times New Roman" w:cs="Times New Roman" w:eastAsia="Times New Roman" w:hAnsi="Times New Roman"/>
          <w:sz w:val="19"/>
          <w:szCs w:val="19"/>
          <w:color w:val="auto"/>
        </w:rPr>
        <w:t xml:space="preserve"> Architecture certification exams under the PPI brand and for state attorney licensure exams in 50 jurisdictions through Kaplan Bar Review and Preliminary Multistate Bar</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90" w:lineRule="exact"/>
        <w:rPr>
          <w:sz w:val="20"/>
          <w:szCs w:val="20"/>
          <w:color w:val="auto"/>
        </w:rPr>
      </w:pPr>
    </w:p>
    <w:p>
      <w:pPr>
        <w:ind w:left="140"/>
        <w:spacing w:after="0"/>
        <w:tabs>
          <w:tab w:leader="none" w:pos="500" w:val="left"/>
        </w:tabs>
        <w:rPr>
          <w:sz w:val="20"/>
          <w:szCs w:val="20"/>
          <w:color w:val="auto"/>
        </w:rPr>
      </w:pPr>
      <w:r>
        <w:rPr>
          <w:rFonts w:ascii="Times New Roman" w:cs="Times New Roman" w:eastAsia="Times New Roman" w:hAnsi="Times New Roman"/>
          <w:sz w:val="19"/>
          <w:szCs w:val="19"/>
          <w:color w:val="auto"/>
        </w:rPr>
        <w:t>10</w:t>
        <w:tab/>
        <w:t>2024 FORM 10-K</w:t>
      </w:r>
    </w:p>
    <w:p>
      <w:pPr>
        <w:sectPr>
          <w:pgSz w:w="12240" w:h="15850" w:orient="portrait"/>
          <w:cols w:equalWidth="0" w:num="1">
            <w:col w:w="9365"/>
          </w:cols>
          <w:pgMar w:left="1440" w:top="1394" w:right="1440" w:bottom="721" w:gutter="0" w:footer="0" w:header="0"/>
          <w:type w:val="continuous"/>
        </w:sectPr>
      </w:pPr>
    </w:p>
    <w:bookmarkStart w:id="26" w:name="page27"/>
    <w:bookmarkEnd w:id="26"/>
    <w:p>
      <w:pPr>
        <w:jc w:val="both"/>
        <w:ind w:left="120" w:right="125" w:firstLine="11"/>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Review (PMBR). In 2024, KNA began exam development for state bar examinations. Also in 2024, KNA was awarded a contract with the State of Illinois to provide graduate school and licensure test preparation for the LSAT, MCAT, GMAT and ORE and license and certificate courses in nursing, financial services, real estate, and engineering to all Illinois public university students and all students at five community colleges in Illinois. The contract has a five-year initial term, which is subject to annual reappropriation of funds and has one optional five-year renewal term for a total contract te rm of lO years.</w:t>
      </w:r>
    </w:p>
    <w:p>
      <w:pPr>
        <w:spacing w:after="0" w:line="246" w:lineRule="exact"/>
        <w:rPr>
          <w:sz w:val="20"/>
          <w:szCs w:val="20"/>
          <w:color w:val="auto"/>
        </w:rPr>
      </w:pPr>
    </w:p>
    <w:p>
      <w:pPr>
        <w:jc w:val="both"/>
        <w:ind w:left="120" w:right="125" w:hanging="5"/>
        <w:spacing w:after="0" w:line="264" w:lineRule="auto"/>
        <w:rPr>
          <w:sz w:val="20"/>
          <w:szCs w:val="20"/>
          <w:color w:val="auto"/>
        </w:rPr>
      </w:pPr>
      <w:r>
        <w:rPr>
          <w:rFonts w:ascii="Times New Roman" w:cs="Times New Roman" w:eastAsia="Times New Roman" w:hAnsi="Times New Roman"/>
          <w:sz w:val="20"/>
          <w:szCs w:val="20"/>
          <w:i w:val="1"/>
          <w:iCs w:val="1"/>
          <w:color w:val="auto"/>
        </w:rPr>
        <w:t>Health Segment.</w:t>
      </w:r>
      <w:r>
        <w:rPr>
          <w:sz w:val="20"/>
          <w:szCs w:val="20"/>
          <w:color w:val="auto"/>
        </w:rPr>
        <w:t xml:space="preserve"> </w:t>
      </w:r>
      <w:r>
        <w:rPr>
          <w:rFonts w:ascii="Times New Roman" w:cs="Times New Roman" w:eastAsia="Times New Roman" w:hAnsi="Times New Roman"/>
          <w:sz w:val="19"/>
          <w:szCs w:val="19"/>
          <w:color w:val="auto"/>
        </w:rPr>
        <w:t>KNA provides professional licensure exam preparation for physicians (US.MLE), nurses (NCLEX), pharmacists (NAPLEX), dentists (NBDE) and physician assistants (PANCE). Under the brand i-Human Patients, KNA offers online, simulated patie nt interaction training for medical health professionals, which is typically purchased by medical, nursing and physician assistant schools. KNA 's USMLE in-person programs are accredited and the Student and Exchange Visitor Program (SEVP) is approved for F-1 students and operates under the Kaplan Medical Prep brand. Under the brand, Projects in Knowledge, KNA offers continuing medical education for physicians, nurses and pharmacists which is accredited by Joint Accreditation for Interprofessional Continuing Education.</w:t>
      </w:r>
    </w:p>
    <w:p>
      <w:pPr>
        <w:spacing w:after="0" w:line="200" w:lineRule="exact"/>
        <w:rPr>
          <w:sz w:val="20"/>
          <w:szCs w:val="20"/>
          <w:color w:val="auto"/>
        </w:rPr>
      </w:pPr>
    </w:p>
    <w:p>
      <w:pPr>
        <w:spacing w:after="0" w:line="283" w:lineRule="exact"/>
        <w:rPr>
          <w:sz w:val="20"/>
          <w:szCs w:val="20"/>
          <w:color w:val="auto"/>
        </w:rPr>
      </w:pPr>
    </w:p>
    <w:p>
      <w:pPr>
        <w:jc w:val="both"/>
        <w:ind w:left="120" w:right="125" w:firstLine="3"/>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Finance and Real Esta.te Segment. </w:t>
      </w:r>
      <w:r>
        <w:rPr>
          <w:rFonts w:ascii="Times New Roman" w:cs="Times New Roman" w:eastAsia="Times New Roman" w:hAnsi="Times New Roman"/>
          <w:sz w:val="19"/>
          <w:szCs w:val="19"/>
          <w:color w:val="auto"/>
        </w:rPr>
        <w:t>Through live and online instruction, KNA provides professional license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test preparation, licensing and continuing education, as wei] as leadership and professional development progra ms to businesses and individuals in accounting, insurance, securities, real estate, financial services and wealth management. Programs are operated under the brands Dearborn Real Estate Education, Kaplan Real Estate Education, Bob Hogue School of Real Estate, Kaplan Financial Edlllcation and Kaplan Schweser. Additionally, KNA collaborates with organizations to solve their talent management challenges through customized corporate learning and development solutions.</w:t>
      </w:r>
    </w:p>
    <w:p>
      <w:pPr>
        <w:spacing w:after="0" w:line="251" w:lineRule="exact"/>
        <w:rPr>
          <w:sz w:val="20"/>
          <w:szCs w:val="20"/>
          <w:color w:val="auto"/>
        </w:rPr>
      </w:pPr>
    </w:p>
    <w:p>
      <w:pPr>
        <w:jc w:val="both"/>
        <w:ind w:left="120" w:right="125" w:hanging="10"/>
        <w:spacing w:after="0" w:line="260" w:lineRule="auto"/>
        <w:rPr>
          <w:sz w:val="20"/>
          <w:szCs w:val="20"/>
          <w:color w:val="auto"/>
        </w:rPr>
      </w:pPr>
      <w:r>
        <w:rPr>
          <w:rFonts w:ascii="Times New Roman" w:cs="Times New Roman" w:eastAsia="Times New Roman" w:hAnsi="Times New Roman"/>
          <w:sz w:val="20"/>
          <w:szCs w:val="20"/>
          <w:i w:val="1"/>
          <w:iCs w:val="1"/>
          <w:color w:val="auto"/>
        </w:rPr>
        <w:t>Government Segment.</w:t>
      </w:r>
      <w:r>
        <w:rPr>
          <w:sz w:val="20"/>
          <w:szCs w:val="20"/>
          <w:color w:val="auto"/>
        </w:rPr>
        <w:t xml:space="preserve"> </w:t>
      </w:r>
      <w:r>
        <w:rPr>
          <w:rFonts w:ascii="Times New Roman" w:cs="Times New Roman" w:eastAsia="Times New Roman" w:hAnsi="Times New Roman"/>
          <w:sz w:val="19"/>
          <w:szCs w:val="19"/>
          <w:color w:val="auto"/>
        </w:rPr>
        <w:t xml:space="preserve">KNA offers preparation programs for the Armed Servioes Vocational Aptitude Battery (ASV AB) that measures developed </w:t>
      </w:r>
      <w:r>
        <w:rPr>
          <w:rFonts w:ascii="Arial" w:cs="Arial" w:eastAsia="Arial" w:hAnsi="Arial"/>
          <w:sz w:val="14"/>
          <w:szCs w:val="14"/>
          <w:color w:val="auto"/>
        </w:rPr>
        <w:t>ab~lities</w:t>
      </w:r>
      <w:r>
        <w:rPr>
          <w:rFonts w:ascii="Times New Roman" w:cs="Times New Roman" w:eastAsia="Times New Roman" w:hAnsi="Times New Roman"/>
          <w:sz w:val="19"/>
          <w:szCs w:val="19"/>
          <w:color w:val="auto"/>
        </w:rPr>
        <w:t xml:space="preserve"> and helps predict future academic and occupational success in the military. </w:t>
      </w:r>
      <w:r>
        <w:rPr>
          <w:rFonts w:ascii="Arial" w:cs="Arial" w:eastAsia="Arial" w:hAnsi="Arial"/>
          <w:sz w:val="19"/>
          <w:szCs w:val="19"/>
          <w:color w:val="auto"/>
        </w:rPr>
        <w:t>It</w:t>
      </w:r>
      <w:r>
        <w:rPr>
          <w:rFonts w:ascii="Times New Roman" w:cs="Times New Roman" w:eastAsia="Times New Roman" w:hAnsi="Times New Roman"/>
          <w:sz w:val="19"/>
          <w:szCs w:val="19"/>
          <w:color w:val="auto"/>
        </w:rPr>
        <w:t xml:space="preserve"> also offers practice test questions for Navy advancement exams on a subscription basis through the brand, B luejacketeer.</w:t>
      </w: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TELEVISION BROADCASTING</w:t>
      </w:r>
    </w:p>
    <w:p>
      <w:pPr>
        <w:spacing w:after="0" w:line="141"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Graham Media Group, Inc . (GMG), a subsidiary of the Company, owns seven television statio ns located in Houston, TX; Detroit, M I; Orlando, FL; San Antonio, TX; Jacksonville, FL; and Roanoke, VA, as well as Social News Desk, a provider of social media management tools for news, government, education, and enterprise sectors. The following table sets forth certain information with respect to each of the Company's television stations:</w:t>
      </w:r>
    </w:p>
    <w:p>
      <w:pPr>
        <w:spacing w:after="0" w:line="200" w:lineRule="exact"/>
        <w:rPr>
          <w:sz w:val="20"/>
          <w:szCs w:val="20"/>
          <w:color w:val="auto"/>
        </w:rPr>
      </w:pPr>
    </w:p>
    <w:p>
      <w:pPr>
        <w:spacing w:after="0" w:line="228"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Station, Location a nd</w:t>
            </w:r>
          </w:p>
        </w:tc>
        <w:tc>
          <w:tcPr>
            <w:tcW w:w="10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53"/>
        </w:trPr>
        <w:tc>
          <w:tcPr>
            <w:tcW w:w="2660" w:type="dxa"/>
            <w:vAlign w:val="bottom"/>
            <w:gridSpan w:val="3"/>
          </w:tcPr>
          <w:p>
            <w:pPr>
              <w:spacing w:after="0" w:line="153" w:lineRule="exact"/>
              <w:rPr>
                <w:sz w:val="20"/>
                <w:szCs w:val="20"/>
                <w:color w:val="auto"/>
              </w:rPr>
            </w:pPr>
            <w:r>
              <w:rPr>
                <w:rFonts w:ascii="Times New Roman" w:cs="Times New Roman" w:eastAsia="Times New Roman" w:hAnsi="Times New Roman"/>
                <w:sz w:val="15"/>
                <w:szCs w:val="15"/>
                <w:color w:val="auto"/>
              </w:rPr>
              <w:t>Year Commercial</w:t>
            </w:r>
          </w:p>
        </w:tc>
        <w:tc>
          <w:tcPr>
            <w:tcW w:w="1060" w:type="dxa"/>
            <w:vAlign w:val="bottom"/>
          </w:tcPr>
          <w:p>
            <w:pPr>
              <w:spacing w:after="0"/>
              <w:rPr>
                <w:sz w:val="13"/>
                <w:szCs w:val="13"/>
                <w:color w:val="auto"/>
              </w:rPr>
            </w:pPr>
          </w:p>
        </w:tc>
        <w:tc>
          <w:tcPr>
            <w:tcW w:w="74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rPr>
              <w:t>National</w:t>
            </w:r>
          </w:p>
        </w:tc>
        <w:tc>
          <w:tcPr>
            <w:tcW w:w="200" w:type="dxa"/>
            <w:vAlign w:val="bottom"/>
          </w:tcPr>
          <w:p>
            <w:pPr>
              <w:spacing w:after="0"/>
              <w:rPr>
                <w:sz w:val="13"/>
                <w:szCs w:val="13"/>
                <w:color w:val="auto"/>
              </w:rPr>
            </w:pPr>
          </w:p>
        </w:tc>
        <w:tc>
          <w:tcPr>
            <w:tcW w:w="72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rPr>
              <w:t>Primary</w:t>
            </w:r>
          </w:p>
        </w:tc>
        <w:tc>
          <w:tcPr>
            <w:tcW w:w="180" w:type="dxa"/>
            <w:vAlign w:val="bottom"/>
          </w:tcPr>
          <w:p>
            <w:pPr>
              <w:spacing w:after="0"/>
              <w:rPr>
                <w:sz w:val="13"/>
                <w:szCs w:val="13"/>
                <w:color w:val="auto"/>
              </w:rPr>
            </w:pPr>
          </w:p>
        </w:tc>
        <w:tc>
          <w:tcPr>
            <w:tcW w:w="1160" w:type="dxa"/>
            <w:vAlign w:val="bottom"/>
            <w:gridSpan w:val="3"/>
          </w:tcPr>
          <w:p>
            <w:pPr>
              <w:jc w:val="center"/>
              <w:ind w:right="120"/>
              <w:spacing w:after="0" w:line="153" w:lineRule="exact"/>
              <w:rPr>
                <w:sz w:val="20"/>
                <w:szCs w:val="20"/>
                <w:color w:val="auto"/>
              </w:rPr>
            </w:pPr>
            <w:r>
              <w:rPr>
                <w:rFonts w:ascii="Times New Roman" w:cs="Times New Roman" w:eastAsia="Times New Roman" w:hAnsi="Times New Roman"/>
                <w:sz w:val="15"/>
                <w:szCs w:val="15"/>
                <w:color w:val="auto"/>
              </w:rPr>
              <w:t>Expiration</w:t>
            </w:r>
          </w:p>
        </w:tc>
        <w:tc>
          <w:tcPr>
            <w:tcW w:w="100" w:type="dxa"/>
            <w:vAlign w:val="bottom"/>
          </w:tcPr>
          <w:p>
            <w:pPr>
              <w:spacing w:after="0"/>
              <w:rPr>
                <w:sz w:val="13"/>
                <w:szCs w:val="13"/>
                <w:color w:val="auto"/>
              </w:rPr>
            </w:pPr>
          </w:p>
        </w:tc>
        <w:tc>
          <w:tcPr>
            <w:tcW w:w="128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rPr>
              <w:t>Expiration Date</w:t>
            </w:r>
          </w:p>
        </w:tc>
        <w:tc>
          <w:tcPr>
            <w:tcW w:w="1020" w:type="dxa"/>
            <w:vAlign w:val="bottom"/>
            <w:gridSpan w:val="2"/>
          </w:tcPr>
          <w:p>
            <w:pPr>
              <w:jc w:val="center"/>
              <w:ind w:left="86"/>
              <w:spacing w:after="0" w:line="153" w:lineRule="exact"/>
              <w:rPr>
                <w:sz w:val="20"/>
                <w:szCs w:val="20"/>
                <w:color w:val="auto"/>
              </w:rPr>
            </w:pPr>
            <w:r>
              <w:rPr>
                <w:rFonts w:ascii="Times New Roman" w:cs="Times New Roman" w:eastAsia="Times New Roman" w:hAnsi="Times New Roman"/>
                <w:sz w:val="15"/>
                <w:szCs w:val="15"/>
                <w:color w:val="auto"/>
              </w:rPr>
              <w:t>Commercial</w:t>
            </w:r>
          </w:p>
        </w:tc>
        <w:tc>
          <w:tcPr>
            <w:tcW w:w="0" w:type="dxa"/>
            <w:vAlign w:val="bottom"/>
          </w:tcPr>
          <w:p>
            <w:pPr>
              <w:spacing w:after="0"/>
              <w:rPr>
                <w:sz w:val="1"/>
                <w:szCs w:val="1"/>
                <w:color w:val="auto"/>
              </w:rPr>
            </w:pPr>
          </w:p>
        </w:tc>
      </w:tr>
      <w:tr>
        <w:trPr>
          <w:trHeight w:val="162"/>
        </w:trPr>
        <w:tc>
          <w:tcPr>
            <w:tcW w:w="2660" w:type="dxa"/>
            <w:vAlign w:val="bottom"/>
            <w:gridSpan w:val="3"/>
          </w:tcPr>
          <w:p>
            <w:pPr>
              <w:spacing w:after="0" w:line="162" w:lineRule="exact"/>
              <w:rPr>
                <w:sz w:val="20"/>
                <w:szCs w:val="20"/>
                <w:color w:val="auto"/>
              </w:rPr>
            </w:pPr>
            <w:r>
              <w:rPr>
                <w:rFonts w:ascii="Times New Roman" w:cs="Times New Roman" w:eastAsia="Times New Roman" w:hAnsi="Times New Roman"/>
                <w:sz w:val="15"/>
                <w:szCs w:val="15"/>
                <w:color w:val="auto"/>
              </w:rPr>
              <w:t>Operation</w:t>
            </w:r>
          </w:p>
        </w:tc>
        <w:tc>
          <w:tcPr>
            <w:tcW w:w="106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Market</w:t>
            </w:r>
          </w:p>
        </w:tc>
        <w:tc>
          <w:tcPr>
            <w:tcW w:w="20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Network</w:t>
            </w:r>
          </w:p>
        </w:tc>
        <w:tc>
          <w:tcPr>
            <w:tcW w:w="180" w:type="dxa"/>
            <w:vAlign w:val="bottom"/>
          </w:tcPr>
          <w:p>
            <w:pPr>
              <w:spacing w:after="0"/>
              <w:rPr>
                <w:sz w:val="14"/>
                <w:szCs w:val="14"/>
                <w:color w:val="auto"/>
              </w:rPr>
            </w:pPr>
          </w:p>
        </w:tc>
        <w:tc>
          <w:tcPr>
            <w:tcW w:w="1160" w:type="dxa"/>
            <w:vAlign w:val="bottom"/>
            <w:gridSpan w:val="3"/>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Date of FCC</w:t>
            </w:r>
          </w:p>
        </w:tc>
        <w:tc>
          <w:tcPr>
            <w:tcW w:w="100" w:type="dxa"/>
            <w:vAlign w:val="bottom"/>
          </w:tcPr>
          <w:p>
            <w:pPr>
              <w:spacing w:after="0"/>
              <w:rPr>
                <w:sz w:val="14"/>
                <w:szCs w:val="14"/>
                <w:color w:val="auto"/>
              </w:rPr>
            </w:pPr>
          </w:p>
        </w:tc>
        <w:tc>
          <w:tcPr>
            <w:tcW w:w="128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of Network</w:t>
            </w:r>
          </w:p>
        </w:tc>
        <w:tc>
          <w:tcPr>
            <w:tcW w:w="180" w:type="dxa"/>
            <w:vAlign w:val="bottom"/>
          </w:tcPr>
          <w:p>
            <w:pPr>
              <w:spacing w:after="0"/>
              <w:rPr>
                <w:sz w:val="14"/>
                <w:szCs w:val="14"/>
                <w:color w:val="auto"/>
              </w:rPr>
            </w:pPr>
          </w:p>
        </w:tc>
        <w:tc>
          <w:tcPr>
            <w:tcW w:w="84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Stations</w:t>
            </w:r>
          </w:p>
        </w:tc>
        <w:tc>
          <w:tcPr>
            <w:tcW w:w="0" w:type="dxa"/>
            <w:vAlign w:val="bottom"/>
          </w:tcPr>
          <w:p>
            <w:pPr>
              <w:spacing w:after="0"/>
              <w:rPr>
                <w:sz w:val="1"/>
                <w:szCs w:val="1"/>
                <w:color w:val="auto"/>
              </w:rPr>
            </w:pPr>
          </w:p>
        </w:tc>
      </w:tr>
      <w:tr>
        <w:trPr>
          <w:trHeight w:val="179"/>
        </w:trPr>
        <w:tc>
          <w:tcPr>
            <w:tcW w:w="266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Commenced</w:t>
            </w:r>
          </w:p>
        </w:tc>
        <w:tc>
          <w:tcPr>
            <w:tcW w:w="1060" w:type="dxa"/>
            <w:vAlign w:val="bottom"/>
          </w:tcPr>
          <w:p>
            <w:pPr>
              <w:spacing w:after="0"/>
              <w:rPr>
                <w:sz w:val="15"/>
                <w:szCs w:val="15"/>
                <w:color w:val="auto"/>
              </w:rPr>
            </w:pPr>
          </w:p>
        </w:tc>
        <w:tc>
          <w:tcPr>
            <w:tcW w:w="74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Ranking &lt;•l</w:t>
            </w:r>
          </w:p>
        </w:tc>
        <w:tc>
          <w:tcPr>
            <w:tcW w:w="920" w:type="dxa"/>
            <w:vAlign w:val="bottom"/>
            <w:gridSpan w:val="2"/>
          </w:tcPr>
          <w:p>
            <w:pPr>
              <w:jc w:val="center"/>
              <w:ind w:left="103"/>
              <w:spacing w:after="0" w:line="169" w:lineRule="exact"/>
              <w:rPr>
                <w:sz w:val="20"/>
                <w:szCs w:val="20"/>
                <w:color w:val="auto"/>
              </w:rPr>
            </w:pPr>
            <w:r>
              <w:rPr>
                <w:rFonts w:ascii="Times New Roman" w:cs="Times New Roman" w:eastAsia="Times New Roman" w:hAnsi="Times New Roman"/>
                <w:sz w:val="15"/>
                <w:szCs w:val="15"/>
                <w:color w:val="auto"/>
                <w:w w:val="98"/>
              </w:rPr>
              <w:t>Affilia tio n</w:t>
            </w:r>
          </w:p>
        </w:tc>
        <w:tc>
          <w:tcPr>
            <w:tcW w:w="180" w:type="dxa"/>
            <w:vAlign w:val="bottom"/>
          </w:tcPr>
          <w:p>
            <w:pPr>
              <w:spacing w:after="0"/>
              <w:rPr>
                <w:sz w:val="15"/>
                <w:szCs w:val="15"/>
                <w:color w:val="auto"/>
              </w:rPr>
            </w:pPr>
          </w:p>
        </w:tc>
        <w:tc>
          <w:tcPr>
            <w:tcW w:w="11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License</w:t>
            </w:r>
          </w:p>
        </w:tc>
        <w:tc>
          <w:tcPr>
            <w:tcW w:w="100" w:type="dxa"/>
            <w:vAlign w:val="bottom"/>
          </w:tcPr>
          <w:p>
            <w:pPr>
              <w:spacing w:after="0"/>
              <w:rPr>
                <w:sz w:val="15"/>
                <w:szCs w:val="15"/>
                <w:color w:val="auto"/>
              </w:rPr>
            </w:pPr>
          </w:p>
        </w:tc>
        <w:tc>
          <w:tcPr>
            <w:tcW w:w="128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rPr>
              <w:t>Agreement</w:t>
            </w:r>
          </w:p>
        </w:tc>
        <w:tc>
          <w:tcPr>
            <w:tcW w:w="180" w:type="dxa"/>
            <w:vAlign w:val="bottom"/>
          </w:tcPr>
          <w:p>
            <w:pPr>
              <w:spacing w:after="0"/>
              <w:rPr>
                <w:sz w:val="15"/>
                <w:szCs w:val="15"/>
                <w:color w:val="auto"/>
              </w:rPr>
            </w:pPr>
          </w:p>
        </w:tc>
        <w:tc>
          <w:tcPr>
            <w:tcW w:w="840" w:type="dxa"/>
            <w:vAlign w:val="bottom"/>
          </w:tcPr>
          <w:p>
            <w:pPr>
              <w:jc w:val="center"/>
              <w:spacing w:after="0" w:line="169" w:lineRule="exact"/>
              <w:rPr>
                <w:sz w:val="20"/>
                <w:szCs w:val="20"/>
                <w:color w:val="auto"/>
              </w:rPr>
            </w:pPr>
            <w:r>
              <w:rPr>
                <w:rFonts w:ascii="Times New Roman" w:cs="Times New Roman" w:eastAsia="Times New Roman" w:hAnsi="Times New Roman"/>
                <w:sz w:val="15"/>
                <w:szCs w:val="15"/>
                <w:color w:val="auto"/>
                <w:w w:val="96"/>
              </w:rPr>
              <w:t>inDMA &lt;b&gt;</w:t>
            </w:r>
          </w:p>
        </w:tc>
        <w:tc>
          <w:tcPr>
            <w:tcW w:w="0" w:type="dxa"/>
            <w:vAlign w:val="bottom"/>
          </w:tcPr>
          <w:p>
            <w:pPr>
              <w:spacing w:after="0"/>
              <w:rPr>
                <w:sz w:val="1"/>
                <w:szCs w:val="1"/>
                <w:color w:val="auto"/>
              </w:rPr>
            </w:pPr>
          </w:p>
        </w:tc>
      </w:tr>
      <w:tr>
        <w:trPr>
          <w:trHeight w:val="34"/>
        </w:trPr>
        <w:tc>
          <w:tcPr>
            <w:tcW w:w="1480" w:type="dxa"/>
            <w:vAlign w:val="bottom"/>
            <w:tcBorders>
              <w:bottom w:val="single" w:sz="8" w:color="403C3C"/>
            </w:tcBorders>
            <w:gridSpan w:val="2"/>
          </w:tcPr>
          <w:p>
            <w:pPr>
              <w:spacing w:after="0"/>
              <w:rPr>
                <w:sz w:val="2"/>
                <w:szCs w:val="2"/>
                <w:color w:val="auto"/>
              </w:rPr>
            </w:pPr>
          </w:p>
        </w:tc>
        <w:tc>
          <w:tcPr>
            <w:tcW w:w="1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74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403C3C"/>
            </w:tcBorders>
          </w:tcPr>
          <w:p>
            <w:pPr>
              <w:spacing w:after="0"/>
              <w:rPr>
                <w:sz w:val="2"/>
                <w:szCs w:val="2"/>
                <w:color w:val="auto"/>
              </w:rPr>
            </w:pPr>
          </w:p>
        </w:tc>
        <w:tc>
          <w:tcPr>
            <w:tcW w:w="440" w:type="dxa"/>
            <w:vAlign w:val="bottom"/>
            <w:tcBorders>
              <w:bottom w:val="single" w:sz="8" w:color="403C3C"/>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Borders>
              <w:bottom w:val="single" w:sz="8" w:color="403C3C"/>
            </w:tcBorders>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26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 xml:space="preserve">KPRC, Houston, TX, 1949 </w:t>
            </w:r>
            <w:r>
              <w:rPr>
                <w:rFonts w:ascii="Arial" w:cs="Arial" w:eastAsia="Arial" w:hAnsi="Arial"/>
                <w:sz w:val="23"/>
                <w:szCs w:val="23"/>
                <w:color w:val="auto"/>
              </w:rPr>
              <w:t>.. ..</w:t>
            </w:r>
          </w:p>
        </w:tc>
        <w:tc>
          <w:tcPr>
            <w:tcW w:w="1060" w:type="dxa"/>
            <w:vAlign w:val="bottom"/>
          </w:tcPr>
          <w:p>
            <w:pPr>
              <w:jc w:val="right"/>
              <w:ind w:right="74"/>
              <w:spacing w:after="0"/>
              <w:rPr>
                <w:sz w:val="20"/>
                <w:szCs w:val="20"/>
                <w:color w:val="auto"/>
              </w:rPr>
            </w:pPr>
            <w:r>
              <w:rPr>
                <w:rFonts w:ascii="Arial" w:cs="Arial" w:eastAsia="Arial" w:hAnsi="Arial"/>
                <w:sz w:val="23"/>
                <w:szCs w:val="23"/>
                <w:color w:val="auto"/>
              </w:rPr>
              <w:t>..... ... .</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9"/>
                <w:szCs w:val="19"/>
                <w:color w:val="auto"/>
              </w:rPr>
              <w:t>6th</w:t>
            </w:r>
          </w:p>
        </w:tc>
        <w:tc>
          <w:tcPr>
            <w:tcW w:w="2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NBC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Aug . 1,</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2030</w:t>
            </w:r>
          </w:p>
        </w:tc>
        <w:tc>
          <w:tcPr>
            <w:tcW w:w="100" w:type="dxa"/>
            <w:vAlign w:val="bottom"/>
          </w:tcPr>
          <w:p>
            <w:pPr>
              <w:spacing w:after="0"/>
              <w:rPr>
                <w:sz w:val="24"/>
                <w:szCs w:val="24"/>
                <w:color w:val="auto"/>
              </w:rPr>
            </w:pPr>
          </w:p>
        </w:tc>
        <w:tc>
          <w:tcPr>
            <w:tcW w:w="1280" w:type="dxa"/>
            <w:vAlign w:val="bottom"/>
          </w:tcPr>
          <w:p>
            <w:pPr>
              <w:jc w:val="center"/>
              <w:ind w:left="32"/>
              <w:spacing w:after="0"/>
              <w:rPr>
                <w:sz w:val="20"/>
                <w:szCs w:val="20"/>
                <w:color w:val="auto"/>
              </w:rPr>
            </w:pPr>
            <w:r>
              <w:rPr>
                <w:rFonts w:ascii="Times New Roman" w:cs="Times New Roman" w:eastAsia="Times New Roman" w:hAnsi="Times New Roman"/>
                <w:sz w:val="19"/>
                <w:szCs w:val="19"/>
                <w:color w:val="auto"/>
              </w:rPr>
              <w:t>Dec. 31 , 2025</w:t>
            </w:r>
          </w:p>
        </w:tc>
        <w:tc>
          <w:tcPr>
            <w:tcW w:w="1020" w:type="dxa"/>
            <w:vAlign w:val="bottom"/>
            <w:gridSpan w:val="2"/>
          </w:tcPr>
          <w:p>
            <w:pPr>
              <w:jc w:val="right"/>
              <w:ind w:right="243"/>
              <w:spacing w:after="0"/>
              <w:rPr>
                <w:sz w:val="20"/>
                <w:szCs w:val="20"/>
                <w:color w:val="auto"/>
              </w:rPr>
            </w:pPr>
            <w:r>
              <w:rPr>
                <w:rFonts w:ascii="Times New Roman" w:cs="Times New Roman" w:eastAsia="Times New Roman" w:hAnsi="Times New Roman"/>
                <w:sz w:val="19"/>
                <w:szCs w:val="19"/>
                <w:color w:val="auto"/>
              </w:rPr>
              <w:t>14</w:t>
            </w:r>
          </w:p>
        </w:tc>
        <w:tc>
          <w:tcPr>
            <w:tcW w:w="0" w:type="dxa"/>
            <w:vAlign w:val="bottom"/>
          </w:tcPr>
          <w:p>
            <w:pPr>
              <w:spacing w:after="0"/>
              <w:rPr>
                <w:sz w:val="1"/>
                <w:szCs w:val="1"/>
                <w:color w:val="auto"/>
              </w:rPr>
            </w:pPr>
          </w:p>
        </w:tc>
      </w:tr>
      <w:tr>
        <w:trPr>
          <w:trHeight w:val="240"/>
        </w:trPr>
        <w:tc>
          <w:tcPr>
            <w:tcW w:w="37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WDIV, Detroit, MI, 1947  ..............</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9"/>
                <w:szCs w:val="19"/>
                <w:color w:val="auto"/>
              </w:rPr>
              <w:t>14th</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NBC</w:t>
            </w:r>
          </w:p>
        </w:tc>
        <w:tc>
          <w:tcPr>
            <w:tcW w:w="18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Oct. l ,</w:t>
            </w:r>
          </w:p>
        </w:tc>
        <w:tc>
          <w:tcPr>
            <w:tcW w:w="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2029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center"/>
              <w:ind w:left="32"/>
              <w:spacing w:after="0"/>
              <w:rPr>
                <w:sz w:val="20"/>
                <w:szCs w:val="20"/>
                <w:color w:val="auto"/>
              </w:rPr>
            </w:pPr>
            <w:r>
              <w:rPr>
                <w:rFonts w:ascii="Times New Roman" w:cs="Times New Roman" w:eastAsia="Times New Roman" w:hAnsi="Times New Roman"/>
                <w:sz w:val="19"/>
                <w:szCs w:val="19"/>
                <w:color w:val="auto"/>
              </w:rPr>
              <w:t>Dec. 31 , 2025</w:t>
            </w:r>
          </w:p>
        </w:tc>
        <w:tc>
          <w:tcPr>
            <w:tcW w:w="1020" w:type="dxa"/>
            <w:vAlign w:val="bottom"/>
            <w:gridSpan w:val="2"/>
          </w:tcPr>
          <w:p>
            <w:pPr>
              <w:jc w:val="right"/>
              <w:ind w:right="243"/>
              <w:spacing w:after="0"/>
              <w:rPr>
                <w:sz w:val="20"/>
                <w:szCs w:val="20"/>
                <w:color w:val="auto"/>
              </w:rPr>
            </w:pPr>
            <w:r>
              <w:rPr>
                <w:rFonts w:ascii="Times New Roman" w:cs="Times New Roman" w:eastAsia="Times New Roman" w:hAnsi="Times New Roman"/>
                <w:sz w:val="20"/>
                <w:szCs w:val="20"/>
                <w:color w:val="auto"/>
              </w:rPr>
              <w:t>8</w:t>
            </w:r>
          </w:p>
        </w:tc>
        <w:tc>
          <w:tcPr>
            <w:tcW w:w="0" w:type="dxa"/>
            <w:vAlign w:val="bottom"/>
          </w:tcPr>
          <w:p>
            <w:pPr>
              <w:spacing w:after="0"/>
              <w:rPr>
                <w:sz w:val="1"/>
                <w:szCs w:val="1"/>
                <w:color w:val="auto"/>
              </w:rPr>
            </w:pPr>
          </w:p>
        </w:tc>
      </w:tr>
      <w:tr>
        <w:trPr>
          <w:trHeight w:val="236"/>
        </w:trPr>
        <w:tc>
          <w:tcPr>
            <w:tcW w:w="37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 xml:space="preserve">WKMG, Orlando, FL, 1954  </w:t>
            </w:r>
            <w:r>
              <w:rPr>
                <w:rFonts w:ascii="Times New Roman" w:cs="Times New Roman" w:eastAsia="Times New Roman" w:hAnsi="Times New Roman"/>
                <w:sz w:val="3"/>
                <w:szCs w:val="3"/>
                <w:color w:val="auto"/>
              </w:rPr>
              <w:t>••••      0 .     0      ••••     0</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9"/>
                <w:szCs w:val="19"/>
                <w:color w:val="auto"/>
              </w:rPr>
              <w:t>15th</w:t>
            </w:r>
          </w:p>
        </w:tc>
        <w:tc>
          <w:tcPr>
            <w:tcW w:w="20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CBS</w:t>
            </w:r>
          </w:p>
        </w:tc>
        <w:tc>
          <w:tcPr>
            <w:tcW w:w="180" w:type="dxa"/>
            <w:vAlign w:val="bottom"/>
          </w:tcPr>
          <w:p>
            <w:pPr>
              <w:spacing w:after="0"/>
              <w:rPr>
                <w:sz w:val="20"/>
                <w:szCs w:val="20"/>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9"/>
                <w:szCs w:val="19"/>
                <w:color w:val="auto"/>
              </w:rPr>
              <w:t>Feb. 1,2029</w:t>
            </w:r>
          </w:p>
        </w:tc>
        <w:tc>
          <w:tcPr>
            <w:tcW w:w="100" w:type="dxa"/>
            <w:vAlign w:val="bottom"/>
          </w:tcPr>
          <w:p>
            <w:pPr>
              <w:spacing w:after="0"/>
              <w:rPr>
                <w:sz w:val="20"/>
                <w:szCs w:val="20"/>
                <w:color w:val="auto"/>
              </w:rPr>
            </w:pPr>
          </w:p>
        </w:tc>
        <w:tc>
          <w:tcPr>
            <w:tcW w:w="1280" w:type="dxa"/>
            <w:vAlign w:val="bottom"/>
          </w:tcPr>
          <w:p>
            <w:pPr>
              <w:jc w:val="center"/>
              <w:ind w:left="32"/>
              <w:spacing w:after="0"/>
              <w:rPr>
                <w:sz w:val="20"/>
                <w:szCs w:val="20"/>
                <w:color w:val="auto"/>
              </w:rPr>
            </w:pPr>
            <w:r>
              <w:rPr>
                <w:rFonts w:ascii="Times New Roman" w:cs="Times New Roman" w:eastAsia="Times New Roman" w:hAnsi="Times New Roman"/>
                <w:sz w:val="19"/>
                <w:szCs w:val="19"/>
                <w:color w:val="auto"/>
              </w:rPr>
              <w:t>June 30, 2026</w:t>
            </w:r>
          </w:p>
        </w:tc>
        <w:tc>
          <w:tcPr>
            <w:tcW w:w="1020" w:type="dxa"/>
            <w:vAlign w:val="bottom"/>
            <w:gridSpan w:val="2"/>
          </w:tcPr>
          <w:p>
            <w:pPr>
              <w:jc w:val="right"/>
              <w:ind w:right="243"/>
              <w:spacing w:after="0"/>
              <w:rPr>
                <w:sz w:val="20"/>
                <w:szCs w:val="20"/>
                <w:color w:val="auto"/>
              </w:rPr>
            </w:pPr>
            <w:r>
              <w:rPr>
                <w:rFonts w:ascii="Times New Roman" w:cs="Times New Roman" w:eastAsia="Times New Roman" w:hAnsi="Times New Roman"/>
                <w:sz w:val="19"/>
                <w:szCs w:val="19"/>
                <w:color w:val="auto"/>
              </w:rPr>
              <w:t>12</w:t>
            </w:r>
          </w:p>
        </w:tc>
        <w:tc>
          <w:tcPr>
            <w:tcW w:w="0" w:type="dxa"/>
            <w:vAlign w:val="bottom"/>
          </w:tcPr>
          <w:p>
            <w:pPr>
              <w:spacing w:after="0"/>
              <w:rPr>
                <w:sz w:val="1"/>
                <w:szCs w:val="1"/>
                <w:color w:val="auto"/>
              </w:rPr>
            </w:pPr>
          </w:p>
        </w:tc>
      </w:tr>
      <w:tr>
        <w:trPr>
          <w:trHeight w:val="267"/>
        </w:trPr>
        <w:tc>
          <w:tcPr>
            <w:tcW w:w="2660" w:type="dxa"/>
            <w:vAlign w:val="bottom"/>
            <w:gridSpan w:val="3"/>
          </w:tcPr>
          <w:p>
            <w:pPr>
              <w:spacing w:after="0" w:line="267" w:lineRule="exact"/>
              <w:rPr>
                <w:sz w:val="20"/>
                <w:szCs w:val="20"/>
                <w:color w:val="auto"/>
              </w:rPr>
            </w:pPr>
            <w:r>
              <w:rPr>
                <w:rFonts w:ascii="Times New Roman" w:cs="Times New Roman" w:eastAsia="Times New Roman" w:hAnsi="Times New Roman"/>
                <w:sz w:val="15"/>
                <w:szCs w:val="15"/>
                <w:color w:val="auto"/>
              </w:rPr>
              <w:t xml:space="preserve">KSAT, San Antonio, TX, 1957 </w:t>
            </w:r>
            <w:r>
              <w:rPr>
                <w:rFonts w:ascii="Arial" w:cs="Arial" w:eastAsia="Arial" w:hAnsi="Arial"/>
                <w:sz w:val="30"/>
                <w:szCs w:val="30"/>
                <w:color w:val="auto"/>
                <w:vertAlign w:val="subscript"/>
              </w:rPr>
              <w:t>......</w:t>
            </w:r>
            <w:r>
              <w:rPr>
                <w:rFonts w:ascii="Times New Roman" w:cs="Times New Roman" w:eastAsia="Times New Roman" w:hAnsi="Times New Roman"/>
                <w:sz w:val="15"/>
                <w:szCs w:val="15"/>
                <w:color w:val="auto"/>
              </w:rPr>
              <w:t>.</w:t>
            </w:r>
          </w:p>
        </w:tc>
        <w:tc>
          <w:tcPr>
            <w:tcW w:w="1060" w:type="dxa"/>
            <w:vAlign w:val="bottom"/>
            <w:vMerge w:val="restart"/>
          </w:tcPr>
          <w:p>
            <w:pPr>
              <w:jc w:val="right"/>
              <w:ind w:right="94"/>
              <w:spacing w:after="0" w:line="458" w:lineRule="exact"/>
              <w:rPr>
                <w:sz w:val="20"/>
                <w:szCs w:val="20"/>
                <w:color w:val="auto"/>
              </w:rPr>
            </w:pPr>
            <w:r>
              <w:rPr>
                <w:rFonts w:ascii="Times New Roman" w:cs="Times New Roman" w:eastAsia="Times New Roman" w:hAnsi="Times New Roman"/>
                <w:sz w:val="19"/>
                <w:szCs w:val="19"/>
                <w:color w:val="auto"/>
                <w:w w:val="99"/>
              </w:rPr>
              <w:t>.. .......</w:t>
            </w:r>
            <w:r>
              <w:rPr>
                <w:rFonts w:ascii="Times New Roman" w:cs="Times New Roman" w:eastAsia="Times New Roman" w:hAnsi="Times New Roman"/>
                <w:sz w:val="49"/>
                <w:szCs w:val="49"/>
                <w:color w:val="auto"/>
                <w:w w:val="99"/>
                <w:vertAlign w:val="subscript"/>
              </w:rPr>
              <w:t>-</w:t>
            </w:r>
            <w:r>
              <w:rPr>
                <w:rFonts w:ascii="Arial" w:cs="Arial" w:eastAsia="Arial" w:hAnsi="Arial"/>
                <w:sz w:val="46"/>
                <w:szCs w:val="46"/>
                <w:color w:val="auto"/>
                <w:w w:val="99"/>
                <w:vertAlign w:val="subscript"/>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31st</w:t>
            </w:r>
          </w:p>
        </w:tc>
        <w:tc>
          <w:tcPr>
            <w:tcW w:w="2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ABC</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Aug . 1,</w:t>
            </w:r>
          </w:p>
        </w:tc>
        <w:tc>
          <w:tcPr>
            <w:tcW w:w="54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2030</w:t>
            </w:r>
          </w:p>
        </w:tc>
        <w:tc>
          <w:tcPr>
            <w:tcW w:w="1380" w:type="dxa"/>
            <w:vAlign w:val="bottom"/>
            <w:gridSpan w:val="2"/>
          </w:tcPr>
          <w:p>
            <w:pPr>
              <w:jc w:val="center"/>
              <w:spacing w:after="0"/>
              <w:rPr>
                <w:sz w:val="20"/>
                <w:szCs w:val="20"/>
                <w:color w:val="auto"/>
              </w:rPr>
            </w:pPr>
            <w:r>
              <w:rPr>
                <w:rFonts w:ascii="Times New Roman" w:cs="Times New Roman" w:eastAsia="Times New Roman" w:hAnsi="Times New Roman"/>
                <w:sz w:val="19"/>
                <w:szCs w:val="19"/>
                <w:color w:val="auto"/>
              </w:rPr>
              <w:t>March 31, 2026</w:t>
            </w:r>
          </w:p>
        </w:tc>
        <w:tc>
          <w:tcPr>
            <w:tcW w:w="1020" w:type="dxa"/>
            <w:vAlign w:val="bottom"/>
            <w:gridSpan w:val="2"/>
          </w:tcPr>
          <w:p>
            <w:pPr>
              <w:jc w:val="right"/>
              <w:ind w:right="243"/>
              <w:spacing w:after="0"/>
              <w:rPr>
                <w:sz w:val="20"/>
                <w:szCs w:val="20"/>
                <w:color w:val="auto"/>
              </w:rPr>
            </w:pPr>
            <w:r>
              <w:rPr>
                <w:rFonts w:ascii="Times New Roman" w:cs="Times New Roman" w:eastAsia="Times New Roman" w:hAnsi="Times New Roman"/>
                <w:sz w:val="19"/>
                <w:szCs w:val="19"/>
                <w:color w:val="auto"/>
              </w:rPr>
              <w:t>13</w:t>
            </w:r>
          </w:p>
        </w:tc>
        <w:tc>
          <w:tcPr>
            <w:tcW w:w="0" w:type="dxa"/>
            <w:vAlign w:val="bottom"/>
          </w:tcPr>
          <w:p>
            <w:pPr>
              <w:spacing w:after="0"/>
              <w:rPr>
                <w:sz w:val="1"/>
                <w:szCs w:val="1"/>
                <w:color w:val="auto"/>
              </w:rPr>
            </w:pPr>
          </w:p>
        </w:tc>
      </w:tr>
      <w:tr>
        <w:trPr>
          <w:trHeight w:val="193"/>
        </w:trPr>
        <w:tc>
          <w:tcPr>
            <w:tcW w:w="2660" w:type="dxa"/>
            <w:vAlign w:val="bottom"/>
            <w:gridSpan w:val="3"/>
          </w:tcPr>
          <w:p>
            <w:pPr>
              <w:spacing w:after="0" w:line="193" w:lineRule="exact"/>
              <w:rPr>
                <w:sz w:val="20"/>
                <w:szCs w:val="20"/>
                <w:color w:val="auto"/>
              </w:rPr>
            </w:pPr>
            <w:r>
              <w:rPr>
                <w:rFonts w:ascii="Times New Roman" w:cs="Times New Roman" w:eastAsia="Times New Roman" w:hAnsi="Times New Roman"/>
                <w:sz w:val="19"/>
                <w:szCs w:val="19"/>
                <w:color w:val="auto"/>
              </w:rPr>
              <w:t>WJXT, Jacksonville, FL, 1947</w:t>
            </w:r>
          </w:p>
        </w:tc>
        <w:tc>
          <w:tcPr>
            <w:tcW w:w="1060" w:type="dxa"/>
            <w:vAlign w:val="bottom"/>
            <w:vMerge w:val="continue"/>
          </w:tcPr>
          <w:p>
            <w:pPr>
              <w:spacing w:after="0"/>
              <w:rPr>
                <w:sz w:val="16"/>
                <w:szCs w:val="16"/>
                <w:color w:val="auto"/>
              </w:rPr>
            </w:pPr>
          </w:p>
        </w:tc>
        <w:tc>
          <w:tcPr>
            <w:tcW w:w="740" w:type="dxa"/>
            <w:vAlign w:val="bottom"/>
          </w:tcPr>
          <w:p>
            <w:pPr>
              <w:jc w:val="right"/>
              <w:ind w:right="110"/>
              <w:spacing w:after="0" w:line="193" w:lineRule="exact"/>
              <w:rPr>
                <w:sz w:val="20"/>
                <w:szCs w:val="20"/>
                <w:color w:val="auto"/>
              </w:rPr>
            </w:pPr>
            <w:r>
              <w:rPr>
                <w:rFonts w:ascii="Times New Roman" w:cs="Times New Roman" w:eastAsia="Times New Roman" w:hAnsi="Times New Roman"/>
                <w:sz w:val="19"/>
                <w:szCs w:val="19"/>
                <w:color w:val="auto"/>
              </w:rPr>
              <w:t>4 1st</w:t>
            </w:r>
          </w:p>
        </w:tc>
        <w:tc>
          <w:tcPr>
            <w:tcW w:w="200" w:type="dxa"/>
            <w:vAlign w:val="bottom"/>
          </w:tcPr>
          <w:p>
            <w:pPr>
              <w:spacing w:after="0"/>
              <w:rPr>
                <w:sz w:val="16"/>
                <w:szCs w:val="16"/>
                <w:color w:val="auto"/>
              </w:rPr>
            </w:pPr>
          </w:p>
        </w:tc>
        <w:tc>
          <w:tcPr>
            <w:tcW w:w="720" w:type="dxa"/>
            <w:vAlign w:val="bottom"/>
          </w:tcPr>
          <w:p>
            <w:pPr>
              <w:jc w:val="center"/>
              <w:spacing w:after="0" w:line="193" w:lineRule="exact"/>
              <w:rPr>
                <w:sz w:val="20"/>
                <w:szCs w:val="20"/>
                <w:color w:val="auto"/>
              </w:rPr>
            </w:pPr>
            <w:r>
              <w:rPr>
                <w:rFonts w:ascii="Times New Roman" w:cs="Times New Roman" w:eastAsia="Times New Roman" w:hAnsi="Times New Roman"/>
                <w:sz w:val="19"/>
                <w:szCs w:val="19"/>
                <w:color w:val="auto"/>
              </w:rPr>
              <w:t>None</w:t>
            </w:r>
          </w:p>
        </w:tc>
        <w:tc>
          <w:tcPr>
            <w:tcW w:w="180" w:type="dxa"/>
            <w:vAlign w:val="bottom"/>
          </w:tcPr>
          <w:p>
            <w:pPr>
              <w:spacing w:after="0"/>
              <w:rPr>
                <w:sz w:val="16"/>
                <w:szCs w:val="16"/>
                <w:color w:val="auto"/>
              </w:rPr>
            </w:pPr>
          </w:p>
        </w:tc>
        <w:tc>
          <w:tcPr>
            <w:tcW w:w="1160" w:type="dxa"/>
            <w:vAlign w:val="bottom"/>
            <w:gridSpan w:val="3"/>
          </w:tcPr>
          <w:p>
            <w:pPr>
              <w:jc w:val="center"/>
              <w:ind w:right="60"/>
              <w:spacing w:after="0" w:line="193" w:lineRule="exact"/>
              <w:rPr>
                <w:sz w:val="20"/>
                <w:szCs w:val="20"/>
                <w:color w:val="auto"/>
              </w:rPr>
            </w:pPr>
            <w:r>
              <w:rPr>
                <w:rFonts w:ascii="Times New Roman" w:cs="Times New Roman" w:eastAsia="Times New Roman" w:hAnsi="Times New Roman"/>
                <w:sz w:val="19"/>
                <w:szCs w:val="19"/>
                <w:color w:val="auto"/>
              </w:rPr>
              <w:t xml:space="preserve">Feb. </w:t>
            </w:r>
            <w:r>
              <w:rPr>
                <w:rFonts w:ascii="Arial" w:cs="Arial" w:eastAsia="Arial" w:hAnsi="Arial"/>
                <w:sz w:val="18"/>
                <w:szCs w:val="18"/>
                <w:color w:val="auto"/>
              </w:rPr>
              <w:t>I ,</w:t>
            </w:r>
            <w:r>
              <w:rPr>
                <w:rFonts w:ascii="Times New Roman" w:cs="Times New Roman" w:eastAsia="Times New Roman" w:hAnsi="Times New Roman"/>
                <w:sz w:val="19"/>
                <w:szCs w:val="19"/>
                <w:color w:val="auto"/>
              </w:rPr>
              <w:t xml:space="preserve"> 2029</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20" w:type="dxa"/>
            <w:vAlign w:val="bottom"/>
            <w:gridSpan w:val="2"/>
          </w:tcPr>
          <w:p>
            <w:pPr>
              <w:jc w:val="right"/>
              <w:ind w:right="243"/>
              <w:spacing w:after="0" w:line="193" w:lineRule="exact"/>
              <w:rPr>
                <w:sz w:val="20"/>
                <w:szCs w:val="20"/>
                <w:color w:val="auto"/>
              </w:rPr>
            </w:pPr>
            <w:r>
              <w:rPr>
                <w:rFonts w:ascii="Times New Roman" w:cs="Times New Roman" w:eastAsia="Times New Roman" w:hAnsi="Times New Roman"/>
                <w:sz w:val="19"/>
                <w:szCs w:val="19"/>
                <w:color w:val="auto"/>
              </w:rPr>
              <w:t>7</w:t>
            </w:r>
          </w:p>
        </w:tc>
        <w:tc>
          <w:tcPr>
            <w:tcW w:w="0" w:type="dxa"/>
            <w:vAlign w:val="bottom"/>
          </w:tcPr>
          <w:p>
            <w:pPr>
              <w:spacing w:after="0"/>
              <w:rPr>
                <w:sz w:val="1"/>
                <w:szCs w:val="1"/>
                <w:color w:val="auto"/>
              </w:rPr>
            </w:pPr>
          </w:p>
        </w:tc>
      </w:tr>
      <w:tr>
        <w:trPr>
          <w:trHeight w:val="242"/>
        </w:trPr>
        <w:tc>
          <w:tcPr>
            <w:tcW w:w="26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WCWJ, Jacksonville, FL, 1966</w:t>
            </w:r>
          </w:p>
        </w:tc>
        <w:tc>
          <w:tcPr>
            <w:tcW w:w="1060" w:type="dxa"/>
            <w:vAlign w:val="bottom"/>
          </w:tcPr>
          <w:p>
            <w:pPr>
              <w:jc w:val="right"/>
              <w:ind w:right="94"/>
              <w:spacing w:after="0" w:line="242" w:lineRule="exact"/>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24"/>
                <w:szCs w:val="24"/>
                <w:color w:val="auto"/>
              </w:rPr>
              <w:t>-</w:t>
            </w:r>
            <w:r>
              <w:rPr>
                <w:rFonts w:ascii="Arial" w:cs="Arial" w:eastAsia="Arial" w:hAnsi="Arial"/>
                <w:sz w:val="18"/>
                <w:szCs w:val="18"/>
                <w:color w:val="auto"/>
              </w:rPr>
              <w:t>...</w:t>
            </w:r>
          </w:p>
        </w:tc>
        <w:tc>
          <w:tcPr>
            <w:tcW w:w="74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3"/>
              </w:rPr>
              <w:t>4 1st</w:t>
            </w:r>
          </w:p>
        </w:tc>
        <w:tc>
          <w:tcPr>
            <w:tcW w:w="200" w:type="dxa"/>
            <w:vAlign w:val="bottom"/>
          </w:tcPr>
          <w:p>
            <w:pPr>
              <w:spacing w:after="0"/>
              <w:rPr>
                <w:sz w:val="21"/>
                <w:szCs w:val="21"/>
                <w:color w:val="auto"/>
              </w:rPr>
            </w:pPr>
          </w:p>
        </w:tc>
        <w:tc>
          <w:tcPr>
            <w:tcW w:w="720" w:type="dxa"/>
            <w:vAlign w:val="bottom"/>
          </w:tcPr>
          <w:p>
            <w:pPr>
              <w:ind w:left="240"/>
              <w:spacing w:after="0" w:line="242" w:lineRule="exact"/>
              <w:rPr>
                <w:sz w:val="20"/>
                <w:szCs w:val="20"/>
                <w:color w:val="auto"/>
              </w:rPr>
            </w:pPr>
            <w:r>
              <w:rPr>
                <w:rFonts w:ascii="Arial" w:cs="Arial" w:eastAsia="Arial" w:hAnsi="Arial"/>
                <w:sz w:val="24"/>
                <w:szCs w:val="24"/>
                <w:color w:val="auto"/>
              </w:rPr>
              <w:t>cw</w:t>
            </w:r>
          </w:p>
        </w:tc>
        <w:tc>
          <w:tcPr>
            <w:tcW w:w="180" w:type="dxa"/>
            <w:vAlign w:val="bottom"/>
          </w:tcPr>
          <w:p>
            <w:pPr>
              <w:spacing w:after="0"/>
              <w:rPr>
                <w:sz w:val="21"/>
                <w:szCs w:val="21"/>
                <w:color w:val="auto"/>
              </w:rPr>
            </w:pPr>
          </w:p>
        </w:tc>
        <w:tc>
          <w:tcPr>
            <w:tcW w:w="1160" w:type="dxa"/>
            <w:vAlign w:val="bottom"/>
            <w:gridSpan w:val="3"/>
          </w:tcPr>
          <w:p>
            <w:pPr>
              <w:jc w:val="center"/>
              <w:ind w:right="80"/>
              <w:spacing w:after="0"/>
              <w:rPr>
                <w:sz w:val="20"/>
                <w:szCs w:val="20"/>
                <w:color w:val="auto"/>
              </w:rPr>
            </w:pPr>
            <w:r>
              <w:rPr>
                <w:rFonts w:ascii="Times New Roman" w:cs="Times New Roman" w:eastAsia="Times New Roman" w:hAnsi="Times New Roman"/>
                <w:sz w:val="19"/>
                <w:szCs w:val="19"/>
                <w:color w:val="auto"/>
              </w:rPr>
              <w:t xml:space="preserve">Feb. </w:t>
            </w:r>
            <w:r>
              <w:rPr>
                <w:rFonts w:ascii="Arial" w:cs="Arial" w:eastAsia="Arial" w:hAnsi="Arial"/>
                <w:sz w:val="18"/>
                <w:szCs w:val="18"/>
                <w:color w:val="auto"/>
              </w:rPr>
              <w:t>I ,</w:t>
            </w:r>
            <w:r>
              <w:rPr>
                <w:rFonts w:ascii="Times New Roman" w:cs="Times New Roman" w:eastAsia="Times New Roman" w:hAnsi="Times New Roman"/>
                <w:sz w:val="19"/>
                <w:szCs w:val="19"/>
                <w:color w:val="auto"/>
              </w:rPr>
              <w:t xml:space="preserve"> 2029</w:t>
            </w:r>
          </w:p>
        </w:tc>
        <w:tc>
          <w:tcPr>
            <w:tcW w:w="100" w:type="dxa"/>
            <w:vAlign w:val="bottom"/>
          </w:tcPr>
          <w:p>
            <w:pPr>
              <w:spacing w:after="0"/>
              <w:rPr>
                <w:sz w:val="21"/>
                <w:szCs w:val="21"/>
                <w:color w:val="auto"/>
              </w:rPr>
            </w:pPr>
          </w:p>
        </w:tc>
        <w:tc>
          <w:tcPr>
            <w:tcW w:w="1280" w:type="dxa"/>
            <w:vAlign w:val="bottom"/>
          </w:tcPr>
          <w:p>
            <w:pPr>
              <w:jc w:val="center"/>
              <w:ind w:left="12"/>
              <w:spacing w:after="0"/>
              <w:rPr>
                <w:sz w:val="20"/>
                <w:szCs w:val="20"/>
                <w:color w:val="auto"/>
              </w:rPr>
            </w:pPr>
            <w:r>
              <w:rPr>
                <w:rFonts w:ascii="Times New Roman" w:cs="Times New Roman" w:eastAsia="Times New Roman" w:hAnsi="Times New Roman"/>
                <w:sz w:val="19"/>
                <w:szCs w:val="19"/>
                <w:color w:val="auto"/>
              </w:rPr>
              <w:t>Aug. 31, 2025</w:t>
            </w:r>
          </w:p>
        </w:tc>
        <w:tc>
          <w:tcPr>
            <w:tcW w:w="1020" w:type="dxa"/>
            <w:vAlign w:val="bottom"/>
            <w:gridSpan w:val="2"/>
          </w:tcPr>
          <w:p>
            <w:pPr>
              <w:jc w:val="right"/>
              <w:ind w:right="243"/>
              <w:spacing w:after="0"/>
              <w:rPr>
                <w:sz w:val="20"/>
                <w:szCs w:val="20"/>
                <w:color w:val="auto"/>
              </w:rPr>
            </w:pPr>
            <w:r>
              <w:rPr>
                <w:rFonts w:ascii="Times New Roman" w:cs="Times New Roman" w:eastAsia="Times New Roman" w:hAnsi="Times New Roman"/>
                <w:sz w:val="19"/>
                <w:szCs w:val="19"/>
                <w:color w:val="auto"/>
              </w:rPr>
              <w:t>7</w:t>
            </w:r>
          </w:p>
        </w:tc>
        <w:tc>
          <w:tcPr>
            <w:tcW w:w="0" w:type="dxa"/>
            <w:vAlign w:val="bottom"/>
          </w:tcPr>
          <w:p>
            <w:pPr>
              <w:spacing w:after="0"/>
              <w:rPr>
                <w:sz w:val="1"/>
                <w:szCs w:val="1"/>
                <w:color w:val="auto"/>
              </w:rPr>
            </w:pPr>
          </w:p>
        </w:tc>
      </w:tr>
      <w:tr>
        <w:trPr>
          <w:trHeight w:val="275"/>
        </w:trPr>
        <w:tc>
          <w:tcPr>
            <w:tcW w:w="26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WSLS, Roanoke, VA, 1952  </w:t>
            </w:r>
            <w:r>
              <w:rPr>
                <w:rFonts w:ascii="Arial" w:cs="Arial" w:eastAsia="Arial" w:hAnsi="Arial"/>
                <w:sz w:val="18"/>
                <w:szCs w:val="18"/>
                <w:color w:val="auto"/>
              </w:rPr>
              <w:t>........</w:t>
            </w:r>
          </w:p>
        </w:tc>
        <w:tc>
          <w:tcPr>
            <w:tcW w:w="1060" w:type="dxa"/>
            <w:vAlign w:val="bottom"/>
          </w:tcPr>
          <w:p>
            <w:pPr>
              <w:jc w:val="right"/>
              <w:ind w:right="94"/>
              <w:spacing w:after="0" w:line="275" w:lineRule="exact"/>
              <w:rPr>
                <w:sz w:val="20"/>
                <w:szCs w:val="20"/>
                <w:color w:val="auto"/>
              </w:rPr>
            </w:pPr>
            <w:r>
              <w:rPr>
                <w:rFonts w:ascii="Times New Roman" w:cs="Times New Roman" w:eastAsia="Times New Roman" w:hAnsi="Times New Roman"/>
                <w:sz w:val="25"/>
                <w:szCs w:val="25"/>
                <w:color w:val="auto"/>
              </w:rPr>
              <w:t>-</w:t>
            </w:r>
            <w:r>
              <w:rPr>
                <w:rFonts w:ascii="Arial" w:cs="Arial" w:eastAsia="Arial" w:hAnsi="Arial"/>
                <w:sz w:val="18"/>
                <w:szCs w:val="18"/>
                <w:color w:val="auto"/>
              </w:rPr>
              <w:t>...</w:t>
            </w:r>
          </w:p>
        </w:tc>
        <w:tc>
          <w:tcPr>
            <w:tcW w:w="740" w:type="dxa"/>
            <w:vAlign w:val="bottom"/>
          </w:tcPr>
          <w:p>
            <w:pPr>
              <w:jc w:val="right"/>
              <w:ind w:right="110"/>
              <w:spacing w:after="0"/>
              <w:rPr>
                <w:sz w:val="20"/>
                <w:szCs w:val="20"/>
                <w:color w:val="auto"/>
              </w:rPr>
            </w:pPr>
            <w:r>
              <w:rPr>
                <w:rFonts w:ascii="Times New Roman" w:cs="Times New Roman" w:eastAsia="Times New Roman" w:hAnsi="Times New Roman"/>
                <w:sz w:val="19"/>
                <w:szCs w:val="19"/>
                <w:color w:val="auto"/>
              </w:rPr>
              <w:t>70th</w:t>
            </w:r>
          </w:p>
        </w:tc>
        <w:tc>
          <w:tcPr>
            <w:tcW w:w="200" w:type="dxa"/>
            <w:vAlign w:val="bottom"/>
          </w:tcPr>
          <w:p>
            <w:pPr>
              <w:spacing w:after="0"/>
              <w:rPr>
                <w:sz w:val="23"/>
                <w:szCs w:val="23"/>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NBC</w:t>
            </w:r>
          </w:p>
        </w:tc>
        <w:tc>
          <w:tcPr>
            <w:tcW w:w="1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Oct. 1,</w:t>
            </w:r>
          </w:p>
        </w:tc>
        <w:tc>
          <w:tcPr>
            <w:tcW w:w="4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2028</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80" w:type="dxa"/>
            <w:vAlign w:val="bottom"/>
          </w:tcPr>
          <w:p>
            <w:pPr>
              <w:jc w:val="center"/>
              <w:ind w:left="32"/>
              <w:spacing w:after="0"/>
              <w:rPr>
                <w:sz w:val="20"/>
                <w:szCs w:val="20"/>
                <w:color w:val="auto"/>
              </w:rPr>
            </w:pPr>
            <w:r>
              <w:rPr>
                <w:rFonts w:ascii="Times New Roman" w:cs="Times New Roman" w:eastAsia="Times New Roman" w:hAnsi="Times New Roman"/>
                <w:sz w:val="19"/>
                <w:szCs w:val="19"/>
                <w:color w:val="auto"/>
              </w:rPr>
              <w:t>Dec. 31,2025</w:t>
            </w:r>
          </w:p>
        </w:tc>
        <w:tc>
          <w:tcPr>
            <w:tcW w:w="1020" w:type="dxa"/>
            <w:vAlign w:val="bottom"/>
            <w:gridSpan w:val="2"/>
          </w:tcPr>
          <w:p>
            <w:pPr>
              <w:jc w:val="right"/>
              <w:ind w:right="243"/>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99"/>
        </w:trPr>
        <w:tc>
          <w:tcPr>
            <w:tcW w:w="960" w:type="dxa"/>
            <w:vAlign w:val="bottom"/>
            <w:tcBorders>
              <w:bottom w:val="single" w:sz="8" w:color="504C4C"/>
            </w:tcBorders>
          </w:tcPr>
          <w:p>
            <w:pPr>
              <w:spacing w:after="0"/>
              <w:rPr>
                <w:sz w:val="8"/>
                <w:szCs w:val="8"/>
                <w:color w:val="auto"/>
              </w:rPr>
            </w:pPr>
          </w:p>
        </w:tc>
        <w:tc>
          <w:tcPr>
            <w:tcW w:w="5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440" w:right="125" w:hanging="327"/>
        <w:spacing w:after="0" w:line="272" w:lineRule="auto"/>
        <w:tabs>
          <w:tab w:leader="none" w:pos="437"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Source: 2024/2025 Local Televis ion Market Un iverse Estimates, the Nielsen Company, September 2024 and effective January I, 2025, based on television homes in DMA (see note (b) below).</w:t>
      </w:r>
    </w:p>
    <w:p>
      <w:pPr>
        <w:ind w:left="440" w:right="125" w:hanging="327"/>
        <w:spacing w:after="0" w:line="273" w:lineRule="auto"/>
        <w:tabs>
          <w:tab w:leader="none" w:pos="440"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Full-power commercial TV stations. Designated Market Area (DMA) is a market designation of t he Nielsen Company that defines each television market exclusive of another, based on measured viewing pallerns.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840"/>
        <w:spacing w:after="0"/>
        <w:tabs>
          <w:tab w:leader="none" w:pos="90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6"/>
          <w:szCs w:val="16"/>
          <w:color w:val="auto"/>
        </w:rPr>
        <w:t>11</w:t>
      </w:r>
    </w:p>
    <w:p>
      <w:pPr>
        <w:sectPr>
          <w:pgSz w:w="12240" w:h="15850" w:orient="portrait"/>
          <w:cols w:equalWidth="0" w:num="1">
            <w:col w:w="9365"/>
          </w:cols>
          <w:pgMar w:left="1440" w:top="1394" w:right="1440" w:bottom="721" w:gutter="0" w:footer="0" w:header="0"/>
          <w:type w:val="continuous"/>
        </w:sectPr>
      </w:pPr>
    </w:p>
    <w:bookmarkStart w:id="27" w:name="page28"/>
    <w:bookmarkEnd w:id="27"/>
    <w:p>
      <w:pPr>
        <w:jc w:val="both"/>
        <w:ind w:left="120" w:right="12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Revernue from broadcasting operations is derived primarily from the sale of advertising to local, regional and national advertisers. In 2024, advertising revenue accounted for 62% of the total </w:t>
      </w:r>
      <w:r>
        <w:rPr>
          <w:rFonts w:ascii="Arial" w:cs="Arial" w:eastAsia="Arial" w:hAnsi="Arial"/>
          <w:sz w:val="13"/>
          <w:szCs w:val="13"/>
          <w:color w:val="auto"/>
        </w:rPr>
        <w:t>~·evenue</w:t>
      </w:r>
      <w:r>
        <w:rPr>
          <w:rFonts w:ascii="Times New Roman" w:cs="Times New Roman" w:eastAsia="Times New Roman" w:hAnsi="Times New Roman"/>
          <w:sz w:val="19"/>
          <w:szCs w:val="19"/>
          <w:color w:val="auto"/>
        </w:rPr>
        <w:t xml:space="preserve"> for GMG's operations. Advertising revenue is sensili ve to a number of factors, some specific to a particular station or market and others more general in nature. These factors include a station's audience share and market ranking; seasonal fluctuations in demand for airtime; annual or biannual events, such as sporting events and political elections; and broader economic and other market trends, including alternative advertising platforms (e.g., digital advertising), among others.</w:t>
      </w:r>
    </w:p>
    <w:p>
      <w:pPr>
        <w:spacing w:after="0" w:line="200" w:lineRule="exact"/>
        <w:rPr>
          <w:sz w:val="20"/>
          <w:szCs w:val="20"/>
          <w:color w:val="auto"/>
        </w:rPr>
      </w:pPr>
    </w:p>
    <w:p>
      <w:pPr>
        <w:spacing w:after="0" w:line="287" w:lineRule="exact"/>
        <w:rPr>
          <w:sz w:val="20"/>
          <w:szCs w:val="20"/>
          <w:color w:val="auto"/>
        </w:rPr>
      </w:pPr>
    </w:p>
    <w:p>
      <w:pPr>
        <w:jc w:val="both"/>
        <w:ind w:left="120" w:right="125" w:hanging="10"/>
        <w:spacing w:after="0" w:line="262" w:lineRule="auto"/>
        <w:rPr>
          <w:sz w:val="20"/>
          <w:szCs w:val="20"/>
          <w:color w:val="auto"/>
        </w:rPr>
      </w:pPr>
      <w:r>
        <w:rPr>
          <w:rFonts w:ascii="Times New Roman" w:cs="Times New Roman" w:eastAsia="Times New Roman" w:hAnsi="Times New Roman"/>
          <w:sz w:val="19"/>
          <w:szCs w:val="19"/>
          <w:color w:val="auto"/>
        </w:rPr>
        <w:t>GMG also derives significant revenue from retransmission agreements with traditional cable, satellite and other multichannel video program distributors (MVPDs), which typically provide for payment to GMG on a per-subscriber basis, as well as agreements with various digital p]atforms.</w:t>
      </w:r>
    </w:p>
    <w:p>
      <w:pPr>
        <w:spacing w:after="0" w:line="3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Regulation of Broadcasting and Related Matters</w:t>
      </w:r>
    </w:p>
    <w:p>
      <w:pPr>
        <w:spacing w:after="0" w:line="15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GMG's television broadcasting operations are subject to the jurisdiction of the U.S. Federal Communications Commission (FCC) under the U.S. Federal Communications Act of 1934, as amended (Communications Act). Each GMG television station holds an FCC license that is renewable upon application for an eight-year period. As shown in the table above, the current terms of the GMG station licenses expire between 2028 and 2030. GMG expects the FCC to grant future license renewal applications for i.ts stations in due course, but cannot provide any assurances that the FCC will do so.</w:t>
      </w:r>
    </w:p>
    <w:p>
      <w:pPr>
        <w:spacing w:after="0" w:line="238" w:lineRule="exact"/>
        <w:rPr>
          <w:sz w:val="20"/>
          <w:szCs w:val="20"/>
          <w:color w:val="auto"/>
        </w:rPr>
      </w:pPr>
    </w:p>
    <w:p>
      <w:pPr>
        <w:jc w:val="both"/>
        <w:ind w:left="120" w:right="125" w:hanging="5"/>
        <w:spacing w:after="0" w:line="257" w:lineRule="auto"/>
        <w:rPr>
          <w:sz w:val="20"/>
          <w:szCs w:val="20"/>
          <w:color w:val="auto"/>
        </w:rPr>
      </w:pPr>
      <w:r>
        <w:rPr>
          <w:rFonts w:ascii="Times New Roman" w:cs="Times New Roman" w:eastAsia="Times New Roman" w:hAnsi="Times New Roman"/>
          <w:sz w:val="20"/>
          <w:szCs w:val="20"/>
          <w:i w:val="1"/>
          <w:iCs w:val="1"/>
          <w:color w:val="auto"/>
        </w:rPr>
        <w:t>Digital Television (DTV) and Spectrum Issues.</w:t>
      </w:r>
      <w:r>
        <w:rPr>
          <w:sz w:val="20"/>
          <w:szCs w:val="20"/>
          <w:color w:val="auto"/>
        </w:rPr>
        <w:t xml:space="preserve"> </w:t>
      </w:r>
      <w:r>
        <w:rPr>
          <w:rFonts w:ascii="Times New Roman" w:cs="Times New Roman" w:eastAsia="Times New Roman" w:hAnsi="Times New Roman"/>
          <w:sz w:val="19"/>
          <w:szCs w:val="19"/>
          <w:color w:val="auto"/>
        </w:rPr>
        <w:t>Each GMG station (and each full-power television station nationwide) broadcasts only in a digital format, which allows transmission of HDTV programming and multiple channels of standard-definition television programming (multicasti ng).</w:t>
      </w:r>
    </w:p>
    <w:p>
      <w:pPr>
        <w:spacing w:after="0" w:line="271" w:lineRule="exact"/>
        <w:rPr>
          <w:sz w:val="20"/>
          <w:szCs w:val="20"/>
          <w:color w:val="auto"/>
        </w:rPr>
      </w:pPr>
    </w:p>
    <w:p>
      <w:pPr>
        <w:jc w:val="both"/>
        <w:ind w:left="120" w:right="125" w:hanging="9"/>
        <w:spacing w:after="0" w:line="256" w:lineRule="auto"/>
        <w:rPr>
          <w:sz w:val="20"/>
          <w:szCs w:val="20"/>
          <w:color w:val="auto"/>
        </w:rPr>
      </w:pPr>
      <w:r>
        <w:rPr>
          <w:rFonts w:ascii="Times New Roman" w:cs="Times New Roman" w:eastAsia="Times New Roman" w:hAnsi="Times New Roman"/>
          <w:sz w:val="19"/>
          <w:szCs w:val="19"/>
          <w:color w:val="auto"/>
        </w:rPr>
        <w:t>Television stations</w:t>
      </w:r>
      <w:r>
        <w:rPr>
          <w:sz w:val="20"/>
          <w:szCs w:val="20"/>
          <w:color w:val="auto"/>
        </w:rPr>
        <w:t xml:space="preserve"> </w:t>
      </w:r>
      <w:r>
        <w:rPr>
          <w:rFonts w:ascii="Times New Roman" w:cs="Times New Roman" w:eastAsia="Times New Roman" w:hAnsi="Times New Roman"/>
          <w:sz w:val="19"/>
          <w:szCs w:val="19"/>
          <w:color w:val="auto"/>
        </w:rPr>
        <w:t>may receive interference from a variety of sources, including interference from other broadcast stations, that is below a threshold established by the FCC. That interference could limit viewers' ability to receive television stations' signals. The amount of interference received by television stations could increase in the future based on the FCC's decision to allow electronic devices, known as "white space," devices, to operate in the television frequency band on an unlicensed basis on channels not used by nearby television stations.</w:t>
      </w:r>
    </w:p>
    <w:p>
      <w:pPr>
        <w:spacing w:after="0" w:line="265" w:lineRule="exact"/>
        <w:rPr>
          <w:sz w:val="20"/>
          <w:szCs w:val="20"/>
          <w:color w:val="auto"/>
        </w:rPr>
      </w:pPr>
    </w:p>
    <w:p>
      <w:pPr>
        <w:jc w:val="both"/>
        <w:ind w:left="120" w:right="105" w:firstLine="10"/>
        <w:spacing w:after="0" w:line="263" w:lineRule="auto"/>
        <w:rPr>
          <w:sz w:val="20"/>
          <w:szCs w:val="20"/>
          <w:color w:val="auto"/>
        </w:rPr>
      </w:pPr>
      <w:r>
        <w:rPr>
          <w:rFonts w:ascii="Times New Roman" w:cs="Times New Roman" w:eastAsia="Times New Roman" w:hAnsi="Times New Roman"/>
          <w:sz w:val="19"/>
          <w:szCs w:val="19"/>
          <w:color w:val="auto"/>
        </w:rPr>
        <w:t xml:space="preserve">In November 2017, the FCC voted to adopt rules authorizing broadcast television stations to voluntarily transition to a new technical standard, caHed Next Generation TV (NextGenTV) or ATSC 3.0. The new standard is designed to allow broadcasters to provide consumers with better sound and picture quality; hyper-localized programming, including news and weather; enhanced emergency alerts; and improved mobile reception. The ATSC 3.0 standard a llows for the use of targeted advertising and more efficient use of spectrum by, for example, allowing for more multicast streams to be aired on the same six-megahertz channel. ATSC 3.0 is not backward compatible with existing television equipment (although certain adapters/converter boxes are now commercially available), and the FCC's rules require full-power television stations that transition to the new standard to continue broadcasting a signal in the existing DTV standard (A TSC 1.0) until the FCC phases out the requirement in a future order. A transitioning station's DTV-formatted content must be substantially similar to the programming aired on its ATSC 3.0 channel until July 17, 2027, to ensure that viewers continue to have access to the same DTY-formatted programming during the transition to the NextGenTV standard. As of December 31,2024, GMG is broadcasting in the ATSC 3.0 stand ard on all of its stations. </w:t>
      </w:r>
      <w:r>
        <w:rPr>
          <w:rFonts w:ascii="Arial" w:cs="Arial" w:eastAsia="Arial" w:hAnsi="Arial"/>
          <w:sz w:val="18"/>
          <w:szCs w:val="18"/>
          <w:color w:val="auto"/>
        </w:rPr>
        <w:t>It</w:t>
      </w:r>
      <w:r>
        <w:rPr>
          <w:rFonts w:ascii="Times New Roman" w:cs="Times New Roman" w:eastAsia="Times New Roman" w:hAnsi="Times New Roman"/>
          <w:sz w:val="19"/>
          <w:szCs w:val="19"/>
          <w:color w:val="auto"/>
        </w:rPr>
        <w:t xml:space="preserve"> is too soon to predict precis·ely how the use of broadcast spectrum for ATSC 3.0 services could impact t!he broadcast industry.</w:t>
      </w:r>
    </w:p>
    <w:p>
      <w:pPr>
        <w:spacing w:after="0" w:line="200" w:lineRule="exact"/>
        <w:rPr>
          <w:sz w:val="20"/>
          <w:szCs w:val="20"/>
          <w:color w:val="auto"/>
        </w:rPr>
      </w:pPr>
    </w:p>
    <w:p>
      <w:pPr>
        <w:spacing w:after="0" w:line="292" w:lineRule="exact"/>
        <w:rPr>
          <w:sz w:val="20"/>
          <w:szCs w:val="20"/>
          <w:color w:val="auto"/>
        </w:rPr>
      </w:pPr>
    </w:p>
    <w:p>
      <w:pPr>
        <w:jc w:val="both"/>
        <w:ind w:left="120" w:right="105" w:firstLine="10"/>
        <w:spacing w:after="0" w:line="262" w:lineRule="auto"/>
        <w:rPr>
          <w:sz w:val="20"/>
          <w:szCs w:val="20"/>
          <w:color w:val="auto"/>
        </w:rPr>
      </w:pPr>
      <w:r>
        <w:rPr>
          <w:rFonts w:ascii="Times New Roman" w:cs="Times New Roman" w:eastAsia="Times New Roman" w:hAnsi="Times New Roman"/>
          <w:sz w:val="19"/>
          <w:szCs w:val="19"/>
          <w:color w:val="auto"/>
        </w:rPr>
        <w:t>In recent years, the FCC has authorized! the use by wireless broadband providers and other unlicensed devices of certain bands of spectrum that have historically been used by broadcast stations and satellite operators. Broadcasters continue to urge the FCC to ensure that broadcast operations are protected against interference from unlicensed devices operating in those bands. In November 2023, GMG timely filed a certification identifying all of its current, active authorizations in the 12.7-13.25 GHz band of spectrum, as required by ·the FCC as it considers whether to allow unlicensed devices to operate in that band. The extent to which GMG's broadcast</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140"/>
        <w:spacing w:after="0"/>
        <w:tabs>
          <w:tab w:leader="none" w:pos="500" w:val="left"/>
        </w:tabs>
        <w:rPr>
          <w:sz w:val="20"/>
          <w:szCs w:val="20"/>
          <w:color w:val="auto"/>
        </w:rPr>
      </w:pPr>
      <w:r>
        <w:rPr>
          <w:rFonts w:ascii="Times New Roman" w:cs="Times New Roman" w:eastAsia="Times New Roman" w:hAnsi="Times New Roman"/>
          <w:sz w:val="19"/>
          <w:szCs w:val="19"/>
          <w:color w:val="auto"/>
        </w:rPr>
        <w:t>12</w:t>
        <w:tab/>
        <w:t>2024 FORM 10-K</w:t>
      </w:r>
    </w:p>
    <w:p>
      <w:pPr>
        <w:sectPr>
          <w:pgSz w:w="12240" w:h="15850" w:orient="portrait"/>
          <w:cols w:equalWidth="0" w:num="1">
            <w:col w:w="9365"/>
          </w:cols>
          <w:pgMar w:left="1440" w:top="1394" w:right="1440" w:bottom="721" w:gutter="0" w:footer="0" w:header="0"/>
          <w:type w:val="continuous"/>
        </w:sectPr>
      </w:pPr>
    </w:p>
    <w:bookmarkStart w:id="28" w:name="page29"/>
    <w:bookmarkEnd w:id="28"/>
    <w:p>
      <w:pPr>
        <w:jc w:val="both"/>
        <w:ind w:left="120" w:right="125"/>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business will be affected by FCC action allowing unlicensed devices to operate in bands of spectrum used by broadcasters is not yet known.</w:t>
      </w:r>
    </w:p>
    <w:p>
      <w:pPr>
        <w:spacing w:after="0" w:line="267" w:lineRule="exact"/>
        <w:rPr>
          <w:sz w:val="20"/>
          <w:szCs w:val="20"/>
          <w:color w:val="auto"/>
        </w:rPr>
      </w:pPr>
    </w:p>
    <w:p>
      <w:pPr>
        <w:jc w:val="both"/>
        <w:ind w:left="120" w:right="125" w:hanging="1"/>
        <w:spacing w:after="0" w:line="260" w:lineRule="auto"/>
        <w:rPr>
          <w:sz w:val="20"/>
          <w:szCs w:val="20"/>
          <w:color w:val="auto"/>
        </w:rPr>
      </w:pPr>
      <w:r>
        <w:rPr>
          <w:rFonts w:ascii="Times New Roman" w:cs="Times New Roman" w:eastAsia="Times New Roman" w:hAnsi="Times New Roman"/>
          <w:sz w:val="20"/>
          <w:szCs w:val="20"/>
          <w:i w:val="1"/>
          <w:iCs w:val="1"/>
          <w:color w:val="auto"/>
        </w:rPr>
        <w:t>Carriage of Local Broadcast Signals.</w:t>
      </w:r>
      <w:r>
        <w:rPr>
          <w:sz w:val="20"/>
          <w:szCs w:val="20"/>
          <w:color w:val="auto"/>
        </w:rPr>
        <w:t xml:space="preserve"> </w:t>
      </w:r>
      <w:r>
        <w:rPr>
          <w:rFonts w:ascii="Times New Roman" w:cs="Times New Roman" w:eastAsia="Times New Roman" w:hAnsi="Times New Roman"/>
          <w:sz w:val="19"/>
          <w:szCs w:val="19"/>
          <w:color w:val="auto"/>
        </w:rPr>
        <w:t>Congress bas established, and periodically extended or otherwise modified, various statutory copyright licensing regimes govern.ing the local and distant carriage of broadcast televis ion signals on traditional cable and satellite systems. At present, the statutory copyright license does not extend to so-called "virtual" MVPDs (vMVPDs) that distribute programming via the internet. GMG cannot predict whether or how Congress may maintain or modify these regimes in the future, or what effect such decisions would have on its broadcast operations.</w:t>
      </w:r>
    </w:p>
    <w:p>
      <w:pPr>
        <w:spacing w:after="0" w:line="200" w:lineRule="exact"/>
        <w:rPr>
          <w:sz w:val="20"/>
          <w:szCs w:val="20"/>
          <w:color w:val="auto"/>
        </w:rPr>
      </w:pPr>
    </w:p>
    <w:p>
      <w:pPr>
        <w:spacing w:after="0" w:line="306"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Communications Act and FCC rules allow a commercial television broadcast station, under certain circumstances, to insist on mandatory carriage of its signal on cable systems serving the station's market area (referred to as "must carry"). Alternatively, stations may elect, at three-year intervals, to forgo must-carry rights and allow their signals to be can·ied by cable systems only pursuant to a "retransmission consent" agreement negotiated by the broadcaster and the cable provider. A station that fails to make a timely carriage election is presumed to have elected "must carry."</w:t>
      </w:r>
    </w:p>
    <w:p>
      <w:pPr>
        <w:spacing w:after="0" w:line="200" w:lineRule="exact"/>
        <w:rPr>
          <w:sz w:val="20"/>
          <w:szCs w:val="20"/>
          <w:color w:val="auto"/>
        </w:rPr>
      </w:pPr>
    </w:p>
    <w:p>
      <w:pPr>
        <w:spacing w:after="0" w:line="286" w:lineRule="exact"/>
        <w:rPr>
          <w:sz w:val="20"/>
          <w:szCs w:val="20"/>
          <w:color w:val="auto"/>
        </w:rPr>
      </w:pPr>
    </w:p>
    <w:p>
      <w:pPr>
        <w:jc w:val="both"/>
        <w:ind w:left="120" w:right="125" w:hanging="8"/>
        <w:spacing w:after="0" w:line="261" w:lineRule="auto"/>
        <w:rPr>
          <w:sz w:val="20"/>
          <w:szCs w:val="20"/>
          <w:color w:val="auto"/>
        </w:rPr>
      </w:pPr>
      <w:r>
        <w:rPr>
          <w:rFonts w:ascii="Times New Roman" w:cs="Times New Roman" w:eastAsia="Times New Roman" w:hAnsi="Times New Roman"/>
          <w:sz w:val="19"/>
          <w:szCs w:val="19"/>
          <w:color w:val="auto"/>
        </w:rPr>
        <w:t xml:space="preserve">Commercial television stations may </w:t>
      </w:r>
      <w:r>
        <w:rPr>
          <w:rFonts w:ascii="Arial" w:cs="Arial" w:eastAsia="Arial" w:hAnsi="Arial"/>
          <w:sz w:val="17"/>
          <w:szCs w:val="17"/>
          <w:i w:val="1"/>
          <w:iCs w:val="1"/>
          <w:color w:val="auto"/>
        </w:rPr>
        <w:t>also</w:t>
      </w:r>
      <w:r>
        <w:rPr>
          <w:rFonts w:ascii="Times New Roman" w:cs="Times New Roman" w:eastAsia="Times New Roman" w:hAnsi="Times New Roman"/>
          <w:sz w:val="19"/>
          <w:szCs w:val="19"/>
          <w:color w:val="auto"/>
        </w:rPr>
        <w:t xml:space="preserve"> elect either mandatory carriage or retransmission consent with respect to the carriage of their signals on di rect broadcast satellite (DBS) systems that provide "local-into-local" service (i.e., systems that distribute the signals of local television stations to viewers in the local market area). A station that fails to make a timely carriage election on a DBS system has no mandatory carriage right and retains only its retransmission consent rights.</w:t>
      </w:r>
    </w:p>
    <w:p>
      <w:pPr>
        <w:spacing w:after="0" w:line="252"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Stations that elect retransmission consent may negotiate for compensation from cable and DBS systems in exchange for the right to carry their signals. Retransmission consent elections must be made every three years. The most recent election deadline was October 1, 2023. Each of GMG's television stations has elected retransmission consent for both cable and DBS operators, and each is carried on all of the major cable and DBS system s serving each station's respective local market pursuant to retransmission consent agreements.</w:t>
      </w:r>
    </w:p>
    <w:p>
      <w:pPr>
        <w:spacing w:after="0" w:line="25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Statutory changes</w:t>
      </w:r>
      <w:r>
        <w:rPr>
          <w:sz w:val="20"/>
          <w:szCs w:val="20"/>
          <w:color w:val="auto"/>
        </w:rPr>
        <w:t xml:space="preserve"> </w:t>
      </w:r>
      <w:r>
        <w:rPr>
          <w:rFonts w:ascii="Times New Roman" w:cs="Times New Roman" w:eastAsia="Times New Roman" w:hAnsi="Times New Roman"/>
          <w:sz w:val="19"/>
          <w:szCs w:val="19"/>
          <w:color w:val="auto"/>
        </w:rPr>
        <w:t>over the last several years have resulted in changes to certain FCC rules governing retransmission consent negotiations. Pursuant to the Television Viewer Protection Act, enacted on December 20, 20 19, the FCC made changes to the "good faith" standards that govern retransmission consent negotiations, as a result of which " large station groups" (groups of television broadcast stations that have a national audience reach of more than 20%) are required to negotiate in good faith with MVPD "buying groups" (entities that negotiate on behalf of multiple small MVPDs). GMG does not qualify as a "large station group" under the statute and therefore is not subject to this obligation. While GMG does not anticipate that these rules will materially affect its bargaining position in retransmission consent negotiations, if Congress or the FCC were to enact further changes to the retransmission consent rules (such as by requiring small station groups like GMG to negotiate with MVPD buying groups, mandating continued carriage of a station's signal by an MVPD during a retransmission consent dispute, or otherwise giving MVPDs heightened bargaining power), such changes could have a material effect on GMG's retransmission consent revenues .</w:t>
      </w:r>
    </w:p>
    <w:p>
      <w:pPr>
        <w:spacing w:after="0" w:line="200" w:lineRule="exact"/>
        <w:rPr>
          <w:sz w:val="20"/>
          <w:szCs w:val="20"/>
          <w:color w:val="auto"/>
        </w:rPr>
      </w:pPr>
    </w:p>
    <w:p>
      <w:pPr>
        <w:spacing w:after="0" w:line="304" w:lineRule="exact"/>
        <w:rPr>
          <w:sz w:val="20"/>
          <w:szCs w:val="20"/>
          <w:color w:val="auto"/>
        </w:rPr>
      </w:pPr>
    </w:p>
    <w:p>
      <w:pPr>
        <w:jc w:val="both"/>
        <w:ind w:left="120" w:right="125" w:firstLine="10"/>
        <w:spacing w:after="0" w:line="261" w:lineRule="auto"/>
        <w:rPr>
          <w:sz w:val="20"/>
          <w:szCs w:val="20"/>
          <w:color w:val="auto"/>
        </w:rPr>
      </w:pPr>
      <w:r>
        <w:rPr>
          <w:rFonts w:ascii="Times New Roman" w:cs="Times New Roman" w:eastAsia="Times New Roman" w:hAnsi="Times New Roman"/>
          <w:sz w:val="19"/>
          <w:szCs w:val="19"/>
          <w:color w:val="auto"/>
        </w:rPr>
        <w:t xml:space="preserve">In 2014, the FCC opened a proceeding to consider whether certain vMVPDs should be classified as MVPDs and thus subject to the retransmission consent rules. More than 10 years later, the FCC has taken no action in that proceeding, despite broadcasters' sustained advocacy efforts. Because the retransmission consent rules at present do not apply to vMVPDs such as YouTube TV, Hulu +Live TV, FuboTV, and DIRECTV Stream, the national broadcast networks negotiate agreements with vMVPDs thaL are presented </w:t>
      </w:r>
      <w:r>
        <w:rPr>
          <w:rFonts w:ascii="Times New Roman" w:cs="Times New Roman" w:eastAsia="Times New Roman" w:hAnsi="Times New Roman"/>
          <w:sz w:val="18"/>
          <w:szCs w:val="18"/>
          <w:color w:val="auto"/>
        </w:rPr>
        <w:t>to</w:t>
      </w:r>
      <w:r>
        <w:rPr>
          <w:rFonts w:ascii="Times New Roman" w:cs="Times New Roman" w:eastAsia="Times New Roman" w:hAnsi="Times New Roman"/>
          <w:sz w:val="19"/>
          <w:szCs w:val="19"/>
          <w:color w:val="auto"/>
        </w:rPr>
        <w:t xml:space="preserve"> their affiliates as "opt-in" agreements, and local affiliates of the broadcast networks are unable to negotiate directly with vMVPDs to reach agreements for the carriage of their signals. Unless the FCC enacts rules (or Congress enacts legislation) that c lassify vMVPDs as MVPDs subject to the retransmission consent rules, GMG may be unable to negotiate carriage agreements with these distribution services that include the payment of market-based retransmission fees. At the same time, broadcasters have no "must carry" rights. with respect to vMVPDs and thus often cannot</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94" w:lineRule="exact"/>
        <w:rPr>
          <w:sz w:val="20"/>
          <w:szCs w:val="20"/>
          <w:color w:val="auto"/>
        </w:rPr>
      </w:pPr>
    </w:p>
    <w:p>
      <w:pPr>
        <w:ind w:left="5840"/>
        <w:spacing w:after="0"/>
        <w:tabs>
          <w:tab w:leader="none" w:pos="90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13</w:t>
      </w:r>
    </w:p>
    <w:p>
      <w:pPr>
        <w:sectPr>
          <w:pgSz w:w="12240" w:h="15850" w:orient="portrait"/>
          <w:cols w:equalWidth="0" w:num="1">
            <w:col w:w="9365"/>
          </w:cols>
          <w:pgMar w:left="1440" w:top="1395" w:right="1440" w:bottom="721" w:gutter="0" w:footer="0" w:header="0"/>
          <w:type w:val="continuous"/>
        </w:sectPr>
      </w:pPr>
    </w:p>
    <w:bookmarkStart w:id="29" w:name="page30"/>
    <w:bookmarkEnd w:id="29"/>
    <w:p>
      <w:pPr>
        <w:jc w:val="both"/>
        <w:ind w:left="120" w:right="125" w:firstLine="8"/>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secure carriage of non- network-affiliated commercial television stations on vMVPD platforms. As one example, WJXT-TV is not carried on Hulu </w:t>
      </w:r>
      <w:r>
        <w:rPr>
          <w:rFonts w:ascii="Arial" w:cs="Arial" w:eastAsia="Arial" w:hAnsi="Arial"/>
          <w:sz w:val="18"/>
          <w:szCs w:val="18"/>
          <w:color w:val="auto"/>
        </w:rPr>
        <w:t>+</w:t>
      </w:r>
      <w:r>
        <w:rPr>
          <w:rFonts w:ascii="Times New Roman" w:cs="Times New Roman" w:eastAsia="Times New Roman" w:hAnsi="Times New Roman"/>
          <w:sz w:val="19"/>
          <w:szCs w:val="19"/>
          <w:color w:val="auto"/>
        </w:rPr>
        <w:t xml:space="preserve"> Live TV. The current rules are significant to GMG stations as vMVPD subscriber numbers continue to increase. vMVPD YouTube TV is predicted to be the largest pay-TV provider by 2026, surpassing traditional facilities-based cable and satellite distributors.</w:t>
      </w:r>
    </w:p>
    <w:p>
      <w:pPr>
        <w:spacing w:after="0" w:line="29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FCC has a lso conside red proposals to alter its rules governing network non-duplication and syndicated exclusivity. More than 10 years ago, in March 2014, the FCC solicited comments on a proposal to eliminate its network non-duplication and syndicated exclusivity rules, which restrict the ability of cable operators, DBS systems and other distributors classified by the FCC as MVPDs to import the signals of out-of- market television stations with duplicate programming during retransmission consent disputes or otherwise. The FCC has not acted on that proposal. If Congress or the FCC were to enact further changes to the exclusivity rules, such changes could materially affect the GMG stations' bargaining position in future retransmission consent negotiations.</w:t>
      </w:r>
    </w:p>
    <w:p>
      <w:pPr>
        <w:spacing w:after="0" w:line="279"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20"/>
          <w:szCs w:val="20"/>
          <w:i w:val="1"/>
          <w:iCs w:val="1"/>
          <w:color w:val="auto"/>
        </w:rPr>
        <w:t>Ownership Limits.</w:t>
      </w:r>
      <w:r>
        <w:rPr>
          <w:sz w:val="20"/>
          <w:szCs w:val="20"/>
          <w:color w:val="auto"/>
        </w:rPr>
        <w:t xml:space="preserve"> </w:t>
      </w:r>
      <w:r>
        <w:rPr>
          <w:rFonts w:ascii="Times New Roman" w:cs="Times New Roman" w:eastAsia="Times New Roman" w:hAnsi="Times New Roman"/>
          <w:sz w:val="19"/>
          <w:szCs w:val="19"/>
          <w:color w:val="auto"/>
        </w:rPr>
        <w:t>The Communications Act and the FCC's rules limit the number and types of media outlets in which a single person or entity may have an attributable interest. The FCC is required by statute to review its media ownership rules (with the exception of the national television ownership rule, discussed below) every four years to determine whether those rules remain necessary in the public interest as a result of competition. This process is referred to as the quadrennial review. The media ownership rule most relevant to GMG is the local television ownership rule. The rule prohibits one broadcaster from owning (or having an attributable interest in) two fu ll-power television stations licensed in the same Nielsen DMA if both of them are ranked among the top four stations in the market, unless the broadcaster can demonstrate to the FCC that the combination serves the public interest. Ownership of more than two, full-power television stations in a single market is generally prohibited.</w:t>
      </w:r>
    </w:p>
    <w:p>
      <w:pPr>
        <w:spacing w:after="0" w:line="200" w:lineRule="exact"/>
        <w:rPr>
          <w:sz w:val="20"/>
          <w:szCs w:val="20"/>
          <w:color w:val="auto"/>
        </w:rPr>
      </w:pPr>
    </w:p>
    <w:p>
      <w:pPr>
        <w:spacing w:after="0" w:line="341"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Commission initiated the 2018 quadrennial review in December 2018 and completed it via a Report and Order dated December 26, 2023 (2023 Order). The 2023 Order largely retains the current local television ownership rule without significant substantive change, with one exception: going forward, the rule generally will prohibit a broadcaster from acquiring a second (or additional) top-four network affiliation and placing it on a station's multicast stream or on a commonly owned low power television station in the same market. The 2023 Order exempts from this restriction ownership of two or more top-four network affiliations resulting from organic growth of a station's market share or from a network 's choice to move an affiliation between stations in a market. In March 2024, the National Association of Broadcasters and several broadcast groups filed petitions for review of the 2023 Order, challenging the 2023 Order as contrary to the Communications Act. The litigation has been consolidated in the Eighth Circuit Court of Appeals in St. Louis, Missouri. Briefing has been completed, but no date for oral argument has yet been set.</w:t>
      </w:r>
    </w:p>
    <w:p>
      <w:pPr>
        <w:spacing w:after="0" w:line="200" w:lineRule="exact"/>
        <w:rPr>
          <w:sz w:val="20"/>
          <w:szCs w:val="20"/>
          <w:color w:val="auto"/>
        </w:rPr>
      </w:pP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20 22 quadrennial review, which the FCC initiated in December 2022, is pending.</w:t>
      </w:r>
    </w:p>
    <w:p>
      <w:pPr>
        <w:spacing w:after="0" w:line="305"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 xml:space="preserve">It remains to be seen whether and how the pending litigation challenging the FCC's 2023 Order might affect the FCC's action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the 2022 quadrennial review proceeding. GMG's ability to enter into certain transactions in tbe future may be affected by resolution of the legal challenge to the ownership rules articulated in the 2023 Order and/or by the resolution of the 2022 quadrennial review proceeding.</w:t>
      </w:r>
    </w:p>
    <w:p>
      <w:pPr>
        <w:spacing w:after="0" w:line="285"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 xml:space="preserve">Under the national television ownership rule, a single person </w:t>
      </w:r>
      <w:r>
        <w:rPr>
          <w:rFonts w:ascii="Arial" w:cs="Arial" w:eastAsia="Arial" w:hAnsi="Arial"/>
          <w:sz w:val="18"/>
          <w:szCs w:val="18"/>
          <w:color w:val="auto"/>
        </w:rPr>
        <w:t>or</w:t>
      </w:r>
      <w:r>
        <w:rPr>
          <w:rFonts w:ascii="Times New Roman" w:cs="Times New Roman" w:eastAsia="Times New Roman" w:hAnsi="Times New Roman"/>
          <w:sz w:val="19"/>
          <w:szCs w:val="19"/>
          <w:color w:val="auto"/>
        </w:rPr>
        <w:t xml:space="preserve"> entity may have an attributable interest in an unlimited number of television stations nationwide, as long as the aggregate audience reach of such stations does not exceed 39% of nationwide television households and as long as such interest complies with the FCC' s other ownership restrictions. That calculation takes into account the 50% Ultra High Frequency (UHF) discount, under which stations broadcasting on UHF channels are credited with only half the n umber of households in their market. In December 2017, the FCC initiated a rule-making proceeding seeking comments regarding its authority to modify or eliminate the national television ownership cap, as well as the potential elimination of the </w:t>
      </w:r>
      <w:r>
        <w:rPr>
          <w:rFonts w:ascii="Arial" w:cs="Arial" w:eastAsia="Arial" w:hAnsi="Arial"/>
          <w:sz w:val="17"/>
          <w:szCs w:val="17"/>
          <w:color w:val="auto"/>
        </w:rPr>
        <w:t>UHF</w:t>
      </w:r>
      <w:r>
        <w:rPr>
          <w:rFonts w:ascii="Times New Roman" w:cs="Times New Roman" w:eastAsia="Times New Roman" w:hAnsi="Times New Roman"/>
          <w:sz w:val="19"/>
          <w:szCs w:val="19"/>
          <w:color w:val="auto"/>
        </w:rPr>
        <w:t xml:space="preserve"> discount. That proceeding remains open.</w:t>
      </w:r>
    </w:p>
    <w:p>
      <w:pPr>
        <w:sectPr>
          <w:pgSz w:w="12240" w:h="15850" w:orient="portrait"/>
          <w:cols w:equalWidth="0" w:num="1">
            <w:col w:w="9365"/>
          </w:cols>
          <w:pgMar w:left="1440" w:top="1394"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20" w:hanging="384"/>
        <w:spacing w:after="0"/>
        <w:tabs>
          <w:tab w:leader="none" w:pos="52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19"/>
          <w:szCs w:val="19"/>
          <w:color w:val="auto"/>
        </w:rPr>
        <w:t>FORM 10-K</w:t>
      </w:r>
    </w:p>
    <w:p>
      <w:pPr>
        <w:sectPr>
          <w:pgSz w:w="12240" w:h="15850" w:orient="portrait"/>
          <w:cols w:equalWidth="0" w:num="1">
            <w:col w:w="9365"/>
          </w:cols>
          <w:pgMar w:left="1440" w:top="1394" w:right="1440" w:bottom="719" w:gutter="0" w:footer="0" w:header="0"/>
          <w:type w:val="continuous"/>
        </w:sectPr>
      </w:pPr>
    </w:p>
    <w:bookmarkStart w:id="30" w:name="page31"/>
    <w:bookmarkEnd w:id="30"/>
    <w:p>
      <w:pPr>
        <w:jc w:val="both"/>
        <w:ind w:left="120" w:right="105" w:hanging="4"/>
        <w:spacing w:after="0" w:line="262"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Programming.</w:t>
      </w:r>
      <w:r>
        <w:rPr>
          <w:sz w:val="20"/>
          <w:szCs w:val="20"/>
          <w:color w:val="auto"/>
        </w:rPr>
        <w:t xml:space="preserve"> </w:t>
      </w:r>
      <w:r>
        <w:rPr>
          <w:rFonts w:ascii="Times New Roman" w:cs="Times New Roman" w:eastAsia="Times New Roman" w:hAnsi="Times New Roman"/>
          <w:sz w:val="19"/>
          <w:szCs w:val="19"/>
          <w:color w:val="auto"/>
        </w:rPr>
        <w:t>Six of GMG's seven stations are affiliated on their primary stream with one of the national televi io n networks that provides a substantial amount of programming to their televisio n station affiliates. The expiration dates of GMG's affiliation agreements are set forth in the table at the beginning of lhis Television Broadcasting section. WJXT, one of GMG's Jacksonville stations, has operated as an independent station since 2002. In addition, each of the GMG stations receives programming from syndicators and other third-party programming providers. GMG 's performance depends in part on the quality and availability of third-party programming broadcast by its stations, and any substantial decline in the quality or availability of this programming could materially affect the ability of GMG and its competitors to attract viewers, generate advertising and distribution revenues, or enter into certain transactions in the future. In addition, the advent of network direct-to-consumer platforms such as Paramount+ and Peacock potentially impacts the value of progra mming provided by the national networks, much of which is also available on the network-owned streaming platforms. T he availability of network programming to subscribers on those platforms could affect GMG's leverage in its retransmission consent negotiations.</w:t>
      </w:r>
    </w:p>
    <w:p>
      <w:pPr>
        <w:spacing w:after="0" w:line="200" w:lineRule="exact"/>
        <w:rPr>
          <w:sz w:val="20"/>
          <w:szCs w:val="20"/>
          <w:color w:val="auto"/>
        </w:rPr>
      </w:pPr>
    </w:p>
    <w:p>
      <w:pPr>
        <w:spacing w:after="0" w:line="228" w:lineRule="exact"/>
        <w:rPr>
          <w:sz w:val="20"/>
          <w:szCs w:val="20"/>
          <w:color w:val="auto"/>
        </w:rPr>
      </w:pPr>
    </w:p>
    <w:p>
      <w:pPr>
        <w:jc w:val="both"/>
        <w:ind w:left="120" w:right="125" w:hanging="5"/>
        <w:spacing w:after="0" w:line="263" w:lineRule="auto"/>
        <w:rPr>
          <w:sz w:val="20"/>
          <w:szCs w:val="20"/>
          <w:color w:val="auto"/>
        </w:rPr>
      </w:pPr>
      <w:r>
        <w:rPr>
          <w:rFonts w:ascii="Times New Roman" w:cs="Times New Roman" w:eastAsia="Times New Roman" w:hAnsi="Times New Roman"/>
          <w:sz w:val="20"/>
          <w:szCs w:val="20"/>
          <w:i w:val="1"/>
          <w:iCs w:val="1"/>
          <w:color w:val="auto"/>
        </w:rPr>
        <w:t>Public Interest Obligations.</w:t>
      </w:r>
      <w:r>
        <w:rPr>
          <w:sz w:val="20"/>
          <w:szCs w:val="20"/>
          <w:color w:val="auto"/>
        </w:rPr>
        <w:t xml:space="preserve"> </w:t>
      </w:r>
      <w:r>
        <w:rPr>
          <w:rFonts w:ascii="Times New Roman" w:cs="Times New Roman" w:eastAsia="Times New Roman" w:hAnsi="Times New Roman"/>
          <w:sz w:val="19"/>
          <w:szCs w:val="19"/>
          <w:color w:val="auto"/>
        </w:rPr>
        <w:t>To satisfy FCC requirements, stations are generally expected to air a specified number of hours of programming intended to serve the educational and informational needs of c hildren and to complete reports on an annual basis concerning childre n's programming. At present, the rules require stations to air at least !56 hours annually of "core programs," including at Least 26 hours per quarter of regularly scheduled weekly programs. In July 2019, the FCC modified the children's programming runes to provide broadcasters with more flexibility in meeting their public interest obligations. Among other things, the current mles allow up to 52 hours per year of children's programming to consist of educational specials and/or short-form programming. The prior rules required all qualifying programming to be regularly scheduled and aired in 30-minute blocks. While stations are required to air the substantial majority of their educational and informational children's programming on their primary program stream, under the current rules they may now air up to 13 hours per quarter of regularly scheduled weekly programming on a multicast stream. In addition, the FCC requires stations to limit the amount of advertising that appears during certain children's programs.</w:t>
      </w:r>
    </w:p>
    <w:p>
      <w:pPr>
        <w:spacing w:after="0" w:line="200" w:lineRule="exact"/>
        <w:rPr>
          <w:sz w:val="20"/>
          <w:szCs w:val="20"/>
          <w:color w:val="auto"/>
        </w:rPr>
      </w:pPr>
    </w:p>
    <w:p>
      <w:pPr>
        <w:spacing w:after="0" w:line="244"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Other FCC regulations and policies ensure that broadcast licensees operate in the public interest, including rules requiring the disclosure of certain information and documents in an online public inspection file; r ules requiring the closed-captioning of programming to assist television viewing by the hearing impaired; video description rules to assist television viewing by the visually impaired; rules concerning the captioning of video programming distributed via the internet; rules governing the broadcast of emergency alerts; rules requiring broadcasters to maintain equal employment opportunity recruitment programs; rules imposing certain inquiry, disclosure, and recordkeeping requirements related to programming sponsored by foreign governmental entities; and rules concerning the volume of commercials. Compliance with these rules imposes additional costs on the GMG stations that could affect GMG's operations.</w:t>
      </w:r>
    </w:p>
    <w:p>
      <w:pPr>
        <w:spacing w:after="0" w:line="200" w:lineRule="exact"/>
        <w:rPr>
          <w:sz w:val="20"/>
          <w:szCs w:val="20"/>
          <w:color w:val="auto"/>
        </w:rPr>
      </w:pPr>
    </w:p>
    <w:p>
      <w:pPr>
        <w:spacing w:after="0" w:line="229" w:lineRule="exact"/>
        <w:rPr>
          <w:sz w:val="20"/>
          <w:szCs w:val="20"/>
          <w:color w:val="auto"/>
        </w:rPr>
      </w:pPr>
    </w:p>
    <w:p>
      <w:pPr>
        <w:jc w:val="both"/>
        <w:ind w:left="120" w:right="125" w:hanging="5"/>
        <w:spacing w:after="0" w:line="260" w:lineRule="auto"/>
        <w:rPr>
          <w:sz w:val="20"/>
          <w:szCs w:val="20"/>
          <w:color w:val="auto"/>
        </w:rPr>
      </w:pPr>
      <w:r>
        <w:rPr>
          <w:rFonts w:ascii="Times New Roman" w:cs="Times New Roman" w:eastAsia="Times New Roman" w:hAnsi="Times New Roman"/>
          <w:sz w:val="20"/>
          <w:szCs w:val="20"/>
          <w:i w:val="1"/>
          <w:iCs w:val="1"/>
          <w:color w:val="auto"/>
        </w:rPr>
        <w:t>Political Advertising.</w:t>
      </w:r>
      <w:r>
        <w:rPr>
          <w:sz w:val="20"/>
          <w:szCs w:val="20"/>
          <w:color w:val="auto"/>
        </w:rPr>
        <w:t xml:space="preserve"> </w:t>
      </w:r>
      <w:r>
        <w:rPr>
          <w:rFonts w:ascii="Times New Roman" w:cs="Times New Roman" w:eastAsia="Times New Roman" w:hAnsi="Times New Roman"/>
          <w:sz w:val="19"/>
          <w:szCs w:val="19"/>
          <w:color w:val="auto"/>
        </w:rPr>
        <w:t>The FCC regulates the sale of advertising by GMG's stations to candidates for public office and imposes other obligations regarding the broadcast of political arnnouncements more generally, including the disclosure of certain information related to such advertising in the station's online public inspection file. The application of these regulations may limit the advertisirng revenues of GMG' s television stations during the periods preceding elections. Failure to comply with the political advertising rules may result in enforcement actions by the FCC. The Company has procedures in place regarding compliance with the FCC's political advertising rules and seeks the advice and guidance of outside counsel as appropriate, but cannot predict how the FCC's future application of these rules will affect GMG's stations .</w:t>
      </w:r>
    </w:p>
    <w:p>
      <w:pPr>
        <w:spacing w:after="0" w:line="200" w:lineRule="exact"/>
        <w:rPr>
          <w:sz w:val="20"/>
          <w:szCs w:val="20"/>
          <w:color w:val="auto"/>
        </w:rPr>
      </w:pPr>
    </w:p>
    <w:p>
      <w:pPr>
        <w:spacing w:after="0" w:line="241" w:lineRule="exact"/>
        <w:rPr>
          <w:sz w:val="20"/>
          <w:szCs w:val="20"/>
          <w:color w:val="auto"/>
        </w:rPr>
      </w:pPr>
    </w:p>
    <w:p>
      <w:pPr>
        <w:jc w:val="both"/>
        <w:ind w:left="120" w:right="125" w:firstLine="4"/>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Broadcast Indecency. </w:t>
      </w:r>
      <w:r>
        <w:rPr>
          <w:rFonts w:ascii="Times New Roman" w:cs="Times New Roman" w:eastAsia="Times New Roman" w:hAnsi="Times New Roman"/>
          <w:sz w:val="19"/>
          <w:szCs w:val="19"/>
          <w:color w:val="auto"/>
        </w:rPr>
        <w:t>The FCC's policies prohibit the broadcast of indecent and profane material during</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certain hours of the day; and the FCC may impose monetary forfeitures when it determines that a television station has violated that policy. Broadcasters have repeatedly challenged thes,e rules, arguing, among other things, that the FCC has failed to justify its indecency decisions adequately, that the FCC's policy is too subjective to guide broadcasters' programming decisions, and that its enforce ment approach otherwise violates the First Amendment. The Company cannot predict how GMG's stations may be affected by the FCC's current or future interpretation and enforcement of its indecency policies.</w:t>
      </w:r>
    </w:p>
    <w:p>
      <w:pPr>
        <w:sectPr>
          <w:pgSz w:w="12240" w:h="15850" w:orient="portrait"/>
          <w:cols w:equalWidth="0" w:num="1">
            <w:col w:w="9365"/>
          </w:cols>
          <w:pgMar w:left="1440" w:top="1387"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15</w:t>
      </w:r>
    </w:p>
    <w:p>
      <w:pPr>
        <w:sectPr>
          <w:pgSz w:w="12240" w:h="15850" w:orient="portrait"/>
          <w:cols w:equalWidth="0" w:num="1">
            <w:col w:w="9365"/>
          </w:cols>
          <w:pgMar w:left="1440" w:top="1387" w:right="1440" w:bottom="721" w:gutter="0" w:footer="0" w:header="0"/>
          <w:type w:val="continuous"/>
        </w:sectPr>
      </w:pPr>
    </w:p>
    <w:bookmarkStart w:id="31" w:name="page32"/>
    <w:bookmarkEnd w:id="31"/>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MANUFACTURING</w:t>
      </w:r>
    </w:p>
    <w:p>
      <w:pPr>
        <w:spacing w:after="0" w:line="1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Hoover Treated Wood Products, Inc.</w:t>
      </w:r>
    </w:p>
    <w:p>
      <w:pPr>
        <w:spacing w:after="0" w:line="167" w:lineRule="exact"/>
        <w:rPr>
          <w:sz w:val="20"/>
          <w:szCs w:val="20"/>
          <w:color w:val="auto"/>
        </w:rPr>
      </w:pPr>
    </w:p>
    <w:p>
      <w:pPr>
        <w:jc w:val="both"/>
        <w:ind w:left="120" w:right="125" w:firstLine="11"/>
        <w:spacing w:after="0" w:line="268" w:lineRule="auto"/>
        <w:rPr>
          <w:sz w:val="20"/>
          <w:szCs w:val="20"/>
          <w:color w:val="auto"/>
        </w:rPr>
      </w:pPr>
      <w:r>
        <w:rPr>
          <w:rFonts w:ascii="Times New Roman" w:cs="Times New Roman" w:eastAsia="Times New Roman" w:hAnsi="Times New Roman"/>
          <w:sz w:val="18"/>
          <w:szCs w:val="18"/>
          <w:color w:val="auto"/>
        </w:rPr>
        <w:t xml:space="preserve">Hoover Treated Wood Products, Inc. (Hoover) is a supplier of pressure-impregnated kiln-dried lumber and plywood products for fire- retardant and preservative appl ications. Hoover, founded in </w:t>
      </w:r>
      <w:r>
        <w:rPr>
          <w:rFonts w:ascii="Times New Roman" w:cs="Times New Roman" w:eastAsia="Times New Roman" w:hAnsi="Times New Roman"/>
          <w:sz w:val="17"/>
          <w:szCs w:val="17"/>
          <w:color w:val="auto"/>
        </w:rPr>
        <w:t>J</w:t>
      </w:r>
      <w:r>
        <w:rPr>
          <w:rFonts w:ascii="Times New Roman" w:cs="Times New Roman" w:eastAsia="Times New Roman" w:hAnsi="Times New Roman"/>
          <w:sz w:val="18"/>
          <w:szCs w:val="18"/>
          <w:color w:val="auto"/>
        </w:rPr>
        <w:t xml:space="preserve"> 955 and acquired by the Company in 2017, is headquartered in Augusta, GA. It operates I </w:t>
      </w:r>
      <w:r>
        <w:rPr>
          <w:rFonts w:ascii="Times New Roman" w:cs="Times New Roman" w:eastAsia="Times New Roman" w:hAnsi="Times New Roman"/>
          <w:sz w:val="19"/>
          <w:szCs w:val="19"/>
          <w:color w:val="auto"/>
        </w:rPr>
        <w:t>J</w:t>
      </w:r>
      <w:r>
        <w:rPr>
          <w:rFonts w:ascii="Times New Roman" w:cs="Times New Roman" w:eastAsia="Times New Roman" w:hAnsi="Times New Roman"/>
          <w:sz w:val="18"/>
          <w:szCs w:val="18"/>
          <w:color w:val="auto"/>
        </w:rPr>
        <w:t xml:space="preserve"> faci lities across the country and services a stocking distributor network of more than 100 locations s panning the U .S. and Canada.</w:t>
      </w: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Group Dekko Inc.</w:t>
      </w:r>
    </w:p>
    <w:p>
      <w:pPr>
        <w:spacing w:after="0" w:line="157" w:lineRule="exact"/>
        <w:rPr>
          <w:sz w:val="20"/>
          <w:szCs w:val="20"/>
          <w:color w:val="auto"/>
        </w:rPr>
      </w:pPr>
    </w:p>
    <w:p>
      <w:pPr>
        <w:jc w:val="both"/>
        <w:ind w:left="120" w:right="125" w:hanging="8"/>
        <w:spacing w:after="0" w:line="277" w:lineRule="auto"/>
        <w:rPr>
          <w:sz w:val="20"/>
          <w:szCs w:val="20"/>
          <w:color w:val="auto"/>
        </w:rPr>
      </w:pPr>
      <w:r>
        <w:rPr>
          <w:rFonts w:ascii="Times New Roman" w:cs="Times New Roman" w:eastAsia="Times New Roman" w:hAnsi="Times New Roman"/>
          <w:sz w:val="18"/>
          <w:szCs w:val="18"/>
          <w:color w:val="auto"/>
        </w:rPr>
        <w:t>Group Dekko Inc. (Delkko) is an electrical solutions company that focuses on innovative power charging and data systems; industrial and commercial indoor lighting solutions; and the manufacture of electrical components and assemblies for medical equipment, transportation, industrial and appliance products. Dekko, founded in 1952, is headquartered in Fort Wayne, IN, and operates 10 facilities in four states and Mexico.</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J oyce/Dayton Corp.</w:t>
      </w:r>
    </w:p>
    <w:p>
      <w:pPr>
        <w:spacing w:after="0" w:line="148" w:lineRule="exact"/>
        <w:rPr>
          <w:sz w:val="20"/>
          <w:szCs w:val="20"/>
          <w:color w:val="auto"/>
        </w:rPr>
      </w:pPr>
    </w:p>
    <w:p>
      <w:pPr>
        <w:jc w:val="both"/>
        <w:ind w:left="120" w:right="125" w:hanging="9"/>
        <w:spacing w:after="0" w:line="277" w:lineRule="auto"/>
        <w:rPr>
          <w:sz w:val="20"/>
          <w:szCs w:val="20"/>
          <w:color w:val="auto"/>
        </w:rPr>
      </w:pPr>
      <w:r>
        <w:rPr>
          <w:rFonts w:ascii="Times New Roman" w:cs="Times New Roman" w:eastAsia="Times New Roman" w:hAnsi="Times New Roman"/>
          <w:sz w:val="18"/>
          <w:szCs w:val="18"/>
          <w:color w:val="auto"/>
        </w:rPr>
        <w:t>Joyce/Dayton Corp. (Joyce/Dayton) is a leading manufacturer of screw jacks, linear actuators and related linear motion products and lifting systems in North America. Joyce/Dayton provides its l ifting and positioning products to customers across a diverse range of industrial end markets, including renewable energy, metals and metalworking, o il and gas, satellite antennae and material handling sectors.</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Forney Corporation</w:t>
      </w:r>
    </w:p>
    <w:p>
      <w:pPr>
        <w:spacing w:after="0" w:line="167" w:lineRule="exact"/>
        <w:rPr>
          <w:sz w:val="20"/>
          <w:szCs w:val="20"/>
          <w:color w:val="auto"/>
        </w:rPr>
      </w:pPr>
    </w:p>
    <w:p>
      <w:pPr>
        <w:jc w:val="both"/>
        <w:ind w:left="120" w:right="125" w:firstLine="1"/>
        <w:spacing w:after="0" w:line="277" w:lineRule="auto"/>
        <w:rPr>
          <w:sz w:val="20"/>
          <w:szCs w:val="20"/>
          <w:color w:val="auto"/>
        </w:rPr>
      </w:pPr>
      <w:r>
        <w:rPr>
          <w:rFonts w:ascii="Times New Roman" w:cs="Times New Roman" w:eastAsia="Times New Roman" w:hAnsi="Times New Roman"/>
          <w:sz w:val="18"/>
          <w:szCs w:val="18"/>
          <w:color w:val="auto"/>
        </w:rPr>
        <w:t>Forney Corporation (Forney) is a global supplier of burners, igniters, dampers, and controls for combustion processes in electric utility and industrial applications. Forney is headquartered in Addison, TX, and its manufacturing plant is in Monterrey, Mexico. Forney's customers include power plants and industrial systems around the world .</w:t>
      </w:r>
    </w:p>
    <w:p>
      <w:pPr>
        <w:spacing w:after="0" w:line="200" w:lineRule="exact"/>
        <w:rPr>
          <w:sz w:val="20"/>
          <w:szCs w:val="20"/>
          <w:color w:val="auto"/>
        </w:rPr>
      </w:pP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5"/>
          <w:szCs w:val="25"/>
          <w:color w:val="auto"/>
        </w:rPr>
        <w:t>HEALTHCARE</w:t>
      </w:r>
    </w:p>
    <w:p>
      <w:pPr>
        <w:spacing w:after="0" w:line="1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Graham Healthcare G roup</w:t>
      </w:r>
    </w:p>
    <w:p>
      <w:pPr>
        <w:spacing w:after="0" w:line="167" w:lineRule="exact"/>
        <w:rPr>
          <w:sz w:val="20"/>
          <w:szCs w:val="20"/>
          <w:color w:val="auto"/>
        </w:rPr>
      </w:pPr>
    </w:p>
    <w:p>
      <w:pPr>
        <w:jc w:val="both"/>
        <w:ind w:left="120" w:right="125" w:hanging="10"/>
        <w:spacing w:after="0" w:line="254" w:lineRule="auto"/>
        <w:rPr>
          <w:sz w:val="20"/>
          <w:szCs w:val="20"/>
          <w:color w:val="auto"/>
        </w:rPr>
      </w:pPr>
      <w:r>
        <w:rPr>
          <w:rFonts w:ascii="Times New Roman" w:cs="Times New Roman" w:eastAsia="Times New Roman" w:hAnsi="Times New Roman"/>
          <w:sz w:val="18"/>
          <w:szCs w:val="18"/>
          <w:color w:val="auto"/>
        </w:rPr>
        <w:t xml:space="preserve">Graham Healthcare Group (GHG) provides healthcare services through six bus]nesses, the largest of which is home infusions through </w:t>
      </w:r>
      <w:r>
        <w:rPr>
          <w:rFonts w:ascii="Times New Roman" w:cs="Times New Roman" w:eastAsia="Times New Roman" w:hAnsi="Times New Roman"/>
          <w:sz w:val="20"/>
          <w:szCs w:val="20"/>
          <w:color w:val="auto"/>
        </w:rPr>
        <w:t>CSI</w:t>
      </w:r>
      <w:r>
        <w:rPr>
          <w:rFonts w:ascii="Times New Roman" w:cs="Times New Roman" w:eastAsia="Times New Roman" w:hAnsi="Times New Roman"/>
          <w:sz w:val="18"/>
          <w:szCs w:val="18"/>
          <w:color w:val="auto"/>
        </w:rPr>
        <w:t xml:space="preserve"> Pharmacy and home health, hospice and palliative care. GHG served approximately 120,000 patients in 2024.</w:t>
      </w:r>
    </w:p>
    <w:p>
      <w:pPr>
        <w:spacing w:after="0" w:line="200" w:lineRule="exact"/>
        <w:rPr>
          <w:sz w:val="20"/>
          <w:szCs w:val="20"/>
          <w:color w:val="auto"/>
        </w:rPr>
      </w:pPr>
    </w:p>
    <w:p>
      <w:pPr>
        <w:spacing w:after="0" w:line="278" w:lineRule="exact"/>
        <w:rPr>
          <w:sz w:val="20"/>
          <w:szCs w:val="20"/>
          <w:color w:val="auto"/>
        </w:rPr>
      </w:pPr>
    </w:p>
    <w:p>
      <w:pPr>
        <w:jc w:val="both"/>
        <w:ind w:left="120" w:right="125" w:firstLine="1"/>
        <w:spacing w:after="0" w:line="276" w:lineRule="auto"/>
        <w:rPr>
          <w:sz w:val="20"/>
          <w:szCs w:val="20"/>
          <w:color w:val="auto"/>
        </w:rPr>
      </w:pPr>
      <w:r>
        <w:rPr>
          <w:rFonts w:ascii="Times New Roman" w:cs="Times New Roman" w:eastAsia="Times New Roman" w:hAnsi="Times New Roman"/>
          <w:sz w:val="18"/>
          <w:szCs w:val="18"/>
          <w:color w:val="auto"/>
        </w:rPr>
        <w:t xml:space="preserve">GHG' </w:t>
      </w:r>
      <w:r>
        <w:rPr>
          <w:rFonts w:ascii="Times New Roman" w:cs="Times New Roman" w:eastAsia="Times New Roman" w:hAnsi="Times New Roman"/>
          <w:sz w:val="21"/>
          <w:szCs w:val="21"/>
          <w:color w:val="auto"/>
        </w:rPr>
        <w:t>s</w:t>
      </w:r>
      <w:r>
        <w:rPr>
          <w:rFonts w:ascii="Times New Roman" w:cs="Times New Roman" w:eastAsia="Times New Roman" w:hAnsi="Times New Roman"/>
          <w:sz w:val="18"/>
          <w:szCs w:val="18"/>
          <w:color w:val="auto"/>
        </w:rPr>
        <w:t xml:space="preserve"> home health, palliative and hospice operations provide services to approximately </w:t>
      </w:r>
      <w:r>
        <w:rPr>
          <w:rFonts w:ascii="Times New Roman" w:cs="Times New Roman" w:eastAsia="Times New Roman" w:hAnsi="Times New Roman"/>
          <w:sz w:val="19"/>
          <w:szCs w:val="19"/>
          <w:color w:val="auto"/>
        </w:rPr>
        <w:t>85,000</w:t>
      </w:r>
      <w:r>
        <w:rPr>
          <w:rFonts w:ascii="Times New Roman" w:cs="Times New Roman" w:eastAsia="Times New Roman" w:hAnsi="Times New Roman"/>
          <w:sz w:val="18"/>
          <w:szCs w:val="18"/>
          <w:color w:val="auto"/>
        </w:rPr>
        <w:t xml:space="preserve"> patients annually across the states of Michigan, Illinois, Pennsylvania, Kansas, Missouri, Ohio, and Florida. GHG's brands include Residential Home Health, Residential Hospice, Allegheny (AHN) Healthcare@Home, and Mary Free Bed at Home, and across these companies there are 19 home health, 11 hospice, and six palliative care operating units. Eleven of GHG's 35 operating units are operated through joint ventures with health systems and physician groups and the remainder are wholly-owned. Home health, palliative and hospice services include a wide range of health care services that are provided wherever home may be and are tai lored to the unique needs and goals of the patien ts . Home health care helps patients gain independence and remain safe at home as active community members. H ospice care supports patients and their families' unique physical, emotional, and spiritual needs, while focusing on optimizing quality of life, comfort, allld dignity. Palliative care complements curative treatments and is provided by in- home nurse practitioners who aim to treat advanced pain and uncomfortable symptoms of disease. All home health, palliative, and hospice operating units are Medicare certified and accredited. GHG generates over </w:t>
      </w:r>
      <w:r>
        <w:rPr>
          <w:rFonts w:ascii="Arial" w:cs="Arial" w:eastAsia="Arial" w:hAnsi="Arial"/>
          <w:sz w:val="18"/>
          <w:szCs w:val="18"/>
          <w:color w:val="auto"/>
        </w:rPr>
        <w:t>90%</w:t>
      </w:r>
      <w:r>
        <w:rPr>
          <w:rFonts w:ascii="Times New Roman" w:cs="Times New Roman" w:eastAsia="Times New Roman" w:hAnsi="Times New Roman"/>
          <w:sz w:val="18"/>
          <w:szCs w:val="18"/>
          <w:color w:val="auto"/>
        </w:rPr>
        <w:t xml:space="preserve"> of its revenues for home health, palliative, and hospice services from Medicare and Medicare Advantage payors. T he remaining sources of revenue are from Medicaid, commercial insurance, and private payors .</w:t>
      </w:r>
    </w:p>
    <w:p>
      <w:pPr>
        <w:sectPr>
          <w:pgSz w:w="12240" w:h="15850" w:orient="portrait"/>
          <w:cols w:equalWidth="0" w:num="1">
            <w:col w:w="9365"/>
          </w:cols>
          <w:pgMar w:left="1440" w:top="1377" w:right="1440" w:bottom="72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520" w:hanging="383"/>
        <w:spacing w:after="0"/>
        <w:tabs>
          <w:tab w:leader="none" w:pos="520" w:val="left"/>
        </w:tabs>
        <w:numPr>
          <w:ilvl w:val="0"/>
          <w:numId w:val="17"/>
        </w:numPr>
        <w:rPr>
          <w:rFonts w:ascii="Arial" w:cs="Arial" w:eastAsia="Arial" w:hAnsi="Arial"/>
          <w:sz w:val="19"/>
          <w:szCs w:val="19"/>
          <w:color w:val="auto"/>
        </w:rPr>
      </w:pPr>
      <w:r>
        <w:rPr>
          <w:rFonts w:ascii="Times New Roman" w:cs="Times New Roman" w:eastAsia="Times New Roman" w:hAnsi="Times New Roman"/>
          <w:sz w:val="18"/>
          <w:szCs w:val="18"/>
          <w:color w:val="auto"/>
        </w:rPr>
        <w:t>2024 FORM 10-K</w:t>
      </w:r>
    </w:p>
    <w:p>
      <w:pPr>
        <w:sectPr>
          <w:pgSz w:w="12240" w:h="15850" w:orient="portrait"/>
          <w:cols w:equalWidth="0" w:num="1">
            <w:col w:w="9365"/>
          </w:cols>
          <w:pgMar w:left="1440" w:top="1377" w:right="1440" w:bottom="723" w:gutter="0" w:footer="0" w:header="0"/>
          <w:type w:val="continuous"/>
        </w:sectPr>
      </w:pPr>
    </w:p>
    <w:bookmarkStart w:id="32" w:name="page33"/>
    <w:bookmarkEnd w:id="32"/>
    <w:p>
      <w:pPr>
        <w:jc w:val="both"/>
        <w:ind w:left="120" w:right="125" w:hanging="8"/>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CSI Pharmacy, headqua1tered in Dallas , TX, is a nationwide specialty home infusion pharmacy licensed in 49 states serving patients suffering from chronic and rare illness. CSI Pharmacy specializes in treating rare diseases with biologics and plasma-derived therapies, with revenues derived primarily from intravenous immunoglobulin (IVIG) therapy. CSI Pharmacy delivers products to patients' homes and employs nurses to provide the specialized infusion therapies to patients.</w:t>
      </w:r>
    </w:p>
    <w:p>
      <w:pPr>
        <w:spacing w:after="0" w:line="251"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Clarus, based in Nashville, TN, provides call management solutions to physician groups and hospitals. Clarus replaces traditional human-staffed answering services with a SaaS-based solution. Clarus streamlines call handling, provider call coverage management, eliminates patient hold times, and manages referrals and new appointments. The solution eliminates delays, call routing errors, and malpractice risk inherent with traditional call centers.</w:t>
      </w:r>
    </w:p>
    <w:p>
      <w:pPr>
        <w:spacing w:after="0" w:line="200" w:lineRule="exact"/>
        <w:rPr>
          <w:sz w:val="20"/>
          <w:szCs w:val="20"/>
          <w:color w:val="auto"/>
        </w:rPr>
      </w:pPr>
    </w:p>
    <w:p>
      <w:pPr>
        <w:spacing w:after="0" w:line="282" w:lineRule="exact"/>
        <w:rPr>
          <w:sz w:val="20"/>
          <w:szCs w:val="20"/>
          <w:color w:val="auto"/>
        </w:rPr>
      </w:pPr>
    </w:p>
    <w:p>
      <w:pPr>
        <w:jc w:val="both"/>
        <w:ind w:left="120" w:right="125" w:firstLine="1"/>
        <w:spacing w:after="0" w:line="252" w:lineRule="auto"/>
        <w:rPr>
          <w:sz w:val="20"/>
          <w:szCs w:val="20"/>
          <w:color w:val="auto"/>
        </w:rPr>
      </w:pPr>
      <w:r>
        <w:rPr>
          <w:rFonts w:ascii="Times New Roman" w:cs="Times New Roman" w:eastAsia="Times New Roman" w:hAnsi="Times New Roman"/>
          <w:sz w:val="19"/>
          <w:szCs w:val="19"/>
          <w:color w:val="auto"/>
        </w:rPr>
        <w:t>Impact Medical operates a full-service physician practice dedicated to providing advanced care for allergies, asthma, and immunology with four locations in New Jersey and New York.</w:t>
      </w:r>
    </w:p>
    <w:p>
      <w:pPr>
        <w:spacing w:after="0" w:line="266" w:lineRule="exact"/>
        <w:rPr>
          <w:sz w:val="20"/>
          <w:szCs w:val="20"/>
          <w:color w:val="auto"/>
        </w:rPr>
      </w:pPr>
    </w:p>
    <w:p>
      <w:pPr>
        <w:jc w:val="both"/>
        <w:ind w:left="120" w:right="125" w:hanging="1"/>
        <w:spacing w:after="0" w:line="262" w:lineRule="auto"/>
        <w:rPr>
          <w:sz w:val="20"/>
          <w:szCs w:val="20"/>
          <w:color w:val="auto"/>
        </w:rPr>
      </w:pPr>
      <w:r>
        <w:rPr>
          <w:rFonts w:ascii="Times New Roman" w:cs="Times New Roman" w:eastAsia="Times New Roman" w:hAnsi="Times New Roman"/>
          <w:sz w:val="19"/>
          <w:szCs w:val="19"/>
          <w:color w:val="auto"/>
        </w:rPr>
        <w:t>Skin Clique is a concierge aesthetic medicine and product practice. Skin Clique generates much of its revenue from neurotoxin injections and the remaining revenue from GLP-1, skin peels, skin consultations, Ultherapy, dermal fillers, rnicroneedling, and medical-grade skin care products. Skin Clique, based in Charleston, SC, serves clients across approximately 40 states.</w:t>
      </w:r>
    </w:p>
    <w:p>
      <w:pPr>
        <w:spacing w:after="0" w:line="247"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Surpass Behavioral Health operates 14 Applied Behavior Analysis (ABA) clinics throughout Kentucky, South Carolina and Georgia, as well as a school program in Pennsylvania and Illinois, and a positive beihavior support program in Kentucky. Surpass Behavioral Health is headquartered in Nashvi lle, TN. Approximately 75% of its revenue is generated across the </w:t>
      </w:r>
      <w:r>
        <w:rPr>
          <w:rFonts w:ascii="Arial" w:cs="Arial" w:eastAsia="Arial" w:hAnsi="Arial"/>
          <w:sz w:val="18"/>
          <w:szCs w:val="18"/>
          <w:color w:val="auto"/>
        </w:rPr>
        <w:t>14</w:t>
      </w:r>
      <w:r>
        <w:rPr>
          <w:rFonts w:ascii="Times New Roman" w:cs="Times New Roman" w:eastAsia="Times New Roman" w:hAnsi="Times New Roman"/>
          <w:sz w:val="19"/>
          <w:szCs w:val="19"/>
          <w:color w:val="auto"/>
        </w:rPr>
        <w:t xml:space="preserve"> clinics, with a smaller portion coming from the school settings, and the remaining generated through the Kentucky positive behavior support program.</w:t>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AUTOMOTIVE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Graham Automotive LLC</w:t>
      </w:r>
    </w:p>
    <w:p>
      <w:pPr>
        <w:spacing w:after="0" w:line="141" w:lineRule="exact"/>
        <w:rPr>
          <w:sz w:val="20"/>
          <w:szCs w:val="20"/>
          <w:color w:val="auto"/>
        </w:rPr>
      </w:pPr>
    </w:p>
    <w:p>
      <w:pPr>
        <w:jc w:val="both"/>
        <w:ind w:left="120" w:right="105"/>
        <w:spacing w:after="0" w:line="263" w:lineRule="auto"/>
        <w:rPr>
          <w:sz w:val="20"/>
          <w:szCs w:val="20"/>
          <w:color w:val="auto"/>
        </w:rPr>
      </w:pPr>
      <w:r>
        <w:rPr>
          <w:rFonts w:ascii="Times New Roman" w:cs="Times New Roman" w:eastAsia="Times New Roman" w:hAnsi="Times New Roman"/>
          <w:sz w:val="19"/>
          <w:szCs w:val="19"/>
          <w:color w:val="auto"/>
        </w:rPr>
        <w:t>The Company owns a 90% interest in eight automotive dealerships in the Washington, D.C. area: Honda of Tysons Corner in Virginia, Lexus of Rockville in Maryland, Jeep in Bethesda, Maryland, Ford of Manassas in Virginia, Toyota of Woodbridge and Chrysler-Dodge-Jeep-Ram of Woodbridge in Virginia, Toyota in Henrico, Virginia, and Kia in Bethesda, Maryland. The Company has a management services agreement with an entity affiliated with Christopher J . Ourisman, a member of the Ourisman Automotive Group fam ily of dealerships, to operate and manage the operations of the dealerships. The Company also owns Roda (formerly CarCare To Go), which provides valet repair services in the Washington, D.C. metropolitan area.</w:t>
      </w:r>
    </w:p>
    <w:p>
      <w:pPr>
        <w:spacing w:after="0" w:line="3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OTHER ACTIVITIES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Saatc!hi Online, Inc.</w:t>
      </w:r>
    </w:p>
    <w:p>
      <w:pPr>
        <w:spacing w:after="0" w:line="151" w:lineRule="exact"/>
        <w:rPr>
          <w:sz w:val="20"/>
          <w:szCs w:val="20"/>
          <w:color w:val="auto"/>
        </w:rPr>
      </w:pPr>
    </w:p>
    <w:p>
      <w:pPr>
        <w:jc w:val="both"/>
        <w:ind w:left="120" w:right="125" w:hanging="9"/>
        <w:spacing w:after="0" w:line="262" w:lineRule="auto"/>
        <w:rPr>
          <w:sz w:val="20"/>
          <w:szCs w:val="20"/>
          <w:color w:val="auto"/>
        </w:rPr>
      </w:pPr>
      <w:r>
        <w:rPr>
          <w:rFonts w:ascii="Times New Roman" w:cs="Times New Roman" w:eastAsia="Times New Roman" w:hAnsi="Times New Roman"/>
          <w:sz w:val="19"/>
          <w:szCs w:val="19"/>
          <w:color w:val="auto"/>
        </w:rPr>
        <w:t>Saatchi Online, Inc. (Saatchi Art) including SaatchiArt.com and its art fair event brand, The Other Art Fair, provides an online art gallery where a global community of artists exhibit and sell their original artwork directly to consumers through an online gaUery as well as through virtual reality and in-person art fairs hosted in the U.S., U.K. and Australia. Saatchi Art's online art gallery features a wide selection of original paintings, drawings, sculptures and photography.</w:t>
      </w: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Society6, LLC</w:t>
      </w:r>
    </w:p>
    <w:p>
      <w:pPr>
        <w:spacing w:after="0" w:line="141" w:lineRule="exact"/>
        <w:rPr>
          <w:sz w:val="20"/>
          <w:szCs w:val="20"/>
          <w:color w:val="auto"/>
        </w:rPr>
      </w:pPr>
    </w:p>
    <w:p>
      <w:pPr>
        <w:jc w:val="both"/>
        <w:ind w:left="120" w:right="125" w:firstLine="8"/>
        <w:spacing w:after="0" w:line="257" w:lineRule="auto"/>
        <w:rPr>
          <w:sz w:val="20"/>
          <w:szCs w:val="20"/>
          <w:color w:val="auto"/>
        </w:rPr>
      </w:pPr>
      <w:r>
        <w:rPr>
          <w:rFonts w:ascii="Times New Roman" w:cs="Times New Roman" w:eastAsia="Times New Roman" w:hAnsi="Times New Roman"/>
          <w:sz w:val="19"/>
          <w:szCs w:val="19"/>
          <w:color w:val="auto"/>
        </w:rPr>
        <w:t>Society6, LLC (Society6) is an online art and design marketplace where a curated community of artists and designers can market and sell their original art and designs printed on a wide variety of products. Its made-to-order marketplaces, consisting of Society6.com and its wholesale channel Deny Designs, provide its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17</w:t>
      </w:r>
    </w:p>
    <w:p>
      <w:pPr>
        <w:sectPr>
          <w:pgSz w:w="12240" w:h="15850" w:orient="portrait"/>
          <w:cols w:equalWidth="0" w:num="1">
            <w:col w:w="9365"/>
          </w:cols>
          <w:pgMar w:left="1440" w:top="1394" w:right="1440" w:bottom="721" w:gutter="0" w:footer="0" w:header="0"/>
          <w:type w:val="continuous"/>
        </w:sectPr>
      </w:pPr>
    </w:p>
    <w:bookmarkStart w:id="33" w:name="page34"/>
    <w:bookmarkEnd w:id="33"/>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artists and designers with an online commerce platform to feature and sell their original art and designs on an array of consumer produc ts primarily in the home decor category. Deny Designs sells products to trade and hospitality clients, as well as retail distribution partners.</w:t>
      </w:r>
    </w:p>
    <w:p>
      <w:pPr>
        <w:spacing w:after="0" w:line="200" w:lineRule="exact"/>
        <w:rPr>
          <w:sz w:val="20"/>
          <w:szCs w:val="20"/>
          <w:color w:val="auto"/>
        </w:rPr>
      </w:pPr>
    </w:p>
    <w:p>
      <w:pPr>
        <w:spacing w:after="0" w:line="2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World of Good Brands</w:t>
      </w:r>
    </w:p>
    <w:p>
      <w:pPr>
        <w:spacing w:after="0" w:line="158"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World of Good Brands (WGB) consists of a diverse portfolio of media properties that educate and inform consumers across a wide variety of life topics, including fitness and wellness brands such as Weii+Good and Livestrong.com and Only In Your State in the travel sector. Together with these premium brands, WGB owns and operates or hosts and operates websites focused on specific categories or interests. WGB generates the majority of its media revenue from the sale of advertising.</w:t>
      </w: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Clyde's Restaurant Group</w:t>
      </w:r>
    </w:p>
    <w:p>
      <w:pPr>
        <w:spacing w:after="0" w:line="168" w:lineRule="exact"/>
        <w:rPr>
          <w:sz w:val="20"/>
          <w:szCs w:val="20"/>
          <w:color w:val="auto"/>
        </w:rPr>
      </w:pPr>
    </w:p>
    <w:p>
      <w:pPr>
        <w:jc w:val="both"/>
        <w:ind w:left="120" w:right="125"/>
        <w:spacing w:after="0" w:line="258" w:lineRule="auto"/>
        <w:rPr>
          <w:sz w:val="20"/>
          <w:szCs w:val="20"/>
          <w:color w:val="auto"/>
        </w:rPr>
      </w:pPr>
      <w:r>
        <w:rPr>
          <w:rFonts w:ascii="Times New Roman" w:cs="Times New Roman" w:eastAsia="Times New Roman" w:hAnsi="Times New Roman"/>
          <w:sz w:val="19"/>
          <w:szCs w:val="19"/>
          <w:color w:val="auto"/>
        </w:rPr>
        <w:t>Clyde's Restaurant Group (Clyde's), founded in 1963, owns and operates 14 restaurants and entertainment venues in the Washington, D.C. metropolitan area, including six Clyde's locations, Old Ebbitt Grill, The Hamilton, Hamilton Live, Rye Street Tavern, Cordelia Fishbar, 1789 Restaurant, Fitzgerald's and The Tombs. Clyde's has another restaurant under construction with the planned opening in 2026.</w:t>
      </w: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Framebridge, Inc.</w:t>
      </w:r>
    </w:p>
    <w:p>
      <w:pPr>
        <w:spacing w:after="0" w:line="177" w:lineRule="exact"/>
        <w:rPr>
          <w:sz w:val="20"/>
          <w:szCs w:val="20"/>
          <w:color w:val="auto"/>
        </w:rPr>
      </w:pPr>
    </w:p>
    <w:p>
      <w:pPr>
        <w:jc w:val="both"/>
        <w:ind w:left="120" w:right="125" w:firstLine="2"/>
        <w:spacing w:after="0" w:line="262" w:lineRule="auto"/>
        <w:rPr>
          <w:sz w:val="20"/>
          <w:szCs w:val="20"/>
          <w:color w:val="auto"/>
        </w:rPr>
      </w:pPr>
      <w:r>
        <w:rPr>
          <w:rFonts w:ascii="Times New Roman" w:cs="Times New Roman" w:eastAsia="Times New Roman" w:hAnsi="Times New Roman"/>
          <w:sz w:val="19"/>
          <w:szCs w:val="19"/>
          <w:color w:val="auto"/>
        </w:rPr>
        <w:t>Framebridge, Inc. (Framebridge) provides high-quality, affordable and fast custom frami ng directly to consumers. Through its website, app and retail locations, Frameb1idge offers consumers the option to drop off or ship a1twork, pictures and other personal objects directly to Framebridge to be custom framed and then delivered directly to a customer or a retail store for in-store pick up. Framebridge is headqua1tered in Washington, D.C., with 32 retail locations and two manufacturing facili ties in Kentucky and Virginia.</w:t>
      </w: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Code3</w:t>
      </w:r>
    </w:p>
    <w:p>
      <w:pPr>
        <w:spacing w:after="0" w:line="168"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Code3 is a marketing and insights company that manages digital advertising for global and mid- market brands and early-stage companies. </w:t>
      </w:r>
      <w:r>
        <w:rPr>
          <w:rFonts w:ascii="Arial" w:cs="Arial" w:eastAsia="Arial" w:hAnsi="Arial"/>
          <w:sz w:val="18"/>
          <w:szCs w:val="18"/>
          <w:color w:val="auto"/>
        </w:rPr>
        <w:t>It</w:t>
      </w:r>
      <w:r>
        <w:rPr>
          <w:rFonts w:ascii="Times New Roman" w:cs="Times New Roman" w:eastAsia="Times New Roman" w:hAnsi="Times New Roman"/>
          <w:sz w:val="19"/>
          <w:szCs w:val="19"/>
          <w:color w:val="auto"/>
        </w:rPr>
        <w:t xml:space="preserve"> delivers media, creative and data services to transform consumer and performance data into planning, content, media activation and measurement to maximize re turn on investment. Code3 works across platforms such as Facebook, Instagram, Amazon, Google , TikTok, X, Pinterest, Snapchat and YouTube, as well as direct digital media relationships and streaming TV and audio solutions.</w:t>
      </w:r>
    </w:p>
    <w:p>
      <w:pPr>
        <w:spacing w:after="0" w:line="200" w:lineRule="exact"/>
        <w:rPr>
          <w:sz w:val="20"/>
          <w:szCs w:val="20"/>
          <w:color w:val="auto"/>
        </w:rPr>
      </w:pPr>
    </w:p>
    <w:p>
      <w:pPr>
        <w:spacing w:after="0" w:line="2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DecileLLC</w:t>
      </w:r>
    </w:p>
    <w:p>
      <w:pPr>
        <w:spacing w:after="0" w:line="16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Decile LLC (Decile) is a customer data and analytics software company that helps marketers extract value from the ir proprietary first- party customer, produc t and sales data. Decile provides software and services to help its business clients better understand customer personas, customer acquisition and retention, product analytics and how to increase profitable growth.</w:t>
      </w: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 xml:space="preserve">T he </w:t>
      </w:r>
      <w:r>
        <w:rPr>
          <w:rFonts w:ascii="Times New Roman" w:cs="Times New Roman" w:eastAsia="Times New Roman" w:hAnsi="Times New Roman"/>
          <w:sz w:val="20"/>
          <w:szCs w:val="20"/>
          <w:color w:val="auto"/>
        </w:rPr>
        <w:t>Slate Group</w:t>
      </w:r>
      <w:r>
        <w:rPr>
          <w:rFonts w:ascii="Times New Roman" w:cs="Times New Roman" w:eastAsia="Times New Roman" w:hAnsi="Times New Roman"/>
          <w:sz w:val="19"/>
          <w:szCs w:val="19"/>
          <w:color w:val="auto"/>
        </w:rPr>
        <w:t xml:space="preserve"> LLC</w:t>
      </w:r>
    </w:p>
    <w:p>
      <w:pPr>
        <w:spacing w:after="0" w:line="168" w:lineRule="exact"/>
        <w:rPr>
          <w:sz w:val="20"/>
          <w:szCs w:val="20"/>
          <w:color w:val="auto"/>
        </w:rPr>
      </w:pPr>
    </w:p>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t xml:space="preserve">The Slate Group LLC (Slate) publishes </w:t>
      </w:r>
      <w:r>
        <w:rPr>
          <w:rFonts w:ascii="Times New Roman" w:cs="Times New Roman" w:eastAsia="Times New Roman" w:hAnsi="Times New Roman"/>
          <w:sz w:val="19"/>
          <w:szCs w:val="19"/>
          <w:i w:val="1"/>
          <w:iCs w:val="1"/>
          <w:color w:val="auto"/>
        </w:rPr>
        <w:t>Slate,</w:t>
      </w:r>
      <w:r>
        <w:rPr>
          <w:rFonts w:ascii="Times New Roman" w:cs="Times New Roman" w:eastAsia="Times New Roman" w:hAnsi="Times New Roman"/>
          <w:sz w:val="19"/>
          <w:szCs w:val="19"/>
          <w:color w:val="auto"/>
        </w:rPr>
        <w:t xml:space="preserve"> an online magazine. </w:t>
      </w:r>
      <w:r>
        <w:rPr>
          <w:rFonts w:ascii="Times New Roman" w:cs="Times New Roman" w:eastAsia="Times New Roman" w:hAnsi="Times New Roman"/>
          <w:sz w:val="19"/>
          <w:szCs w:val="19"/>
          <w:i w:val="1"/>
          <w:iCs w:val="1"/>
          <w:color w:val="auto"/>
        </w:rPr>
        <w:t>Slate</w:t>
      </w:r>
      <w:r>
        <w:rPr>
          <w:rFonts w:ascii="Times New Roman" w:cs="Times New Roman" w:eastAsia="Times New Roman" w:hAnsi="Times New Roman"/>
          <w:sz w:val="19"/>
          <w:szCs w:val="19"/>
          <w:color w:val="auto"/>
        </w:rPr>
        <w:t xml:space="preserve"> features articles and podcasts analyzing news, politics and contemporary cultu re and adds new material on a daily bas is. Content is supplied by the magazine's own editorial staff, as well as by independent contributors. As measured by The Slate Group, </w:t>
      </w:r>
      <w:r>
        <w:rPr>
          <w:rFonts w:ascii="Times New Roman" w:cs="Times New Roman" w:eastAsia="Times New Roman" w:hAnsi="Times New Roman"/>
          <w:sz w:val="19"/>
          <w:szCs w:val="19"/>
          <w:i w:val="1"/>
          <w:iCs w:val="1"/>
          <w:color w:val="auto"/>
        </w:rPr>
        <w:t>Slate</w:t>
      </w:r>
      <w:r>
        <w:rPr>
          <w:rFonts w:ascii="Times New Roman" w:cs="Times New Roman" w:eastAsia="Times New Roman" w:hAnsi="Times New Roman"/>
          <w:sz w:val="19"/>
          <w:szCs w:val="19"/>
          <w:color w:val="auto"/>
        </w:rPr>
        <w:t xml:space="preserve"> had an average of more than 10 million unique visitors per month and averaged more than 31 million page views per month across desktop and mobile platforms in 2024. The Slate Group owns an interest in E2J2 SAS, a company incorporated in France that produces a French-language news magazine website at </w:t>
      </w:r>
      <w:r>
        <w:rPr>
          <w:rFonts w:ascii="Times New Roman" w:cs="Times New Roman" w:eastAsia="Times New Roman" w:hAnsi="Times New Roman"/>
          <w:sz w:val="19"/>
          <w:szCs w:val="19"/>
          <w:i w:val="1"/>
          <w:iCs w:val="1"/>
          <w:color w:val="auto"/>
        </w:rPr>
        <w:t>slate.fr.</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13" w:lineRule="exact"/>
        <w:rPr>
          <w:sz w:val="20"/>
          <w:szCs w:val="20"/>
          <w:color w:val="auto"/>
        </w:rPr>
      </w:pPr>
    </w:p>
    <w:p>
      <w:pPr>
        <w:ind w:left="140"/>
        <w:spacing w:after="0"/>
        <w:tabs>
          <w:tab w:leader="none" w:pos="500" w:val="left"/>
        </w:tabs>
        <w:rPr>
          <w:sz w:val="20"/>
          <w:szCs w:val="20"/>
          <w:color w:val="auto"/>
        </w:rPr>
      </w:pPr>
      <w:r>
        <w:rPr>
          <w:rFonts w:ascii="Times New Roman" w:cs="Times New Roman" w:eastAsia="Times New Roman" w:hAnsi="Times New Roman"/>
          <w:sz w:val="19"/>
          <w:szCs w:val="19"/>
          <w:color w:val="auto"/>
        </w:rPr>
        <w:t>18</w:t>
        <w:tab/>
        <w:t>2024 FORM 10-K</w:t>
      </w:r>
    </w:p>
    <w:p>
      <w:pPr>
        <w:sectPr>
          <w:pgSz w:w="12240" w:h="15850" w:orient="portrait"/>
          <w:cols w:equalWidth="0" w:num="1">
            <w:col w:w="9365"/>
          </w:cols>
          <w:pgMar w:left="1440" w:top="1394" w:right="1440" w:bottom="721" w:gutter="0" w:footer="0" w:header="0"/>
          <w:type w:val="continuous"/>
        </w:sectPr>
      </w:pPr>
    </w:p>
    <w:bookmarkStart w:id="34" w:name="page35"/>
    <w:bookmarkEnd w:id="34"/>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 he FPGroup</w:t>
      </w:r>
    </w:p>
    <w:p>
      <w:pPr>
        <w:spacing w:after="0" w:line="138"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 xml:space="preserve">The FP Group produces </w:t>
      </w:r>
      <w:r>
        <w:rPr>
          <w:rFonts w:ascii="Times New Roman" w:cs="Times New Roman" w:eastAsia="Times New Roman" w:hAnsi="Times New Roman"/>
          <w:sz w:val="19"/>
          <w:szCs w:val="19"/>
          <w:i w:val="1"/>
          <w:iCs w:val="1"/>
          <w:color w:val="auto"/>
        </w:rPr>
        <w:t>Foreign Policy</w:t>
      </w:r>
      <w:r>
        <w:rPr>
          <w:rFonts w:ascii="Times New Roman" w:cs="Times New Roman" w:eastAsia="Times New Roman" w:hAnsi="Times New Roman"/>
          <w:sz w:val="19"/>
          <w:szCs w:val="19"/>
          <w:color w:val="auto"/>
        </w:rPr>
        <w:t xml:space="preserve"> magazine and the </w:t>
      </w:r>
      <w:r>
        <w:rPr>
          <w:rFonts w:ascii="Times New Roman" w:cs="Times New Roman" w:eastAsia="Times New Roman" w:hAnsi="Times New Roman"/>
          <w:sz w:val="19"/>
          <w:szCs w:val="19"/>
          <w:i w:val="1"/>
          <w:iCs w:val="1"/>
          <w:color w:val="auto"/>
        </w:rPr>
        <w:t>ForeignPolicy.com</w:t>
      </w:r>
      <w:r>
        <w:rPr>
          <w:rFonts w:ascii="Times New Roman" w:cs="Times New Roman" w:eastAsia="Times New Roman" w:hAnsi="Times New Roman"/>
          <w:sz w:val="19"/>
          <w:szCs w:val="19"/>
          <w:color w:val="auto"/>
        </w:rPr>
        <w:t xml:space="preserve"> website, which cover developments in national security, international politics, global economics and related issues. The site features analysis, unique news content, specialized channels and newsletters, and podcasts focusing on regions and topics of interest. The FP Group provides insight and analysis into global affairs for government, military, business, media and academic leaders. FP Events also produces a growing number of live and virtual events, bringing together government, military, business and investment leaders to discuss important regional and topical developments and their implications.</w:t>
      </w:r>
    </w:p>
    <w:p>
      <w:pPr>
        <w:spacing w:after="0" w:line="200" w:lineRule="exact"/>
        <w:rPr>
          <w:sz w:val="20"/>
          <w:szCs w:val="20"/>
          <w:color w:val="auto"/>
        </w:rPr>
      </w:pP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City Cast LLC</w:t>
      </w:r>
    </w:p>
    <w:p>
      <w:pPr>
        <w:spacing w:after="0" w:line="149" w:lineRule="exact"/>
        <w:rPr>
          <w:sz w:val="20"/>
          <w:szCs w:val="20"/>
          <w:color w:val="auto"/>
        </w:rPr>
      </w:pPr>
    </w:p>
    <w:p>
      <w:pPr>
        <w:jc w:val="both"/>
        <w:ind w:left="120" w:right="125" w:hanging="9"/>
        <w:spacing w:after="0" w:line="257" w:lineRule="auto"/>
        <w:rPr>
          <w:sz w:val="20"/>
          <w:szCs w:val="20"/>
          <w:color w:val="auto"/>
        </w:rPr>
      </w:pPr>
      <w:r>
        <w:rPr>
          <w:rFonts w:ascii="Times New Roman" w:cs="Times New Roman" w:eastAsia="Times New Roman" w:hAnsi="Times New Roman"/>
          <w:sz w:val="19"/>
          <w:szCs w:val="19"/>
          <w:color w:val="auto"/>
        </w:rPr>
        <w:t>City Cast LLC (City Cast) is a network of daily local news podcasts currently in 13 cities around the country, accompanied by a daily email newsletter about local communities. The podcasts and newsletters cover local news, events and places.</w:t>
      </w: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Supporting Cast</w:t>
      </w:r>
    </w:p>
    <w:p>
      <w:pPr>
        <w:spacing w:after="0" w:line="149" w:lineRule="exact"/>
        <w:rPr>
          <w:sz w:val="20"/>
          <w:szCs w:val="20"/>
          <w:color w:val="auto"/>
        </w:rPr>
      </w:pPr>
    </w:p>
    <w:p>
      <w:pPr>
        <w:jc w:val="both"/>
        <w:ind w:left="120" w:right="125" w:hanging="1"/>
        <w:spacing w:after="0" w:line="262" w:lineRule="auto"/>
        <w:rPr>
          <w:sz w:val="20"/>
          <w:szCs w:val="20"/>
          <w:color w:val="auto"/>
        </w:rPr>
      </w:pPr>
      <w:r>
        <w:rPr>
          <w:rFonts w:ascii="Times New Roman" w:cs="Times New Roman" w:eastAsia="Times New Roman" w:hAnsi="Times New Roman"/>
          <w:sz w:val="19"/>
          <w:szCs w:val="19"/>
          <w:color w:val="auto"/>
        </w:rPr>
        <w:t>Supporting Cast provides a software-as-a-service platform that enables podcasters and media companies to monetize premium audio content through paid subscriptions, memberships, and audiobooks. The platform's distinctive approach eliminates the need for native apps, delivering exclusive content to subscribers through mainstream podcast players including Spotify, Apple Podcasts, and YouTube Music.</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COMPETITION</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EDUCATION</w:t>
      </w:r>
    </w:p>
    <w:p>
      <w:pPr>
        <w:spacing w:after="0" w:line="139" w:lineRule="exact"/>
        <w:rPr>
          <w:sz w:val="20"/>
          <w:szCs w:val="20"/>
          <w:color w:val="auto"/>
        </w:rPr>
      </w:pPr>
    </w:p>
    <w:p>
      <w:pPr>
        <w:jc w:val="both"/>
        <w:ind w:left="120" w:right="105" w:firstLine="20"/>
        <w:spacing w:after="0" w:line="262" w:lineRule="auto"/>
        <w:rPr>
          <w:sz w:val="20"/>
          <w:szCs w:val="20"/>
          <w:color w:val="auto"/>
        </w:rPr>
      </w:pPr>
      <w:r>
        <w:rPr>
          <w:rFonts w:ascii="Times New Roman" w:cs="Times New Roman" w:eastAsia="Times New Roman" w:hAnsi="Times New Roman"/>
          <w:sz w:val="19"/>
          <w:szCs w:val="19"/>
          <w:color w:val="auto"/>
        </w:rPr>
        <w:t xml:space="preserve">Kaplan's businesses operate in fragmented and competitive markets. Each of Kl's businesses competes in disaggregated markets with for-profit institutions and companies (ranging in size from large for-profit universities to small competitors offering English-language courses) and, in certain instances, with government-supported schools and institutions that provide similar training and educational programs. Competitive factors vary by business and include program offerings, ranking of university partners, convenience, quality of instruction, reputation,. placement rates, student services and cost. KJ derives its competitive advantage from, among other things, delivering high-quality education and training experiences to students, having name-brand recognition across multiple markets, developing strong relationships with cor[porate clients and recruitment partners and offering competitive pricing. KNA competes w ith companies that provide various education technology solutions, consumer test and licensure preparation and course delivery, corporate train:ing, university administrative support for online programs and courses, curric ulum development, overall online program development and analytics for colleges and universities, as well as support for corporate, employer and employee educat.ion programs. The market for KNA's services and products, and especial]y its higher education services and products, is dynamic and rapidly evolving, and several competitors offer a mix of some of the same products and services or are seeking to move into the markets in which KNA operates. Competitive factors in these KNA markets include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the ability to deliver a wide range of educational services and programs to clients across all levels of programs and administrative functions; 2) cost effectiveness; 3) expertise in marketing, recruitment and program delivery; 4) student outcomes and satisfaction; 5) the ability to invest in start-up and scaling initiatives;</w:t>
      </w:r>
    </w:p>
    <w:p>
      <w:pPr>
        <w:spacing w:after="0" w:line="265" w:lineRule="exact"/>
        <w:rPr>
          <w:sz w:val="20"/>
          <w:szCs w:val="20"/>
          <w:color w:val="auto"/>
        </w:rPr>
      </w:pPr>
    </w:p>
    <w:p>
      <w:pPr>
        <w:jc w:val="both"/>
        <w:ind w:left="120" w:right="125" w:hanging="8"/>
        <w:spacing w:after="0" w:line="262" w:lineRule="auto"/>
        <w:tabs>
          <w:tab w:leader="none" w:pos="350"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reputation; and 7) compliance with laws and the ability to navigate complex regulatory requirements. KNA's ability to effectively compete in the higher education services markets will depend in large part on its successful delivery and navigation of these factors. While the competitive landscape is expanding, KNA's resources, capabilities and experience are key differentiators in the mariket. Similarly, KNA's supplemental education products and services compete with a wide range of national, regional, local, online and location-based</w:t>
      </w:r>
    </w:p>
    <w:p>
      <w:pPr>
        <w:spacing w:after="0" w:line="9" w:lineRule="exact"/>
        <w:rPr>
          <w:rFonts w:ascii="Times New Roman" w:cs="Times New Roman" w:eastAsia="Times New Roman" w:hAnsi="Times New Roman"/>
          <w:sz w:val="19"/>
          <w:szCs w:val="19"/>
          <w:color w:val="auto"/>
        </w:rPr>
      </w:pPr>
    </w:p>
    <w:p>
      <w:pPr>
        <w:jc w:val="both"/>
        <w:ind w:left="120" w:right="125" w:firstLine="1"/>
        <w:spacing w:after="0" w:line="257"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competitors. In the area of test prep, competitors vary by test, with many focused on preparing students for a single high-stakes test. For its curricular and assessment services, KNA has a number of national competitors as well as competitors focused on preparation for particular tests. Competitive factors for the supplemental</w:t>
      </w:r>
    </w:p>
    <w:p>
      <w:pPr>
        <w:sectPr>
          <w:pgSz w:w="12240" w:h="15850" w:orient="portrait"/>
          <w:cols w:equalWidth="0" w:num="1">
            <w:col w:w="9365"/>
          </w:cols>
          <w:pgMar w:left="1440" w:top="1377" w:right="1440" w:bottom="722" w:gutter="0" w:footer="0" w:header="0"/>
        </w:sectPr>
      </w:pPr>
    </w:p>
    <w:p>
      <w:pPr>
        <w:spacing w:after="0" w:line="200" w:lineRule="exact"/>
        <w:rPr>
          <w:sz w:val="20"/>
          <w:szCs w:val="20"/>
          <w:color w:val="auto"/>
        </w:rPr>
      </w:pPr>
    </w:p>
    <w:p>
      <w:pPr>
        <w:spacing w:after="0" w:line="290" w:lineRule="exact"/>
        <w:rPr>
          <w:sz w:val="20"/>
          <w:szCs w:val="20"/>
          <w:color w:val="auto"/>
        </w:rPr>
      </w:pPr>
    </w:p>
    <w:p>
      <w:pPr>
        <w:ind w:left="5840"/>
        <w:spacing w:after="0"/>
        <w:tabs>
          <w:tab w:leader="none" w:pos="90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19</w:t>
      </w:r>
    </w:p>
    <w:p>
      <w:pPr>
        <w:sectPr>
          <w:pgSz w:w="12240" w:h="15850" w:orient="portrait"/>
          <w:cols w:equalWidth="0" w:num="1">
            <w:col w:w="9365"/>
          </w:cols>
          <w:pgMar w:left="1440" w:top="1377" w:right="1440" w:bottom="722" w:gutter="0" w:footer="0" w:header="0"/>
          <w:type w:val="continuous"/>
        </w:sectPr>
      </w:pPr>
    </w:p>
    <w:bookmarkStart w:id="35" w:name="page36"/>
    <w:bookmarkEnd w:id="35"/>
    <w:p>
      <w:pPr>
        <w:jc w:val="both"/>
        <w:ind w:left="120" w:right="125" w:hanging="10"/>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education products vary by product line and include price, features, modality, schedule and reputation. Although KNA faces intense competition and shifting consumer preferences in these areas, particularly with respect to</w:t>
      </w:r>
    </w:p>
    <w:p>
      <w:pPr>
        <w:spacing w:after="0" w:line="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onlint: test preparation, where some new competitors are offering lower-cost and free test preparation products,</w:t>
      </w:r>
    </w:p>
    <w:p>
      <w:pPr>
        <w:spacing w:after="0" w:line="27" w:lineRule="exact"/>
        <w:rPr>
          <w:sz w:val="20"/>
          <w:szCs w:val="20"/>
          <w:color w:val="auto"/>
        </w:rPr>
      </w:pPr>
    </w:p>
    <w:p>
      <w:pPr>
        <w:jc w:val="both"/>
        <w:ind w:left="120" w:right="105" w:firstLine="11"/>
        <w:spacing w:after="0" w:line="260" w:lineRule="auto"/>
        <w:rPr>
          <w:sz w:val="20"/>
          <w:szCs w:val="20"/>
          <w:color w:val="auto"/>
        </w:rPr>
      </w:pPr>
      <w:r>
        <w:rPr>
          <w:rFonts w:ascii="Times New Roman" w:cs="Times New Roman" w:eastAsia="Times New Roman" w:hAnsi="Times New Roman"/>
          <w:sz w:val="19"/>
          <w:szCs w:val="19"/>
          <w:color w:val="auto"/>
        </w:rPr>
        <w:t>KNA and Kaplan remain leading names in test preparation owing in part to their technical expertise and capabilities, quality of instructors, content, curricula, longevity and reputation in the industry. KNA's professional licensure training and preparation and corporate training products and services offer a broad portfolio of products, many within highly regulated and mature industries, including securities, insurance, real estate and wealth management, where competition includes a wide variety of national, regional and local companies seeking the same market share and resulting in deep price discounting and commoditization of offerings.</w:t>
      </w:r>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TELEVISION BROADCASTING</w:t>
      </w:r>
    </w:p>
    <w:p>
      <w:pPr>
        <w:spacing w:after="0" w:line="141"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GMG competes for audiences and advertising revenues with television and radio stations, cable systems, video services offered by telephone and broadband companies serving the same or nearby areas, DBS services, digital media services, and, to a lesser degree, with other media providers, such as newspapers and magazines. Cable systems operate in substantially all of the areas served by the Company's television stations, where they compete for television viewers by importing out-of- market television signals; by d istributing pay-cable, advertiser-supported, and other programming that is originated for cable systems; and by offering movies and other programming on an on-demand, digital, or pay-per-view basis. In addition, DBS services provide nationwide distribution of television programming, including pay-per-view programming and programming packages unique to DBS, using digital transmission technologies. Moreover, to the extent that competing television stations in the Company's television markets continue to transition to ATSC 3.0, such stations may pose an increased competitive challenge to the Company's stations in the future, such as by offering an increased number of multicast channels or by offering advanced features.</w:t>
      </w:r>
    </w:p>
    <w:p>
      <w:pPr>
        <w:spacing w:after="0" w:line="200" w:lineRule="exact"/>
        <w:rPr>
          <w:sz w:val="20"/>
          <w:szCs w:val="20"/>
          <w:color w:val="auto"/>
        </w:rPr>
      </w:pPr>
    </w:p>
    <w:p>
      <w:pPr>
        <w:spacing w:after="0" w:line="276"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Competition continues to increase from established and emerging online distribution platforms. Movies and other video programming are increasingly available on an on-demand basis through a variety of online platfonns, including ad-supported viewing on platforms such as Pluto TV and Tubi and subscription-based access through services such as Netflix and Amazon Prime Video. ln addition, internet-based subscription services offering live television services have been launched both by traditional pay-TV service providers (such as DISH and DIRECTV) and other entrants (such as YouTube TV, Hulu and Fubo). The national broadcast networks have also launched proprietary direct-to-consumer digital platforms, such as Peacock (NBC) and Paramount+ (CBS), which include both access to network programming and, in some cases, the Jive linear programming of local network-affiliated stations. The Company has entered into agreements for some of its stations to be distributed via certain of these services, typically (with respect to vMVPDs) through opt-in agreements negotiated by the stations' affiliated networks. Participation in these services has given the Company's stations access to new distribution platforms. At the same time, competition from these various platforms could adversely affect the viewership of the Company's television stations via traditional platforms and/or the Company's strategic position in negotiations with pay-TV services. In addition, the networks' increased role in negotiating online distribution arrangements for their affiliated stations, together with the networks' imposition of higher fees on affiliated stations in exchange for the right to distribute network programming in their markets and for broadcast and traditional pay-TV retransmission rights, may have broader effects on the overall network-affiliate relationship, the extent to which the Company cannot now predict.</w:t>
      </w:r>
    </w:p>
    <w:p>
      <w:pPr>
        <w:spacing w:after="0" w:line="200" w:lineRule="exact"/>
        <w:rPr>
          <w:sz w:val="20"/>
          <w:szCs w:val="20"/>
          <w:color w:val="auto"/>
        </w:rPr>
      </w:pP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MANUFACTURING</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Hoover Treated Wood Products, Inc.</w:t>
      </w:r>
    </w:p>
    <w:p>
      <w:pPr>
        <w:spacing w:after="0" w:line="139" w:lineRule="exact"/>
        <w:rPr>
          <w:sz w:val="20"/>
          <w:szCs w:val="20"/>
          <w:color w:val="auto"/>
        </w:rPr>
      </w:pPr>
    </w:p>
    <w:p>
      <w:pPr>
        <w:jc w:val="both"/>
        <w:ind w:left="120" w:right="125" w:firstLine="11"/>
        <w:spacing w:after="0" w:line="258" w:lineRule="auto"/>
        <w:rPr>
          <w:sz w:val="20"/>
          <w:szCs w:val="20"/>
          <w:color w:val="auto"/>
        </w:rPr>
      </w:pPr>
      <w:r>
        <w:rPr>
          <w:rFonts w:ascii="Times New Roman" w:cs="Times New Roman" w:eastAsia="Times New Roman" w:hAnsi="Times New Roman"/>
          <w:sz w:val="19"/>
          <w:szCs w:val="19"/>
          <w:color w:val="auto"/>
        </w:rPr>
        <w:t>Hoover's predominant product line is fire-retardant-treated wood products for building interior applications that are specified by architects in accordance with buildi ng code requirements for multi-fami]y residential, commercial and institutional nonresidential buildings. Hoover's fire-retardant product lines are sold through a stocking distributor network of more than 100 locations spanning the U.S. and Canada. Hoover's competitors are</w:t>
      </w:r>
    </w:p>
    <w:p>
      <w:pPr>
        <w:sectPr>
          <w:pgSz w:w="12240" w:h="15850" w:orient="portrait"/>
          <w:cols w:equalWidth="0" w:num="1">
            <w:col w:w="9365"/>
          </w:cols>
          <w:pgMar w:left="1440" w:top="1394" w:right="1440" w:bottom="719" w:gutter="0" w:footer="0" w:header="0"/>
        </w:sectPr>
      </w:pPr>
    </w:p>
    <w:p>
      <w:pPr>
        <w:spacing w:after="0" w:line="200" w:lineRule="exact"/>
        <w:rPr>
          <w:sz w:val="20"/>
          <w:szCs w:val="20"/>
          <w:color w:val="auto"/>
        </w:rPr>
      </w:pPr>
    </w:p>
    <w:p>
      <w:pPr>
        <w:spacing w:after="0" w:line="28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20</w:t>
        <w:tab/>
        <w:t>2024 FORM 10-K</w:t>
      </w:r>
    </w:p>
    <w:p>
      <w:pPr>
        <w:sectPr>
          <w:pgSz w:w="12240" w:h="15850" w:orient="portrait"/>
          <w:cols w:equalWidth="0" w:num="1">
            <w:col w:w="9365"/>
          </w:cols>
          <w:pgMar w:left="1440" w:top="1394" w:right="1440" w:bottom="719" w:gutter="0" w:footer="0" w:header="0"/>
          <w:type w:val="continuous"/>
        </w:sectPr>
      </w:pPr>
    </w:p>
    <w:bookmarkStart w:id="36" w:name="page37"/>
    <w:bookmarkEnd w:id="36"/>
    <w:p>
      <w:pPr>
        <w:jc w:val="both"/>
        <w:ind w:left="120" w:right="125" w:firstLine="10"/>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licensees of other chemical suppliers to the wood-treating industry who compete with Hoover's stocking distributors on a local !basis. The primary areas of competition are product availability and price, although brand loyalty due to product quality is significant. Wood products are commodities with volatile market pricing; however, Hoover's reputation for qualjty products and its unique distribution model, wruch provides superior product availability, enable Hoover to maintain a leading positiorn across the continent.</w:t>
      </w:r>
    </w:p>
    <w:p>
      <w:pPr>
        <w:spacing w:after="0" w:line="200" w:lineRule="exact"/>
        <w:rPr>
          <w:sz w:val="20"/>
          <w:szCs w:val="20"/>
          <w:color w:val="auto"/>
        </w:rPr>
      </w:pP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Group Dekko, Inc.</w:t>
      </w:r>
    </w:p>
    <w:p>
      <w:pPr>
        <w:spacing w:after="0" w:line="177"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Dekko has three distinct product categories that compete in fragmented, competitive global markets: power and data distribution for office and furniture products, lighting solutions, and electrical harness manufacturing. These products are sold through dealer and distribution channels and original equipment manufacturer customers, focused primarily o n the North American market. While all markets and products are price sensitive, technology, engineering solutions, quality and delivery performance are critical in purchase decisions. Dekko's multiple long- term relationships, high-quality manufacturing facilities, engineering support and reputation as a solutions provider, in addition to being a product supplier, all contribute to sustaining its competitive advantages.</w:t>
      </w: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HEALTHCARE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Graham Healthcare Group</w:t>
      </w:r>
    </w:p>
    <w:p>
      <w:pPr>
        <w:spacing w:after="0" w:line="168"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home health and hospice industries are extremely competitive and fragmented, consisting of both for-profit and nonprofit companies. According to the Medicare Payment Advisory Commission's July 2024 Data Book, there are approximately 12,057 Medicare-certified home health agencies and approximately 5,899 hospices in the U.S . GHG markets its services to physicians, discharge planners and social workers at hospitals, nursing homes, senior living communities and physicians' offices through a direct sales model. GHG differentiates its offerings based on response time, clinical programming, clinical outcomes and patient satisfaction. Througlhout the states in which it operates, G HG competes primarily with both privately owned and hospital-operated ho me health and hospice service pro viders. The competitive landscape for other healthcare services provided by GHG is highly fragmented, with competition from a number of small providers and a few national companies.</w:t>
      </w:r>
    </w:p>
    <w:p>
      <w:pPr>
        <w:spacing w:after="0" w:line="3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AUTOMOTIVE</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 xml:space="preserve">Graham Automotive </w:t>
      </w:r>
      <w:r>
        <w:rPr>
          <w:rFonts w:ascii="Times New Roman" w:cs="Times New Roman" w:eastAsia="Times New Roman" w:hAnsi="Times New Roman"/>
          <w:sz w:val="21"/>
          <w:szCs w:val="21"/>
          <w:b w:val="1"/>
          <w:bCs w:val="1"/>
          <w:color w:val="auto"/>
        </w:rPr>
        <w:t>LLC</w:t>
      </w:r>
    </w:p>
    <w:p>
      <w:pPr>
        <w:spacing w:after="0" w:line="172"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The retail automotive industry is highly compet1t1ve and fragmented. Automobile dealerships compete with dealerships offering the same brands as well as those offering other manufacturers' brands. Competitors include small local dealerships and large national multi-franchise automotive dealership groups. In addition to competition for vehicle sales, dealerships compete for parts and service business with other dealerships, automotive parts retailers and independent mechanics. The principal competitive factors in vehicle sales are price, selection of vehicles, location of dealerships and quality of customer service. The principal competitive factors in parts and service sales are price, the use of factory-approved rep]aceme nt parts, factory-trained technicians and the q uality of customer service.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b w:val="1"/>
          <w:bCs w:val="1"/>
          <w:color w:val="auto"/>
        </w:rPr>
        <w:t>OTHER ACTIVITIES</w:t>
      </w:r>
    </w:p>
    <w:p>
      <w:pPr>
        <w:spacing w:after="0" w:line="15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 xml:space="preserve">Saatclhi Online, </w:t>
      </w:r>
      <w:r>
        <w:rPr>
          <w:rFonts w:ascii="Times New Roman" w:cs="Times New Roman" w:eastAsia="Times New Roman" w:hAnsi="Times New Roman"/>
          <w:sz w:val="20"/>
          <w:szCs w:val="20"/>
          <w:color w:val="auto"/>
        </w:rPr>
        <w:t>Inc.</w:t>
      </w:r>
    </w:p>
    <w:p>
      <w:pPr>
        <w:spacing w:after="0" w:line="163" w:lineRule="exact"/>
        <w:rPr>
          <w:sz w:val="20"/>
          <w:szCs w:val="20"/>
          <w:color w:val="auto"/>
        </w:rPr>
      </w:pPr>
    </w:p>
    <w:p>
      <w:pPr>
        <w:jc w:val="both"/>
        <w:ind w:left="120" w:right="125" w:hanging="1"/>
        <w:spacing w:after="0" w:line="260" w:lineRule="auto"/>
        <w:rPr>
          <w:sz w:val="20"/>
          <w:szCs w:val="20"/>
          <w:color w:val="auto"/>
        </w:rPr>
      </w:pPr>
      <w:r>
        <w:rPr>
          <w:rFonts w:ascii="Times New Roman" w:cs="Times New Roman" w:eastAsia="Times New Roman" w:hAnsi="Times New Roman"/>
          <w:sz w:val="19"/>
          <w:szCs w:val="19"/>
          <w:color w:val="auto"/>
        </w:rPr>
        <w:t>Saatchi Art competes with a wide variety of online and brick-and- mortar companies selling comparable products. Its online art gallery and in-person art fair business compete with traditional offline art galleries, art consultants and online p latforms selling original artwork, such as Artfinder, Artspace, Rise Art, Singulart, eBay and Amazon Art; home retailers that sell wall art suc h as West Elm, Crate and Barrel, and Restoration Hardware; and various art fairs that feature reasonably priced artwork from emerging artists, such as The Affordable Art Fair.</w:t>
      </w:r>
    </w:p>
    <w:p>
      <w:pPr>
        <w:sectPr>
          <w:pgSz w:w="12240" w:h="15850" w:orient="portrait"/>
          <w:cols w:equalWidth="0" w:num="1">
            <w:col w:w="9365"/>
          </w:cols>
          <w:pgMar w:left="1440" w:top="1398" w:right="1440" w:bottom="728" w:gutter="0" w:footer="0" w:header="0"/>
        </w:sectPr>
      </w:pPr>
    </w:p>
    <w:p>
      <w:pPr>
        <w:spacing w:after="0" w:line="200" w:lineRule="exact"/>
        <w:rPr>
          <w:sz w:val="20"/>
          <w:szCs w:val="20"/>
          <w:color w:val="auto"/>
        </w:rPr>
      </w:pPr>
    </w:p>
    <w:p>
      <w:pPr>
        <w:spacing w:after="0" w:line="29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Arial" w:cs="Arial" w:eastAsia="Arial" w:hAnsi="Arial"/>
          <w:sz w:val="16"/>
          <w:szCs w:val="16"/>
          <w:color w:val="auto"/>
        </w:rPr>
        <w:t>21</w:t>
      </w:r>
    </w:p>
    <w:p>
      <w:pPr>
        <w:sectPr>
          <w:pgSz w:w="12240" w:h="15850" w:orient="portrait"/>
          <w:cols w:equalWidth="0" w:num="1">
            <w:col w:w="9365"/>
          </w:cols>
          <w:pgMar w:left="1440" w:top="1398" w:right="1440" w:bottom="728" w:gutter="0" w:footer="0" w:header="0"/>
          <w:type w:val="continuous"/>
        </w:sectPr>
      </w:pPr>
    </w:p>
    <w:bookmarkStart w:id="37" w:name="page38"/>
    <w:bookmarkEnd w:id="37"/>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Society6, LLC</w:t>
      </w:r>
    </w:p>
    <w:p>
      <w:pPr>
        <w:spacing w:after="0" w:line="131"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Operating an e-commerce marketplace is highly competitive, and Society6 expects competition to increase in the future. Society6 competes with a wide variety of online and brick-and-mortar companies selling comparable products. Its made-to-order marketplace business primarily competes with companies that also utilize a made-to-order business model whereby consumer products featuring artist designs are produced by third-party fulfi llment partners and shipped directly to customers, such as Redbubble, Zazzle, Art.com, Shuttertly and Minted, as well as companies that offer broader home decor and apparel products, such as Amazon, Etsy, and Wayfair. Additionally, Society6 is facing, and will likely continue to face, increased international competition from brands offering ultra-low-cost goods, such as Shein and Temu.</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World of Good Brands</w:t>
      </w:r>
    </w:p>
    <w:p>
      <w:pPr>
        <w:spacing w:after="0" w:line="151"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 xml:space="preserve">WGB faces intense competition from a wide range of competitors , including those of much larger scale. Principal competitors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this space ctmently include various online media companies ranging from large internet media companies to specialized and enthusiast properties that focus on particular areas of consumer interest, as well as social media outlets such as Facebook, TikTok, YouTube, Snapchat, Jnstagram and Pinterest, where brands and advertisers are focusing a significant portion of their online advertising spend in order to connect with their customers. Many of its competitors have larger audiences and more financial and marketing resources and many of them are making significant investments in order to compete with various aspects of this business. WGB competes for advertisers on the basis of a number of factors, including return on marketing expenditures, price of its offerings, and the ability to deliver large audiences or precise types of segmented audiences.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Clyde's Restaurant Group</w:t>
      </w:r>
    </w:p>
    <w:p>
      <w:pPr>
        <w:spacing w:after="0" w:line="125" w:lineRule="exact"/>
        <w:rPr>
          <w:sz w:val="20"/>
          <w:szCs w:val="20"/>
          <w:color w:val="auto"/>
        </w:rPr>
      </w:pPr>
    </w:p>
    <w:p>
      <w:pPr>
        <w:ind w:left="120"/>
        <w:spacing w:after="0"/>
        <w:tabs>
          <w:tab w:leader="none" w:pos="1460" w:val="left"/>
          <w:tab w:leader="none" w:pos="2240" w:val="left"/>
          <w:tab w:leader="none" w:pos="5860" w:val="left"/>
          <w:tab w:leader="none" w:pos="6340" w:val="left"/>
          <w:tab w:leader="none" w:pos="7120" w:val="left"/>
          <w:tab w:leader="none" w:pos="8300" w:val="left"/>
        </w:tabs>
        <w:rPr>
          <w:sz w:val="20"/>
          <w:szCs w:val="20"/>
          <w:color w:val="auto"/>
        </w:rPr>
      </w:pPr>
      <w:r>
        <w:rPr>
          <w:rFonts w:ascii="Times New Roman" w:cs="Times New Roman" w:eastAsia="Times New Roman" w:hAnsi="Times New Roman"/>
          <w:sz w:val="21"/>
          <w:szCs w:val="21"/>
          <w:color w:val="auto"/>
        </w:rPr>
        <w:t>The  restaurant</w:t>
        <w:tab/>
        <w:t>industry</w:t>
        <w:tab/>
        <w:t>is  highly  compettttve.  Clyde's  competes</w:t>
        <w:tab/>
        <w:t>with</w:t>
        <w:tab/>
        <w:t>national</w:t>
        <w:tab/>
        <w:t>and  regional</w:t>
      </w:r>
      <w:r>
        <w:rPr>
          <w:sz w:val="20"/>
          <w:szCs w:val="20"/>
          <w:color w:val="auto"/>
        </w:rPr>
        <w:tab/>
      </w:r>
      <w:r>
        <w:rPr>
          <w:rFonts w:ascii="Times New Roman" w:cs="Times New Roman" w:eastAsia="Times New Roman" w:hAnsi="Times New Roman"/>
          <w:sz w:val="20"/>
          <w:szCs w:val="20"/>
          <w:color w:val="auto"/>
        </w:rPr>
        <w:t>chains  and</w:t>
      </w:r>
    </w:p>
    <w:p>
      <w:pPr>
        <w:spacing w:after="0" w:line="23" w:lineRule="exact"/>
        <w:rPr>
          <w:sz w:val="20"/>
          <w:szCs w:val="20"/>
          <w:color w:val="auto"/>
        </w:rPr>
      </w:pPr>
    </w:p>
    <w:p>
      <w:pPr>
        <w:jc w:val="both"/>
        <w:ind w:left="120" w:right="125"/>
        <w:spacing w:after="0" w:line="252" w:lineRule="auto"/>
        <w:rPr>
          <w:sz w:val="20"/>
          <w:szCs w:val="20"/>
          <w:color w:val="auto"/>
        </w:rPr>
      </w:pPr>
      <w:r>
        <w:rPr>
          <w:rFonts w:ascii="Times New Roman" w:cs="Times New Roman" w:eastAsia="Times New Roman" w:hAnsi="Times New Roman"/>
          <w:sz w:val="19"/>
          <w:szCs w:val="19"/>
          <w:color w:val="auto"/>
        </w:rPr>
        <w:t>independent, locally owned restaurants for customers and personnel. The principal bases for competition are types of food and service, quality, price, location, brand and attractiveness of facilities.</w:t>
      </w:r>
    </w:p>
    <w:p>
      <w:pPr>
        <w:spacing w:after="0" w:line="3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F ramebridge, Inc.</w:t>
      </w:r>
    </w:p>
    <w:p>
      <w:pPr>
        <w:spacing w:after="0" w:line="151"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Framebridge operates in a highly fragmented market. Competitors include small local retail operations and a few national retail chains. The competitive factors in the framing industry are price, selection and convenience. Framebridge' s centrali zed manufacturing, clear and transparent pricing, retail stores that are optimized for foot traffic and a curated !buying experience rather than framing workshops, and strong e-commerce and digital capabilities contribute to its competitive advantages.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Code3</w:t>
      </w:r>
    </w:p>
    <w:p>
      <w:pPr>
        <w:spacing w:after="0" w:line="131"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The business of managed digital advertising is highly competitive. Public multinational advertising agencies may exacerbate price competition in an attempt to protect existing relationships with advertising clients in traditional media formats such as television. Public and private advertising technology companies, digital media agencies and newer market entrants such as consulting firms also compete on price, service and technology offerings. Code3 seeks to maintain a competitive advantage and maximize its clients' return on advertising budgets by utilizing a combination of best-in-class third-party technologies, artificial intelligence (AI), and the deep expertise of its employees, who manage media spending o n the largest digital platforms and a full-service creative team with a nuanced understanding of digital media.</w:t>
      </w:r>
    </w:p>
    <w:p>
      <w:pPr>
        <w:spacing w:after="0" w:line="34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Decile LLC</w:t>
      </w:r>
    </w:p>
    <w:p>
      <w:pPr>
        <w:spacing w:after="0" w:line="131" w:lineRule="exact"/>
        <w:rPr>
          <w:sz w:val="20"/>
          <w:szCs w:val="20"/>
          <w:color w:val="auto"/>
        </w:rPr>
      </w:pPr>
    </w:p>
    <w:p>
      <w:pPr>
        <w:jc w:val="both"/>
        <w:ind w:left="120" w:right="125" w:firstLine="11"/>
        <w:spacing w:after="0" w:line="256" w:lineRule="auto"/>
        <w:rPr>
          <w:sz w:val="20"/>
          <w:szCs w:val="20"/>
          <w:color w:val="auto"/>
        </w:rPr>
      </w:pPr>
      <w:r>
        <w:rPr>
          <w:rFonts w:ascii="Times New Roman" w:cs="Times New Roman" w:eastAsia="Times New Roman" w:hAnsi="Times New Roman"/>
          <w:sz w:val="19"/>
          <w:szCs w:val="19"/>
          <w:color w:val="auto"/>
        </w:rPr>
        <w:t xml:space="preserve">Decile faces competition from lower-cost providers that provide a narrower data analytics and reporting offering. </w:t>
      </w:r>
      <w:r>
        <w:rPr>
          <w:rFonts w:ascii="Arial" w:cs="Arial" w:eastAsia="Arial" w:hAnsi="Arial"/>
          <w:sz w:val="17"/>
          <w:szCs w:val="17"/>
          <w:color w:val="auto"/>
        </w:rPr>
        <w:t xml:space="preserve">In </w:t>
      </w:r>
      <w:r>
        <w:rPr>
          <w:rFonts w:ascii="Times New Roman" w:cs="Times New Roman" w:eastAsia="Times New Roman" w:hAnsi="Times New Roman"/>
          <w:sz w:val="19"/>
          <w:szCs w:val="19"/>
          <w:color w:val="auto"/>
        </w:rPr>
        <w:t>addition, at higher price points aimed at larger marketers</w:t>
      </w:r>
      <w:r>
        <w:rPr>
          <w:rFonts w:ascii="Arial" w:cs="Arial" w:eastAsia="Arial" w:hAnsi="Arial"/>
          <w:sz w:val="17"/>
          <w:szCs w:val="17"/>
          <w:color w:val="auto"/>
        </w:rPr>
        <w:t xml:space="preserve"> ($100M+ </w:t>
      </w:r>
      <w:r>
        <w:rPr>
          <w:rFonts w:ascii="Times New Roman" w:cs="Times New Roman" w:eastAsia="Times New Roman" w:hAnsi="Times New Roman"/>
          <w:sz w:val="19"/>
          <w:szCs w:val="19"/>
          <w:color w:val="auto"/>
        </w:rPr>
        <w:t>annual revenue), there are several large</w:t>
      </w:r>
      <w:r>
        <w:rPr>
          <w:rFonts w:ascii="Arial" w:cs="Arial" w:eastAsia="Arial" w:hAnsi="Arial"/>
          <w:sz w:val="17"/>
          <w:szCs w:val="17"/>
          <w:color w:val="auto"/>
        </w:rPr>
        <w:t xml:space="preserve"> </w:t>
      </w:r>
      <w:r>
        <w:rPr>
          <w:rFonts w:ascii="Times New Roman" w:cs="Times New Roman" w:eastAsia="Times New Roman" w:hAnsi="Times New Roman"/>
          <w:sz w:val="19"/>
          <w:szCs w:val="19"/>
          <w:color w:val="auto"/>
        </w:rPr>
        <w:t>customer data platform competitors or in-house solutions that attempt to unify many disparate sources of data to</w:t>
      </w:r>
    </w:p>
    <w:p>
      <w:pPr>
        <w:sectPr>
          <w:pgSz w:w="12240" w:h="15850" w:orient="portrait"/>
          <w:cols w:equalWidth="0" w:num="1">
            <w:col w:w="9365"/>
          </w:cols>
          <w:pgMar w:left="1440" w:top="1375" w:right="1440" w:bottom="719"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hanging="407"/>
        <w:spacing w:after="0"/>
        <w:tabs>
          <w:tab w:leader="none" w:pos="52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19"/>
          <w:szCs w:val="19"/>
          <w:color w:val="auto"/>
        </w:rPr>
        <w:t>FORM 10-K</w:t>
      </w:r>
    </w:p>
    <w:p>
      <w:pPr>
        <w:sectPr>
          <w:pgSz w:w="12240" w:h="15850" w:orient="portrait"/>
          <w:cols w:equalWidth="0" w:num="1">
            <w:col w:w="9365"/>
          </w:cols>
          <w:pgMar w:left="1440" w:top="1375" w:right="1440" w:bottom="719" w:gutter="0" w:footer="0" w:header="0"/>
          <w:type w:val="continuous"/>
        </w:sectPr>
      </w:pPr>
    </w:p>
    <w:bookmarkStart w:id="38" w:name="page39"/>
    <w:bookmarkEnd w:id="38"/>
    <w:p>
      <w:pPr>
        <w:jc w:val="both"/>
        <w:ind w:left="120" w:right="125" w:hanging="1"/>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improve omnichannel advertising outcomes. Decile seeks to maintain a competitive advantage by providing a better view of high-va'lue customers and personas and their associated value and making it easier for clients to</w:t>
      </w:r>
    </w:p>
    <w:p>
      <w:pPr>
        <w:spacing w:after="0" w:line="22"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activate those customers in a more personalized  way.  Decile's third-party  &lt;.lalla enrichment capabilities and</w:t>
      </w:r>
    </w:p>
    <w:p>
      <w:pPr>
        <w:spacing w:after="0" w:line="25" w:lineRule="exact"/>
        <w:rPr>
          <w:sz w:val="20"/>
          <w:szCs w:val="20"/>
          <w:color w:val="auto"/>
        </w:rPr>
      </w:pPr>
    </w:p>
    <w:p>
      <w:pPr>
        <w:jc w:val="both"/>
        <w:ind w:left="120" w:right="125"/>
        <w:spacing w:after="0" w:line="252" w:lineRule="auto"/>
        <w:rPr>
          <w:sz w:val="20"/>
          <w:szCs w:val="20"/>
          <w:color w:val="auto"/>
        </w:rPr>
      </w:pPr>
      <w:r>
        <w:rPr>
          <w:rFonts w:ascii="Times New Roman" w:cs="Times New Roman" w:eastAsia="Times New Roman" w:hAnsi="Times New Roman"/>
          <w:sz w:val="19"/>
          <w:szCs w:val="19"/>
          <w:color w:val="auto"/>
        </w:rPr>
        <w:t>advanced analytics serve as key differentiators in the mid-market space where those capabilities are not available at a competitive price.</w:t>
      </w:r>
    </w:p>
    <w:p>
      <w:pPr>
        <w:spacing w:after="0" w:line="40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S late G roup LLC</w:t>
      </w:r>
    </w:p>
    <w:p>
      <w:pPr>
        <w:spacing w:after="0" w:line="162" w:lineRule="exact"/>
        <w:rPr>
          <w:sz w:val="20"/>
          <w:szCs w:val="20"/>
          <w:color w:val="auto"/>
        </w:rPr>
      </w:pPr>
    </w:p>
    <w:p>
      <w:pPr>
        <w:jc w:val="both"/>
        <w:ind w:left="120" w:right="125" w:firstLine="2"/>
        <w:spacing w:after="0" w:line="256" w:lineRule="auto"/>
        <w:rPr>
          <w:sz w:val="20"/>
          <w:szCs w:val="20"/>
          <w:color w:val="auto"/>
        </w:rPr>
      </w:pPr>
      <w:r>
        <w:rPr>
          <w:rFonts w:ascii="Times New Roman" w:cs="Times New Roman" w:eastAsia="Times New Roman" w:hAnsi="Times New Roman"/>
          <w:sz w:val="19"/>
          <w:szCs w:val="19"/>
          <w:color w:val="auto"/>
        </w:rPr>
        <w:t xml:space="preserve">As a digital media company, Slate operates in highly compettttve markets for subscribers, audiences and advertisers. For written work, Slate faces competition from other online publishers, especially magazines and newspapers. </w:t>
      </w:r>
      <w:r>
        <w:rPr>
          <w:rFonts w:ascii="Arial" w:cs="Arial" w:eastAsia="Arial" w:hAnsi="Arial"/>
          <w:sz w:val="19"/>
          <w:szCs w:val="19"/>
          <w:color w:val="auto"/>
        </w:rPr>
        <w:t>In</w:t>
      </w:r>
      <w:r>
        <w:rPr>
          <w:rFonts w:ascii="Times New Roman" w:cs="Times New Roman" w:eastAsia="Times New Roman" w:hAnsi="Times New Roman"/>
          <w:sz w:val="19"/>
          <w:szCs w:val="19"/>
          <w:color w:val="auto"/>
        </w:rPr>
        <w:t xml:space="preserve"> podcasting, Slate faces competition from other podcast networks, as well as traditional </w:t>
      </w:r>
      <w:r>
        <w:rPr>
          <w:rFonts w:ascii="Times New Roman" w:cs="Times New Roman" w:eastAsia="Times New Roman" w:hAnsi="Times New Roman"/>
          <w:sz w:val="21"/>
          <w:szCs w:val="21"/>
          <w:i w:val="1"/>
          <w:iCs w:val="1"/>
          <w:color w:val="auto"/>
        </w:rPr>
        <w:t>radio</w:t>
      </w:r>
      <w:r>
        <w:rPr>
          <w:rFonts w:ascii="Times New Roman" w:cs="Times New Roman" w:eastAsia="Times New Roman" w:hAnsi="Times New Roman"/>
          <w:sz w:val="19"/>
          <w:szCs w:val="19"/>
          <w:color w:val="auto"/>
        </w:rPr>
        <w:t xml:space="preserve"> networks. In the face of stiff competition, Slate is able to attract and retain a large educated, affluent audience and subscriber base by creating high-quality content, and is then able to compete for advertisers who wish to reach that audience on trusted, brand-safe properties.</w:t>
      </w:r>
    </w:p>
    <w:p>
      <w:pPr>
        <w:spacing w:after="0" w:line="200" w:lineRule="exact"/>
        <w:rPr>
          <w:sz w:val="20"/>
          <w:szCs w:val="20"/>
          <w:color w:val="auto"/>
        </w:rPr>
      </w:pPr>
    </w:p>
    <w:p>
      <w:pPr>
        <w:spacing w:after="0" w:line="20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City Cast LLC</w:t>
      </w:r>
    </w:p>
    <w:p>
      <w:pPr>
        <w:spacing w:after="0" w:line="16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City Cast is the only national network of daily local podcasts and newsletters. City Cast faces significant competition in all aspects of its business. Several companies operate large national networks of local daily newsletters, notably Axios and 6am City, both of which have many more subscribers than City Cast. There are also single-city daily newsletters-often created by the local newspaper-in every city where City Cast is located. On the podcasting side, public radio stations in most City Cast markets create local podcasts, as do some commercial radio stations. City Cast competes for advertising dollars with aln these newsletter and podcast competitors, as well as with local radio, newspaper, TV and digital outlets.</w:t>
      </w:r>
    </w:p>
    <w:p>
      <w:pPr>
        <w:spacing w:after="0" w:line="200" w:lineRule="exact"/>
        <w:rPr>
          <w:sz w:val="20"/>
          <w:szCs w:val="20"/>
          <w:color w:val="auto"/>
        </w:rPr>
      </w:pPr>
    </w:p>
    <w:p>
      <w:pPr>
        <w:spacing w:after="0" w:line="2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Supporting Cast</w:t>
      </w:r>
    </w:p>
    <w:p>
      <w:pPr>
        <w:spacing w:after="0" w:line="162" w:lineRule="exact"/>
        <w:rPr>
          <w:sz w:val="20"/>
          <w:szCs w:val="20"/>
          <w:color w:val="auto"/>
        </w:rPr>
      </w:pPr>
    </w:p>
    <w:p>
      <w:pPr>
        <w:jc w:val="both"/>
        <w:ind w:left="120" w:right="125" w:firstLine="19"/>
        <w:spacing w:after="0" w:line="263" w:lineRule="auto"/>
        <w:rPr>
          <w:sz w:val="20"/>
          <w:szCs w:val="20"/>
          <w:color w:val="auto"/>
        </w:rPr>
      </w:pPr>
      <w:r>
        <w:rPr>
          <w:rFonts w:ascii="Times New Roman" w:cs="Times New Roman" w:eastAsia="Times New Roman" w:hAnsi="Times New Roman"/>
          <w:sz w:val="19"/>
          <w:szCs w:val="19"/>
          <w:color w:val="auto"/>
        </w:rPr>
        <w:t>fn the growing creator monetization landscape, Supporting Cast d ifferentiates itself from competitors like Patreon and Apple Podcasts Subscriptions through its white-label service model. While most platforms maintain direct control of subscriber data and payment information, Supporting Cast empowers clients to own their customer relationships. The platform has carved out a strong market position by specializing in complex subscription architectures, multi-show network capabilities, and customizable enterprise solutions that meet the needs of major media organizations.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EXECUTIVE OFFICERS</w:t>
      </w:r>
    </w:p>
    <w:p>
      <w:pPr>
        <w:spacing w:after="0" w:line="168" w:lineRule="exact"/>
        <w:rPr>
          <w:sz w:val="20"/>
          <w:szCs w:val="20"/>
          <w:color w:val="auto"/>
        </w:rPr>
      </w:pPr>
    </w:p>
    <w:p>
      <w:pPr>
        <w:jc w:val="both"/>
        <w:ind w:left="120" w:right="125"/>
        <w:spacing w:after="0" w:line="246" w:lineRule="auto"/>
        <w:rPr>
          <w:sz w:val="20"/>
          <w:szCs w:val="20"/>
          <w:color w:val="auto"/>
        </w:rPr>
      </w:pPr>
      <w:r>
        <w:rPr>
          <w:rFonts w:ascii="Times New Roman" w:cs="Times New Roman" w:eastAsia="Times New Roman" w:hAnsi="Times New Roman"/>
          <w:sz w:val="19"/>
          <w:szCs w:val="19"/>
          <w:color w:val="auto"/>
        </w:rPr>
        <w:t>The executive officers of the Company, each of whom is elected annually by the Board of Directors, are as follows:</w:t>
      </w:r>
    </w:p>
    <w:p>
      <w:pPr>
        <w:spacing w:after="0" w:line="200" w:lineRule="exact"/>
        <w:rPr>
          <w:sz w:val="20"/>
          <w:szCs w:val="20"/>
          <w:color w:val="auto"/>
        </w:rPr>
      </w:pPr>
    </w:p>
    <w:p>
      <w:pPr>
        <w:spacing w:after="0" w:line="320" w:lineRule="exact"/>
        <w:rPr>
          <w:sz w:val="20"/>
          <w:szCs w:val="20"/>
          <w:color w:val="auto"/>
        </w:rPr>
      </w:pPr>
    </w:p>
    <w:p>
      <w:pPr>
        <w:jc w:val="both"/>
        <w:ind w:left="120" w:right="125" w:firstLine="12"/>
        <w:spacing w:after="0" w:line="259" w:lineRule="auto"/>
        <w:rPr>
          <w:sz w:val="20"/>
          <w:szCs w:val="20"/>
          <w:color w:val="auto"/>
        </w:rPr>
      </w:pPr>
      <w:r>
        <w:rPr>
          <w:rFonts w:ascii="Times New Roman" w:cs="Times New Roman" w:eastAsia="Times New Roman" w:hAnsi="Times New Roman"/>
          <w:sz w:val="19"/>
          <w:szCs w:val="19"/>
          <w:color w:val="auto"/>
        </w:rPr>
        <w:t xml:space="preserve">Donald E. Graham, age 79, Chairman Emeritus, served as Chairman of the Board of the Company from September 1993 until May 2023 and served as Chief Executive Officer of the Company from May 199 1 until November 20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5 . Mr. Graham served as President of the Company from May 1991 until September 1993 and prior to that had been a Vice President of the Company for more than five years. Mr. Graham also served as Publisher of The Washington Post (the </w:t>
      </w:r>
      <w:r>
        <w:rPr>
          <w:rFonts w:ascii="Times New Roman" w:cs="Times New Roman" w:eastAsia="Times New Roman" w:hAnsi="Times New Roman"/>
          <w:sz w:val="20"/>
          <w:szCs w:val="20"/>
          <w:i w:val="1"/>
          <w:iCs w:val="1"/>
          <w:color w:val="auto"/>
        </w:rPr>
        <w:t>Post)</w:t>
      </w:r>
      <w:r>
        <w:rPr>
          <w:rFonts w:ascii="Times New Roman" w:cs="Times New Roman" w:eastAsia="Times New Roman" w:hAnsi="Times New Roman"/>
          <w:sz w:val="19"/>
          <w:szCs w:val="19"/>
          <w:color w:val="auto"/>
        </w:rPr>
        <w:t xml:space="preserve"> from 1979 until September 2000 and as Chairman of the </w:t>
      </w:r>
      <w:r>
        <w:rPr>
          <w:rFonts w:ascii="Times New Roman" w:cs="Times New Roman" w:eastAsia="Times New Roman" w:hAnsi="Times New Roman"/>
          <w:sz w:val="20"/>
          <w:szCs w:val="20"/>
          <w:i w:val="1"/>
          <w:iCs w:val="1"/>
          <w:color w:val="auto"/>
        </w:rPr>
        <w:t>Post</w:t>
      </w:r>
      <w:r>
        <w:rPr>
          <w:rFonts w:ascii="Times New Roman" w:cs="Times New Roman" w:eastAsia="Times New Roman" w:hAnsi="Times New Roman"/>
          <w:sz w:val="19"/>
          <w:szCs w:val="19"/>
          <w:color w:val="auto"/>
        </w:rPr>
        <w:t xml:space="preserve"> from September 2000 to February 2008.</w:t>
      </w:r>
    </w:p>
    <w:p>
      <w:pPr>
        <w:spacing w:after="0" w:line="200" w:lineRule="exact"/>
        <w:rPr>
          <w:sz w:val="20"/>
          <w:szCs w:val="20"/>
          <w:color w:val="auto"/>
        </w:rPr>
      </w:pPr>
    </w:p>
    <w:p>
      <w:pPr>
        <w:spacing w:after="0" w:line="305"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Timothy J. O'Shaughnessy, age 43, became Chief Executive Officer of the Company in November 2015. From November 20 14 until November 2015, he served as President of the Company. He was elected to the Board of Directors in November 20 14 . From 2007 to August 2014, Mr. O'Shaughnessy served as chief executive officer of LivingSocial, an e-commerce and marketing company that he co-founded in 2007. Mr. O'Shaughnessy is the son-in-law of Donald E. Graham, Chairman Emeritus of the Company.</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8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23</w:t>
      </w:r>
    </w:p>
    <w:p>
      <w:pPr>
        <w:sectPr>
          <w:pgSz w:w="12240" w:h="15850" w:orient="portrait"/>
          <w:cols w:equalWidth="0" w:num="1">
            <w:col w:w="9365"/>
          </w:cols>
          <w:pgMar w:left="1440" w:top="1394" w:right="1440" w:bottom="721" w:gutter="0" w:footer="0" w:header="0"/>
          <w:type w:val="continuous"/>
        </w:sectPr>
      </w:pPr>
    </w:p>
    <w:bookmarkStart w:id="39" w:name="page40"/>
    <w:bookmarkEnd w:id="39"/>
    <w:p>
      <w:pPr>
        <w:jc w:val="both"/>
        <w:ind w:left="120" w:right="125" w:firstLine="11"/>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Andrew S. Rosen, age 64, became Executive Vice President of the Company in April 2014. He became Chairman of Kaplan, Inc. in November 2008 and served as C hief Executive Officer of Kaplan, Inc. from November 2008 to April 2014 and from August 2015 to the present. </w:t>
      </w:r>
      <w:r>
        <w:rPr>
          <w:rFonts w:ascii="Times New Roman" w:cs="Times New Roman" w:eastAsia="Times New Roman" w:hAnsi="Times New Roman"/>
          <w:sz w:val="21"/>
          <w:szCs w:val="21"/>
          <w:color w:val="auto"/>
        </w:rPr>
        <w:t>Mr.</w:t>
      </w:r>
      <w:r>
        <w:rPr>
          <w:rFonts w:ascii="Times New Roman" w:cs="Times New Roman" w:eastAsia="Times New Roman" w:hAnsi="Times New Roman"/>
          <w:sz w:val="19"/>
          <w:szCs w:val="19"/>
          <w:color w:val="auto"/>
        </w:rPr>
        <w:t xml:space="preserve"> Rosen has spent rnore than 38 years at the Company and its affiliates. He joined the Company in 1986 as a staff attorney with the </w:t>
      </w:r>
      <w:r>
        <w:rPr>
          <w:rFonts w:ascii="Times New Roman" w:cs="Times New Roman" w:eastAsia="Times New Roman" w:hAnsi="Times New Roman"/>
          <w:sz w:val="18"/>
          <w:szCs w:val="18"/>
          <w:i w:val="1"/>
          <w:iCs w:val="1"/>
          <w:color w:val="auto"/>
        </w:rPr>
        <w:t>Post</w:t>
      </w:r>
      <w:r>
        <w:rPr>
          <w:rFonts w:ascii="Times New Roman" w:cs="Times New Roman" w:eastAsia="Times New Roman" w:hAnsi="Times New Roman"/>
          <w:sz w:val="19"/>
          <w:szCs w:val="19"/>
          <w:color w:val="auto"/>
        </w:rPr>
        <w:t xml:space="preserve"> and later served as assistant counsel at </w:t>
      </w:r>
      <w:r>
        <w:rPr>
          <w:rFonts w:ascii="Arial" w:cs="Arial" w:eastAsia="Arial" w:hAnsi="Arial"/>
          <w:sz w:val="18"/>
          <w:szCs w:val="18"/>
          <w:i w:val="1"/>
          <w:iCs w:val="1"/>
          <w:color w:val="auto"/>
        </w:rPr>
        <w:t>Newsweek.</w:t>
      </w:r>
      <w:r>
        <w:rPr>
          <w:rFonts w:ascii="Times New Roman" w:cs="Times New Roman" w:eastAsia="Times New Roman" w:hAnsi="Times New Roman"/>
          <w:sz w:val="19"/>
          <w:szCs w:val="19"/>
          <w:color w:val="auto"/>
        </w:rPr>
        <w:t xml:space="preserve"> He moved to Kaplan in 1992 and held numerous leadership positions there before being named Chairman and Chief Executive Officer of Kaplan, Inc.</w:t>
      </w:r>
    </w:p>
    <w:p>
      <w:pPr>
        <w:spacing w:after="0" w:line="229" w:lineRule="exact"/>
        <w:rPr>
          <w:sz w:val="20"/>
          <w:szCs w:val="20"/>
          <w:color w:val="auto"/>
        </w:rPr>
      </w:pPr>
    </w:p>
    <w:p>
      <w:pPr>
        <w:jc w:val="both"/>
        <w:ind w:left="120" w:right="125" w:firstLine="10"/>
        <w:spacing w:after="0" w:line="249" w:lineRule="auto"/>
        <w:rPr>
          <w:sz w:val="20"/>
          <w:szCs w:val="20"/>
          <w:color w:val="auto"/>
        </w:rPr>
      </w:pPr>
      <w:r>
        <w:rPr>
          <w:rFonts w:ascii="Times New Roman" w:cs="Times New Roman" w:eastAsia="Times New Roman" w:hAnsi="Times New Roman"/>
          <w:sz w:val="19"/>
          <w:szCs w:val="19"/>
          <w:color w:val="auto"/>
        </w:rPr>
        <w:t xml:space="preserve">Wallace </w:t>
      </w:r>
      <w:r>
        <w:rPr>
          <w:rFonts w:ascii="Arial" w:cs="Arial" w:eastAsia="Arial" w:hAnsi="Arial"/>
          <w:sz w:val="17"/>
          <w:szCs w:val="17"/>
          <w:color w:val="auto"/>
        </w:rPr>
        <w:t>R.</w:t>
      </w:r>
      <w:r>
        <w:rPr>
          <w:rFonts w:ascii="Times New Roman" w:cs="Times New Roman" w:eastAsia="Times New Roman" w:hAnsi="Times New Roman"/>
          <w:sz w:val="19"/>
          <w:szCs w:val="19"/>
          <w:color w:val="auto"/>
        </w:rPr>
        <w:t xml:space="preserve"> Cooney, age </w:t>
      </w:r>
      <w:r>
        <w:rPr>
          <w:rFonts w:ascii="Arial" w:cs="Arial" w:eastAsia="Arial" w:hAnsi="Arial"/>
          <w:sz w:val="17"/>
          <w:szCs w:val="17"/>
          <w:color w:val="auto"/>
        </w:rPr>
        <w:t>62,</w:t>
      </w:r>
      <w:r>
        <w:rPr>
          <w:rFonts w:ascii="Times New Roman" w:cs="Times New Roman" w:eastAsia="Times New Roman" w:hAnsi="Times New Roman"/>
          <w:sz w:val="19"/>
          <w:szCs w:val="19"/>
          <w:color w:val="auto"/>
        </w:rPr>
        <w:t xml:space="preserve"> became Senior Vice President-Finance and Chief Financia l Officer of the Company in Apr iJ 2017. </w:t>
      </w:r>
      <w:r>
        <w:rPr>
          <w:rFonts w:ascii="Times New Roman" w:cs="Times New Roman" w:eastAsia="Times New Roman" w:hAnsi="Times New Roman"/>
          <w:sz w:val="21"/>
          <w:szCs w:val="21"/>
          <w:color w:val="auto"/>
        </w:rPr>
        <w:t>Mr.</w:t>
      </w:r>
      <w:r>
        <w:rPr>
          <w:rFonts w:ascii="Times New Roman" w:cs="Times New Roman" w:eastAsia="Times New Roman" w:hAnsi="Times New Roman"/>
          <w:sz w:val="19"/>
          <w:szCs w:val="19"/>
          <w:color w:val="auto"/>
        </w:rPr>
        <w:t xml:space="preserve"> Cooney served as the Company' s Vice President-Finance and Cbjef Accounting Officerfrom 2008 to 2017. He joined the Company in 2001 as Controller.</w:t>
      </w:r>
    </w:p>
    <w:p>
      <w:pPr>
        <w:spacing w:after="0" w:line="240"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Jacob M. Maas, age 48, became Executive Vice Pres ident of the Company in January 2022, prior to which he served as Senior Vice President-Planning and Development beginning October 20 15. Prior to joining the Company, he served as executive vice president of operations and head of corporate development at LivingSocial, an e-commerce and marketing company that he joined as chief financial officer in 2008.</w:t>
      </w:r>
    </w:p>
    <w:p>
      <w:pPr>
        <w:spacing w:after="0" w:line="228" w:lineRule="exact"/>
        <w:rPr>
          <w:sz w:val="20"/>
          <w:szCs w:val="20"/>
          <w:color w:val="auto"/>
        </w:rPr>
      </w:pPr>
    </w:p>
    <w:p>
      <w:pPr>
        <w:jc w:val="both"/>
        <w:ind w:left="120" w:right="125" w:firstLine="12"/>
        <w:spacing w:after="0" w:line="258" w:lineRule="auto"/>
        <w:rPr>
          <w:sz w:val="20"/>
          <w:szCs w:val="20"/>
          <w:color w:val="auto"/>
        </w:rPr>
      </w:pPr>
      <w:r>
        <w:rPr>
          <w:rFonts w:ascii="Times New Roman" w:cs="Times New Roman" w:eastAsia="Times New Roman" w:hAnsi="Times New Roman"/>
          <w:sz w:val="19"/>
          <w:szCs w:val="19"/>
          <w:color w:val="auto"/>
        </w:rPr>
        <w:t>Nicole M. Maddrey, age 60, became Senior Vice President, General Counsel and Secretary of the Company in April 2015. Ms. Maddrey joined the Company in 2007 as Associate General Counsel. Prior to joining the Company, Ms. Maddrey served as Special Counsel in the Division of Corporation Finance at the U.S. Securities and Exchange Commission.</w:t>
      </w:r>
    </w:p>
    <w:p>
      <w:pPr>
        <w:spacing w:after="0" w:line="243" w:lineRule="exact"/>
        <w:rPr>
          <w:sz w:val="20"/>
          <w:szCs w:val="20"/>
          <w:color w:val="auto"/>
        </w:rPr>
      </w:pPr>
    </w:p>
    <w:p>
      <w:pPr>
        <w:jc w:val="both"/>
        <w:ind w:left="120" w:right="125" w:firstLine="11"/>
        <w:spacing w:after="0" w:line="244" w:lineRule="auto"/>
        <w:rPr>
          <w:sz w:val="20"/>
          <w:szCs w:val="20"/>
          <w:color w:val="auto"/>
        </w:rPr>
      </w:pPr>
      <w:r>
        <w:rPr>
          <w:rFonts w:ascii="Times New Roman" w:cs="Times New Roman" w:eastAsia="Times New Roman" w:hAnsi="Times New Roman"/>
          <w:sz w:val="19"/>
          <w:szCs w:val="19"/>
          <w:color w:val="auto"/>
        </w:rPr>
        <w:t xml:space="preserve">Marcel </w:t>
      </w:r>
      <w:r>
        <w:rPr>
          <w:rFonts w:ascii="Times New Roman" w:cs="Times New Roman" w:eastAsia="Times New Roman" w:hAnsi="Times New Roman"/>
          <w:sz w:val="18"/>
          <w:szCs w:val="18"/>
          <w:color w:val="auto"/>
        </w:rPr>
        <w:t>A.</w:t>
      </w:r>
      <w:r>
        <w:rPr>
          <w:rFonts w:ascii="Times New Roman" w:cs="Times New Roman" w:eastAsia="Times New Roman" w:hAnsi="Times New Roman"/>
          <w:sz w:val="19"/>
          <w:szCs w:val="19"/>
          <w:color w:val="auto"/>
        </w:rPr>
        <w:t xml:space="preserve"> Snyman, age 50, became Vice President and Chief Accounting Officer of the Company in January 2018. </w:t>
      </w:r>
      <w:r>
        <w:rPr>
          <w:rFonts w:ascii="Times New Roman" w:cs="Times New Roman" w:eastAsia="Times New Roman" w:hAnsi="Times New Roman"/>
          <w:sz w:val="21"/>
          <w:szCs w:val="21"/>
          <w:color w:val="auto"/>
        </w:rPr>
        <w:t>Mr.</w:t>
      </w:r>
      <w:r>
        <w:rPr>
          <w:rFonts w:ascii="Times New Roman" w:cs="Times New Roman" w:eastAsia="Times New Roman" w:hAnsi="Times New Roman"/>
          <w:sz w:val="19"/>
          <w:szCs w:val="19"/>
          <w:color w:val="auto"/>
        </w:rPr>
        <w:t xml:space="preserve"> Snyman served as Controller of the Company from 2016 to 20 18, prior to which he served as Assistant Controller beginning in April 2014 and Director of Accounting Policy beginning in July 2008.</w:t>
      </w:r>
    </w:p>
    <w:p>
      <w:pPr>
        <w:spacing w:after="0" w:line="245" w:lineRule="exact"/>
        <w:rPr>
          <w:sz w:val="20"/>
          <w:szCs w:val="20"/>
          <w:color w:val="auto"/>
        </w:rPr>
      </w:pPr>
    </w:p>
    <w:p>
      <w:pPr>
        <w:jc w:val="both"/>
        <w:ind w:left="120" w:right="125" w:hanging="1"/>
        <w:spacing w:after="0" w:line="262" w:lineRule="auto"/>
        <w:rPr>
          <w:sz w:val="20"/>
          <w:szCs w:val="20"/>
          <w:color w:val="auto"/>
        </w:rPr>
      </w:pPr>
      <w:r>
        <w:rPr>
          <w:rFonts w:ascii="Times New Roman" w:cs="Times New Roman" w:eastAsia="Times New Roman" w:hAnsi="Times New Roman"/>
          <w:sz w:val="19"/>
          <w:szCs w:val="19"/>
          <w:color w:val="auto"/>
        </w:rPr>
        <w:t>Sandra M. Stonesifer, age 40, became Vice President-Chief Human Resources Officer of the Company in January 2021. Prior to joining the Company, Mrs. Stonesifer was a consultant with S-Squared Consulting, an organization development consulting company.</w:t>
      </w:r>
    </w:p>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HUMAN CAPITAL</w:t>
      </w:r>
    </w:p>
    <w:p>
      <w:pPr>
        <w:spacing w:after="0" w:line="144" w:lineRule="exact"/>
        <w:rPr>
          <w:sz w:val="20"/>
          <w:szCs w:val="20"/>
          <w:color w:val="auto"/>
        </w:rPr>
      </w:pPr>
    </w:p>
    <w:p>
      <w:pPr>
        <w:jc w:val="both"/>
        <w:ind w:left="120" w:right="125" w:hanging="1"/>
        <w:spacing w:after="0" w:line="257" w:lineRule="auto"/>
        <w:rPr>
          <w:sz w:val="20"/>
          <w:szCs w:val="20"/>
          <w:color w:val="auto"/>
        </w:rPr>
      </w:pPr>
      <w:r>
        <w:rPr>
          <w:rFonts w:ascii="Times New Roman" w:cs="Times New Roman" w:eastAsia="Times New Roman" w:hAnsi="Times New Roman"/>
          <w:sz w:val="19"/>
          <w:szCs w:val="19"/>
          <w:color w:val="auto"/>
        </w:rPr>
        <w:t>The Company employs approximately 21,446 people worldwide, of which approximately 12,871 are employed in the U.S. and approximately 8,575 are employed outside the U.S. Employment across each of the Company's businesses is further discussed below.</w:t>
      </w:r>
    </w:p>
    <w:p>
      <w:pPr>
        <w:spacing w:after="0" w:line="242" w:lineRule="exact"/>
        <w:rPr>
          <w:sz w:val="20"/>
          <w:szCs w:val="20"/>
          <w:color w:val="auto"/>
        </w:rPr>
      </w:pPr>
    </w:p>
    <w:p>
      <w:pPr>
        <w:jc w:val="both"/>
        <w:ind w:left="120" w:right="125" w:firstLine="1"/>
        <w:spacing w:after="0" w:line="259" w:lineRule="auto"/>
        <w:rPr>
          <w:sz w:val="20"/>
          <w:szCs w:val="20"/>
          <w:color w:val="auto"/>
        </w:rPr>
      </w:pPr>
      <w:r>
        <w:rPr>
          <w:rFonts w:ascii="Times New Roman" w:cs="Times New Roman" w:eastAsia="Times New Roman" w:hAnsi="Times New Roman"/>
          <w:sz w:val="19"/>
          <w:szCs w:val="19"/>
          <w:color w:val="auto"/>
        </w:rPr>
        <w:t>Worldwide, Kaplan employs approximately 7,056 people on a full-time basis in 27 countries. Kaplan also employs substantial numbers of part-time employees who serve in instntctional and administrative capacities. Kaplan's part-time workforce comprises approximately 3,591 individuals in 18 countries. Collectively, in the U.S . and Canada, approximately 91 Kaplan employees are represented by a union. In countries where Kaplan has a pres·ence but union membership is not disclosed to the employer-the U.K., Australia, and Singapore-there may be union- represented employees as well.</w:t>
      </w:r>
    </w:p>
    <w:p>
      <w:pPr>
        <w:spacing w:after="0" w:line="235" w:lineRule="exact"/>
        <w:rPr>
          <w:sz w:val="20"/>
          <w:szCs w:val="20"/>
          <w:color w:val="auto"/>
        </w:rPr>
      </w:pPr>
    </w:p>
    <w:p>
      <w:pPr>
        <w:jc w:val="both"/>
        <w:ind w:left="120" w:right="105" w:hanging="10"/>
        <w:spacing w:after="0" w:line="251" w:lineRule="auto"/>
        <w:rPr>
          <w:sz w:val="20"/>
          <w:szCs w:val="20"/>
          <w:color w:val="auto"/>
        </w:rPr>
      </w:pPr>
      <w:r>
        <w:rPr>
          <w:rFonts w:ascii="Times New Roman" w:cs="Times New Roman" w:eastAsia="Times New Roman" w:hAnsi="Times New Roman"/>
          <w:sz w:val="19"/>
          <w:szCs w:val="19"/>
          <w:color w:val="auto"/>
        </w:rPr>
        <w:t>GMG has approximately 880 employees, including 859 full-time employees and 21</w:t>
      </w:r>
      <w:r>
        <w:rPr>
          <w:sz w:val="20"/>
          <w:szCs w:val="20"/>
          <w:color w:val="auto"/>
        </w:rPr>
        <w:t xml:space="preserve"> </w:t>
      </w:r>
      <w:r>
        <w:rPr>
          <w:rFonts w:ascii="Times New Roman" w:cs="Times New Roman" w:eastAsia="Times New Roman" w:hAnsi="Times New Roman"/>
          <w:sz w:val="19"/>
          <w:szCs w:val="19"/>
          <w:color w:val="auto"/>
        </w:rPr>
        <w:t>part-time employees, of whom approximately 86 are represented by a union.</w:t>
      </w:r>
    </w:p>
    <w:p>
      <w:pPr>
        <w:spacing w:after="0" w:line="200" w:lineRule="exact"/>
        <w:rPr>
          <w:sz w:val="20"/>
          <w:szCs w:val="20"/>
          <w:color w:val="auto"/>
        </w:rPr>
      </w:pPr>
    </w:p>
    <w:p>
      <w:pPr>
        <w:spacing w:after="0" w:line="277" w:lineRule="exact"/>
        <w:rPr>
          <w:sz w:val="20"/>
          <w:szCs w:val="20"/>
          <w:color w:val="auto"/>
        </w:rPr>
      </w:pPr>
    </w:p>
    <w:p>
      <w:pPr>
        <w:jc w:val="both"/>
        <w:ind w:left="120" w:right="125" w:firstLine="9"/>
        <w:spacing w:after="0" w:line="261" w:lineRule="auto"/>
        <w:rPr>
          <w:sz w:val="20"/>
          <w:szCs w:val="20"/>
          <w:color w:val="auto"/>
        </w:rPr>
      </w:pPr>
      <w:r>
        <w:rPr>
          <w:rFonts w:ascii="Times New Roman" w:cs="Times New Roman" w:eastAsia="Times New Roman" w:hAnsi="Times New Roman"/>
          <w:sz w:val="19"/>
          <w:szCs w:val="19"/>
          <w:color w:val="auto"/>
        </w:rPr>
        <w:t xml:space="preserve">In the manufacturing segment, Hoover has approximately 453 full-time employees, of whom 12 are represented by a union. Dekko has approximately 975 full-time employees, none of whom is represented by a union. Joyce/ Dayton has approximately </w:t>
      </w:r>
      <w:r>
        <w:rPr>
          <w:rFonts w:ascii="Arial" w:cs="Arial" w:eastAsia="Arial" w:hAnsi="Arial"/>
          <w:sz w:val="19"/>
          <w:szCs w:val="19"/>
          <w:color w:val="auto"/>
        </w:rPr>
        <w:t>178</w:t>
      </w:r>
      <w:r>
        <w:rPr>
          <w:rFonts w:ascii="Times New Roman" w:cs="Times New Roman" w:eastAsia="Times New Roman" w:hAnsi="Times New Roman"/>
          <w:sz w:val="19"/>
          <w:szCs w:val="19"/>
          <w:color w:val="auto"/>
        </w:rPr>
        <w:t xml:space="preserve"> full-time employees and five part-time employees, none of whom is represented by a union. Forney has approximately 109 full-time employees. Of those employees, 46 are represented by a union, all of whom are employed in Mexico.</w:t>
      </w:r>
    </w:p>
    <w:p>
      <w:pPr>
        <w:spacing w:after="0" w:line="2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the healthcare segment, GHG  has approximately 2,387 fu ll-time employees  and 579 part-time employees.</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None of these employees is represented by a union.</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0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24</w:t>
        <w:tab/>
        <w:t>2024 FORM 10-K</w:t>
      </w:r>
    </w:p>
    <w:p>
      <w:pPr>
        <w:sectPr>
          <w:pgSz w:w="12240" w:h="15850" w:orient="portrait"/>
          <w:cols w:equalWidth="0" w:num="1">
            <w:col w:w="9365"/>
          </w:cols>
          <w:pgMar w:left="1440" w:top="1394" w:right="1440" w:bottom="721" w:gutter="0" w:footer="0" w:header="0"/>
          <w:type w:val="continuous"/>
        </w:sectPr>
      </w:pPr>
    </w:p>
    <w:bookmarkStart w:id="40" w:name="page41"/>
    <w:bookmarkEnd w:id="40"/>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Automotive employs approximately 938 full-time employees, none of whom is represented by a union.</w:t>
      </w:r>
    </w:p>
    <w:p>
      <w:pPr>
        <w:spacing w:after="0" w:line="237"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 xml:space="preserve">In other businesses, Saatchi Art, Society6 and WGB employ approximately 240 full-time and part-time employees collectively, none of whom is represented by a union. Clyde's has approximately 200 full-time employees and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,796 part-time employees, none of whom is represented by a union. Framebridge has approximately 594 employees and 65 part-time employees, none of whom is represented by a union. Code3 has approximately 125 full-time employees, none of whom is represented by a union. Decile has 28 full-time employees, none of whom is represented by a union. Slate employs 129 full-time employees and four part-time employees, of whom approximately 54 are represented by a union. The FP Group has approximately 62 full-time employees, approximately 14 of whom are represented by a union. City Cast employs 88 full -time employees and three part-time employees, none of whom is represented by a union.</w:t>
      </w:r>
    </w:p>
    <w:p>
      <w:pPr>
        <w:spacing w:after="0" w:line="200" w:lineRule="exact"/>
        <w:rPr>
          <w:sz w:val="20"/>
          <w:szCs w:val="20"/>
          <w:color w:val="auto"/>
        </w:rPr>
      </w:pP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parent Company has approximately 87 full-time employees, none of whom is represented by a union.</w:t>
      </w:r>
    </w:p>
    <w:p>
      <w:pPr>
        <w:spacing w:after="0" w:line="237" w:lineRule="exact"/>
        <w:rPr>
          <w:sz w:val="20"/>
          <w:szCs w:val="20"/>
          <w:color w:val="auto"/>
        </w:rPr>
      </w:pPr>
    </w:p>
    <w:p>
      <w:pPr>
        <w:jc w:val="both"/>
        <w:ind w:left="120" w:right="125" w:hanging="10"/>
        <w:spacing w:after="0" w:line="257" w:lineRule="auto"/>
        <w:rPr>
          <w:sz w:val="20"/>
          <w:szCs w:val="20"/>
          <w:color w:val="auto"/>
        </w:rPr>
      </w:pPr>
      <w:r>
        <w:rPr>
          <w:rFonts w:ascii="Times New Roman" w:cs="Times New Roman" w:eastAsia="Times New Roman" w:hAnsi="Times New Roman"/>
          <w:sz w:val="19"/>
          <w:szCs w:val="19"/>
          <w:color w:val="auto"/>
        </w:rPr>
        <w:t>The Company recogni zes the importance of attracting, developing, and retaining highly qualified employees throughout each of its businesses. The following is a description of the Company's efforts to manage and promote human capital within its organization.</w:t>
      </w:r>
    </w:p>
    <w:p>
      <w:pPr>
        <w:spacing w:after="0" w:line="225" w:lineRule="exact"/>
        <w:rPr>
          <w:sz w:val="20"/>
          <w:szCs w:val="20"/>
          <w:color w:val="auto"/>
        </w:rPr>
      </w:pPr>
    </w:p>
    <w:p>
      <w:pPr>
        <w:jc w:val="both"/>
        <w:ind w:left="120" w:right="125" w:hanging="1"/>
        <w:spacing w:after="0" w:line="261" w:lineRule="auto"/>
        <w:rPr>
          <w:sz w:val="20"/>
          <w:szCs w:val="20"/>
          <w:color w:val="auto"/>
        </w:rPr>
      </w:pPr>
      <w:r>
        <w:rPr>
          <w:rFonts w:ascii="Times New Roman" w:cs="Times New Roman" w:eastAsia="Times New Roman" w:hAnsi="Times New Roman"/>
          <w:sz w:val="20"/>
          <w:szCs w:val="20"/>
          <w:i w:val="1"/>
          <w:iCs w:val="1"/>
          <w:color w:val="auto"/>
        </w:rPr>
        <w:t>Oversight</w:t>
      </w:r>
      <w:r>
        <w:rPr>
          <w:sz w:val="20"/>
          <w:szCs w:val="20"/>
          <w:color w:val="auto"/>
        </w:rPr>
        <w:t xml:space="preserve"> </w:t>
      </w:r>
      <w:r>
        <w:rPr>
          <w:rFonts w:ascii="Times New Roman" w:cs="Times New Roman" w:eastAsia="Times New Roman" w:hAnsi="Times New Roman"/>
          <w:sz w:val="20"/>
          <w:szCs w:val="20"/>
          <w:i w:val="1"/>
          <w:iCs w:val="1"/>
          <w:color w:val="auto"/>
        </w:rPr>
        <w:t xml:space="preserve">and Management. </w:t>
      </w:r>
      <w:r>
        <w:rPr>
          <w:rFonts w:ascii="Times New Roman" w:cs="Times New Roman" w:eastAsia="Times New Roman" w:hAnsi="Times New Roman"/>
          <w:sz w:val="19"/>
          <w:szCs w:val="19"/>
          <w:color w:val="auto"/>
        </w:rPr>
        <w:t>The Company's human resources organization and the human resource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organizations of its various businesses manage employment-related matters, including recruiting and hiring qualified employees, training and development, compensation, workplace safety, performance management, support for specific needs including supporting employees who are caregivers or working remotely, and ensuring a talented and inclusive workforce where all employees can be successful. The Compensation Committee of the Board of Directors provides oversight of certain human capital matters, including compensation and benefits, executive development, employee inclusion and retention initiatives, and succession planning.</w:t>
      </w:r>
    </w:p>
    <w:p>
      <w:pPr>
        <w:spacing w:after="0" w:line="221"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Company's culture of trust and integrity is led and driven by senior management and supp01ted by our internal practices, regular communications, and ongoing training efforts. Employees and stakeholders are encouraged to address any concerns with their managers and business leaders. The Company also provides a dedicated communication channel, the Ethics Hotline, to report possible violations of the Code of Business Conduct or concerns albout ethics or integrity in the workplace. The Company's Ethics Hotline is independently operated by a third party and anonymity is ensured upon request. Reports are forwarded to appropriate individuals within the Company for investigation. Every allegation is professionally and confidentially handled.</w:t>
      </w:r>
    </w:p>
    <w:p>
      <w:pPr>
        <w:spacing w:after="0" w:line="210" w:lineRule="exact"/>
        <w:rPr>
          <w:sz w:val="20"/>
          <w:szCs w:val="20"/>
          <w:color w:val="auto"/>
        </w:rPr>
      </w:pPr>
    </w:p>
    <w:p>
      <w:pPr>
        <w:jc w:val="both"/>
        <w:ind w:left="120" w:right="125" w:hanging="1"/>
        <w:spacing w:after="0" w:line="262" w:lineRule="auto"/>
        <w:rPr>
          <w:sz w:val="20"/>
          <w:szCs w:val="20"/>
          <w:color w:val="auto"/>
        </w:rPr>
      </w:pPr>
      <w:r>
        <w:rPr>
          <w:rFonts w:ascii="Times New Roman" w:cs="Times New Roman" w:eastAsia="Times New Roman" w:hAnsi="Times New Roman"/>
          <w:sz w:val="20"/>
          <w:szCs w:val="20"/>
          <w:i w:val="1"/>
          <w:iCs w:val="1"/>
          <w:color w:val="auto"/>
        </w:rPr>
        <w:t>Compensation</w:t>
      </w:r>
      <w:r>
        <w:rPr>
          <w:sz w:val="20"/>
          <w:szCs w:val="20"/>
          <w:color w:val="auto"/>
        </w:rPr>
        <w:t xml:space="preserve"> </w:t>
      </w:r>
      <w:r>
        <w:rPr>
          <w:rFonts w:ascii="Times New Roman" w:cs="Times New Roman" w:eastAsia="Times New Roman" w:hAnsi="Times New Roman"/>
          <w:sz w:val="20"/>
          <w:szCs w:val="20"/>
          <w:i w:val="1"/>
          <w:iCs w:val="1"/>
          <w:color w:val="auto"/>
        </w:rPr>
        <w:t xml:space="preserve">and Benefits. </w:t>
      </w:r>
      <w:r>
        <w:rPr>
          <w:rFonts w:ascii="Times New Roman" w:cs="Times New Roman" w:eastAsia="Times New Roman" w:hAnsi="Times New Roman"/>
          <w:sz w:val="19"/>
          <w:szCs w:val="19"/>
          <w:color w:val="auto"/>
        </w:rPr>
        <w:t>The Company offers strong compensation and benefits programs to its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employees. Depending on the business unit, employee benefits may include healthcare and insurance benefits, health savings and flexible spending accounts, paid time off, fami ly leave, adoption assistance plans, employee assistance programs, tuition assistance programs, transportation benefits programs, a matching gifts program, bonuses, long-term incentive compensation plans, Company-paid pension contributions and a 401(k) Plan. The Company offers discounts on courses and programs offered by Purdue Global to all full-time employees through the Gift of Knowledge Program. The Company also offers a small group of eligible employees certain equity-based grants under the Company's Incentive Compensation Plan with vesting and performance conditions to faci litate the attraction, retention, motivation and reward of key employees and to align their interests with those of the Company's stockholders.</w:t>
      </w:r>
    </w:p>
    <w:p>
      <w:pPr>
        <w:spacing w:after="0" w:line="200" w:lineRule="exact"/>
        <w:rPr>
          <w:sz w:val="20"/>
          <w:szCs w:val="20"/>
          <w:color w:val="auto"/>
        </w:rPr>
      </w:pPr>
    </w:p>
    <w:p>
      <w:pPr>
        <w:spacing w:after="0" w:line="254" w:lineRule="exact"/>
        <w:rPr>
          <w:sz w:val="20"/>
          <w:szCs w:val="20"/>
          <w:color w:val="auto"/>
        </w:rPr>
      </w:pPr>
    </w:p>
    <w:p>
      <w:pPr>
        <w:jc w:val="both"/>
        <w:ind w:left="120" w:right="105" w:firstLine="7"/>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Training and Talent Development. </w:t>
      </w:r>
      <w:r>
        <w:rPr>
          <w:rFonts w:ascii="Times New Roman" w:cs="Times New Roman" w:eastAsia="Times New Roman" w:hAnsi="Times New Roman"/>
          <w:sz w:val="19"/>
          <w:szCs w:val="19"/>
          <w:color w:val="auto"/>
        </w:rPr>
        <w:t>The Company is committed to the continued growth and development of</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its employees across all businesses. While development opportunities vary across businesses, the Company seeks to offer a variety of learning opportunities, including virtual learning, on-the-job mentoring and coaching. U.S. employees complete core harassment and discrimination training and ethics training and all employees are offered specific skills training designed to support the growth and advancement of their professional skills.</w:t>
      </w:r>
    </w:p>
    <w:p>
      <w:pPr>
        <w:spacing w:after="0" w:line="209" w:lineRule="exact"/>
        <w:rPr>
          <w:sz w:val="20"/>
          <w:szCs w:val="20"/>
          <w:color w:val="auto"/>
        </w:rPr>
      </w:pPr>
    </w:p>
    <w:p>
      <w:pPr>
        <w:jc w:val="both"/>
        <w:ind w:left="120" w:right="125" w:firstLine="13"/>
        <w:spacing w:after="0" w:line="264" w:lineRule="auto"/>
        <w:rPr>
          <w:sz w:val="20"/>
          <w:szCs w:val="20"/>
          <w:color w:val="auto"/>
        </w:rPr>
      </w:pPr>
      <w:r>
        <w:rPr>
          <w:rFonts w:ascii="Times New Roman" w:cs="Times New Roman" w:eastAsia="Times New Roman" w:hAnsi="Times New Roman"/>
          <w:sz w:val="19"/>
          <w:szCs w:val="19"/>
          <w:color w:val="auto"/>
        </w:rPr>
        <w:t>For example, at GMG, employees have access to several development and training programs, including Boss School, a management training session, PROduce! for high potential producers to enhance their innovative</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8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25</w:t>
      </w:r>
    </w:p>
    <w:p>
      <w:pPr>
        <w:sectPr>
          <w:pgSz w:w="12240" w:h="15850" w:orient="portrait"/>
          <w:cols w:equalWidth="0" w:num="1">
            <w:col w:w="9365"/>
          </w:cols>
          <w:pgMar w:left="1440" w:top="1385" w:right="1440" w:bottom="721" w:gutter="0" w:footer="0" w:header="0"/>
          <w:type w:val="continuous"/>
        </w:sectPr>
      </w:pPr>
    </w:p>
    <w:bookmarkStart w:id="41" w:name="page42"/>
    <w:bookmarkEnd w:id="41"/>
    <w:p>
      <w:pPr>
        <w:jc w:val="both"/>
        <w:ind w:left="120" w:right="125" w:firstLine="12"/>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mindset and leadership skills, and access to several other resources that provide individual learning and group activities on a variety of leadership and workplace collaboration topics. In 2024, GMG continued with its organizational culture iirnprovement prograrn called Up Your Cullure, providing all people leaders with monthly workshops and coaching sessions to effectively lead their teams. Additionally, leaders have access to tools in their survey management platform that provide actionable tactics that can be traced and aligned with employee survey score outcomes. At Joyce/Dayton, leadership teams attended a multi -day training program to focus on strategic planning. Executives attended training to focus on how to work together most effectively. Kaplan offers personalized and immersive learning experiences to support employees, managers, and leaders in building capabilities and driving personal and business growth. In 2024, Kaplan International Australia </w:t>
      </w:r>
      <w:r>
        <w:rPr>
          <w:rFonts w:ascii="Arial" w:cs="Arial" w:eastAsia="Arial" w:hAnsi="Arial"/>
          <w:sz w:val="19"/>
          <w:szCs w:val="19"/>
          <w:color w:val="auto"/>
        </w:rPr>
        <w:t>&amp;</w:t>
      </w:r>
      <w:r>
        <w:rPr>
          <w:rFonts w:ascii="Times New Roman" w:cs="Times New Roman" w:eastAsia="Times New Roman" w:hAnsi="Times New Roman"/>
          <w:sz w:val="19"/>
          <w:szCs w:val="19"/>
          <w:color w:val="auto"/>
        </w:rPr>
        <w:t xml:space="preserve"> New Zealand ran a leadership basics training for the Admission team leaders in Kaplan Business School. At Hoover, they held their Annual Leadership Development Training as well as their Annual Safety </w:t>
      </w:r>
      <w:r>
        <w:rPr>
          <w:rFonts w:ascii="Arial" w:cs="Arial" w:eastAsia="Arial" w:hAnsi="Arial"/>
          <w:sz w:val="18"/>
          <w:szCs w:val="18"/>
          <w:color w:val="auto"/>
        </w:rPr>
        <w:t>&amp;</w:t>
      </w:r>
      <w:r>
        <w:rPr>
          <w:rFonts w:ascii="Times New Roman" w:cs="Times New Roman" w:eastAsia="Times New Roman" w:hAnsi="Times New Roman"/>
          <w:sz w:val="19"/>
          <w:szCs w:val="19"/>
          <w:color w:val="auto"/>
        </w:rPr>
        <w:t xml:space="preserve"> Leadership Conference.</w:t>
      </w:r>
    </w:p>
    <w:p>
      <w:pPr>
        <w:spacing w:after="0" w:line="209" w:lineRule="exact"/>
        <w:rPr>
          <w:sz w:val="20"/>
          <w:szCs w:val="20"/>
          <w:color w:val="auto"/>
        </w:rPr>
      </w:pPr>
    </w:p>
    <w:p>
      <w:pPr>
        <w:jc w:val="both"/>
        <w:ind w:left="120" w:right="105" w:hanging="3"/>
        <w:spacing w:after="0" w:line="259" w:lineRule="auto"/>
        <w:rPr>
          <w:sz w:val="20"/>
          <w:szCs w:val="20"/>
          <w:color w:val="auto"/>
        </w:rPr>
      </w:pPr>
      <w:r>
        <w:rPr>
          <w:rFonts w:ascii="Times New Roman" w:cs="Times New Roman" w:eastAsia="Times New Roman" w:hAnsi="Times New Roman"/>
          <w:sz w:val="20"/>
          <w:szCs w:val="20"/>
          <w:i w:val="1"/>
          <w:iCs w:val="1"/>
          <w:color w:val="auto"/>
        </w:rPr>
        <w:t>Attracting and Retaining Employees.</w:t>
      </w:r>
      <w:r>
        <w:rPr>
          <w:sz w:val="20"/>
          <w:szCs w:val="20"/>
          <w:color w:val="auto"/>
        </w:rPr>
        <w:t xml:space="preserve"> </w:t>
      </w:r>
      <w:r>
        <w:rPr>
          <w:rFonts w:ascii="Times New Roman" w:cs="Times New Roman" w:eastAsia="Times New Roman" w:hAnsi="Times New Roman"/>
          <w:sz w:val="19"/>
          <w:szCs w:val="19"/>
          <w:color w:val="auto"/>
        </w:rPr>
        <w:t>The Company strives to recruit, hire and promote the most talented and qualified individuals for roles in all its businesses. Focusing on identifying and considering a broad group of highly qualified applicants from all backgrounds for employment fosters a culture of excellence and drives positive outcomes for the Company's businesses. The Company is committed to a culture in which its talented employee base can thrive in an inclusive and respectful environment.</w:t>
      </w:r>
    </w:p>
    <w:p>
      <w:pPr>
        <w:spacing w:after="0" w:line="231" w:lineRule="exact"/>
        <w:rPr>
          <w:sz w:val="20"/>
          <w:szCs w:val="20"/>
          <w:color w:val="auto"/>
        </w:rPr>
      </w:pPr>
    </w:p>
    <w:p>
      <w:pPr>
        <w:jc w:val="both"/>
        <w:ind w:left="120" w:right="125"/>
        <w:spacing w:after="0" w:line="258" w:lineRule="auto"/>
        <w:rPr>
          <w:sz w:val="20"/>
          <w:szCs w:val="20"/>
          <w:color w:val="auto"/>
        </w:rPr>
      </w:pPr>
      <w:r>
        <w:rPr>
          <w:rFonts w:ascii="Times New Roman" w:cs="Times New Roman" w:eastAsia="Times New Roman" w:hAnsi="Times New Roman"/>
          <w:sz w:val="19"/>
          <w:szCs w:val="19"/>
          <w:color w:val="auto"/>
        </w:rPr>
        <w:t>The Company's businesses have various initiatives to support their inclusion strategies in ways that are tailored to their employees, customers, and products. These include training and other education opportunities, venues for employees to come together to create community, and efforts to continually gather feedback from our employees to ensure we are a workplace in which our diverse group of talented employees can thrive.</w:t>
      </w:r>
    </w:p>
    <w:p>
      <w:pPr>
        <w:spacing w:after="0" w:line="216" w:lineRule="exact"/>
        <w:rPr>
          <w:sz w:val="20"/>
          <w:szCs w:val="20"/>
          <w:color w:val="auto"/>
        </w:rPr>
      </w:pPr>
    </w:p>
    <w:p>
      <w:pPr>
        <w:jc w:val="both"/>
        <w:ind w:left="120" w:right="125" w:hanging="1"/>
        <w:spacing w:after="0" w:line="263" w:lineRule="auto"/>
        <w:rPr>
          <w:sz w:val="20"/>
          <w:szCs w:val="20"/>
          <w:color w:val="auto"/>
        </w:rPr>
      </w:pPr>
      <w:r>
        <w:rPr>
          <w:rFonts w:ascii="Times New Roman" w:cs="Times New Roman" w:eastAsia="Times New Roman" w:hAnsi="Times New Roman"/>
          <w:sz w:val="20"/>
          <w:szCs w:val="20"/>
          <w:i w:val="1"/>
          <w:iCs w:val="1"/>
          <w:color w:val="auto"/>
        </w:rPr>
        <w:t>Comm unity Impact.</w:t>
      </w:r>
      <w:r>
        <w:rPr>
          <w:sz w:val="20"/>
          <w:szCs w:val="20"/>
          <w:color w:val="auto"/>
        </w:rPr>
        <w:t xml:space="preserve"> </w:t>
      </w:r>
      <w:r>
        <w:rPr>
          <w:rFonts w:ascii="Times New Roman" w:cs="Times New Roman" w:eastAsia="Times New Roman" w:hAnsi="Times New Roman"/>
          <w:sz w:val="19"/>
          <w:szCs w:val="19"/>
          <w:color w:val="auto"/>
        </w:rPr>
        <w:t>The Company has a long history of investing in the communities it serves. In addition to philan thropy managed at the corporate level, the Company's businesses engage in charitable works, community and civic activities, and volunteer projects in the communities they serve. While the Company's businesses operate in a variety of industries in markets around the world, the Company is unified in its connection to the places where its teams live and work.</w:t>
      </w:r>
    </w:p>
    <w:p>
      <w:pPr>
        <w:spacing w:after="0" w:line="200" w:lineRule="exact"/>
        <w:rPr>
          <w:sz w:val="20"/>
          <w:szCs w:val="20"/>
          <w:color w:val="auto"/>
        </w:rPr>
      </w:pPr>
    </w:p>
    <w:p>
      <w:pPr>
        <w:spacing w:after="0" w:line="252"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In 2024, the Corporate office provided approximately $1.5 mi llion in fi nancial support to 77 nonprofit and civic organizations in the areas of education, health and human services, civics and community, and culture and art. Corporate philanthropy is primarily focused on providing resources, access and services to the most underserved members of the community. Corporate staff have also volunteered directly with organizations in the region such as College Track, organizing career development opportunities for students, and PathForward, packing lunches and care packages for Arlington residents experiencing homelessness. The Company has forged deep relationships with its partners in service and philanthropy, and it works closely in collaboration with them to support their very important work.</w:t>
      </w:r>
    </w:p>
    <w:p>
      <w:pPr>
        <w:spacing w:after="0" w:line="219"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The service-oriented nature of the Company's businesses, along with its core values, enables its businesses to authentically engage in service through its normal business activities. For example, at the education segment, Kaplan continues to be the primary donor and supporter of The Kaplan Educational Foundation (KEF), an independent public charity founded by Kaplan executives to help promote equity through higher education. The Foundation relies on Kaplan grants, in-kind service, donations from the Kaplan community, and volunteers from Kaplan's employee base. A number of KEF alumni have been hired by Kaplan as full-time employees or served as interns at Kaplan over the years, and many have secured post-graduation employment with Fortune 500 and multinational corporations.</w:t>
      </w:r>
    </w:p>
    <w:p>
      <w:pPr>
        <w:spacing w:after="0" w:line="200" w:lineRule="exact"/>
        <w:rPr>
          <w:sz w:val="20"/>
          <w:szCs w:val="20"/>
          <w:color w:val="auto"/>
        </w:rPr>
      </w:pPr>
    </w:p>
    <w:p>
      <w:pPr>
        <w:spacing w:after="0" w:line="257"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Additionally, Kaplan partners with ACT, Inc., to provide free ACT'® prep for low-income students. In 2024, Kaplan enrolled approximately 150,136 students who qualified as such-according to eligibility in ACT's fee waiver program-delivering over $22 mi Ilion in free ACT prep to low-income students.</w:t>
      </w:r>
    </w:p>
    <w:p>
      <w:pPr>
        <w:spacing w:after="0" w:line="209" w:lineRule="exact"/>
        <w:rPr>
          <w:sz w:val="20"/>
          <w:szCs w:val="20"/>
          <w:color w:val="auto"/>
        </w:rPr>
      </w:pPr>
    </w:p>
    <w:p>
      <w:pPr>
        <w:jc w:val="both"/>
        <w:ind w:left="120" w:right="125" w:firstLine="11"/>
        <w:spacing w:after="0" w:line="252" w:lineRule="auto"/>
        <w:rPr>
          <w:sz w:val="20"/>
          <w:szCs w:val="20"/>
          <w:color w:val="auto"/>
        </w:rPr>
      </w:pPr>
      <w:r>
        <w:rPr>
          <w:rFonts w:ascii="Times New Roman" w:cs="Times New Roman" w:eastAsia="Times New Roman" w:hAnsi="Times New Roman"/>
          <w:sz w:val="19"/>
          <w:szCs w:val="19"/>
          <w:color w:val="auto"/>
        </w:rPr>
        <w:t>Kaplan International supports various charitable organizations providing a broad range of education-related services to underserved communities. Kaplan Professional UK supports Breaking Barriers (formerly RefuAid), a</w:t>
      </w:r>
    </w:p>
    <w:p>
      <w:pPr>
        <w:sectPr>
          <w:pgSz w:w="12240" w:h="15850" w:orient="portrait"/>
          <w:cols w:equalWidth="0" w:num="1">
            <w:col w:w="9365"/>
          </w:cols>
          <w:pgMar w:left="1440" w:top="1394" w:right="1440" w:bottom="717" w:gutter="0" w:footer="0" w:header="0"/>
        </w:sectPr>
      </w:pPr>
    </w:p>
    <w:p>
      <w:pPr>
        <w:spacing w:after="0" w:line="200" w:lineRule="exact"/>
        <w:rPr>
          <w:sz w:val="20"/>
          <w:szCs w:val="20"/>
          <w:color w:val="auto"/>
        </w:rPr>
      </w:pPr>
    </w:p>
    <w:p>
      <w:pPr>
        <w:spacing w:after="0" w:line="29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26</w:t>
        <w:tab/>
        <w:t>2024 FORM 10-K</w:t>
      </w:r>
    </w:p>
    <w:p>
      <w:pPr>
        <w:sectPr>
          <w:pgSz w:w="12240" w:h="15850" w:orient="portrait"/>
          <w:cols w:equalWidth="0" w:num="1">
            <w:col w:w="9365"/>
          </w:cols>
          <w:pgMar w:left="1440" w:top="1394" w:right="1440" w:bottom="717" w:gutter="0" w:footer="0" w:header="0"/>
          <w:type w:val="continuous"/>
        </w:sectPr>
      </w:pPr>
    </w:p>
    <w:bookmarkStart w:id="42" w:name="page43"/>
    <w:bookmarkEnd w:id="42"/>
    <w:p>
      <w:pPr>
        <w:jc w:val="both"/>
        <w:ind w:left="120" w:right="125" w:firstLine="9"/>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specialist refugee employment charity, by providing free accountancy tuition through to qualification by the Association of Chartered Certified Accountants. Kaplan Languages Group a lso offers the organization's members, free of charge, online and in-person English classes, as well as lhe Kaplan Tesl of English, an online English proficiency assessment needed for entry to university, helping to improve access to education and career opportunities. Furthermore, Kaplan Professional UK provides internship, mentoring, and professional development opportunities through Career Ready, a social mobility charity, and runs skills workshops for The Rise Initiative, which serves youth from low socio-economic backgrounds.</w:t>
      </w:r>
    </w:p>
    <w:p>
      <w:pPr>
        <w:spacing w:after="0" w:line="250"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At Graham Media Group, both the stations and their employees are committed to their local communities by providing educational, public affairs and special broadcasts addressing current affairs and issues related to their communities. Additionally, each media hub elevates the work of several nonprofit and community organizations by spotlighting their work in the community, hosting community forums to voice and address community concerns, volunteering at local classrooms to conduct science experiments, and partnering with local organizations to assist people who have been impacted by natural disasters.</w:t>
      </w:r>
    </w:p>
    <w:p>
      <w:pPr>
        <w:spacing w:after="0" w:line="257"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At the Company's healthcare segment, Graham Healthcare Group partners with We Honor Veterans to serve the unique hospice needs of veterans and their families. GHG also created the Residential Hospice Foundation, an organization dedicated to educating the community, prospective hospice patients, and their families about end-of-life issues, grief, and the bereavement process. Contributions help families to receive the hospice care they need even when they are underinsured or do not have insurance. Additionally, GHG is proud to be a regiornal corporate sponsor for the Walk to End Alzheimer's, a disease that directly impacts many of the communities and patients that GHG serves.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FORWARD-LOOKING STATEMENTS</w:t>
      </w:r>
    </w:p>
    <w:p>
      <w:pPr>
        <w:spacing w:after="0" w:line="152" w:lineRule="exact"/>
        <w:rPr>
          <w:sz w:val="20"/>
          <w:szCs w:val="20"/>
          <w:color w:val="auto"/>
        </w:rPr>
      </w:pPr>
    </w:p>
    <w:p>
      <w:pPr>
        <w:jc w:val="both"/>
        <w:ind w:left="120" w:right="125" w:firstLine="2"/>
        <w:spacing w:after="0" w:line="262" w:lineRule="auto"/>
        <w:rPr>
          <w:sz w:val="20"/>
          <w:szCs w:val="20"/>
          <w:color w:val="auto"/>
        </w:rPr>
      </w:pPr>
      <w:r>
        <w:rPr>
          <w:rFonts w:ascii="Times New Roman" w:cs="Times New Roman" w:eastAsia="Times New Roman" w:hAnsi="Times New Roman"/>
          <w:sz w:val="19"/>
          <w:szCs w:val="19"/>
          <w:color w:val="auto"/>
        </w:rPr>
        <w:t xml:space="preserve">All public statements made by the Company and its representatives that are not statements of hist01ical fact, inc luding certain statements in the Company's Annual Report on Form </w:t>
      </w:r>
      <w:r>
        <w:rPr>
          <w:rFonts w:ascii="Arial" w:cs="Arial" w:eastAsia="Arial" w:hAnsi="Arial"/>
          <w:sz w:val="18"/>
          <w:szCs w:val="18"/>
          <w:b w:val="1"/>
          <w:bCs w:val="1"/>
          <w:color w:val="auto"/>
        </w:rPr>
        <w:t>1</w:t>
      </w:r>
      <w:r>
        <w:rPr>
          <w:rFonts w:ascii="Times New Roman" w:cs="Times New Roman" w:eastAsia="Times New Roman" w:hAnsi="Times New Roman"/>
          <w:sz w:val="19"/>
          <w:szCs w:val="19"/>
          <w:color w:val="auto"/>
        </w:rPr>
        <w:t xml:space="preserve">0-K and in the Company's 2024 Annual Report to Stockholders, are "forward-looking statements" within the meaning of the Private Securities Litigation Reform Act of 1995. Forward-looking statements are based on expectations, for·ecasts, and assumptions by the Company's management and involve a number of risks, uncerta inties, and other factors that could cause actual results to differ from those stated, including, without limitation, comments about expectations related to acquisit ions or dispositions or re lated business activities, the Company's business strategies and objectives, the prospects for growth in the Company's various business operations, the Company's future financial performance, and the risks and uncertainties described in Item lA of the Company's Annual Report on Form 10-K. Accordingly, undue reliance should not be placed on any forward-looking statement made by or on behalf of the Company. Any forward-looking statements made in this Annual Report on Form I 0-K speaks only as of the date on which it is made. The Company assumes no obligation to update any forward-looking statement after the date on which such statement is made, even </w:t>
      </w:r>
      <w:r>
        <w:rPr>
          <w:rFonts w:ascii="Arial" w:cs="Arial" w:eastAsia="Arial" w:hAnsi="Arial"/>
          <w:sz w:val="18"/>
          <w:szCs w:val="18"/>
          <w:color w:val="auto"/>
        </w:rPr>
        <w:t>if</w:t>
      </w:r>
      <w:r>
        <w:rPr>
          <w:rFonts w:ascii="Times New Roman" w:cs="Times New Roman" w:eastAsia="Times New Roman" w:hAnsi="Times New Roman"/>
          <w:sz w:val="19"/>
          <w:szCs w:val="19"/>
          <w:color w:val="auto"/>
        </w:rPr>
        <w:t xml:space="preserve"> new information subsequently becomes available.</w:t>
      </w:r>
    </w:p>
    <w:p>
      <w:pPr>
        <w:spacing w:after="0" w:line="3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AVAILABLE INFORMATION</w:t>
      </w:r>
    </w:p>
    <w:p>
      <w:pPr>
        <w:spacing w:after="0" w:line="152" w:lineRule="exact"/>
        <w:rPr>
          <w:sz w:val="20"/>
          <w:szCs w:val="20"/>
          <w:color w:val="auto"/>
        </w:rPr>
      </w:pPr>
    </w:p>
    <w:p>
      <w:pPr>
        <w:jc w:val="both"/>
        <w:ind w:left="120" w:right="125" w:firstLine="2"/>
        <w:spacing w:after="0" w:line="263" w:lineRule="auto"/>
        <w:rPr>
          <w:sz w:val="20"/>
          <w:szCs w:val="20"/>
          <w:color w:val="auto"/>
        </w:rPr>
      </w:pPr>
      <w:r>
        <w:rPr>
          <w:rFonts w:ascii="Times New Roman" w:cs="Times New Roman" w:eastAsia="Times New Roman" w:hAnsi="Times New Roman"/>
          <w:sz w:val="19"/>
          <w:szCs w:val="19"/>
          <w:color w:val="auto"/>
        </w:rPr>
        <w:t>The Company's internet address is www.ghco.com. The Company makes available free of charge through its website its Annual Report on Form 10-K, quarterly reports on Form 10-Q, current reports on Form 8-K, definitive proxy statements on Schedule 14A and amendments to those reports filed or furnished pursuant to Section 13(a) or IS(d) of the Securities Exchange Act of 1934 (Exchange Act) as soon as reasonably practicable after s uch documents are electronically filed with the Securities and Exchange Commission (SEC). In addition, the Company's Certificate of Incorporation, ils Corporate Governance Guidelines, lhe CharLers of lhe Audit and Compensation Committees of the Company's Board of Directors and the codes of conduct adopted by the Company and referred to in Item 10 of this Annual Report on Form 10-K are all available on the Company's website; printed copies of such documents may be obtained by any stockholder upon written request to the Secretary, Graham Holdings Company at 1812 North Moore Street, Arlington, VA 22209. We routinely post information that may be important to investors on our website at www.ghco.com, and we use this website</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27</w:t>
      </w:r>
    </w:p>
    <w:p>
      <w:pPr>
        <w:sectPr>
          <w:pgSz w:w="12240" w:h="15850" w:orient="portrait"/>
          <w:cols w:equalWidth="0" w:num="1">
            <w:col w:w="9365"/>
          </w:cols>
          <w:pgMar w:left="1440" w:top="1392" w:right="1440" w:bottom="721" w:gutter="0" w:footer="0" w:header="0"/>
          <w:type w:val="continuous"/>
        </w:sectPr>
      </w:pPr>
    </w:p>
    <w:bookmarkStart w:id="43" w:name="page44"/>
    <w:bookmarkEnd w:id="43"/>
    <w:p>
      <w:pPr>
        <w:jc w:val="both"/>
        <w:ind w:left="120" w:right="125" w:hanging="1"/>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address as a means of disclosing material information to the public in a broad, non-exclusionary manner for purposes of the SEC's Regulation Fair Disclosure (FD). The contents of the Company's website are not</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incorporated by reference into U1is Form lO-K and shall not be deemed "filed" under U1e Exchange Act.</w:t>
      </w:r>
    </w:p>
    <w:p>
      <w:pPr>
        <w:spacing w:after="0" w:line="253" w:lineRule="exact"/>
        <w:rPr>
          <w:sz w:val="20"/>
          <w:szCs w:val="20"/>
          <w:color w:val="auto"/>
        </w:rPr>
      </w:pPr>
    </w:p>
    <w:p>
      <w:pPr>
        <w:jc w:val="both"/>
        <w:ind w:left="120" w:right="125" w:hanging="8"/>
        <w:spacing w:after="0" w:line="252" w:lineRule="auto"/>
        <w:rPr>
          <w:sz w:val="20"/>
          <w:szCs w:val="20"/>
          <w:color w:val="auto"/>
        </w:rPr>
      </w:pPr>
      <w:r>
        <w:rPr>
          <w:rFonts w:ascii="Times New Roman" w:cs="Times New Roman" w:eastAsia="Times New Roman" w:hAnsi="Times New Roman"/>
          <w:sz w:val="19"/>
          <w:szCs w:val="19"/>
          <w:color w:val="auto"/>
        </w:rPr>
        <w:t>The SEC website, www.sec.gov, contains the reports, proxy statements and information statements and other information regarding issuers that file electronically with the SEC.</w:t>
      </w:r>
    </w:p>
    <w:p>
      <w:pPr>
        <w:spacing w:after="0" w:line="345"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Item lA.</w:t>
        <w:tab/>
        <w:t>Risk Factors.</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SUMMARY RISK FACTORS</w:t>
      </w:r>
    </w:p>
    <w:p>
      <w:pPr>
        <w:spacing w:after="0" w:line="139"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 xml:space="preserve">This risk factor summary does not contain all of the information that may be important to you, and you should read this risk factor summary together with the more detailed discussion of ri sks and uncertainties set forth following this section under the heading " Risk Factors," as well as elsewhere in this Annual Report on Form 10-K. Additional risks, beyond those summarized below or discussed elsewhere in this Annual Report on Form 10-K, may apply to the Company's business, activities or operations as currently conducted or as may </w:t>
      </w:r>
      <w:r>
        <w:rPr>
          <w:rFonts w:ascii="Arial" w:cs="Arial" w:eastAsia="Arial" w:hAnsi="Arial"/>
          <w:sz w:val="19"/>
          <w:szCs w:val="19"/>
          <w:color w:val="auto"/>
        </w:rPr>
        <w:t>be</w:t>
      </w:r>
      <w:r>
        <w:rPr>
          <w:rFonts w:ascii="Times New Roman" w:cs="Times New Roman" w:eastAsia="Times New Roman" w:hAnsi="Times New Roman"/>
          <w:sz w:val="19"/>
          <w:szCs w:val="19"/>
          <w:color w:val="auto"/>
        </w:rPr>
        <w:t xml:space="preserve"> conducted in the future. These risks include, but are not limited to, the following:</w:t>
      </w:r>
    </w:p>
    <w:p>
      <w:pPr>
        <w:spacing w:after="0" w:line="36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Education Business</w:t>
      </w:r>
    </w:p>
    <w:p>
      <w:pPr>
        <w:spacing w:after="0" w:line="130" w:lineRule="exact"/>
        <w:rPr>
          <w:sz w:val="20"/>
          <w:szCs w:val="20"/>
          <w:color w:val="auto"/>
        </w:rPr>
      </w:pPr>
    </w:p>
    <w:p>
      <w:pPr>
        <w:ind w:left="520" w:right="125" w:firstLine="1"/>
        <w:spacing w:after="0" w:line="262" w:lineRule="auto"/>
        <w:rPr>
          <w:sz w:val="20"/>
          <w:szCs w:val="20"/>
          <w:color w:val="auto"/>
        </w:rPr>
      </w:pPr>
      <w:r>
        <w:rPr>
          <w:rFonts w:ascii="Times New Roman" w:cs="Times New Roman" w:eastAsia="Times New Roman" w:hAnsi="Times New Roman"/>
          <w:sz w:val="19"/>
          <w:szCs w:val="19"/>
          <w:color w:val="auto"/>
        </w:rPr>
        <w:t>Changes in lntemational Laws and Regulations, Related Policy Announcements, Travel Restrictions and Sanctions.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Di fficulties and Expenses in Managing Properties in England and Scotland.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Difficulties in Manag ing Foreign Operations and Failure to Comply with Foreign Regulatory Requirements.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in U.K. and International Tax Laws.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Possible Changes to the Department of Education.</w:t>
      </w:r>
    </w:p>
    <w:p>
      <w:pPr>
        <w:spacing w:after="0" w:line="143" w:lineRule="exact"/>
        <w:rPr>
          <w:sz w:val="20"/>
          <w:szCs w:val="20"/>
          <w:color w:val="auto"/>
        </w:rPr>
      </w:pPr>
    </w:p>
    <w:p>
      <w:pPr>
        <w:ind w:left="520" w:right="125" w:firstLine="9"/>
        <w:spacing w:after="0" w:line="252" w:lineRule="auto"/>
        <w:rPr>
          <w:sz w:val="20"/>
          <w:szCs w:val="20"/>
          <w:color w:val="auto"/>
        </w:rPr>
      </w:pPr>
      <w:r>
        <w:rPr>
          <w:rFonts w:ascii="Times New Roman" w:cs="Times New Roman" w:eastAsia="Times New Roman" w:hAnsi="Times New Roman"/>
          <w:sz w:val="19"/>
          <w:szCs w:val="19"/>
          <w:color w:val="auto"/>
        </w:rPr>
        <w:t>Failure to Comply with St.atut.ory and Regulatory Requil·ement&lt;; as a Third-Pa rty Servicer to Title TV Participating Institutions.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Comply with the ED's Title IV Incentive Compensation Rule.</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Comply with the ED's Title IV Misrepresentation Regulations.</w:t>
      </w:r>
    </w:p>
    <w:p>
      <w:pPr>
        <w:spacing w:after="0" w:line="143" w:lineRule="exact"/>
        <w:rPr>
          <w:sz w:val="20"/>
          <w:szCs w:val="20"/>
          <w:color w:val="auto"/>
        </w:rPr>
      </w:pPr>
    </w:p>
    <w:p>
      <w:pPr>
        <w:ind w:left="520" w:right="125"/>
        <w:spacing w:after="0" w:line="262" w:lineRule="auto"/>
        <w:rPr>
          <w:sz w:val="20"/>
          <w:szCs w:val="20"/>
          <w:color w:val="auto"/>
        </w:rPr>
      </w:pPr>
      <w:r>
        <w:rPr>
          <w:rFonts w:ascii="Times New Roman" w:cs="Times New Roman" w:eastAsia="Times New Roman" w:hAnsi="Times New Roman"/>
          <w:sz w:val="19"/>
          <w:szCs w:val="19"/>
          <w:color w:val="auto"/>
        </w:rPr>
        <w:t>Compliance Reviews, Program Reviews, Audits and Investi gations, Including in Connection with Borrower Defense to Repayment Claims.</w:t>
      </w:r>
    </w:p>
    <w:p>
      <w:pPr>
        <w:spacing w:after="0" w:line="11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Noncompliance with Regulations by KNA's Client Institutions.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Rea lize the Antic ipated Benefits of the Purdue Glo bal Transaction.</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Regulatory Changes and Developments.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Reductions in the Use of Standardized Tests and Increased Competition.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in the Extent to Which Licensing and Proficiency Examinations Are Used.</w:t>
      </w:r>
    </w:p>
    <w:p>
      <w:pPr>
        <w:spacing w:after="0" w:line="3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Television Broadcasting and Media Businesses</w:t>
      </w:r>
    </w:p>
    <w:p>
      <w:pPr>
        <w:spacing w:after="0" w:line="149" w:lineRule="exact"/>
        <w:rPr>
          <w:sz w:val="20"/>
          <w:szCs w:val="20"/>
          <w:color w:val="auto"/>
        </w:rPr>
      </w:pPr>
    </w:p>
    <w:p>
      <w:pPr>
        <w:ind w:left="520" w:right="125"/>
        <w:spacing w:after="0" w:line="252" w:lineRule="auto"/>
        <w:rPr>
          <w:sz w:val="20"/>
          <w:szCs w:val="20"/>
          <w:color w:val="auto"/>
        </w:rPr>
      </w:pPr>
      <w:r>
        <w:rPr>
          <w:rFonts w:ascii="Times New Roman" w:cs="Times New Roman" w:eastAsia="Times New Roman" w:hAnsi="Times New Roman"/>
          <w:sz w:val="19"/>
          <w:szCs w:val="19"/>
          <w:color w:val="auto"/>
        </w:rPr>
        <w:t>Changing Perceptions About the Effectiveness of Television Broadcasting in Delivering Advertising and Competition from Dig ital Platforms.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Increased Competition Resulting from Technological Innovations and Changi ng Consumer Behavior.</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in the Nature and Extent of Government Regulations.</w:t>
      </w:r>
    </w:p>
    <w:p>
      <w:pPr>
        <w:spacing w:after="0" w:line="1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Transition to New Technical Standards for Broadcast Television Stations.</w:t>
      </w:r>
    </w:p>
    <w:p>
      <w:pPr>
        <w:sectPr>
          <w:pgSz w:w="12240" w:h="15850" w:orient="portrait"/>
          <w:cols w:equalWidth="0" w:num="1">
            <w:col w:w="9365"/>
          </w:cols>
          <w:pgMar w:left="1440" w:top="1394" w:right="1440" w:bottom="717" w:gutter="0" w:footer="0" w:header="0"/>
        </w:sectPr>
      </w:pPr>
    </w:p>
    <w:p>
      <w:pPr>
        <w:spacing w:after="0" w:line="200" w:lineRule="exact"/>
        <w:rPr>
          <w:sz w:val="20"/>
          <w:szCs w:val="20"/>
          <w:color w:val="auto"/>
        </w:rPr>
      </w:pPr>
    </w:p>
    <w:p>
      <w:pPr>
        <w:spacing w:after="0" w:line="30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28</w:t>
        <w:tab/>
        <w:t>2024 FORM lO-K</w:t>
      </w:r>
    </w:p>
    <w:p>
      <w:pPr>
        <w:sectPr>
          <w:pgSz w:w="12240" w:h="15850" w:orient="portrait"/>
          <w:cols w:equalWidth="0" w:num="1">
            <w:col w:w="9365"/>
          </w:cols>
          <w:pgMar w:left="1440" w:top="1394" w:right="1440" w:bottom="717" w:gutter="0" w:footer="0" w:header="0"/>
          <w:type w:val="continuous"/>
        </w:sectPr>
      </w:pPr>
    </w:p>
    <w:bookmarkStart w:id="44" w:name="page45"/>
    <w:bookmarkEnd w:id="44"/>
    <w:p>
      <w:pPr>
        <w:ind w:left="520" w:right="125" w:hanging="10"/>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Changes in MVPD Subscriber Numbers, Retransmission Consent Fees, " Reverse Retransmission Consent" Payments to the Networks, and Broadcast Exclusivity.</w:t>
      </w: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Manufacturing Businesses</w:t>
      </w:r>
    </w:p>
    <w:p>
      <w:pPr>
        <w:spacing w:after="0" w:line="1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Recruit and Retain Production Staff Needed to Meet Customer Demand.</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Potential Liability Claims.</w:t>
      </w: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Healthcare Business</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Extensive Regulation of the Healthcare Industry.</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Federal and State Changes to Reimbursement and Other Aspects of Medicare and Medicaid.</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Continued Nursing Staffing Shortages.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Negative Impact on Medicare Reimburseme nt from Value-based Purchasing Requirements.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Limited Ability to Control Rates Received for Services.</w:t>
      </w: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Automotive Businesses</w:t>
      </w:r>
    </w:p>
    <w:p>
      <w:pPr>
        <w:spacing w:after="0" w:line="158" w:lineRule="exact"/>
        <w:rPr>
          <w:sz w:val="20"/>
          <w:szCs w:val="20"/>
          <w:color w:val="auto"/>
        </w:rPr>
      </w:pPr>
    </w:p>
    <w:p>
      <w:pPr>
        <w:ind w:left="520" w:right="125" w:hanging="10"/>
        <w:spacing w:after="0" w:line="246" w:lineRule="auto"/>
        <w:rPr>
          <w:sz w:val="20"/>
          <w:szCs w:val="20"/>
          <w:color w:val="auto"/>
        </w:rPr>
      </w:pPr>
      <w:r>
        <w:rPr>
          <w:rFonts w:ascii="Times New Roman" w:cs="Times New Roman" w:eastAsia="Times New Roman" w:hAnsi="Times New Roman"/>
          <w:sz w:val="19"/>
          <w:szCs w:val="19"/>
          <w:color w:val="auto"/>
        </w:rPr>
        <w:t>T ermination or Non-renewal of Dealership Agreements and Limitatjons</w:t>
      </w:r>
      <w:r>
        <w:rPr>
          <w:sz w:val="20"/>
          <w:szCs w:val="20"/>
          <w:color w:val="auto"/>
        </w:rPr>
        <w:t xml:space="preserve"> </w:t>
      </w:r>
      <w:r>
        <w:rPr>
          <w:rFonts w:ascii="Times New Roman" w:cs="Times New Roman" w:eastAsia="Times New Roman" w:hAnsi="Times New Roman"/>
          <w:sz w:val="19"/>
          <w:szCs w:val="19"/>
          <w:color w:val="auto"/>
        </w:rPr>
        <w:t>on the Company' s Ability to Acquire Additional Dealerships.</w:t>
      </w:r>
    </w:p>
    <w:p>
      <w:pPr>
        <w:spacing w:after="0" w:line="3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Affecting Automobile Manufacturers.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to State Dealer Franchise Laws and Technological Innovations.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in Economic Conditions a nd Vehicle Inventories.</w:t>
      </w: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Other Businesses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by Saatcru Art to Attract and Retain Artists and Customers and Convert Visitors to Customers.</w:t>
      </w:r>
    </w:p>
    <w:p>
      <w:pPr>
        <w:spacing w:after="0" w:line="14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9"/>
          <w:szCs w:val="19"/>
          <w:color w:val="auto"/>
        </w:rPr>
        <w:t>F ailure by Society6 to Attract and Retain Customers.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by WGB to Attract Visitors and Drive Traffic to its Media Properties.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Recruit and Retain Employees in the Company's Restaurants.</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Food-Borne Illness Concerns and Damage to the Company's Reputation.</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Concentration of the Company's Restaurants in the Washington, D.C. Region.</w:t>
      </w:r>
    </w:p>
    <w:p>
      <w:pPr>
        <w:spacing w:after="0" w:line="3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Stock Ownership and Operations</w:t>
      </w:r>
    </w:p>
    <w:p>
      <w:pPr>
        <w:spacing w:after="0" w:line="14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As a Controlled Company, the Rights of Class B Common Stockholders Are Limited.</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Pandemics or Other Outbreaks of Disease.</w:t>
      </w:r>
    </w:p>
    <w:p>
      <w:pPr>
        <w:spacing w:after="0" w:line="15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Comply with Environmental and Health and Safety Laws.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Successfully Integrate Acquired Businesses.</w:t>
      </w:r>
    </w:p>
    <w:p>
      <w:pPr>
        <w:spacing w:after="0" w:line="1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Goodwill and Other Intangible Assets Impairment.</w:t>
      </w:r>
    </w:p>
    <w:p>
      <w:pPr>
        <w:spacing w:after="0" w:line="14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Changes in International Income Tax Laws.</w:t>
      </w:r>
    </w:p>
    <w:p>
      <w:pPr>
        <w:spacing w:after="0" w:line="13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Illltroduction of Additional Tariffs.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1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29</w:t>
      </w:r>
    </w:p>
    <w:p>
      <w:pPr>
        <w:sectPr>
          <w:pgSz w:w="12240" w:h="15850" w:orient="portrait"/>
          <w:cols w:equalWidth="0" w:num="1">
            <w:col w:w="9365"/>
          </w:cols>
          <w:pgMar w:left="1440" w:top="1394" w:right="1440" w:bottom="721" w:gutter="0" w:footer="0" w:header="0"/>
          <w:type w:val="continuous"/>
        </w:sectPr>
      </w:pPr>
    </w:p>
    <w:bookmarkStart w:id="45" w:name="page46"/>
    <w:bookmarkEnd w:id="45"/>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Risks Related to Cybersecurity, Privacy, Artificial Intelligence and Intellectual Property</w:t>
      </w:r>
    </w:p>
    <w:p>
      <w:pPr>
        <w:spacing w:after="0" w:line="129" w:lineRule="exact"/>
        <w:rPr>
          <w:sz w:val="20"/>
          <w:szCs w:val="20"/>
          <w:color w:val="auto"/>
        </w:rPr>
      </w:pPr>
    </w:p>
    <w:p>
      <w:pPr>
        <w:ind w:left="520" w:right="125"/>
        <w:spacing w:after="0" w:line="252" w:lineRule="auto"/>
        <w:rPr>
          <w:sz w:val="20"/>
          <w:szCs w:val="20"/>
          <w:color w:val="auto"/>
        </w:rPr>
      </w:pPr>
      <w:r>
        <w:rPr>
          <w:rFonts w:ascii="Times New Roman" w:cs="Times New Roman" w:eastAsia="Times New Roman" w:hAnsi="Times New Roman"/>
          <w:sz w:val="19"/>
          <w:szCs w:val="19"/>
          <w:color w:val="auto"/>
        </w:rPr>
        <w:t>System Disruptions and Security Threats to the Company's tnfonnation Technology lnfrastructme or Those of Third Parties.</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Failure to Comply with Privacy Laws or Regulations.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Artificial Intelligence Concerns.</w:t>
      </w:r>
    </w:p>
    <w:p>
      <w:pPr>
        <w:spacing w:after="0" w:line="1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9"/>
          <w:szCs w:val="19"/>
          <w:color w:val="auto"/>
        </w:rPr>
        <w:t>Potential Liability for lnte llectual Property lnfringement.</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 FACTORS</w:t>
      </w:r>
    </w:p>
    <w:p>
      <w:pPr>
        <w:spacing w:after="0" w:line="129"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faces a number of risks and uncertainties in connection with its operations. Described below are the most material risks faced by the Company. These risks and uncertainties may not be the only ones faced by the Company. Additional risks and uncertainties not presently known, or currently deemed immaterial, may adversely affect the Company in the future. In addition to the other information included in this Annual Report on Form 10-K, investors should carefully consider the following risk factors. If any of the events or developments described below occurs, it could have a material adverse effect on the Company's business, financial condition or results of operations.</w:t>
      </w: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Education Business</w:t>
      </w:r>
    </w:p>
    <w:p>
      <w:pPr>
        <w:spacing w:after="0" w:line="129" w:lineRule="exact"/>
        <w:rPr>
          <w:sz w:val="20"/>
          <w:szCs w:val="20"/>
          <w:color w:val="auto"/>
        </w:rPr>
      </w:pPr>
    </w:p>
    <w:p>
      <w:pPr>
        <w:jc w:val="both"/>
        <w:ind w:left="500" w:right="125" w:firstLine="8"/>
        <w:spacing w:after="0" w:line="251" w:lineRule="auto"/>
        <w:rPr>
          <w:sz w:val="20"/>
          <w:szCs w:val="20"/>
          <w:color w:val="auto"/>
        </w:rPr>
      </w:pPr>
      <w:r>
        <w:rPr>
          <w:rFonts w:ascii="Times New Roman" w:cs="Times New Roman" w:eastAsia="Times New Roman" w:hAnsi="Times New Roman"/>
          <w:sz w:val="20"/>
          <w:szCs w:val="20"/>
          <w:color w:val="auto"/>
        </w:rPr>
        <w:t>Chan ges in International Laws and Regulations and Travel Restrictions and Related Policy Announcements, Have Materially Adversely Affected a nd Together with Changes in Immigration Laws or Sanctions Could Continue to Materially Adversely Affect International Student E nrollments and Kaplan's Business.</w:t>
      </w:r>
    </w:p>
    <w:p>
      <w:pPr>
        <w:spacing w:after="0" w:line="366" w:lineRule="exact"/>
        <w:rPr>
          <w:sz w:val="20"/>
          <w:szCs w:val="20"/>
          <w:color w:val="auto"/>
        </w:rPr>
      </w:pPr>
    </w:p>
    <w:p>
      <w:pPr>
        <w:jc w:val="both"/>
        <w:ind w:left="120" w:right="105" w:firstLine="11"/>
        <w:spacing w:after="0" w:line="259" w:lineRule="auto"/>
        <w:rPr>
          <w:sz w:val="20"/>
          <w:szCs w:val="20"/>
          <w:color w:val="auto"/>
        </w:rPr>
      </w:pPr>
      <w:r>
        <w:rPr>
          <w:rFonts w:ascii="Times New Roman" w:cs="Times New Roman" w:eastAsia="Times New Roman" w:hAnsi="Times New Roman"/>
          <w:sz w:val="19"/>
          <w:szCs w:val="19"/>
          <w:color w:val="auto"/>
        </w:rPr>
        <w:t>Kaplan is subject to a wide range of laws and regulations relating to its internatjonal operations. These include domestic laws with extraterritorial reach, such as the U.S. Foreign Corrupt Practices Act, international laws such as the U.K. Bribery Act, as well as the local regulatory regimes of the countries in which Kaplan operates. These laws and regulations change frequenUy. Failure to comply with these laws and regulations could result in significant penalties or the revocation of Kaplan's authority to operate in the applicable jurisdiction, each of which could have a material adverse effect on Kaplan's operating results.</w:t>
      </w:r>
    </w:p>
    <w:p>
      <w:pPr>
        <w:spacing w:after="0" w:line="245" w:lineRule="exact"/>
        <w:rPr>
          <w:sz w:val="20"/>
          <w:szCs w:val="20"/>
          <w:color w:val="auto"/>
        </w:rPr>
      </w:pPr>
    </w:p>
    <w:p>
      <w:pPr>
        <w:jc w:val="both"/>
        <w:ind w:left="120" w:right="105" w:firstLine="10"/>
        <w:spacing w:after="0" w:line="262" w:lineRule="auto"/>
        <w:rPr>
          <w:sz w:val="20"/>
          <w:szCs w:val="20"/>
          <w:color w:val="auto"/>
        </w:rPr>
      </w:pPr>
      <w:r>
        <w:rPr>
          <w:rFonts w:ascii="Times New Roman" w:cs="Times New Roman" w:eastAsia="Times New Roman" w:hAnsi="Times New Roman"/>
          <w:sz w:val="19"/>
          <w:szCs w:val="19"/>
          <w:color w:val="auto"/>
        </w:rPr>
        <w:t>In response to the COYID-1 9 pandemic, many governments imposed student travel restrictions (applicable to exit and entry), made recommendations for their students to return home and closed physical campus locations, and many state and professional bodies postponed or canceled exan1ination dates related to state exa111inations and professional education programs, all of which have materially adversely affected Kaplan International's operations and resulted in significant losses at Kaplan Languages Group during the pandemic. The emergence of new pandemics and consequential changes to travel and study arrangements in one or more countries could negatively affect Kaplan International and its operating results.</w:t>
      </w:r>
    </w:p>
    <w:p>
      <w:pPr>
        <w:spacing w:after="0" w:line="238"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Further changes to the regulatory environment, including changes to government policy or practice in oversight and enforcement, or other factors, including war, civil unrest, geopolitical instabi lity, imposition or extension of international sanctions, a natural disaster or a pandemic in either the students' countries of origin or countries in which they desire to study, could continue to negatively affect Kaplan's ability to attract and retain students and negatively affect Kaplan's operating results. Increasingly, governments have begun imposing sales taxes on digital services, such as education, offered in their jurisdictions by foreign providers. Any significant changes to the availability of government funding for education or training, visa policies for students and their dependents, or other administrative immigration requirements, or the tax environment, including changes to tax laws, policies and practices, in any one or more countries in which KI operates or makes its services available could negatively affect its operating results. KI's operations, institutions and programs in the U.S. may be subject to state-level regulation and oversight by state regulatory agencies, whose approval or exemption from approval is necessary to allow an institution to operate in the state. These agencies may establish standards for instruction, qualifications</w:t>
      </w:r>
    </w:p>
    <w:p>
      <w:pPr>
        <w:sectPr>
          <w:pgSz w:w="12240" w:h="15850" w:orient="portrait"/>
          <w:cols w:equalWidth="0" w:num="1">
            <w:col w:w="9365"/>
          </w:cols>
          <w:pgMar w:left="1440" w:top="1377" w:right="1440" w:bottom="717" w:gutter="0" w:footer="0" w:header="0"/>
        </w:sectPr>
      </w:pPr>
    </w:p>
    <w:p>
      <w:pPr>
        <w:spacing w:after="0" w:line="200" w:lineRule="exact"/>
        <w:rPr>
          <w:sz w:val="20"/>
          <w:szCs w:val="20"/>
          <w:color w:val="auto"/>
        </w:rPr>
      </w:pPr>
    </w:p>
    <w:p>
      <w:pPr>
        <w:spacing w:after="0" w:line="298" w:lineRule="exact"/>
        <w:rPr>
          <w:sz w:val="20"/>
          <w:szCs w:val="20"/>
          <w:color w:val="auto"/>
        </w:rPr>
      </w:pPr>
    </w:p>
    <w:p>
      <w:pPr>
        <w:ind w:left="520" w:hanging="398"/>
        <w:spacing w:after="0"/>
        <w:tabs>
          <w:tab w:leader="none" w:pos="52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19"/>
          <w:szCs w:val="19"/>
          <w:color w:val="auto"/>
        </w:rPr>
        <w:t>FORM 10-K</w:t>
      </w:r>
    </w:p>
    <w:p>
      <w:pPr>
        <w:sectPr>
          <w:pgSz w:w="12240" w:h="15850" w:orient="portrait"/>
          <w:cols w:equalWidth="0" w:num="1">
            <w:col w:w="9365"/>
          </w:cols>
          <w:pgMar w:left="1440" w:top="1377" w:right="1440" w:bottom="717" w:gutter="0" w:footer="0" w:header="0"/>
          <w:type w:val="continuous"/>
        </w:sectPr>
      </w:pPr>
    </w:p>
    <w:bookmarkStart w:id="46" w:name="page47"/>
    <w:bookmarkEnd w:id="46"/>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of faculty, location and nature of facilities, financial policies and responsibilities and other operational matters. Institutions that seek to admit international students are required to be federally certified and legally authorized to operate in the state in which the institution is physically located in order to be allowed to issue the relevant documentation to permit international students to obtain a visa. Agencies at both local and national levels in other countries may also impose similar requirements on Kaplan International's operations outside the U.S.</w:t>
      </w:r>
    </w:p>
    <w:p>
      <w:pPr>
        <w:spacing w:after="0" w:line="223"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A substantial portion of KI's revenue comes from programs that prepare international students to study and travel in English-speaking countries. In 2024, university preparation programs were principally delivered in Australia, New Zealand, Singapore and the U.K. KI's ability to enroll students in these programs is directly dependent on its ability to comply wi th complex regulatory environments.</w:t>
      </w:r>
    </w:p>
    <w:p>
      <w:pPr>
        <w:spacing w:after="0" w:line="219" w:lineRule="exact"/>
        <w:rPr>
          <w:sz w:val="20"/>
          <w:szCs w:val="20"/>
          <w:color w:val="auto"/>
        </w:rPr>
      </w:pPr>
    </w:p>
    <w:p>
      <w:pPr>
        <w:jc w:val="both"/>
        <w:ind w:left="120" w:right="125" w:firstLine="20"/>
        <w:spacing w:after="0" w:line="263" w:lineRule="auto"/>
        <w:rPr>
          <w:sz w:val="20"/>
          <w:szCs w:val="20"/>
          <w:color w:val="auto"/>
        </w:rPr>
      </w:pPr>
      <w:r>
        <w:rPr>
          <w:rFonts w:ascii="Times New Roman" w:cs="Times New Roman" w:eastAsia="Times New Roman" w:hAnsi="Times New Roman"/>
          <w:sz w:val="19"/>
          <w:szCs w:val="19"/>
          <w:color w:val="auto"/>
        </w:rPr>
        <w:t>Kl's ability to enroll international students in programs in the U.K., U.S., Singapore, Australia, New Zealand, Canada and other countries and to recruit students for study with KI's partners is directly dependent on the laws and regulations governing student immigration. Changes to AustraUan and Canadian student immigration rules have iimpacted, and will continue to impact, KI's ability to recruit students for study at its own colleges and its partner universities. Overall, there is a trend of tighteni ng of student immigration regulations and access to student visas worldwide, including, most recently, an Australian Government international indicative student visa approval target for post-secondary education providers. Since entering office in January 2025, the new U.S. presidential administration has issued executive orders and announced policy changes that may affect international student entry to, or ability to study in, the U.S., including increased visa vetting for individuals seeking to enter the U.S. and restrictions on conduct while in the U.S. Negative perceptions regarding travel to the U.S., as well as the legal and regulatory environment's susceptibility to change by the new administration, could have a negative impact on KI's ability to recruit international students, which could materially adversely affect Kaplan's U.S. Pathways business as well as the U.S.-based Kaplan Languages Group.</w:t>
      </w:r>
    </w:p>
    <w:p>
      <w:pPr>
        <w:spacing w:after="0" w:line="200" w:lineRule="exact"/>
        <w:rPr>
          <w:sz w:val="20"/>
          <w:szCs w:val="20"/>
          <w:color w:val="auto"/>
        </w:rPr>
      </w:pPr>
    </w:p>
    <w:p>
      <w:pPr>
        <w:spacing w:after="0" w:line="265"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 xml:space="preserve">Changes to levels of direct and indirect govemment funding for international education programs would also materially affect the success of KI's operations. For example, if access to student loans or other funding were to be lost for KI operations that admit students who are entitled tto receive the benefit of this funding, Kaplan's operating results could be materially adversely affected. The U. K. government is considering a reduction to funding for the Level 7 apprenticeship </w:t>
      </w:r>
      <w:r>
        <w:rPr>
          <w:rFonts w:ascii="Arial" w:cs="Arial" w:eastAsia="Arial" w:hAnsi="Arial"/>
          <w:sz w:val="17"/>
          <w:szCs w:val="17"/>
          <w:color w:val="auto"/>
        </w:rPr>
        <w:t>(L</w:t>
      </w:r>
      <w:r>
        <w:rPr>
          <w:rFonts w:ascii="Times New Roman" w:cs="Times New Roman" w:eastAsia="Times New Roman" w:hAnsi="Times New Roman"/>
          <w:sz w:val="19"/>
          <w:szCs w:val="19"/>
          <w:color w:val="auto"/>
        </w:rPr>
        <w:t>7) in 2025. Presently, these apprenticeships, equivalent to masters degree level study, can be funded from U.K. employer apprenticeship levy payments. The apprenticeship levy are payments to the government by U.K. employers of a certain minimum size calculated as a percentage of the employer's tax bill. The U.K. government is proposing to restrict the ability of employers to access their levy funds so that these can no longer be used to fund apprenticeships at L7. If such a change were implemented, this would impact Kaplan Financial (a division of Kaplan Professional UK), an apprenticeship training provider whose U. K. apprenticeship business represents nearly 50% of Kaplan Professional UK 's total revenue. Kaplan anticipates that employers would fund a significant portion of L7 outside of the levy paid for apprenticeships. The extent and timing of the proposed funding changes is not yet clear.</w:t>
      </w:r>
    </w:p>
    <w:p>
      <w:pPr>
        <w:spacing w:after="0" w:line="200" w:lineRule="exact"/>
        <w:rPr>
          <w:sz w:val="20"/>
          <w:szCs w:val="20"/>
          <w:color w:val="auto"/>
        </w:rPr>
      </w:pPr>
    </w:p>
    <w:p>
      <w:pPr>
        <w:spacing w:after="0" w:line="245" w:lineRule="exact"/>
        <w:rPr>
          <w:sz w:val="20"/>
          <w:szCs w:val="20"/>
          <w:color w:val="auto"/>
        </w:rPr>
      </w:pPr>
    </w:p>
    <w:p>
      <w:pPr>
        <w:ind w:left="520" w:right="125" w:hanging="9"/>
        <w:spacing w:after="0" w:line="242" w:lineRule="auto"/>
        <w:rPr>
          <w:sz w:val="20"/>
          <w:szCs w:val="20"/>
          <w:color w:val="auto"/>
        </w:rPr>
      </w:pPr>
      <w:r>
        <w:rPr>
          <w:rFonts w:ascii="Times New Roman" w:cs="Times New Roman" w:eastAsia="Times New Roman" w:hAnsi="Times New Roman"/>
          <w:sz w:val="20"/>
          <w:szCs w:val="20"/>
          <w:color w:val="auto"/>
        </w:rPr>
        <w:t>Difficulties and Expenses in Connection with Managin g Properties in E ngland and Scotland Could Materially Impact Kaplan's Expenses.</w:t>
      </w:r>
    </w:p>
    <w:p>
      <w:pPr>
        <w:spacing w:after="0" w:line="138" w:lineRule="exact"/>
        <w:rPr>
          <w:sz w:val="20"/>
          <w:szCs w:val="20"/>
          <w:color w:val="auto"/>
        </w:rPr>
      </w:pPr>
    </w:p>
    <w:p>
      <w:pPr>
        <w:jc w:val="both"/>
        <w:ind w:left="120" w:right="105" w:firstLine="22"/>
        <w:spacing w:after="0" w:line="263" w:lineRule="auto"/>
        <w:rPr>
          <w:sz w:val="20"/>
          <w:szCs w:val="20"/>
          <w:color w:val="auto"/>
        </w:rPr>
      </w:pPr>
      <w:r>
        <w:rPr>
          <w:rFonts w:ascii="Times New Roman" w:cs="Times New Roman" w:eastAsia="Times New Roman" w:hAnsi="Times New Roman"/>
          <w:sz w:val="19"/>
          <w:szCs w:val="19"/>
          <w:color w:val="auto"/>
        </w:rPr>
        <w:t xml:space="preserve">Kaplan has a number of real estate investments in England and Scotland, usually on long-term leases. As the tenant, Kaplan is required to keep the buildings in repair. Kaplan usually benefits from a package of contractor and subcontractor arrangements in relation to defects in the buildings due to poor construction or failure to adhere to property regllllations during construction of the properties. If, however, the entities who have entered into these collateral agreements become insolvent or successfully assert another defense to a claim from Kaplan under the relevant agreement, Kaplan, as the tenant, may be expected </w:t>
      </w:r>
      <w:r>
        <w:rPr>
          <w:rFonts w:ascii="Times New Roman" w:cs="Times New Roman" w:eastAsia="Times New Roman" w:hAnsi="Times New Roman"/>
          <w:sz w:val="17"/>
          <w:szCs w:val="17"/>
          <w:color w:val="auto"/>
        </w:rPr>
        <w:t>to</w:t>
      </w:r>
      <w:r>
        <w:rPr>
          <w:rFonts w:ascii="Times New Roman" w:cs="Times New Roman" w:eastAsia="Times New Roman" w:hAnsi="Times New Roman"/>
          <w:sz w:val="19"/>
          <w:szCs w:val="19"/>
          <w:color w:val="auto"/>
        </w:rPr>
        <w:t xml:space="preserve"> carry out work related to the relevant defect and/or bear the relevant cost of such work. The relevant costs may be material. Kaplan's ability to enforce collateral agreements may also be impacted by other factors, including but not limited to, the operation of Scottish law on time periods permitted to bring a claim. Kaplan may be required to bear some or all of the costs of work at two of its residences, the scope of which, and Kaplan's legal responsibility for undertaking it, is yet to be established.</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31</w:t>
      </w:r>
    </w:p>
    <w:p>
      <w:pPr>
        <w:sectPr>
          <w:pgSz w:w="12240" w:h="15850" w:orient="portrait"/>
          <w:cols w:equalWidth="0" w:num="1">
            <w:col w:w="9365"/>
          </w:cols>
          <w:pgMar w:left="1440" w:top="1394" w:right="1440" w:bottom="721" w:gutter="0" w:footer="0" w:header="0"/>
          <w:type w:val="continuous"/>
        </w:sectPr>
      </w:pPr>
    </w:p>
    <w:bookmarkStart w:id="47" w:name="page48"/>
    <w:bookmarkEnd w:id="47"/>
    <w:p>
      <w:pPr>
        <w:jc w:val="both"/>
        <w:ind w:left="520" w:right="125" w:hanging="409"/>
        <w:spacing w:after="0" w:line="233" w:lineRule="auto"/>
        <w:tabs>
          <w:tab w:leader="none" w:pos="52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Difficulties in Managing Foreign Operations and Failure to Comply with Foreign Regulatory R equirements Have Negatively Impacted and Could Con tinue to Negatively Affect Kaplan's Business.</w:t>
      </w:r>
    </w:p>
    <w:p>
      <w:pPr>
        <w:spacing w:after="0" w:line="160" w:lineRule="exact"/>
        <w:rPr>
          <w:sz w:val="20"/>
          <w:szCs w:val="20"/>
          <w:color w:val="auto"/>
        </w:rPr>
      </w:pPr>
    </w:p>
    <w:p>
      <w:pPr>
        <w:jc w:val="both"/>
        <w:ind w:left="100" w:right="125" w:firstLine="23"/>
        <w:spacing w:after="0" w:line="261" w:lineRule="auto"/>
        <w:rPr>
          <w:sz w:val="20"/>
          <w:szCs w:val="20"/>
          <w:color w:val="auto"/>
        </w:rPr>
      </w:pPr>
      <w:r>
        <w:rPr>
          <w:rFonts w:ascii="Times New Roman" w:cs="Times New Roman" w:eastAsia="Times New Roman" w:hAnsi="Times New Roman"/>
          <w:sz w:val="19"/>
          <w:szCs w:val="19"/>
          <w:color w:val="auto"/>
        </w:rPr>
        <w:t>Kaplan has operations and investments in a growing number of foreign countries and regions, including Australia, Canada, the People's Republic of China, Colombia, France, Germany, Hong Kong, India, Ireland, Japan, New Zealand, Nigeria, Saudi Arabia, Singapore, the U.K. and the United Arab Emirates. Operating in foreign countries and regions presents a number of inherent risks, including the difficulties of complying with unfami liar laws and regulations, effectively managing and staffing foreign operations, successfully navigating local customs and practices, preparing for potential political and economic instability and adapting to currency exchange rate fluctuations. Countries have also increasingly begun imposing national data protection Jaws, which increases compliance costs and creates additional legal risk in relation to operating internationally. New privacy or data protection legislation placing restrictions on the processing or export of personal information enacted in a jurisdiction where Kaplan operates could have a material and adverse effect should Kaplan be unable to process personal information needed to provide the services Kaplan offers or plans to offer. Failure to effectively manage these risks could have a material adverse effect on Kaplan's operating results.</w:t>
      </w:r>
    </w:p>
    <w:p>
      <w:pPr>
        <w:spacing w:after="0" w:line="252" w:lineRule="exact"/>
        <w:rPr>
          <w:sz w:val="20"/>
          <w:szCs w:val="20"/>
          <w:color w:val="auto"/>
        </w:rPr>
      </w:pPr>
    </w:p>
    <w:p>
      <w:pPr>
        <w:ind w:left="520" w:right="125" w:hanging="409"/>
        <w:spacing w:after="0" w:line="238" w:lineRule="auto"/>
        <w:tabs>
          <w:tab w:leader="none" w:pos="52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 hanges in U.K. and International Tax Laws Could Have a Material Adverse Effect on Kaplan International.</w:t>
      </w:r>
    </w:p>
    <w:p>
      <w:pPr>
        <w:spacing w:after="0" w:line="151"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 xml:space="preserve">The U K Pathways Colleges located in England were required to register with the OfS to ensure they could continue operating as English higher education providers. The UK Pathways Colleges (excluding Glasgow and York) were entered on the OfS register of approved providers with Approved Fee Cap Status in August 2020. These colleges now operate under the regulatory oversight of the OfS. Colleges registered with the OfS under Approved Fee Cap status do not charge students Value Added Tax (VAT) on tuition fees based on a statutory exemption available to Approved Fee Cap providers. The York College forms part of the University of York's Approved Fee Cap registration.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KI Pathways were to lose its Approved Fee Cap status with the OfS; KI Pathways Colleges' financial results may be materially adversely impacted.</w:t>
      </w:r>
    </w:p>
    <w:p>
      <w:pPr>
        <w:spacing w:after="0" w:line="249"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 xml:space="preserve">The Glasgow College is not currently included in the OfS registration as it is located in Scotland. Under a different statutory VAT exemption, bod!ies that qualify for VAT purposes as "colleges of a university" are able to exempt their tuition fees from VAT, and UK Pathways Glasgow international College applies this status. In </w:t>
      </w:r>
      <w:r>
        <w:rPr>
          <w:rFonts w:ascii="Times New Roman" w:cs="Times New Roman" w:eastAsia="Times New Roman" w:hAnsi="Times New Roman"/>
          <w:sz w:val="20"/>
          <w:szCs w:val="20"/>
          <w:color w:val="auto"/>
        </w:rPr>
        <w:t xml:space="preserve">2019, </w:t>
      </w:r>
      <w:r>
        <w:rPr>
          <w:rFonts w:ascii="Times New Roman" w:cs="Times New Roman" w:eastAsia="Times New Roman" w:hAnsi="Times New Roman"/>
          <w:sz w:val="19"/>
          <w:szCs w:val="19"/>
          <w:color w:val="auto"/>
        </w:rPr>
        <w:t>a tax case was determined by the U.K. Supreme Court on the meaning of "college of a university."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U.K. Supreme Court decided the case in the college's favor. The result was more favorable to private providers working in collaboration with a university. The U.K. Supreme Colllt emphasized five principal tests for a private provider to meet, for it to be sufficiently integrated with a university, to qualify as a "college of a university," even if it does not have a constitutional link to the university. Although the focus on these five tests has now been incorporated into official His Majesty's Revenue and Customs (HMRC) guidance, it is not yet clear how HMRC will apply the Supreme Court judgment and the five key tests in practice. If HMRC's application of the Supreme Court judgment and the five key tests deem Glasgow International College not to constitute a "college of a university" and not entitled to a VAT exemption, </w:t>
      </w:r>
      <w:r>
        <w:rPr>
          <w:rFonts w:ascii="Arial" w:cs="Arial" w:eastAsia="Arial" w:hAnsi="Arial"/>
          <w:sz w:val="18"/>
          <w:szCs w:val="18"/>
          <w:i w:val="1"/>
          <w:iCs w:val="1"/>
          <w:color w:val="auto"/>
        </w:rPr>
        <w:t>Kl</w:t>
      </w:r>
      <w:r>
        <w:rPr>
          <w:rFonts w:ascii="Times New Roman" w:cs="Times New Roman" w:eastAsia="Times New Roman" w:hAnsi="Times New Roman"/>
          <w:sz w:val="19"/>
          <w:szCs w:val="19"/>
          <w:color w:val="auto"/>
        </w:rPr>
        <w:t xml:space="preserve"> Pathways Colleges' financial results may be materiaJiy adversely impacted if they are not able to meet any new requirements.</w:t>
      </w:r>
    </w:p>
    <w:p>
      <w:pPr>
        <w:spacing w:after="0" w:line="249" w:lineRule="exact"/>
        <w:rPr>
          <w:sz w:val="20"/>
          <w:szCs w:val="20"/>
          <w:color w:val="auto"/>
        </w:rPr>
      </w:pPr>
    </w:p>
    <w:p>
      <w:pPr>
        <w:jc w:val="both"/>
        <w:ind w:left="120" w:right="125" w:firstLine="11"/>
        <w:spacing w:after="0" w:line="269" w:lineRule="auto"/>
        <w:rPr>
          <w:sz w:val="20"/>
          <w:szCs w:val="20"/>
          <w:color w:val="auto"/>
        </w:rPr>
      </w:pPr>
      <w:r>
        <w:rPr>
          <w:rFonts w:ascii="Times New Roman" w:cs="Times New Roman" w:eastAsia="Times New Roman" w:hAnsi="Times New Roman"/>
          <w:sz w:val="19"/>
          <w:szCs w:val="19"/>
          <w:color w:val="auto"/>
        </w:rPr>
        <w:t xml:space="preserve">Following the departure of the U.K. from the European Union </w:t>
      </w:r>
      <w:r>
        <w:rPr>
          <w:rFonts w:ascii="Arial" w:cs="Arial" w:eastAsia="Arial" w:hAnsi="Arial"/>
          <w:sz w:val="17"/>
          <w:szCs w:val="17"/>
          <w:color w:val="auto"/>
        </w:rPr>
        <w:t>(EU)</w:t>
      </w:r>
      <w:r>
        <w:rPr>
          <w:rFonts w:ascii="Times New Roman" w:cs="Times New Roman" w:eastAsia="Times New Roman" w:hAnsi="Times New Roman"/>
          <w:sz w:val="19"/>
          <w:szCs w:val="19"/>
          <w:color w:val="auto"/>
        </w:rPr>
        <w:t xml:space="preserve"> on December 3 1, 2020, the U.K. may further develop its VAT rules in this complex area separate from the EU rules. Kaplan continues to closely monitor this area.</w:t>
      </w:r>
    </w:p>
    <w:p>
      <w:pPr>
        <w:spacing w:after="0" w:line="235"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 xml:space="preserve">Following the U.K. general election in July 2024, the Labour party formed a new government. Effective January I, 2025, the new government e nded the VAT exemption for private schools. The resulting 20% effective increase in tuition, boarding and other costs will materially impact enrollment of new and existing students at MPW. Kaplan believes the change currently only affects MPW but continues to carefully review the imple mentation of this policy. The new government has also increased employer's national insurance contributions, a tax paid by U.K. employers to fund government benefits programs that increases the costs of employment for all U.K. businesses. The new government may make other changes to </w:t>
      </w:r>
      <w:r>
        <w:rPr>
          <w:rFonts w:ascii="Arial" w:cs="Arial" w:eastAsia="Arial" w:hAnsi="Arial"/>
          <w:sz w:val="18"/>
          <w:szCs w:val="18"/>
          <w:color w:val="auto"/>
        </w:rPr>
        <w:t>U.K.</w:t>
      </w:r>
      <w:r>
        <w:rPr>
          <w:rFonts w:ascii="Times New Roman" w:cs="Times New Roman" w:eastAsia="Times New Roman" w:hAnsi="Times New Roman"/>
          <w:sz w:val="19"/>
          <w:szCs w:val="19"/>
          <w:color w:val="auto"/>
        </w:rPr>
        <w:t xml:space="preserve"> tax laws which increase the tax costs of KI's activities in the U.K.</w:t>
      </w:r>
    </w:p>
    <w:p>
      <w:pPr>
        <w:sectPr>
          <w:pgSz w:w="12240" w:h="15850" w:orient="portrait"/>
          <w:cols w:equalWidth="0" w:num="1">
            <w:col w:w="9365"/>
          </w:cols>
          <w:pgMar w:left="1440" w:top="1388"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20" w:hanging="398"/>
        <w:spacing w:after="0"/>
        <w:tabs>
          <w:tab w:leader="none" w:pos="52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19"/>
          <w:szCs w:val="19"/>
          <w:color w:val="auto"/>
        </w:rPr>
        <w:t>FORM 10-K</w:t>
      </w:r>
    </w:p>
    <w:p>
      <w:pPr>
        <w:sectPr>
          <w:pgSz w:w="12240" w:h="15850" w:orient="portrait"/>
          <w:cols w:equalWidth="0" w:num="1">
            <w:col w:w="9365"/>
          </w:cols>
          <w:pgMar w:left="1440" w:top="1388" w:right="1440" w:bottom="719" w:gutter="0" w:footer="0" w:header="0"/>
          <w:type w:val="continuous"/>
        </w:sectPr>
      </w:pPr>
    </w:p>
    <w:bookmarkStart w:id="48" w:name="page49"/>
    <w:bookmarkEnd w:id="48"/>
    <w:p>
      <w:pPr>
        <w:ind w:left="520" w:right="125" w:hanging="409"/>
        <w:spacing w:after="0" w:line="236" w:lineRule="auto"/>
        <w:tabs>
          <w:tab w:leader="none" w:pos="521"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P ossible Changes to the Depa rtment of Education Could Negatively Impact the Company's O perations and Businesses.</w:t>
      </w:r>
    </w:p>
    <w:p>
      <w:pPr>
        <w:spacing w:after="0" w:line="159" w:lineRule="exact"/>
        <w:rPr>
          <w:sz w:val="20"/>
          <w:szCs w:val="20"/>
          <w:color w:val="auto"/>
        </w:rPr>
      </w:pPr>
    </w:p>
    <w:p>
      <w:pPr>
        <w:jc w:val="both"/>
        <w:ind w:left="120" w:right="125" w:firstLine="10"/>
        <w:spacing w:after="0" w:line="257" w:lineRule="auto"/>
        <w:rPr>
          <w:sz w:val="20"/>
          <w:szCs w:val="20"/>
          <w:color w:val="auto"/>
        </w:rPr>
      </w:pPr>
      <w:r>
        <w:rPr>
          <w:rFonts w:ascii="Times New Roman" w:cs="Times New Roman" w:eastAsia="Times New Roman" w:hAnsi="Times New Roman"/>
          <w:sz w:val="19"/>
          <w:szCs w:val="19"/>
          <w:color w:val="auto"/>
        </w:rPr>
        <w:t xml:space="preserve">It has been reported that the current U.S. presidential administration is drafting an order aiming to eliminate the Department of Education. The order could involve reassigning functions to other federal agencies or state governments or eliminating or downsizing functions. </w:t>
      </w:r>
      <w:r>
        <w:rPr>
          <w:rFonts w:ascii="Arial" w:cs="Arial" w:eastAsia="Arial" w:hAnsi="Arial"/>
          <w:sz w:val="18"/>
          <w:szCs w:val="18"/>
          <w:color w:val="auto"/>
        </w:rPr>
        <w:t>It</w:t>
      </w:r>
      <w:r>
        <w:rPr>
          <w:rFonts w:ascii="Times New Roman" w:cs="Times New Roman" w:eastAsia="Times New Roman" w:hAnsi="Times New Roman"/>
          <w:sz w:val="19"/>
          <w:szCs w:val="19"/>
          <w:color w:val="auto"/>
        </w:rPr>
        <w:t xml:space="preserve"> is unclear which functions will be deemed critical, and which could </w:t>
      </w:r>
      <w:r>
        <w:rPr>
          <w:rFonts w:ascii="Arial" w:cs="Arial" w:eastAsia="Arial" w:hAnsi="Arial"/>
          <w:sz w:val="18"/>
          <w:szCs w:val="18"/>
          <w:color w:val="auto"/>
        </w:rPr>
        <w:t>be</w:t>
      </w:r>
      <w:r>
        <w:rPr>
          <w:rFonts w:ascii="Times New Roman" w:cs="Times New Roman" w:eastAsia="Times New Roman" w:hAnsi="Times New Roman"/>
          <w:sz w:val="19"/>
          <w:szCs w:val="19"/>
          <w:color w:val="auto"/>
        </w:rPr>
        <w:t xml:space="preserve"> phased out or downsized. Such changes could lead to operational interruptions to systems relied upon by Kaplan's partner institutions that could impact their abil ity to comply with obligations to Kaplan. Operational interruptions could also interfere with Kaplan's ability to deliver services.</w:t>
      </w:r>
    </w:p>
    <w:p>
      <w:pPr>
        <w:spacing w:after="0" w:line="255" w:lineRule="exact"/>
        <w:rPr>
          <w:sz w:val="20"/>
          <w:szCs w:val="20"/>
          <w:color w:val="auto"/>
        </w:rPr>
      </w:pPr>
    </w:p>
    <w:p>
      <w:pPr>
        <w:jc w:val="both"/>
        <w:ind w:left="520" w:right="125" w:hanging="409"/>
        <w:spacing w:after="0" w:line="250" w:lineRule="auto"/>
        <w:tabs>
          <w:tab w:leader="none" w:pos="520"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Failure to Comply with Statutory and Regulatory Requirements as a T hird-Party Servicer to Title IV P a rticipating Institutions Could Result in Monetary Lia bilities or Subject Kaplan to Other Material Adverse Consequences.</w:t>
      </w:r>
    </w:p>
    <w:p>
      <w:pPr>
        <w:spacing w:after="0" w:line="131" w:lineRule="exact"/>
        <w:rPr>
          <w:sz w:val="20"/>
          <w:szCs w:val="20"/>
          <w:color w:val="auto"/>
        </w:rPr>
      </w:pPr>
    </w:p>
    <w:p>
      <w:pPr>
        <w:jc w:val="both"/>
        <w:ind w:left="120" w:right="125" w:firstLine="12"/>
        <w:spacing w:after="0" w:line="264" w:lineRule="auto"/>
        <w:rPr>
          <w:sz w:val="20"/>
          <w:szCs w:val="20"/>
          <w:color w:val="auto"/>
        </w:rPr>
      </w:pPr>
      <w:r>
        <w:rPr>
          <w:rFonts w:ascii="Times New Roman" w:cs="Times New Roman" w:eastAsia="Times New Roman" w:hAnsi="Times New Roman"/>
          <w:sz w:val="19"/>
          <w:szCs w:val="19"/>
          <w:color w:val="auto"/>
        </w:rPr>
        <w:t>KNA provides services to Purdue Global, including financial aid services, and as such, KNA is a "Third-Party Servicer" for Purdue Global as currently defined by the ED and in the Title IV regulations. As a result, KNA is subject to applicable statutory provisions of Title IV and ED regulations that, among other things, require Kaplan to be jointly and severally liable with its Title IV participating client institution(s) to the ED for any violation by such client institution(s) of any Title IV statute or ED regulation or requirement.. Separately, if the ED expands the definition of what services or entities fall within the ThErd-Party Servicer regulations, and/or, if KNA provides financia l aid services to more than one Title IV particEpating institution, it will be required to arrange for an independent auditor to conduct an annual Title IV audit of KNA's compliance with applicable ED requirements. KNA provides non-financial aid services to institutions such as Pmdue University, Wake Forest University, and other T itle IV participating institutions. As such, if the Third-Party Servicer regulations or the interpretation of those regulations by the ED change, KNA could be considered a Third-Party Servicer to its multiple client institutions as well.</w:t>
      </w:r>
    </w:p>
    <w:p>
      <w:pPr>
        <w:spacing w:after="0" w:line="200" w:lineRule="exact"/>
        <w:rPr>
          <w:sz w:val="20"/>
          <w:szCs w:val="20"/>
          <w:color w:val="auto"/>
        </w:rPr>
      </w:pPr>
    </w:p>
    <w:p>
      <w:pPr>
        <w:spacing w:after="0" w:line="284" w:lineRule="exact"/>
        <w:rPr>
          <w:sz w:val="20"/>
          <w:szCs w:val="20"/>
          <w:color w:val="auto"/>
        </w:rPr>
      </w:pPr>
    </w:p>
    <w:p>
      <w:pPr>
        <w:jc w:val="both"/>
        <w:ind w:left="120" w:right="125" w:firstLine="20"/>
        <w:spacing w:after="0" w:line="263" w:lineRule="auto"/>
        <w:rPr>
          <w:sz w:val="20"/>
          <w:szCs w:val="20"/>
          <w:color w:val="auto"/>
        </w:rPr>
      </w:pPr>
      <w:r>
        <w:rPr>
          <w:rFonts w:ascii="Times New Roman" w:cs="Times New Roman" w:eastAsia="Times New Roman" w:hAnsi="Times New Roman"/>
          <w:sz w:val="19"/>
          <w:szCs w:val="19"/>
          <w:color w:val="auto"/>
        </w:rPr>
        <w:t>KNA is also subject to other federal and state laws, including federal and state consumer protection laws and rules prohibiting unfair or deceptive marketing practices; data privacy, data protection and information security requirements established by federal, state and foreign governments, including, for example, the Federal Trade Commission; and applicable provisions of the Family Educational Rights and Privacy Act regarding the privacy of student records.</w:t>
      </w:r>
    </w:p>
    <w:p>
      <w:pPr>
        <w:spacing w:after="0" w:line="200" w:lineRule="exact"/>
        <w:rPr>
          <w:sz w:val="20"/>
          <w:szCs w:val="20"/>
          <w:color w:val="auto"/>
        </w:rPr>
      </w:pPr>
    </w:p>
    <w:p>
      <w:pPr>
        <w:spacing w:after="0" w:line="273"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Failure to comply with these and other federal and state Eaws and regulations could result in adverse consequences, including, for example:</w:t>
      </w:r>
    </w:p>
    <w:p>
      <w:pPr>
        <w:spacing w:after="0" w:line="133" w:lineRule="exact"/>
        <w:rPr>
          <w:sz w:val="20"/>
          <w:szCs w:val="20"/>
          <w:color w:val="auto"/>
        </w:rPr>
      </w:pPr>
    </w:p>
    <w:p>
      <w:pPr>
        <w:jc w:val="both"/>
        <w:ind w:left="920" w:right="125"/>
        <w:spacing w:after="0" w:line="258" w:lineRule="auto"/>
        <w:rPr>
          <w:sz w:val="20"/>
          <w:szCs w:val="20"/>
          <w:color w:val="auto"/>
        </w:rPr>
      </w:pPr>
      <w:r>
        <w:rPr>
          <w:rFonts w:ascii="Times New Roman" w:cs="Times New Roman" w:eastAsia="Times New Roman" w:hAnsi="Times New Roman"/>
          <w:sz w:val="19"/>
          <w:szCs w:val="19"/>
          <w:color w:val="auto"/>
        </w:rPr>
        <w:t>The imposition on Kaplan of fines, other sanctions or liabilities, including repayment obligations for Title IV funds to the ED or the termination or limitation of Kaplan's eligibility to provide services as a Third-Party Servicer to any Title IV participating instEtution if KNA fails to comply with statutory or regulatory requirements applicable to such service providers;</w:t>
      </w:r>
    </w:p>
    <w:p>
      <w:pPr>
        <w:spacing w:after="0" w:line="138" w:lineRule="exact"/>
        <w:rPr>
          <w:sz w:val="20"/>
          <w:szCs w:val="20"/>
          <w:color w:val="auto"/>
        </w:rPr>
      </w:pPr>
    </w:p>
    <w:p>
      <w:pPr>
        <w:jc w:val="both"/>
        <w:ind w:left="920" w:right="125" w:firstLine="2"/>
        <w:spacing w:after="0" w:line="259" w:lineRule="auto"/>
        <w:rPr>
          <w:sz w:val="20"/>
          <w:szCs w:val="20"/>
          <w:color w:val="auto"/>
        </w:rPr>
      </w:pPr>
      <w:r>
        <w:rPr>
          <w:rFonts w:ascii="Times New Roman" w:cs="Times New Roman" w:eastAsia="Times New Roman" w:hAnsi="Times New Roman"/>
          <w:sz w:val="19"/>
          <w:szCs w:val="19"/>
          <w:color w:val="auto"/>
        </w:rPr>
        <w:t>Adverse effects on Kaplan's business and operations from a reduction or Joss in KNA's revenues under the TOSA or any other agreement with any Title IV participating institution if a client institution loses or has limits placed on its Title IV eligibility, accreditation, operations or state licensure or is subject to fines, repayment obligations or other adverse actions owing to noncompliance by KNA (or the institution) with Title IV, accreditor, federal or state agency requirements;</w:t>
      </w:r>
    </w:p>
    <w:p>
      <w:pPr>
        <w:spacing w:after="0" w:line="147" w:lineRule="exact"/>
        <w:rPr>
          <w:sz w:val="20"/>
          <w:szCs w:val="20"/>
          <w:color w:val="auto"/>
        </w:rPr>
      </w:pPr>
    </w:p>
    <w:p>
      <w:pPr>
        <w:jc w:val="both"/>
        <w:ind w:left="920" w:right="125"/>
        <w:spacing w:after="0" w:line="252" w:lineRule="auto"/>
        <w:rPr>
          <w:sz w:val="20"/>
          <w:szCs w:val="20"/>
          <w:color w:val="auto"/>
        </w:rPr>
      </w:pPr>
      <w:r>
        <w:rPr>
          <w:rFonts w:ascii="Times New Roman" w:cs="Times New Roman" w:eastAsia="Times New Roman" w:hAnsi="Times New Roman"/>
          <w:sz w:val="19"/>
          <w:szCs w:val="19"/>
          <w:color w:val="auto"/>
        </w:rPr>
        <w:t>Liability</w:t>
      </w:r>
      <w:r>
        <w:rPr>
          <w:sz w:val="20"/>
          <w:szCs w:val="20"/>
          <w:color w:val="auto"/>
        </w:rPr>
        <w:t xml:space="preserve"> </w:t>
      </w:r>
      <w:r>
        <w:rPr>
          <w:rFonts w:ascii="Times New Roman" w:cs="Times New Roman" w:eastAsia="Times New Roman" w:hAnsi="Times New Roman"/>
          <w:sz w:val="19"/>
          <w:szCs w:val="19"/>
          <w:color w:val="auto"/>
        </w:rPr>
        <w:t>under the TOSA or any other agreement with any Title IV partiCipating institution for noncompliance with federal, state or accreditation requirements arising from KNA's conduct; and</w:t>
      </w:r>
    </w:p>
    <w:p>
      <w:pPr>
        <w:spacing w:after="0" w:line="132" w:lineRule="exact"/>
        <w:rPr>
          <w:sz w:val="20"/>
          <w:szCs w:val="20"/>
          <w:color w:val="auto"/>
        </w:rPr>
      </w:pPr>
    </w:p>
    <w:p>
      <w:pPr>
        <w:jc w:val="both"/>
        <w:ind w:left="920" w:right="125"/>
        <w:spacing w:after="0" w:line="262" w:lineRule="auto"/>
        <w:rPr>
          <w:sz w:val="20"/>
          <w:szCs w:val="20"/>
          <w:color w:val="auto"/>
        </w:rPr>
      </w:pPr>
      <w:r>
        <w:rPr>
          <w:rFonts w:ascii="Times New Roman" w:cs="Times New Roman" w:eastAsia="Times New Roman" w:hAnsi="Times New Roman"/>
          <w:sz w:val="19"/>
          <w:szCs w:val="19"/>
          <w:color w:val="auto"/>
        </w:rPr>
        <w:t>Liability for noncompliance with Title IV or other federal or state requirements occurring prior to the transfer of Kaplan University to Purdue.</w:t>
      </w:r>
    </w:p>
    <w:p>
      <w:pPr>
        <w:spacing w:after="0" w:line="238"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Although KNA endeavors to comply with all U.S. federal and state laws and regulations, KNA cannot guarantee that its implementation of the relevant rules will be upheld by the ED or other agencies or upon judicial review.</w:t>
      </w:r>
    </w:p>
    <w:p>
      <w:pPr>
        <w:sectPr>
          <w:pgSz w:w="12240" w:h="15850" w:orient="portrait"/>
          <w:cols w:equalWidth="0" w:num="1">
            <w:col w:w="9365"/>
          </w:cols>
          <w:pgMar w:left="1440" w:top="1383"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33</w:t>
      </w:r>
    </w:p>
    <w:p>
      <w:pPr>
        <w:sectPr>
          <w:pgSz w:w="12240" w:h="15850" w:orient="portrait"/>
          <w:cols w:equalWidth="0" w:num="1">
            <w:col w:w="9365"/>
          </w:cols>
          <w:pgMar w:left="1440" w:top="1383" w:right="1440" w:bottom="721" w:gutter="0" w:footer="0" w:header="0"/>
          <w:type w:val="continuous"/>
        </w:sectPr>
      </w:pPr>
    </w:p>
    <w:bookmarkStart w:id="49" w:name="page50"/>
    <w:bookmarkEnd w:id="49"/>
    <w:p>
      <w:pPr>
        <w:jc w:val="both"/>
        <w:ind w:left="120" w:right="125" w:hanging="8"/>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Jaws, regulations and other requirements applicable to KNA and its client institutions are subject to change and to interpretation. In addition, there are other factors related to KNA's client institutions' compliance with federal, state ami accrediting agency requirements, some of which are outside of KNA's control, that could have a material adverse effect on KNA's client institutions' revenues and, in turn, on KNA's operating results.</w:t>
      </w:r>
    </w:p>
    <w:p>
      <w:pPr>
        <w:spacing w:after="0" w:line="239" w:lineRule="exact"/>
        <w:rPr>
          <w:sz w:val="20"/>
          <w:szCs w:val="20"/>
          <w:color w:val="auto"/>
        </w:rPr>
      </w:pPr>
    </w:p>
    <w:p>
      <w:pPr>
        <w:ind w:left="520" w:right="125" w:hanging="409"/>
        <w:spacing w:after="0" w:line="243" w:lineRule="auto"/>
        <w:tabs>
          <w:tab w:leader="none" w:pos="519"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Failure to Comply with the ED's Title IV Incentive Compensation Rule Could Subject Kaplan to Liabilities, Sanctions and Fines.</w:t>
      </w:r>
    </w:p>
    <w:p>
      <w:pPr>
        <w:spacing w:after="0" w:line="139"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 xml:space="preserve">Under the ED's incentive compensation rule, an institution participating in Title </w:t>
      </w:r>
      <w:r>
        <w:rPr>
          <w:rFonts w:ascii="Arial" w:cs="Arial" w:eastAsia="Arial" w:hAnsi="Arial"/>
          <w:sz w:val="18"/>
          <w:szCs w:val="18"/>
          <w:color w:val="auto"/>
        </w:rPr>
        <w:t>IV</w:t>
      </w:r>
      <w:r>
        <w:rPr>
          <w:rFonts w:ascii="Times New Roman" w:cs="Times New Roman" w:eastAsia="Times New Roman" w:hAnsi="Times New Roman"/>
          <w:sz w:val="19"/>
          <w:szCs w:val="19"/>
          <w:color w:val="auto"/>
        </w:rPr>
        <w:t xml:space="preserve"> programs may not provide any commission, bonus or other incentive payment to any person or entity engaged in any student recruiting or admission activities or in making decisions regarding the awarding of Title lV funds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such payment is based directly or indirectly o n success in securing enrollments or financial aid. KNA is a third pa1ty providing bundled services to Title IV participating institutions, including recruiting and, in the case of Purdue Global, financial aid services. As such, KNA is also subject to the incentive compensation rule and cannot provide any commission, bonus or other incentive payment to any covered employees, sll!bcontractors or other parties engaged in certain student recruiting, admission or financial aid activities based on success in securing enrollments or financial aid. In addition, KNA's client Title IV institutions' payments to KNA (including payments under the TOSA with Purdue Global) must comply with revenue sha1ing guidance provided by the ED related to bundled services agreements. In 2011 guidance, the ED provided that in ce1ain arrangements with Title IV participating institutions where student recruiting services are "bundled" with other non-recruiting services, revenue sharing may be allowable despite the incentive compensation rule's general prohibition on such revenue sharing with entities or individuals that provide recruiting services. Because this guidance is not codified in any rule or law but is instead ED guidance on the applicability of the incentive compensation rule, such guidance can be revoked at any time and without notice. The ED has indicated it is considering a change to this guidance as some lawmakers and states, such as Califomia, have publicly called for the revocation of this guidance or sought to introduce federa l and state legislation seeking to prevent any such revenue sharing with entities that engage in recruiting students. The change of control of the executive branch in 2025 decreased the likelihood of changes to this gll.lidance and to the incentive compensation rule or limitations on the bundled service allowance through additional federal rulemaking. As previously described, the TOSA revenue sharing provisions are deferred purchase price payments rather than payments for services. KNA's services under the TOSA are paid for as a percentage of KNA's costs of delivering those services to Purdue Global. KNA cannot predict how the ED or a federal court will interpret, revise or enforce all aspects of the incentive compensation rule or the bundled service revenue sharing guidance in the future or how they would be applied to the TOSA or any of KNA's agreements by the ED or in any litigation. Any revisions or changes in interpretation or enforcement could require KNA and its client institutions to change their practices or renegotiate the tuition revenue sharing payment terms of KNA's agreements with such client institutions and could have a material adverse effect on Kaplan's business and results of operations. Additionally, failure to comply with the incentive compensation rule could result in litigation or enforcement actions against KNA or its clients and could result in liabilities, fines or other sanctions against KNA or its c lients, which could have a material adverse effect on Kaplan's business and results of operations.</w:t>
      </w:r>
    </w:p>
    <w:p>
      <w:pPr>
        <w:spacing w:after="0" w:line="200" w:lineRule="exact"/>
        <w:rPr>
          <w:sz w:val="20"/>
          <w:szCs w:val="20"/>
          <w:color w:val="auto"/>
        </w:rPr>
      </w:pPr>
    </w:p>
    <w:p>
      <w:pPr>
        <w:spacing w:after="0" w:line="290" w:lineRule="exact"/>
        <w:rPr>
          <w:sz w:val="20"/>
          <w:szCs w:val="20"/>
          <w:color w:val="auto"/>
        </w:rPr>
      </w:pPr>
    </w:p>
    <w:p>
      <w:pPr>
        <w:ind w:left="520" w:right="125" w:hanging="409"/>
        <w:spacing w:after="0" w:line="253" w:lineRule="auto"/>
        <w:tabs>
          <w:tab w:leader="none" w:pos="5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Failure to Comply with the ED's Title IV Misrepresentation Regulations Could Subject Kaplan to Liabilities, Sanctions and Fines.</w:t>
      </w:r>
    </w:p>
    <w:p>
      <w:pPr>
        <w:spacing w:after="0" w:line="139"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A Title IV participating institution is required to comply with the ED regulations related to misrepresentations and with related federal and state laws. These laws and regulations are broad in scope and may extend to statements by servicers, such as KNA, that provide marketing or certain other services to such institutions. These laws and regulations may also apply to KNA's employees and agents, with respect to statements addressing the nature of an insLituLion's programs, financial charges or Lhe employability of its graduates. KNA provides marketing and other services to Title IV participating institutions. On October 31, 2022, the ED published a new final rule governing the "Borrower Defense to Repayment" rules that became effective July I, 2023. Among other things, the final rule refines the standard for aggressive and deceptive recruitment tactics that might constitute misrepresentation and provides additional bases for future borrowers' defense claims against their currernt or former institutions. The failure to comply with these or other federal and state laws and regulations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9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34</w:t>
        <w:tab/>
        <w:t>2024 FORM 10-K</w:t>
      </w:r>
    </w:p>
    <w:p>
      <w:pPr>
        <w:sectPr>
          <w:pgSz w:w="12240" w:h="15850" w:orient="portrait"/>
          <w:cols w:equalWidth="0" w:num="1">
            <w:col w:w="9365"/>
          </w:cols>
          <w:pgMar w:left="1440" w:top="1394" w:right="1440" w:bottom="721" w:gutter="0" w:footer="0" w:header="0"/>
          <w:type w:val="continuous"/>
        </w:sectPr>
      </w:pPr>
    </w:p>
    <w:bookmarkStart w:id="50" w:name="page51"/>
    <w:bookmarkEnd w:id="50"/>
    <w:p>
      <w:pPr>
        <w:jc w:val="both"/>
        <w:ind w:left="120" w:right="12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regarding misrepresentation and marketing practices could result in the imposition on KNA or its client institutions of fines, other sanctions or liabilities, including federal student aid repayment obligations to the ED, the termination or limitation of Kaplan's eligibility to provide services as a third-party servicer to Title IV participating institutions, the termination or limitation of a client institution's eligibility to participate in the Title IV programs, or legal action by students or other third parties. A vio lation of misrepresentation regulations or other federal or state laws and regulations applicable to the services KNA provides to its client institutions arising out of statements by KNA, its employees or agents could require KNA to pay the costs associated with indemnifying its client institutions from applicable losses resulting from the violation or could result in termination by such client institutions of their services agreements with KNA.</w:t>
      </w:r>
    </w:p>
    <w:p>
      <w:pPr>
        <w:spacing w:after="0" w:line="276" w:lineRule="exact"/>
        <w:rPr>
          <w:sz w:val="20"/>
          <w:szCs w:val="20"/>
          <w:color w:val="auto"/>
        </w:rPr>
      </w:pPr>
    </w:p>
    <w:p>
      <w:pPr>
        <w:jc w:val="both"/>
        <w:ind w:left="520" w:right="125" w:hanging="409"/>
        <w:spacing w:after="0" w:line="237" w:lineRule="auto"/>
        <w:tabs>
          <w:tab w:leader="none" w:pos="52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Compliance Reviews, Program Reviews, Audits and Investigations, Including in Connection with Borrower Defense to Repayment Claims, Could Result in Findings of Noncompliance with Statutory and Regulatory Requirements and Result in Liabilities, Sanctions and Fines.</w:t>
      </w:r>
    </w:p>
    <w:p>
      <w:pPr>
        <w:spacing w:after="0" w:line="159"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KNA and its cl ient institutions are subject to reviews, audits, investigations and other compliance reviews conducted by various regulatory agencies and auditors, including, among others, the ED, the ED 's Office of the Inspector General, accrediting bodies and state and various other federal agencies. These compliance reviews can result in flndings of noncompliance with statutory and regulatory requirements that can, in turn, result in the imposition of fines, liabilities, civil or criminal penalties or other sanctions against KNA and its client institutions, whic h could have an adverse effect on Kaplan's financial results and operations. Separately, if KNA provides fmancial aid services to more than one Title IV particilpating institutiom, it will be required to arrange for an independent auditor to conduct an annual Title IV compliance audit of KNA's compliance with applicable ED requirements. KNA's client institutions are also required to arrange for an independent auditor to conduct an ann ua l Title IV audit of their compliance with applicable ED requirements, inc luding requirements related to services provided by KNA.</w:t>
      </w:r>
    </w:p>
    <w:p>
      <w:pPr>
        <w:spacing w:after="0" w:line="200" w:lineRule="exact"/>
        <w:rPr>
          <w:sz w:val="20"/>
          <w:szCs w:val="20"/>
          <w:color w:val="auto"/>
        </w:rPr>
      </w:pPr>
    </w:p>
    <w:p>
      <w:pPr>
        <w:spacing w:after="0" w:line="324"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On September 3, 2015, Kaplan sold substantially all of the assets of the former Kaplan Higher Education Campuses (KHE Campuses). As part of the transaction, similar to the transfer of Kaplan University, Kaplan retained liability for the pre-sale conduct of the KHE schools . Although Kaplan no longer owns Kaplan University or the former KHE Campuses, Kaplan may be liable to the current owners of Kaplan University and the former KHE Campuses, for the pre-sale conduct of the schools, and the pre-sale conduct of the schools has been and could be the subject of future compliance reviews, regulatory proceedings or lawsuits that could result in monetary liabilities or fines or other sanctions.</w:t>
      </w:r>
    </w:p>
    <w:p>
      <w:pPr>
        <w:spacing w:after="0" w:line="285"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In May 2021, Kaplan received notice from the ED that it would be conducting a fact-find ing process pursuant to the BDTR regulations to determine the validity of BDTR claims a nd a request for documents related to several of Kaplan's previously owned schools. In 202I, Kaplan received claims and related information requests seeking discharge of approximately $35 million in loans, excluding interest, from former Kaplan University students. Kaplan believes it has defenses that would bar any student discharge or school liability including that the claims are barred by the applicable statute of limitations, unproven, incomplete and fail to meet regulatory filing requirements. The ED's process for adjudicating these claims is subject to the borrower defense regulations but it is not clear to what extent the ED will exclude claims based on the underlying statutes of limitations, evidence provided by Kaplan, or any prior investigation related to schools attended by the student applicants. On August 16, 2022, the ED announced the approval of discharges for just under 100 borrowers who had enrolled in the medical assistant or medical billing and coding program at Kaplan Career Institute's Kenmore Square location in Massachusetts from July I, 2011 to February 16, 2012, when the institution stopped enrolli ng new students. These are boETowers the Massachusetts Attorney General identified as part of an investigation in 2013-2015. The location closed in February 2013. To date, the ED has not sought to recoup any discharged amount from Kaplan. Although the ED did not announce the total amount discharged, Kaplan believes it to be approximately $200,000. Kaplan believes that each of the stude nts subject to d ischarge was likely previously covered by Kaplan's prior settlement with the Massachusetts Attorney General through which they should have received refunds of all or part of their tuition.</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35</w:t>
      </w:r>
    </w:p>
    <w:p>
      <w:pPr>
        <w:sectPr>
          <w:pgSz w:w="12240" w:h="15850" w:orient="portrait"/>
          <w:cols w:equalWidth="0" w:num="1">
            <w:col w:w="9365"/>
          </w:cols>
          <w:pgMar w:left="1440" w:top="1394" w:right="1440" w:bottom="721" w:gutter="0" w:footer="0" w:header="0"/>
          <w:type w:val="continuous"/>
        </w:sectPr>
      </w:pPr>
    </w:p>
    <w:bookmarkStart w:id="51" w:name="page52"/>
    <w:bookmarkEnd w:id="51"/>
    <w:p>
      <w:pPr>
        <w:jc w:val="both"/>
        <w:ind w:left="120" w:right="12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As part of the </w:t>
      </w:r>
      <w:r>
        <w:rPr>
          <w:rFonts w:ascii="Times New Roman" w:cs="Times New Roman" w:eastAsia="Times New Roman" w:hAnsi="Times New Roman"/>
          <w:sz w:val="19"/>
          <w:szCs w:val="19"/>
          <w:i w:val="1"/>
          <w:iCs w:val="1"/>
          <w:color w:val="auto"/>
        </w:rPr>
        <w:t>Sweet v. Cardona</w:t>
      </w:r>
      <w:r>
        <w:rPr>
          <w:rFonts w:ascii="Times New Roman" w:cs="Times New Roman" w:eastAsia="Times New Roman" w:hAnsi="Times New Roman"/>
          <w:sz w:val="19"/>
          <w:szCs w:val="19"/>
          <w:color w:val="auto"/>
        </w:rPr>
        <w:t xml:space="preserve"> settle ment described below, the ED agreed to review any borrower defense applications submitted between June 23, 2022, and Novembe r </w:t>
      </w:r>
      <w:r>
        <w:rPr>
          <w:rFonts w:ascii="Arial" w:cs="Arial" w:eastAsia="Arial" w:hAnsi="Arial"/>
          <w:sz w:val="19"/>
          <w:szCs w:val="19"/>
          <w:color w:val="auto"/>
        </w:rPr>
        <w:t>15,</w:t>
      </w:r>
      <w:r>
        <w:rPr>
          <w:rFonts w:ascii="Times New Roman" w:cs="Times New Roman" w:eastAsia="Times New Roman" w:hAnsi="Times New Roman"/>
          <w:sz w:val="19"/>
          <w:szCs w:val="19"/>
          <w:color w:val="auto"/>
        </w:rPr>
        <w:t xml:space="preserve"> 2022 on an expedited basis. In January 2024, Kaplan was informed that U1e ED received applications during this time period regarding former Kaplan University and Purdue Global students and Kaplan has begun to receive them. Unknown at this time is the total discharge amount sought or how much of that amount would apply to Kaplan University students. The </w:t>
      </w:r>
      <w:r>
        <w:rPr>
          <w:rFonts w:ascii="Times New Roman" w:cs="Times New Roman" w:eastAsia="Times New Roman" w:hAnsi="Times New Roman"/>
          <w:sz w:val="19"/>
          <w:szCs w:val="19"/>
          <w:i w:val="1"/>
          <w:iCs w:val="1"/>
          <w:color w:val="auto"/>
        </w:rPr>
        <w:t>Sweet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v.</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Cardona </w:t>
      </w:r>
      <w:r>
        <w:rPr>
          <w:rFonts w:ascii="Times New Roman" w:cs="Times New Roman" w:eastAsia="Times New Roman" w:hAnsi="Times New Roman"/>
          <w:sz w:val="19"/>
          <w:szCs w:val="19"/>
          <w:color w:val="auto"/>
        </w:rPr>
        <w:t>settlement requires the ED to adjudicate applications received during the designated time period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pursuant to the requirements of the 2016 Borrower Defense Regulation. To the extent these applications apply to Kaplan University, Kaplan anticipates that it will have defenses similar to those described above.</w:t>
      </w:r>
    </w:p>
    <w:p>
      <w:pPr>
        <w:spacing w:after="0" w:line="23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settlement agreement in </w:t>
      </w:r>
      <w:r>
        <w:rPr>
          <w:rFonts w:ascii="Times New Roman" w:cs="Times New Roman" w:eastAsia="Times New Roman" w:hAnsi="Times New Roman"/>
          <w:sz w:val="19"/>
          <w:szCs w:val="19"/>
          <w:i w:val="1"/>
          <w:iCs w:val="1"/>
          <w:color w:val="auto"/>
        </w:rPr>
        <w:t>Sweet v. Cardona,</w:t>
      </w:r>
      <w:r>
        <w:rPr>
          <w:rFonts w:ascii="Times New Roman" w:cs="Times New Roman" w:eastAsia="Times New Roman" w:hAnsi="Times New Roman"/>
          <w:sz w:val="19"/>
          <w:szCs w:val="19"/>
          <w:color w:val="auto"/>
        </w:rPr>
        <w:t xml:space="preserve"> a case brought by plaintiffs against the ED and discharges all pending BDTR claims against Kaplan filed through the date of the settlement agreement in June 2022. Although the ED may argue that it has the right to separately adjudicate those BDTR claims to attempt to seek recoupment from Kaplan, it is not clear whether a federal court would hold that the Sweet settlement resolves or moots all such claims. As noted above, the Sweet settlement also applies to claims filed prior to November 15, 2022. Althoug h those post-June 23, 2022 claims were not automatically discharged, the settle ment commits the ED to adjudicate those claims prior to January 2026.</w:t>
      </w:r>
    </w:p>
    <w:p>
      <w:pPr>
        <w:spacing w:after="0" w:line="219" w:lineRule="exact"/>
        <w:rPr>
          <w:sz w:val="20"/>
          <w:szCs w:val="20"/>
          <w:color w:val="auto"/>
        </w:rPr>
      </w:pPr>
    </w:p>
    <w:p>
      <w:pPr>
        <w:jc w:val="both"/>
        <w:ind w:left="120" w:right="125" w:firstLine="11"/>
        <w:spacing w:after="0" w:line="264" w:lineRule="auto"/>
        <w:rPr>
          <w:sz w:val="20"/>
          <w:szCs w:val="20"/>
          <w:color w:val="auto"/>
        </w:rPr>
      </w:pPr>
      <w:r>
        <w:rPr>
          <w:rFonts w:ascii="Times New Roman" w:cs="Times New Roman" w:eastAsia="Times New Roman" w:hAnsi="Times New Roman"/>
          <w:sz w:val="19"/>
          <w:szCs w:val="19"/>
          <w:color w:val="auto"/>
        </w:rPr>
        <w:t>In any case, Kaplan expects to vigorously defend any attempt by the ED to ho ld Kaplan liable for any ultimate student discharges and responded to the prior claims with documentary and na n·ative evidence to refute the allegations, demonstrate their lack of merit and support the denial of aU such claims by the ED. Kaplan wiU similarly respond to all future claims it receives. As noted, if the claims are successful, the ED may seek reimb!llrsement for the amount discharged from Kaplan. If the ED initiates a reimbursement action against Kaplan foUowing approval of additional former students' borrower defense to repayment applications, Kaplan may be subject to significant liability.</w:t>
      </w:r>
    </w:p>
    <w:p>
      <w:pPr>
        <w:spacing w:after="0" w:line="200" w:lineRule="exact"/>
        <w:rPr>
          <w:sz w:val="20"/>
          <w:szCs w:val="20"/>
          <w:color w:val="auto"/>
        </w:rPr>
      </w:pPr>
    </w:p>
    <w:p>
      <w:pPr>
        <w:spacing w:after="0" w:line="246" w:lineRule="exact"/>
        <w:rPr>
          <w:sz w:val="20"/>
          <w:szCs w:val="20"/>
          <w:color w:val="auto"/>
        </w:rPr>
      </w:pPr>
    </w:p>
    <w:p>
      <w:pPr>
        <w:ind w:left="520" w:right="125" w:firstLine="2"/>
        <w:spacing w:after="0" w:line="242" w:lineRule="auto"/>
        <w:rPr>
          <w:sz w:val="20"/>
          <w:szCs w:val="20"/>
          <w:color w:val="auto"/>
        </w:rPr>
      </w:pPr>
      <w:r>
        <w:rPr>
          <w:rFonts w:ascii="Times New Roman" w:cs="Times New Roman" w:eastAsia="Times New Roman" w:hAnsi="Times New Roman"/>
          <w:sz w:val="20"/>
          <w:szCs w:val="20"/>
          <w:color w:val="auto"/>
        </w:rPr>
        <w:t>Noncompliance with Regulations by KNA 's Client Institutions May Adversely Impact Kaplan's Results of Operations.</w:t>
      </w:r>
    </w:p>
    <w:p>
      <w:pPr>
        <w:spacing w:after="0" w:line="138"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KNA currently provides services to hig her education institutions that are heavily regulated by federal and state laws and regulations and by accrediting bodies. Currently, a substantial portion of KNA 's revenue is attributable to service fees and deferred purchase price payments it rece ives under its agreement with Purdue Global, which, in the case of the deferred purchase price, are dependent upon revenue generated by Purdue Global and upon Purdue Global's eligibility to participate in the Title IV federal student aid program. To maintain Title IV eligibility, Purdue Global and KNA's other client institutions must be certified by the ED as eligible institutions, maintain authorizations by applicable state education agencies and be accredited by an accrediting commission recognized by the ED. Purdue Glo bal and KNA's other client institutions must also comply with the extensive statutory and regulatory requirements of the Higher Education Act and other state and federal laws and accrediting standards relating to their financial aid management, educational programs, financial strength, disbursement and return of Title IV funds, facilities, recruiting practices, representations made by the school and other parties, and vario us other matters. Additionally, Purdue Global and other c lient institutions are subject to laws and regulatio ns that, among other things, limit student default rates on the repayment of Title IV loans; permit BDTR of Title IV loans based on certain conduct of the institution; ,establish specific measures of financial responsibility and administrative capability; regulate the addition of new campuses and programs and other institutional changes; require compliance with state professional licensure board requirements to the extent applicable to institutional programs; require compliance with the Title IV definition of nonprofit institution; and require state authorization and institutional and programmatic accreditation. In addition, the Coronavirus Aid, Relief, and Economic Security (CARES) Act, the Consolidated Appropriations Act of 2021 and subsequent guidance from the ED have created changes in the administration of federal financial assistance programs, the interpretation of which may not yet be fully unde rstood.</w:t>
      </w:r>
    </w:p>
    <w:p>
      <w:pPr>
        <w:spacing w:after="0" w:line="200" w:lineRule="exact"/>
        <w:rPr>
          <w:sz w:val="20"/>
          <w:szCs w:val="20"/>
          <w:color w:val="auto"/>
        </w:rPr>
      </w:pPr>
    </w:p>
    <w:p>
      <w:pPr>
        <w:spacing w:after="0" w:line="266" w:lineRule="exact"/>
        <w:rPr>
          <w:sz w:val="20"/>
          <w:szCs w:val="20"/>
          <w:color w:val="auto"/>
        </w:rPr>
      </w:pPr>
    </w:p>
    <w:p>
      <w:pPr>
        <w:jc w:val="both"/>
        <w:ind w:left="120" w:right="105" w:hanging="8"/>
        <w:spacing w:after="0" w:line="257" w:lineRule="auto"/>
        <w:rPr>
          <w:sz w:val="20"/>
          <w:szCs w:val="20"/>
          <w:color w:val="auto"/>
        </w:rPr>
      </w:pPr>
      <w:r>
        <w:rPr>
          <w:rFonts w:ascii="Times New Roman" w:cs="Times New Roman" w:eastAsia="Times New Roman" w:hAnsi="Times New Roman"/>
          <w:sz w:val="19"/>
          <w:szCs w:val="19"/>
          <w:color w:val="auto"/>
        </w:rPr>
        <w:t>If the ED finds that Purdue Global or any other KNA client institution has failed to comply with Title IV requirements or improperly disbursed or retained Title IV program funds, it may take one or more of a number of actions, including: fining the school, requiring the school to repay Title IV program funds, limiting or</w:t>
      </w:r>
    </w:p>
    <w:p>
      <w:pPr>
        <w:sectPr>
          <w:pgSz w:w="12240" w:h="15850" w:orient="portrait"/>
          <w:cols w:equalWidth="0" w:num="1">
            <w:col w:w="9365"/>
          </w:cols>
          <w:pgMar w:left="1440" w:top="1393" w:right="1440" w:bottom="721" w:gutter="0" w:footer="0" w:header="0"/>
        </w:sectPr>
      </w:pPr>
    </w:p>
    <w:p>
      <w:pPr>
        <w:spacing w:after="0" w:line="200" w:lineRule="exact"/>
        <w:rPr>
          <w:sz w:val="20"/>
          <w:szCs w:val="20"/>
          <w:color w:val="auto"/>
        </w:rPr>
      </w:pPr>
    </w:p>
    <w:p>
      <w:pPr>
        <w:spacing w:after="0" w:line="29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36</w:t>
        <w:tab/>
        <w:t>2024 FORM 10-K</w:t>
      </w:r>
    </w:p>
    <w:p>
      <w:pPr>
        <w:sectPr>
          <w:pgSz w:w="12240" w:h="15850" w:orient="portrait"/>
          <w:cols w:equalWidth="0" w:num="1">
            <w:col w:w="9365"/>
          </w:cols>
          <w:pgMar w:left="1440" w:top="1393" w:right="1440" w:bottom="721" w:gutter="0" w:footer="0" w:header="0"/>
          <w:type w:val="continuous"/>
        </w:sectPr>
      </w:pPr>
    </w:p>
    <w:bookmarkStart w:id="52" w:name="page53"/>
    <w:bookmarkEnd w:id="52"/>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terminating the school 's eligibility to participate in Title IV programs, initiating an emergency action to suspend the school's participation in the Title IV programs without prior notice or opportunity for a hearing, transferring the school to a method of Title IV payment that would adversely affect the timing of the institution's receipt of Title IV funds, requiring the school to submit a letter of credit, denying or refusing to consider the school's application for renewal of its certification to participate in the T itle IV programs or for approval to add a new campus or educational program, requiring the institution to comply with additional regulatory requirements reserved for schools not meeting the definition of a nonprofit institution including 90/10 and Gainful Employment requirements, and/or referring the matter for possible civil or criminal investigation. There can be no assurance that the ED will not take any of these or other actions in the future, whether as a result of lawsuits, progra m reviews or otherwise. On November 25, 2024, the E D approved Purdue Global's Application for Participation in the Title IV program and granted a full Program Participation Agreement. This Program Participation Agreement expires on December 31, 2028 and will need to be renewed prior to that date pursuant to federal regulations. Pursuant to the terms of the Program Participation Agreement Purdue Global must report to the ED any accreditation or governme ntal agency action or class action lawsuit. Tf Purdue Glolbal or another KNA client institution loses or has limits placed on its Title IV eligibility, accreditation or state licensure, or if Purdue Global or another KNA client institution is subject to fines, repayment obligations or other adverse actions owing to its or Kaplan's noncompliance with T itle IV regulations, accreditor or state agency requirements, or other state or federal laws, Kaplan's financial results of operations could be adversely affected. Additionally, as a prior owner of Title lV institutions, KNA may retain certain liability for student loans related to the current or future BDTR applications described above or future similar applications.</w:t>
      </w:r>
    </w:p>
    <w:p>
      <w:pPr>
        <w:spacing w:after="0" w:line="200" w:lineRule="exact"/>
        <w:rPr>
          <w:sz w:val="20"/>
          <w:szCs w:val="20"/>
          <w:color w:val="auto"/>
        </w:rPr>
      </w:pPr>
    </w:p>
    <w:p>
      <w:pPr>
        <w:spacing w:after="0" w:line="323" w:lineRule="exact"/>
        <w:rPr>
          <w:sz w:val="20"/>
          <w:szCs w:val="20"/>
          <w:color w:val="auto"/>
        </w:rPr>
      </w:pPr>
    </w:p>
    <w:p>
      <w:pPr>
        <w:jc w:val="both"/>
        <w:ind w:left="120" w:right="125" w:hanging="8"/>
        <w:spacing w:after="0" w:line="256" w:lineRule="auto"/>
        <w:rPr>
          <w:sz w:val="20"/>
          <w:szCs w:val="20"/>
          <w:color w:val="auto"/>
        </w:rPr>
      </w:pPr>
      <w:r>
        <w:rPr>
          <w:rFonts w:ascii="Times New Roman" w:cs="Times New Roman" w:eastAsia="Times New Roman" w:hAnsi="Times New Roman"/>
          <w:sz w:val="19"/>
          <w:szCs w:val="19"/>
          <w:color w:val="auto"/>
        </w:rPr>
        <w:t>In turn, any of the aforementioned consequences could have a material adverse effect on Kaplan's operating results even though such institution's compliance is affected by circumstances beyond Kaplan's control, including, for example:</w:t>
      </w:r>
    </w:p>
    <w:p>
      <w:pPr>
        <w:spacing w:after="0" w:line="159" w:lineRule="exact"/>
        <w:rPr>
          <w:sz w:val="20"/>
          <w:szCs w:val="20"/>
          <w:color w:val="auto"/>
        </w:rPr>
      </w:pPr>
    </w:p>
    <w:p>
      <w:pPr>
        <w:jc w:val="both"/>
        <w:ind w:left="920" w:right="125" w:firstLine="1"/>
        <w:spacing w:after="0" w:line="261" w:lineRule="auto"/>
        <w:rPr>
          <w:sz w:val="20"/>
          <w:szCs w:val="20"/>
          <w:color w:val="auto"/>
        </w:rPr>
      </w:pPr>
      <w:r>
        <w:rPr>
          <w:rFonts w:ascii="Times New Roman" w:cs="Times New Roman" w:eastAsia="Times New Roman" w:hAnsi="Times New Roman"/>
          <w:sz w:val="19"/>
          <w:szCs w:val="19"/>
          <w:color w:val="auto"/>
        </w:rPr>
        <w:t>a reduction or loss in KNA' s revenues under the TOSA or other client agreements if Purdue Global or any other KNA client institution loses or has limits placed on its Title IV eligibility, accreditation or state licensure;</w:t>
      </w:r>
    </w:p>
    <w:p>
      <w:pPr>
        <w:spacing w:after="0" w:line="136" w:lineRule="exact"/>
        <w:rPr>
          <w:sz w:val="20"/>
          <w:szCs w:val="20"/>
          <w:color w:val="auto"/>
        </w:rPr>
      </w:pPr>
    </w:p>
    <w:p>
      <w:pPr>
        <w:jc w:val="both"/>
        <w:ind w:left="920" w:right="125"/>
        <w:spacing w:after="0" w:line="261" w:lineRule="auto"/>
        <w:rPr>
          <w:sz w:val="20"/>
          <w:szCs w:val="20"/>
          <w:color w:val="auto"/>
        </w:rPr>
      </w:pPr>
      <w:r>
        <w:rPr>
          <w:rFonts w:ascii="Times New Roman" w:cs="Times New Roman" w:eastAsia="Times New Roman" w:hAnsi="Times New Roman"/>
          <w:sz w:val="19"/>
          <w:szCs w:val="19"/>
          <w:color w:val="auto"/>
        </w:rPr>
        <w:t>a reduction o r loss in KNA's revenues under the TOSA or other client agreements if Purdue Global or any other client institution is subject to fines, repayment obligations or other adverse actions owing to noncompliance by the institution (or Kaplan) with Title IV, accreditor or state agency requirements;</w:t>
      </w:r>
    </w:p>
    <w:p>
      <w:pPr>
        <w:spacing w:after="0" w:line="136" w:lineRule="exact"/>
        <w:rPr>
          <w:sz w:val="20"/>
          <w:szCs w:val="20"/>
          <w:color w:val="auto"/>
        </w:rPr>
      </w:pPr>
    </w:p>
    <w:p>
      <w:pPr>
        <w:jc w:val="both"/>
        <w:ind w:left="920" w:right="105" w:firstLine="2"/>
        <w:spacing w:after="0" w:line="261" w:lineRule="auto"/>
        <w:rPr>
          <w:sz w:val="20"/>
          <w:szCs w:val="20"/>
          <w:color w:val="auto"/>
        </w:rPr>
      </w:pPr>
      <w:r>
        <w:rPr>
          <w:rFonts w:ascii="Times New Roman" w:cs="Times New Roman" w:eastAsia="Times New Roman" w:hAnsi="Times New Roman"/>
          <w:sz w:val="19"/>
          <w:szCs w:val="19"/>
          <w:color w:val="auto"/>
        </w:rPr>
        <w:t>the imposition on KNA of fines or repayment obligations to the ED or the termination or limitation on Kaplan's eligibility to provide services to Purdue Global or other Title IV participating institutions if findings of noncompliance by Purdue Global or such other institution result in a determination that Kaplan failed to comply with statutory or regulatory requirements applicable to service providers; and</w:t>
      </w:r>
    </w:p>
    <w:p>
      <w:pPr>
        <w:spacing w:after="0" w:line="156" w:lineRule="exact"/>
        <w:rPr>
          <w:sz w:val="20"/>
          <w:szCs w:val="20"/>
          <w:color w:val="auto"/>
        </w:rPr>
      </w:pPr>
    </w:p>
    <w:p>
      <w:pPr>
        <w:jc w:val="both"/>
        <w:ind w:left="920" w:right="125"/>
        <w:spacing w:after="0"/>
        <w:rPr>
          <w:sz w:val="20"/>
          <w:szCs w:val="20"/>
          <w:color w:val="auto"/>
        </w:rPr>
      </w:pPr>
      <w:r>
        <w:rPr>
          <w:rFonts w:ascii="Times New Roman" w:cs="Times New Roman" w:eastAsia="Times New Roman" w:hAnsi="Times New Roman"/>
          <w:sz w:val="19"/>
          <w:szCs w:val="19"/>
          <w:color w:val="auto"/>
        </w:rPr>
        <w:t>liability under the TOSA or other client agreements for noncompliance with federal, state or accreditation requirements arising from KNA's conduct .</w:t>
      </w:r>
    </w:p>
    <w:p>
      <w:pPr>
        <w:spacing w:after="0" w:line="2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1"/>
          <w:szCs w:val="21"/>
          <w:color w:val="auto"/>
        </w:rPr>
        <w:t>Kaplan May Fail to Realize the Anticipated Benefits of the Purdue Global Transaction.</w:t>
      </w:r>
    </w:p>
    <w:p>
      <w:pPr>
        <w:spacing w:after="0" w:line="150"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 xml:space="preserve">Kaplan's ability to realize the anticipated benefits of the Purdue Global transact ion wi!J depend, in part, on its ability to successfully and efficiently provide services to Purdue Global. Achieving the anticipated benefits is subject to a number of uncertainties, including whether the services can be provided in the manne r and at the cost Kaplan anticipated and whether Purdue Global is able to real ize anticipated student enrollment levels.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Kaplan is unable to effectively execute its post-transaction strategy, it may take longer than anticipated to achieve the benefits of the transaction or it may not realize those benefits at all. In 2022, pursuant to the TOSA, Purdue Global began providing certain functions previously provided by KNA in-house. Those functions include human resources, fmance and accounting, facility management, and communications services. The TOSA (Kaplan's service agreement with Purdue Global) acknowledges that the Purdue Global Board of Trustees controls the university. While the TOSA provides financial protections to Kaplan to ensure payment of certain of its fees, actions by Purdue G lobal that change university policies, direct the provision of certain non-academic service</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30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37</w:t>
      </w:r>
    </w:p>
    <w:p>
      <w:pPr>
        <w:sectPr>
          <w:pgSz w:w="12240" w:h="15850" w:orient="portrait"/>
          <w:cols w:equalWidth="0" w:num="1">
            <w:col w:w="9365"/>
          </w:cols>
          <w:pgMar w:left="1440" w:top="1395" w:right="1440" w:bottom="721" w:gutter="0" w:footer="0" w:header="0"/>
          <w:type w:val="continuous"/>
        </w:sectPr>
      </w:pPr>
    </w:p>
    <w:bookmarkStart w:id="53" w:name="page54"/>
    <w:bookmarkEnd w:id="53"/>
    <w:p>
      <w:pPr>
        <w:ind w:left="120" w:right="125" w:hanging="9"/>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functions, or increase costs associated with the non-academic service functions could impact Kaplan's ability to achieve the benefits of the transaction.</w:t>
      </w:r>
    </w:p>
    <w:p>
      <w:pPr>
        <w:spacing w:after="0" w:line="230" w:lineRule="exact"/>
        <w:rPr>
          <w:sz w:val="20"/>
          <w:szCs w:val="20"/>
          <w:color w:val="auto"/>
        </w:rPr>
      </w:pPr>
    </w:p>
    <w:p>
      <w:pPr>
        <w:ind w:left="520" w:hanging="409"/>
        <w:spacing w:after="0"/>
        <w:tabs>
          <w:tab w:leader="none" w:pos="520"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Regulatory Changes and Developments Could Negatively Impact Kaplan's Results of Operations.</w:t>
      </w:r>
    </w:p>
    <w:p>
      <w:pPr>
        <w:spacing w:after="0" w:line="122" w:lineRule="exact"/>
        <w:rPr>
          <w:sz w:val="20"/>
          <w:szCs w:val="20"/>
          <w:color w:val="auto"/>
        </w:rPr>
      </w:pPr>
    </w:p>
    <w:p>
      <w:pPr>
        <w:jc w:val="both"/>
        <w:ind w:left="120" w:right="105" w:firstLine="11"/>
        <w:spacing w:after="0" w:line="259" w:lineRule="auto"/>
        <w:rPr>
          <w:sz w:val="20"/>
          <w:szCs w:val="20"/>
          <w:color w:val="auto"/>
        </w:rPr>
      </w:pPr>
      <w:r>
        <w:rPr>
          <w:rFonts w:ascii="Times New Roman" w:cs="Times New Roman" w:eastAsia="Times New Roman" w:hAnsi="Times New Roman"/>
          <w:sz w:val="19"/>
          <w:szCs w:val="19"/>
          <w:color w:val="auto"/>
        </w:rPr>
        <w:t>Any legislative, regulatory or other development that has the effect of materially reducing the amount of T itle lV financial assistance or other federal, state or pri vate financ ial assistance available to the students of Purdue Global or any other client institution could have a material adverse effect on Kaplan's business and results of operations. In addition, any development that has the effect of making the terms on which Title IV financial assistance or other fi nancial assistance funds are available to Purdue Global's or other client institutions' students materially less attractive could have a material adverse effect on Kaplan's business and results of operations.</w:t>
      </w:r>
    </w:p>
    <w:p>
      <w:pPr>
        <w:spacing w:after="0" w:line="226"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 xml:space="preserve">The laws, regulations .and other require ments applicable to KNA or any KNA c lient institutions are subject to change and to interpre tation. Regulations enacted as a result of a 2021 Negotiated Rulemaking, that became effective in July 2023 (July 2023 Regulations), include restrictions on revenue-sharing arrangements between universities and forme r university owners, as discussed above. This could impact KNA Higher Education managed service provider contracts with Purdue Global and othe r KNA c lient institutions such as Wake Forest, Purdue, Cre ighton, Lynn or others. In addition, the July 2023 Regulations included new rules and changes to existing mles re lated to the abil ity of student borrowers to obtain discharges of their obligations to repay certain Title I V loans that were first disbursed on or after July l , 2023; the BDTR adjudication process; recoupment of BDTR discharges from institutions; closed school loan discharges; disability loan discharges; public loan forgiveness; income-dri ven repayme nt plans; colleges and universities undergoing changes in ownership; and arbitra tion agreements. The ED also changed the Title IV definition of "non[profit" institution to genera lly exclude from that definition any institution that is an obligor on a debt owed to a former owner of the institution or majntains a revenue-based service agreement with a former owner of the institution. Such reg ulatory changes as well as those descr]bed above could subject Purdue Global and other KNA c lient institutions to additional regulatory requirements. Additionally, the application of the July 2023 Regulations related to BDTR to KNA for loans disbursed between </w:t>
      </w:r>
      <w:r>
        <w:rPr>
          <w:rFonts w:ascii="Arial" w:cs="Arial" w:eastAsia="Arial" w:hAnsi="Arial"/>
          <w:sz w:val="18"/>
          <w:szCs w:val="18"/>
          <w:i w:val="1"/>
          <w:iCs w:val="1"/>
          <w:color w:val="auto"/>
        </w:rPr>
        <w:t>July</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1,</w:t>
      </w:r>
      <w:r>
        <w:rPr>
          <w:rFonts w:ascii="Times New Roman" w:cs="Times New Roman" w:eastAsia="Times New Roman" w:hAnsi="Times New Roman"/>
          <w:sz w:val="19"/>
          <w:szCs w:val="19"/>
          <w:color w:val="auto"/>
        </w:rPr>
        <w:t xml:space="preserve"> 2017 and March 22, 2018, the close of the Purdue Global transaction, could materially affect Kaplan's revenues. Further, the changes to the ability of students to discharge loans owed as a result of prior school closures could impose liability on Kaplan for loans made to students at institutions previo usly owned by Kaplan and c losed during Kaplan's owners hip. These and o ther regulatory, po licy or legal changes could include the imposition of outcome metrics on universities, a form of free community college, and changes to the financial aid system, including broad loan forgiveness . Other regulatory requirements or developments could have a material adverse effect on Purdue Global's and other c lient institutions' revenues and, in turn, on Kaplan's operating results, including, for e xample:</w:t>
      </w:r>
    </w:p>
    <w:p>
      <w:pPr>
        <w:spacing w:after="0" w:line="360" w:lineRule="exact"/>
        <w:rPr>
          <w:sz w:val="20"/>
          <w:szCs w:val="20"/>
          <w:color w:val="auto"/>
        </w:rPr>
      </w:pPr>
    </w:p>
    <w:p>
      <w:pPr>
        <w:jc w:val="both"/>
        <w:ind w:left="920" w:right="105" w:firstLine="3"/>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Reductions in Title IV or other federal, state or private financial assistance: </w:t>
      </w:r>
      <w:r>
        <w:rPr>
          <w:rFonts w:ascii="Times New Roman" w:cs="Times New Roman" w:eastAsia="Times New Roman" w:hAnsi="Times New Roman"/>
          <w:sz w:val="19"/>
          <w:szCs w:val="19"/>
          <w:color w:val="auto"/>
        </w:rPr>
        <w:t>KNA receives revenue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based on its agreements with client institutions and particularly revenue from Purdue Global under the TOSA. Purdrue Global is expected to derive a significant percentage of its tuition revenues from its participation in Title IV programs. Any legislative, regulatory or other development that materially reduces the amount of Title IV, federal, state or private financial assistance available to the students of Purdue Global and other client institutions could have a material adverse effect on Kaplan's business and results of operations. In addition, any development that makes the terms of such financial assistance less attractive could have a material adverse e ffect on Kaplan's business and results of operations.</w:t>
      </w:r>
    </w:p>
    <w:p>
      <w:pPr>
        <w:spacing w:after="0" w:line="342" w:lineRule="exact"/>
        <w:rPr>
          <w:sz w:val="20"/>
          <w:szCs w:val="20"/>
          <w:color w:val="auto"/>
        </w:rPr>
      </w:pPr>
    </w:p>
    <w:p>
      <w:pPr>
        <w:jc w:val="both"/>
        <w:ind w:left="920" w:right="125" w:hanging="1"/>
        <w:spacing w:after="0" w:line="262" w:lineRule="auto"/>
        <w:rPr>
          <w:sz w:val="20"/>
          <w:szCs w:val="20"/>
          <w:color w:val="auto"/>
        </w:rPr>
      </w:pPr>
      <w:r>
        <w:rPr>
          <w:rFonts w:ascii="Times New Roman" w:cs="Times New Roman" w:eastAsia="Times New Roman" w:hAnsi="Times New Roman"/>
          <w:sz w:val="20"/>
          <w:szCs w:val="20"/>
          <w:i w:val="1"/>
          <w:iCs w:val="1"/>
          <w:color w:val="auto"/>
        </w:rPr>
        <w:t>Compliance reviews and litigation:</w:t>
      </w:r>
      <w:r>
        <w:rPr>
          <w:sz w:val="20"/>
          <w:szCs w:val="20"/>
          <w:color w:val="auto"/>
        </w:rPr>
        <w:t xml:space="preserve"> </w:t>
      </w:r>
      <w:r>
        <w:rPr>
          <w:rFonts w:ascii="Times New Roman" w:cs="Times New Roman" w:eastAsia="Times New Roman" w:hAnsi="Times New Roman"/>
          <w:sz w:val="19"/>
          <w:szCs w:val="19"/>
          <w:color w:val="auto"/>
        </w:rPr>
        <w:t>Institutions partiCipating in the Title IV programs, including Purdue Global and other client institutions, are subject to program reviews, audits, investigations and other compliance reviews conducted by various regulatory agencies a nd auditors, including, among others, the ED, the ED's Office of the Inspector Ge nera l, accrediting bodies and state and various other federal agencies, as well as annual audits by an indepe ndent certified public accountant of compliance with Title IV statutory a nd regulatory requirements. Purdue Global and other client institutions may also be subject to various lawsuits and claims related to a variety of matters, including but not limited to alleged vio lations of federal and state laws and accrediting agency requirements. These compliance</w:t>
      </w:r>
    </w:p>
    <w:p>
      <w:pPr>
        <w:sectPr>
          <w:pgSz w:w="12240" w:h="15850" w:orient="portrait"/>
          <w:cols w:equalWidth="0" w:num="1">
            <w:col w:w="9365"/>
          </w:cols>
          <w:pgMar w:left="1440" w:top="1394" w:right="1440" w:bottom="719" w:gutter="0" w:footer="0" w:header="0"/>
        </w:sectPr>
      </w:pPr>
    </w:p>
    <w:p>
      <w:pPr>
        <w:spacing w:after="0" w:line="200" w:lineRule="exact"/>
        <w:rPr>
          <w:sz w:val="20"/>
          <w:szCs w:val="20"/>
          <w:color w:val="auto"/>
        </w:rPr>
      </w:pPr>
    </w:p>
    <w:p>
      <w:pPr>
        <w:spacing w:after="0" w:line="293" w:lineRule="exact"/>
        <w:rPr>
          <w:sz w:val="20"/>
          <w:szCs w:val="20"/>
          <w:color w:val="auto"/>
        </w:rPr>
      </w:pPr>
    </w:p>
    <w:p>
      <w:pPr>
        <w:ind w:left="520" w:hanging="398"/>
        <w:spacing w:after="0"/>
        <w:tabs>
          <w:tab w:leader="none" w:pos="520"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19"/>
          <w:szCs w:val="19"/>
          <w:color w:val="auto"/>
        </w:rPr>
        <w:t>FORM 10-K</w:t>
      </w:r>
    </w:p>
    <w:p>
      <w:pPr>
        <w:sectPr>
          <w:pgSz w:w="12240" w:h="15850" w:orient="portrait"/>
          <w:cols w:equalWidth="0" w:num="1">
            <w:col w:w="9365"/>
          </w:cols>
          <w:pgMar w:left="1440" w:top="1394" w:right="1440" w:bottom="719" w:gutter="0" w:footer="0" w:header="0"/>
          <w:type w:val="continuous"/>
        </w:sectPr>
      </w:pPr>
    </w:p>
    <w:bookmarkStart w:id="54" w:name="page55"/>
    <w:bookmarkEnd w:id="54"/>
    <w:p>
      <w:pPr>
        <w:jc w:val="both"/>
        <w:ind w:left="920" w:right="145" w:firstLine="11"/>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reviews and litigation matters could extend to activities conducted by KNA on behalf of Purdue Global or other c lient institutions andl to KNA itself as a third- party servicer subject to Title TV regulations.</w:t>
      </w:r>
    </w:p>
    <w:p>
      <w:pPr>
        <w:spacing w:after="0" w:line="152" w:lineRule="exact"/>
        <w:rPr>
          <w:sz w:val="20"/>
          <w:szCs w:val="20"/>
          <w:color w:val="auto"/>
        </w:rPr>
      </w:pPr>
    </w:p>
    <w:p>
      <w:pPr>
        <w:jc w:val="both"/>
        <w:ind w:left="920" w:right="125" w:firstLine="7"/>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Changes in legislation, regulations or interpretations: </w:t>
      </w:r>
      <w:r>
        <w:rPr>
          <w:rFonts w:ascii="Times New Roman" w:cs="Times New Roman" w:eastAsia="Times New Roman" w:hAnsi="Times New Roman"/>
          <w:sz w:val="19"/>
          <w:szCs w:val="19"/>
          <w:color w:val="auto"/>
        </w:rPr>
        <w:t>Congress periodically revises the Higher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Education Act and other laws and enacts new laws governing the Title IV programs and annually determines the funding level for each Title IV program and may make changes in the laws at any time. The ED and other federal and state agencies may also issue new regulations and guidance or change their interpretation of regulations at any time. In addition, any action by Congress or the ED that impacts the ability of Purdue Global to contract with KNA to receive a share of revenue as defen·ed payment for the sale of Kaplan University or the ability of KNA to contract with any client institution to provide bundled services in exchange for a share of tuition revenue could require KNA to modify the TOSA, other agreements or its practices and could impact the revenues KNA may receive under such agreements. Congress, the ED and other federal and state regulators may create new laws or take actions that may require Purdue Global, other client institutions or KNA to modify practices in ways that could have a material adverse effect on Kaplan's business and results of operations.</w:t>
      </w:r>
    </w:p>
    <w:p>
      <w:pPr>
        <w:spacing w:after="0" w:line="131" w:lineRule="exact"/>
        <w:rPr>
          <w:sz w:val="20"/>
          <w:szCs w:val="20"/>
          <w:color w:val="auto"/>
        </w:rPr>
      </w:pPr>
    </w:p>
    <w:p>
      <w:pPr>
        <w:jc w:val="both"/>
        <w:ind w:left="920" w:right="105" w:hanging="4"/>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Increases in regulatory scrutiny of postsecondary education and service providers: </w:t>
      </w:r>
      <w:r>
        <w:rPr>
          <w:rFonts w:ascii="Times New Roman" w:cs="Times New Roman" w:eastAsia="Times New Roman" w:hAnsi="Times New Roman"/>
          <w:sz w:val="19"/>
          <w:szCs w:val="19"/>
          <w:color w:val="auto"/>
        </w:rPr>
        <w:t>The increased</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scrutiny of online schools that offer programs similar to those offered by Purdue Global or other client institutions and of service providers that provide services similar to Kaplan's has resulted, and may continue to result, in additional enforcement actions, investigations and lawsuits by the ED, other federal agencies, Congress, state Attorneys General and state licensing agencies, or private plaintiffs. Recent enforcement actions have resulted in substantial liabilities, restrictions and sanctions and in some cases have led to the loss of Title IV eligibility and closure of institutions. The change of control of the executive branch and Congress in 2025 could decrease the amount of regulation of service companies like Kaplan and online schools like Kaplan's client institutions. However, new legislation or regulation could affect Kaplan's participation in Title IV programs as a third-party servicer to Purdue Global or such other client institutions. In addition, legislative proposals that restrict the ability of entities like KNA to provide certain admissions-related services to Title IV participating institutions under revenue sharing arrangements could impact KNA agreements.</w:t>
      </w:r>
    </w:p>
    <w:p>
      <w:pPr>
        <w:spacing w:after="0" w:line="253" w:lineRule="exact"/>
        <w:rPr>
          <w:sz w:val="20"/>
          <w:szCs w:val="20"/>
          <w:color w:val="auto"/>
        </w:rPr>
      </w:pPr>
    </w:p>
    <w:p>
      <w:pPr>
        <w:jc w:val="both"/>
        <w:ind w:left="500" w:right="125" w:hanging="389"/>
        <w:spacing w:after="0" w:line="262" w:lineRule="auto"/>
        <w:tabs>
          <w:tab w:leader="none" w:pos="510" w:val="left"/>
        </w:tabs>
        <w:numPr>
          <w:ilvl w:val="0"/>
          <w:numId w:val="3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Reductions in the Use of Standardized Tests in the Admissions Process by Colleges or Graduate Schools and Increased Competition Could Reduce Demand for KNA S upplemental Education Test Preparation Otl'erings.</w:t>
      </w:r>
    </w:p>
    <w:p>
      <w:pPr>
        <w:spacing w:after="0" w:line="362"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KNA Supplemental Education Exam Preparation provides courses that prepare students for a broad range of admissions examinations that are considered by colleges and graduate schools. Historically, colleges and graduate schools have required standardized tests as part of the admissions process. Certain colleges have moved away from the historical reliance on standardized admissions tests. Reductions in the use of standardized tests in college or graduate school admissions. processes have had and could continue to have an adverse effect on KNA' s operating results.</w:t>
      </w:r>
    </w:p>
    <w:p>
      <w:pPr>
        <w:spacing w:after="0" w:line="200" w:lineRule="exact"/>
        <w:rPr>
          <w:sz w:val="20"/>
          <w:szCs w:val="20"/>
          <w:color w:val="auto"/>
        </w:rPr>
      </w:pPr>
    </w:p>
    <w:p>
      <w:pPr>
        <w:spacing w:after="0" w:line="281"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Additionally, KNA faces increased competition from competitors offering lower-cost or free test prep products that may be used by students to piece together alternatives to traditional comprehensive test prep programs. Kaplan's operating results may be adversely affected if student demand for KNA's traditional comprehensive programs shifts to KNA's lower-cost, stand-alone offerings, o r if competitors offer lower-cost, stand-alone offerings or free test prep products that are more attractive to students than KNA's products.</w:t>
      </w:r>
    </w:p>
    <w:p>
      <w:pPr>
        <w:spacing w:after="0" w:line="254" w:lineRule="exact"/>
        <w:rPr>
          <w:sz w:val="20"/>
          <w:szCs w:val="20"/>
          <w:color w:val="auto"/>
        </w:rPr>
      </w:pPr>
    </w:p>
    <w:p>
      <w:pPr>
        <w:ind w:left="520" w:right="125" w:hanging="409"/>
        <w:spacing w:after="0" w:line="255" w:lineRule="auto"/>
        <w:tabs>
          <w:tab w:leader="none" w:pos="519"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Changes in the Extent to Which Licensing and Proficiency Examinations Are Used to Qualify Individuals to Pursue Certa in Careers Could Reduce Demand for Kaplan's Offerings.</w:t>
      </w:r>
    </w:p>
    <w:p>
      <w:pPr>
        <w:spacing w:after="0" w:line="139"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A material portion of KNA's and KI's revenue comes from preparing individuals for licensing or technical proficiency examinations in various fields. Any significant relaxation or elimination of licensing or technical proficiency requirements in those fields served by KNA's and KI's businesses could negatively affect Kaplan's operating results.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39</w:t>
      </w:r>
    </w:p>
    <w:p>
      <w:pPr>
        <w:sectPr>
          <w:pgSz w:w="12240" w:h="15850" w:orient="portrait"/>
          <w:cols w:equalWidth="0" w:num="1">
            <w:col w:w="9365"/>
          </w:cols>
          <w:pgMar w:left="1440" w:top="1394" w:right="1440" w:bottom="721" w:gutter="0" w:footer="0" w:header="0"/>
          <w:type w:val="continuous"/>
        </w:sectPr>
      </w:pPr>
    </w:p>
    <w:bookmarkStart w:id="55" w:name="page56"/>
    <w:bookmarkEnd w:id="55"/>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Risks Related to the Company's Television Broadcasting and Media Businesses</w:t>
      </w:r>
    </w:p>
    <w:p>
      <w:pPr>
        <w:spacing w:after="0" w:line="129" w:lineRule="exact"/>
        <w:rPr>
          <w:sz w:val="20"/>
          <w:szCs w:val="20"/>
          <w:color w:val="auto"/>
        </w:rPr>
      </w:pPr>
    </w:p>
    <w:p>
      <w:pPr>
        <w:jc w:val="both"/>
        <w:ind w:left="520" w:right="125"/>
        <w:spacing w:after="0" w:line="254" w:lineRule="auto"/>
        <w:rPr>
          <w:sz w:val="20"/>
          <w:szCs w:val="20"/>
          <w:color w:val="auto"/>
        </w:rPr>
      </w:pPr>
      <w:r>
        <w:rPr>
          <w:rFonts w:ascii="Times New Roman" w:cs="Times New Roman" w:eastAsia="Times New Roman" w:hAnsi="Times New Roman"/>
          <w:sz w:val="20"/>
          <w:szCs w:val="20"/>
          <w:color w:val="auto"/>
        </w:rPr>
        <w:t>Changing Perceptions About the Effectiveness of Television Broadcasting in Delivering Advertising a nd Competition from Digital Platforms Could Adversely Affect the Profitability of Television Broadcasting.</w:t>
      </w:r>
    </w:p>
    <w:p>
      <w:pPr>
        <w:spacing w:after="0" w:line="363"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Historically, television broadcasting has been viewed as a cost-effective method of delivering various forms of advertising, particularly local advertising. There can be no guarantee that this historical perception will guide future decisions by advertisers. To the extent that advertisers shift advertising expenditures, including local advertising, away from broadcast television to other media outlets, including digital d istribution platforms, the profitability of the Company's television broadcasting business could be adversely affected.</w:t>
      </w:r>
    </w:p>
    <w:p>
      <w:pPr>
        <w:spacing w:after="0" w:line="237" w:lineRule="exact"/>
        <w:rPr>
          <w:sz w:val="20"/>
          <w:szCs w:val="20"/>
          <w:color w:val="auto"/>
        </w:rPr>
      </w:pPr>
    </w:p>
    <w:p>
      <w:pPr>
        <w:jc w:val="both"/>
        <w:ind w:left="520" w:right="125" w:firstLine="2"/>
        <w:spacing w:after="0" w:line="254" w:lineRule="auto"/>
        <w:rPr>
          <w:sz w:val="20"/>
          <w:szCs w:val="20"/>
          <w:color w:val="auto"/>
        </w:rPr>
      </w:pPr>
      <w:r>
        <w:rPr>
          <w:rFonts w:ascii="Times New Roman" w:cs="Times New Roman" w:eastAsia="Times New Roman" w:hAnsi="Times New Roman"/>
          <w:sz w:val="20"/>
          <w:szCs w:val="20"/>
          <w:color w:val="auto"/>
        </w:rPr>
        <w:t>Increased Competition ResuJting from Technological Innovations in Video Programming Distribution Systems a nd Ch anging Consumer Behavior Could Adversely Affect the Company's Operating Results.</w:t>
      </w:r>
    </w:p>
    <w:p>
      <w:pPr>
        <w:spacing w:after="0" w:line="372"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The continuing growth and technological expansion of internet- based services has increased competitive pressure on the Company's media businesses. Examples of such developments include delivery of programming via online platforms, including both ad-supported and subscriptiOJlJ video programming services and the national broadcast networks' direct-to-consumer services, technologies that enable users to fast-forward or skip advertisements, and devices that allow users to consume content on demand and in remote locations while avoiding traditional commercial advertisements or cable and satellite subscriptions. A number of these platforms make local programming, including local news, available to viewers and subscribers. Subscription service Amazon Prime Video has publicly discussed the availability of local news on its platform.</w:t>
      </w:r>
    </w:p>
    <w:p>
      <w:pPr>
        <w:spacing w:after="0" w:line="262"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In many cases, internet-based platforms and services compete with GMG's broadcast stations for both viewers and advertising revenues. Changing consumer behavior may also put pressure on the Company's media businesses to alter traditional distribution methods. The Company obtains significant revenue from its retransmission consent agreements with traditional cable and satellite distributors. These payments are calculated on a per-subscriber basis, so that payments to the Company may decrease as customers "cut the cord" and cancel their cable and satellite subscriptions. The Company also receives payments for the distribution of its stations' signals on certain internet- based services (through "opt-in" agreements negotiated by the national networks and agreements with the networks for distribution of local programming on network-owned direct-to-consumer platforms); however, these revenues may be less than those received from traditional cable and satellite distribution. Anticipating and adapting to changes in technology and consumer behavior on a timely basis will affect the abi lity of the Company's media businesses to continue to increase their revenue. The development and deployment of new technologies and changing consumer behavior have the potential to negatively and significantly affect the Company's med!ia businesses in ways that cannot now be reliably predicted and that may have a material adverse effect on the Company's operating results .</w:t>
      </w:r>
    </w:p>
    <w:p>
      <w:pPr>
        <w:spacing w:after="0" w:line="200" w:lineRule="exact"/>
        <w:rPr>
          <w:sz w:val="20"/>
          <w:szCs w:val="20"/>
          <w:color w:val="auto"/>
        </w:rPr>
      </w:pPr>
    </w:p>
    <w:p>
      <w:pPr>
        <w:spacing w:after="0" w:line="284" w:lineRule="exact"/>
        <w:rPr>
          <w:sz w:val="20"/>
          <w:szCs w:val="20"/>
          <w:color w:val="auto"/>
        </w:rPr>
      </w:pPr>
    </w:p>
    <w:p>
      <w:pPr>
        <w:ind w:left="520" w:right="125"/>
        <w:spacing w:after="0" w:line="242" w:lineRule="auto"/>
        <w:rPr>
          <w:sz w:val="20"/>
          <w:szCs w:val="20"/>
          <w:color w:val="auto"/>
        </w:rPr>
      </w:pPr>
      <w:r>
        <w:rPr>
          <w:rFonts w:ascii="Times New Roman" w:cs="Times New Roman" w:eastAsia="Times New Roman" w:hAnsi="Times New Roman"/>
          <w:sz w:val="20"/>
          <w:szCs w:val="20"/>
          <w:color w:val="auto"/>
        </w:rPr>
        <w:t>Changes in the Nature and Extent of Government Regula tions Could Ad versely Affect the Company's Television Broadcasting Business and Other Businesses.</w:t>
      </w:r>
    </w:p>
    <w:p>
      <w:pPr>
        <w:spacing w:after="0" w:line="147"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The Company's television broadcasting business operates in a highly regulated environment. Complying with applicable regulations has significantly increased, and may continue to increase, the costs, and has reduced the revenues, of the business. Changes in regulations have the potential to negatively impact the television broadcasting business, not only by increasing compliance costs and reducing revenues through restrictions on certain types of advertising, limitations on pricing flexibility, or other means, but also by possibly creating more favorable regulaLOry environments for the providers of competing services; including unregulated digital programming distribution platforms. In addition, changes to the FCC's rules governing broadcast ownership may affect the Company's ability to expand its television broadcastEng business and/or may enable the Company's competitors to improve their market positions through consolidation. More generally, significant changes in applicable regulations could adversely affect the profitability and/or competitive positions of the Company's businesses.</w:t>
      </w:r>
    </w:p>
    <w:p>
      <w:pPr>
        <w:sectPr>
          <w:pgSz w:w="12240" w:h="15850" w:orient="portrait"/>
          <w:cols w:equalWidth="0" w:num="1">
            <w:col w:w="9365"/>
          </w:cols>
          <w:pgMar w:left="1440" w:top="1377"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40</w:t>
        <w:tab/>
        <w:t>2024 FORM 10-K</w:t>
      </w:r>
    </w:p>
    <w:p>
      <w:pPr>
        <w:sectPr>
          <w:pgSz w:w="12240" w:h="15850" w:orient="portrait"/>
          <w:cols w:equalWidth="0" w:num="1">
            <w:col w:w="9365"/>
          </w:cols>
          <w:pgMar w:left="1440" w:top="1377" w:right="1440" w:bottom="717" w:gutter="0" w:footer="0" w:header="0"/>
          <w:type w:val="continuous"/>
        </w:sectPr>
      </w:pPr>
    </w:p>
    <w:bookmarkStart w:id="56" w:name="page57"/>
    <w:bookmarkEnd w:id="56"/>
    <w:p>
      <w:pPr>
        <w:ind w:left="520" w:right="125" w:hanging="409"/>
        <w:spacing w:after="0" w:line="232" w:lineRule="auto"/>
        <w:tabs>
          <w:tab w:leader="none" w:pos="519"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Transition to New Technical Standards for Broadcast Television Stations May Alter the Competitive Environment in the Company's Stations' Markets or Cause the Company to Incur Increased Costs.</w:t>
      </w:r>
    </w:p>
    <w:p>
      <w:pPr>
        <w:spacing w:after="0" w:line="120"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The Company cannot predict how the market will evolve as the new broadcast television station technical standard, ATSC 3.0, is made available in a growing number of television markets across the country; today, ATSC 3.0 streams are available in more than 75 markets. Competing stations that transition to ATSC 3.0 may increase competition for the Company's stations and/or create competitive pressure for the Company's stations to launch ATSC 3.0 streams. As noted above, all of GMG stations have begun broadcasting ATSC 3.0 streams. The pace of transition to and consumer adoption of the ATSC 3.0 broadcasting standard may also be affected by the availability of ATSC 3.0-capable consumer devices. Equipme nt manufacturers began releasing certain TV models with built-in ATSC 3.0-capable receivers in 2020, and an increasing number of external tuners or converter boxes are available, but ATSC 3.0-capable consumer devices are not y,et widely available or in use in the U.S. The ongoing transition to ATSC 3.0 may have material effects on the Company's media businesses that cannot now be reliably predicted and that may have an adverse effect o n the Company's operating results.</w:t>
      </w:r>
    </w:p>
    <w:p>
      <w:pPr>
        <w:spacing w:after="0" w:line="204" w:lineRule="exact"/>
        <w:rPr>
          <w:sz w:val="20"/>
          <w:szCs w:val="20"/>
          <w:color w:val="auto"/>
        </w:rPr>
      </w:pPr>
    </w:p>
    <w:p>
      <w:pPr>
        <w:jc w:val="both"/>
        <w:ind w:left="520" w:right="125" w:hanging="409"/>
        <w:spacing w:after="0" w:line="233" w:lineRule="auto"/>
        <w:tabs>
          <w:tab w:leader="none" w:pos="520" w:val="left"/>
        </w:tabs>
        <w:numPr>
          <w:ilvl w:val="0"/>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Changes </w:t>
      </w:r>
      <w:r>
        <w:rPr>
          <w:rFonts w:ascii="Arial" w:cs="Arial" w:eastAsia="Arial" w:hAnsi="Arial"/>
          <w:sz w:val="19"/>
          <w:szCs w:val="19"/>
          <w:color w:val="auto"/>
        </w:rPr>
        <w:t>in</w:t>
      </w:r>
      <w:r>
        <w:rPr>
          <w:rFonts w:ascii="Times New Roman" w:cs="Times New Roman" w:eastAsia="Times New Roman" w:hAnsi="Times New Roman"/>
          <w:sz w:val="21"/>
          <w:szCs w:val="21"/>
          <w:color w:val="auto"/>
        </w:rPr>
        <w:t xml:space="preserve"> MVPD Subscriber Numbers, Retransmission Consent Fees, " Reverse Retransmission Consent" Payments to the Networks, and Broadcast Exclusivity Could Adversely Affect the Company's Revenues.</w:t>
      </w:r>
    </w:p>
    <w:p>
      <w:pPr>
        <w:spacing w:after="0" w:line="132" w:lineRule="exact"/>
        <w:rPr>
          <w:sz w:val="20"/>
          <w:szCs w:val="20"/>
          <w:color w:val="auto"/>
        </w:rPr>
      </w:pPr>
    </w:p>
    <w:p>
      <w:pPr>
        <w:jc w:val="both"/>
        <w:ind w:left="120" w:right="125" w:firstLine="2"/>
        <w:spacing w:after="0" w:line="260" w:lineRule="auto"/>
        <w:rPr>
          <w:sz w:val="20"/>
          <w:szCs w:val="20"/>
          <w:color w:val="auto"/>
        </w:rPr>
      </w:pPr>
      <w:r>
        <w:rPr>
          <w:rFonts w:ascii="Times New Roman" w:cs="Times New Roman" w:eastAsia="Times New Roman" w:hAnsi="Times New Roman"/>
          <w:sz w:val="19"/>
          <w:szCs w:val="19"/>
          <w:color w:val="auto"/>
        </w:rPr>
        <w:t>As the number of subscribers to traditional cable, satellite and telecommunications services continues to decline, GMG faces the possibility of declining revenues under its existing retransmission agreements, which typically provide for payment to GMG on a per-subscriber basis. Those subscribers who "cut the cord" and move to internet-based subscription streaming services may not generate the same revenues as GMG receives under its existing retransmission consent agreements, because, as discussed above, the per-subscriber fees paid to network-affiliated stations under the distribution agreements that apply to vMVPDs may be less than the fees paid by traditional MVPDs under GMG's retransmission consent agreements.</w:t>
      </w:r>
    </w:p>
    <w:p>
      <w:pPr>
        <w:spacing w:after="0" w:line="212" w:lineRule="exact"/>
        <w:rPr>
          <w:sz w:val="20"/>
          <w:szCs w:val="20"/>
          <w:color w:val="auto"/>
        </w:rPr>
      </w:pPr>
    </w:p>
    <w:p>
      <w:pPr>
        <w:jc w:val="both"/>
        <w:ind w:left="120" w:right="105" w:firstLine="11"/>
        <w:spacing w:after="0" w:line="260" w:lineRule="auto"/>
        <w:rPr>
          <w:sz w:val="20"/>
          <w:szCs w:val="20"/>
          <w:color w:val="auto"/>
        </w:rPr>
      </w:pPr>
      <w:r>
        <w:rPr>
          <w:rFonts w:ascii="Times New Roman" w:cs="Times New Roman" w:eastAsia="Times New Roman" w:hAnsi="Times New Roman"/>
          <w:sz w:val="19"/>
          <w:szCs w:val="19"/>
          <w:color w:val="auto"/>
        </w:rPr>
        <w:t xml:space="preserve">At the same time, GMG's network affiliation agreements typically require payments to the networks with which GMG stations are affiliated in the form of "reverse retransmission consent fees," which require GMG to share a specified portion of its retransmission consent revenues with the respective networks. As reverse retransmission consent fee payments required to </w:t>
      </w:r>
      <w:r>
        <w:rPr>
          <w:rFonts w:ascii="Arial" w:cs="Arial" w:eastAsia="Arial" w:hAnsi="Arial"/>
          <w:sz w:val="18"/>
          <w:szCs w:val="18"/>
          <w:color w:val="auto"/>
        </w:rPr>
        <w:t>be</w:t>
      </w:r>
      <w:r>
        <w:rPr>
          <w:rFonts w:ascii="Times New Roman" w:cs="Times New Roman" w:eastAsia="Times New Roman" w:hAnsi="Times New Roman"/>
          <w:sz w:val="19"/>
          <w:szCs w:val="19"/>
          <w:color w:val="auto"/>
        </w:rPr>
        <w:t xml:space="preserve"> paid to the networks escalate, GMG potentialny could retain smaller shares of revenues generated by its retransmission consent agreements. The reverse retransmission consent fee obligations are sometimes structured as annual flat fees. In those cases, as the number of subsc•ibers to traditional MVPD platforms decreases, GMG bears the costs and risks of declining retransmission consent revenues.</w:t>
      </w:r>
    </w:p>
    <w:p>
      <w:pPr>
        <w:spacing w:after="0" w:line="212"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As the national networks bave launched and continue to market and invest in their direct-to-consumer platforms, an increasing amount of network programming, including valuable sports programming, that was once available exclus ively on an in-market network-affiliated station is no·w being made available on ad-supported or subscription services such as Paramount+ (CBS) and Peacock (NBC), either exclusively or simultaneously with its over-the-air broadcast. Disney has announced it is planning to launch new direct-to-consumer sports programming service ESPN Flagship in 2025. The diminishing program exclusivity provided by network affiliation could decrease local broadcasters' leverage in retransmission consent negotiations with MVPDs. This paradigm could create a growing imbalance for GMG, as "reverse retrans" payments to the networks increase at the same time network-affili ated stations' exclusivity-and with it, the revenues generated by retransmission consent agreements-continues to decline.</w:t>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Taken together, these factors together could adversely affect GMG's revenues and operating results.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Risks Related to the Company's Manufacturing Businesses</w:t>
      </w:r>
    </w:p>
    <w:p>
      <w:pPr>
        <w:spacing w:after="0" w:line="115" w:lineRule="exact"/>
        <w:rPr>
          <w:sz w:val="20"/>
          <w:szCs w:val="20"/>
          <w:color w:val="auto"/>
        </w:rPr>
      </w:pPr>
    </w:p>
    <w:p>
      <w:pPr>
        <w:ind w:left="520" w:right="145"/>
        <w:spacing w:after="0" w:line="232" w:lineRule="auto"/>
        <w:rPr>
          <w:sz w:val="20"/>
          <w:szCs w:val="20"/>
          <w:color w:val="auto"/>
        </w:rPr>
      </w:pPr>
      <w:r>
        <w:rPr>
          <w:rFonts w:ascii="Times New Roman" w:cs="Times New Roman" w:eastAsia="Times New Roman" w:hAnsi="Times New Roman"/>
          <w:sz w:val="21"/>
          <w:szCs w:val="21"/>
          <w:color w:val="auto"/>
        </w:rPr>
        <w:t>Failure to Recruit and Retain Production Staff Needed to Meet Customer Demand Could Have a Material Adverse Effect on the Company's Manufacturing Businesses.</w:t>
      </w:r>
    </w:p>
    <w:p>
      <w:pPr>
        <w:spacing w:after="0" w:line="111" w:lineRule="exact"/>
        <w:rPr>
          <w:sz w:val="20"/>
          <w:szCs w:val="20"/>
          <w:color w:val="auto"/>
        </w:rPr>
      </w:pPr>
    </w:p>
    <w:p>
      <w:pPr>
        <w:ind w:left="120" w:right="125" w:hanging="11"/>
        <w:spacing w:after="0" w:line="262" w:lineRule="auto"/>
        <w:rPr>
          <w:sz w:val="20"/>
          <w:szCs w:val="20"/>
          <w:color w:val="auto"/>
        </w:rPr>
      </w:pPr>
      <w:r>
        <w:rPr>
          <w:rFonts w:ascii="Times New Roman" w:cs="Times New Roman" w:eastAsia="Times New Roman" w:hAnsi="Times New Roman"/>
          <w:sz w:val="19"/>
          <w:szCs w:val="19"/>
          <w:color w:val="auto"/>
        </w:rPr>
        <w:t>The Company's manufacturing operations have experienced in recent years a highly competitive market for production labor. While the market has improved, competitiveness in the industrial sector for experienced skilled</w:t>
      </w:r>
    </w:p>
    <w:p>
      <w:pPr>
        <w:sectPr>
          <w:pgSz w:w="12240" w:h="15850" w:orient="portrait"/>
          <w:cols w:equalWidth="0" w:num="1">
            <w:col w:w="9365"/>
          </w:cols>
          <w:pgMar w:left="1440" w:top="1379"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41</w:t>
      </w:r>
    </w:p>
    <w:p>
      <w:pPr>
        <w:sectPr>
          <w:pgSz w:w="12240" w:h="15850" w:orient="portrait"/>
          <w:cols w:equalWidth="0" w:num="1">
            <w:col w:w="9365"/>
          </w:cols>
          <w:pgMar w:left="1440" w:top="1379" w:right="1440" w:bottom="721" w:gutter="0" w:footer="0" w:header="0"/>
          <w:type w:val="continuous"/>
        </w:sectPr>
      </w:pPr>
    </w:p>
    <w:bookmarkStart w:id="57" w:name="page58"/>
    <w:bookmarkEnd w:id="57"/>
    <w:p>
      <w:pPr>
        <w:jc w:val="both"/>
        <w:ind w:left="120" w:right="125" w:firstLine="11"/>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workers will continue, which may limit its ability to meet customer demand. If staffing cannot be hired at a cost-efficie nt wage rate re lative to product pricing, volume will be impacted.</w:t>
      </w:r>
    </w:p>
    <w:p>
      <w:pPr>
        <w:spacing w:after="0" w:line="258" w:lineRule="exact"/>
        <w:rPr>
          <w:sz w:val="20"/>
          <w:szCs w:val="20"/>
          <w:color w:val="auto"/>
        </w:rPr>
      </w:pPr>
    </w:p>
    <w:p>
      <w:pPr>
        <w:ind w:left="500" w:right="125" w:firstLine="9"/>
        <w:spacing w:after="0" w:line="239" w:lineRule="auto"/>
        <w:rPr>
          <w:sz w:val="20"/>
          <w:szCs w:val="20"/>
          <w:color w:val="auto"/>
        </w:rPr>
      </w:pPr>
      <w:r>
        <w:rPr>
          <w:rFonts w:ascii="Times New Roman" w:cs="Times New Roman" w:eastAsia="Times New Roman" w:hAnsi="Times New Roman"/>
          <w:sz w:val="20"/>
          <w:szCs w:val="20"/>
          <w:color w:val="auto"/>
        </w:rPr>
        <w:t>T he Company May Be Subject to Liability Claims That Could Have a Material Adverse Effect on Its Business.</w:t>
      </w:r>
    </w:p>
    <w:p>
      <w:pPr>
        <w:spacing w:after="0" w:line="133"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Company's manufacturing operations are subject to hazards inherent in manufacturing and production-related facilities. An accident involving these operations or equipment may result in losses due to personal injury; loss of life; damage or destruction of property, equipment or the environment; or a suspension of operations. Insurance may not protect the Company against liability for certain kinds of events, including those involving pollution or losses resulting from business inte rruption. Any damages caused by the Company's operations that are not covered by insurance, or are in excess of policy limits, could materially adversely affect tihe Company's results of operations, financial position or cash flows.</w:t>
      </w:r>
    </w:p>
    <w:p>
      <w:pPr>
        <w:spacing w:after="0" w:line="3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Healthcare Business</w:t>
      </w:r>
    </w:p>
    <w:p>
      <w:pPr>
        <w:spacing w:after="0" w:line="132" w:lineRule="exact"/>
        <w:rPr>
          <w:sz w:val="20"/>
          <w:szCs w:val="20"/>
          <w:color w:val="auto"/>
        </w:rPr>
      </w:pPr>
    </w:p>
    <w:p>
      <w:pPr>
        <w:ind w:left="520" w:right="125" w:hanging="409"/>
        <w:spacing w:after="0" w:line="239" w:lineRule="auto"/>
        <w:tabs>
          <w:tab w:leader="none" w:pos="520"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Extensive Regulation of the Healthcare Industry Could Adversely Affect the Company's Healthcare Businesses and Results of Operations.</w:t>
      </w:r>
    </w:p>
    <w:p>
      <w:pPr>
        <w:spacing w:after="0" w:line="142" w:lineRule="exact"/>
        <w:rPr>
          <w:sz w:val="20"/>
          <w:szCs w:val="20"/>
          <w:color w:val="auto"/>
        </w:rPr>
      </w:pPr>
    </w:p>
    <w:p>
      <w:pPr>
        <w:jc w:val="both"/>
        <w:ind w:left="120" w:right="105"/>
        <w:spacing w:after="0" w:line="263" w:lineRule="auto"/>
        <w:rPr>
          <w:sz w:val="20"/>
          <w:szCs w:val="20"/>
          <w:color w:val="auto"/>
        </w:rPr>
      </w:pPr>
      <w:r>
        <w:rPr>
          <w:rFonts w:ascii="Times New Roman" w:cs="Times New Roman" w:eastAsia="Times New Roman" w:hAnsi="Times New Roman"/>
          <w:sz w:val="19"/>
          <w:szCs w:val="19"/>
          <w:color w:val="auto"/>
        </w:rPr>
        <w:t>The home health and hospice industries are subject to extensive federal, state and local laws, with regulations affecting a wide range of matters, including licensure and certification, quality of se1vices, qualifications of personnel, confidentiality and security of medical records, re lationshi ps with physicians and other referral sources, operating policies and procedures, and billing and coding practices. These laws and regulations change freque ntly, and the manner in which they will be interpreted is subject to change in ways that cannot be predicted.</w:t>
      </w:r>
    </w:p>
    <w:p>
      <w:pPr>
        <w:spacing w:after="0" w:line="200" w:lineRule="exact"/>
        <w:rPr>
          <w:sz w:val="20"/>
          <w:szCs w:val="20"/>
          <w:color w:val="auto"/>
        </w:rPr>
      </w:pPr>
    </w:p>
    <w:p>
      <w:pPr>
        <w:spacing w:after="0" w:line="272" w:lineRule="exact"/>
        <w:rPr>
          <w:sz w:val="20"/>
          <w:szCs w:val="20"/>
          <w:color w:val="auto"/>
        </w:rPr>
      </w:pPr>
    </w:p>
    <w:p>
      <w:pPr>
        <w:jc w:val="both"/>
        <w:ind w:left="120" w:right="105" w:firstLine="9"/>
        <w:spacing w:after="0" w:line="257" w:lineRule="auto"/>
        <w:rPr>
          <w:sz w:val="20"/>
          <w:szCs w:val="20"/>
          <w:color w:val="auto"/>
        </w:rPr>
      </w:pPr>
      <w:r>
        <w:rPr>
          <w:rFonts w:ascii="Times New Roman" w:cs="Times New Roman" w:eastAsia="Times New Roman" w:hAnsi="Times New Roman"/>
          <w:sz w:val="19"/>
          <w:szCs w:val="19"/>
          <w:color w:val="auto"/>
        </w:rPr>
        <w:t>Reimbursement for se1vices by third-party payors, including Medicare, Medicaid and private health ins urance providers, may decline, while authorization, audit and compliance requirements continue to add to the cost of provid ing those services.</w:t>
      </w:r>
    </w:p>
    <w:p>
      <w:pPr>
        <w:spacing w:after="0" w:line="233"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Managed-care organizations, hospitals, physician practices and o ther third-party payors continue to consolidate in response to the evolving regulatory e nvironment, thereby enhancing their ability to influence the delivery of healthcare services and decreasing the number of organizations serving patients. This consolidation could adversely impact GHG's businesses if they are unable to maintain their ability to participate in established networks. In addition, CST Pharmacy and Impact Medical both face risks from manufacturer supply shortages, competitive vertical integration and pricing power, and governme nt intervention on drug pricing.</w:t>
      </w:r>
    </w:p>
    <w:p>
      <w:pPr>
        <w:spacing w:after="0" w:line="238"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GHG is also subject to periodic and routine reviews, audits and investigations by federal and state government agencies and private payors, which could result in negative findings that adver sely impact the business. The federal Centers for Medicare and Medicaid Services (CMS) increasingly uses third-party, for- profit contractors to conduct these reviews, many of which share in the amounts that CMS denies. These reviews, audits and investigations consume significant staff and financial resources and may take years to resolve. The costs associated with these actions as well as potential negative outcome could mate rially adversely affect GHG's results of operations.</w:t>
      </w:r>
    </w:p>
    <w:p>
      <w:pPr>
        <w:spacing w:after="0" w:line="200" w:lineRule="exact"/>
        <w:rPr>
          <w:sz w:val="20"/>
          <w:szCs w:val="20"/>
          <w:color w:val="auto"/>
        </w:rPr>
      </w:pPr>
    </w:p>
    <w:p>
      <w:pPr>
        <w:spacing w:after="0" w:line="267" w:lineRule="exact"/>
        <w:rPr>
          <w:sz w:val="20"/>
          <w:szCs w:val="20"/>
          <w:color w:val="auto"/>
        </w:rPr>
      </w:pPr>
    </w:p>
    <w:p>
      <w:pPr>
        <w:ind w:left="520" w:right="125" w:hanging="409"/>
        <w:spacing w:after="0" w:line="249" w:lineRule="auto"/>
        <w:tabs>
          <w:tab w:leader="none" w:pos="520"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Federal and State Changes to Reimbursement and Other Aspects of Medicare and Medicaid Could Have a Material Adverse Effect on the Company's Healthcare Business.</w:t>
      </w:r>
    </w:p>
    <w:p>
      <w:pPr>
        <w:spacing w:after="0" w:line="123"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Company's Healthcare business derives revenue primarily from Medicare. Payments received from Medicare are subject to changes made through federal legislation. When changes are implemented, internal billing processes and procedures must be modified, which can require significant time and expense. These changes can include changes to base payments, adjustments for home health services, changes to cap limits and per diem rates for hospice services, changes to Medicare eligibility and documentation requirements and changes designed to restrict utilization. Health care reform and legislation and continuing efforts of governmental payors</w:t>
      </w:r>
    </w:p>
    <w:p>
      <w:pPr>
        <w:sectPr>
          <w:pgSz w:w="12240" w:h="15850" w:orient="portrait"/>
          <w:cols w:equalWidth="0" w:num="1">
            <w:col w:w="9365"/>
          </w:cols>
          <w:pgMar w:left="1440" w:top="1394" w:right="1440" w:bottom="719"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42</w:t>
        <w:tab/>
        <w:t>2024 FORM 10-K</w:t>
      </w:r>
    </w:p>
    <w:p>
      <w:pPr>
        <w:sectPr>
          <w:pgSz w:w="12240" w:h="15850" w:orient="portrait"/>
          <w:cols w:equalWidth="0" w:num="1">
            <w:col w:w="9365"/>
          </w:cols>
          <w:pgMar w:left="1440" w:top="1394" w:right="1440" w:bottom="719" w:gutter="0" w:footer="0" w:header="0"/>
          <w:type w:val="continuous"/>
        </w:sectPr>
      </w:pPr>
    </w:p>
    <w:bookmarkStart w:id="58" w:name="page59"/>
    <w:bookmarkEnd w:id="58"/>
    <w:p>
      <w:pPr>
        <w:jc w:val="both"/>
        <w:ind w:left="120" w:right="125"/>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to contain health care costs could decrease payments made for services. W ithin the Medicare program, the hospice benefit is often specifically targeted for cuts. Reimbursement paymen ts under governmental payor</w:t>
      </w:r>
    </w:p>
    <w:p>
      <w:pPr>
        <w:spacing w:after="0" w:line="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programs, including Medicare supplemental insurance policies, may not remain at levels comparable to present</w:t>
      </w:r>
    </w:p>
    <w:p>
      <w:pPr>
        <w:spacing w:after="0" w:line="35" w:lineRule="exact"/>
        <w:rPr>
          <w:sz w:val="20"/>
          <w:szCs w:val="20"/>
          <w:color w:val="auto"/>
        </w:rPr>
      </w:pPr>
    </w:p>
    <w:p>
      <w:pPr>
        <w:jc w:val="both"/>
        <w:ind w:left="120" w:right="125" w:hanging="1"/>
        <w:spacing w:after="0" w:line="272" w:lineRule="auto"/>
        <w:rPr>
          <w:sz w:val="20"/>
          <w:szCs w:val="20"/>
          <w:color w:val="auto"/>
        </w:rPr>
      </w:pPr>
      <w:r>
        <w:rPr>
          <w:rFonts w:ascii="Times New Roman" w:cs="Times New Roman" w:eastAsia="Times New Roman" w:hAnsi="Times New Roman"/>
          <w:sz w:val="18"/>
          <w:szCs w:val="18"/>
          <w:color w:val="auto"/>
        </w:rPr>
        <w:t>levels</w:t>
      </w:r>
      <w:r>
        <w:rPr>
          <w:sz w:val="20"/>
          <w:szCs w:val="20"/>
          <w:color w:val="auto"/>
        </w:rPr>
        <w:t xml:space="preserve"> </w:t>
      </w:r>
      <w:r>
        <w:rPr>
          <w:rFonts w:ascii="Times New Roman" w:cs="Times New Roman" w:eastAsia="Times New Roman" w:hAnsi="Times New Roman"/>
          <w:sz w:val="18"/>
          <w:szCs w:val="18"/>
          <w:color w:val="auto"/>
        </w:rPr>
        <w:t>or be sufficient to cover the costs allocable to patients eligible for reimbursement pursuant to these programs. Any such changes, including retroactive adjustments, could have a material adverse effect on our business and consolidated financial condition, results of operations and cash flows.</w:t>
      </w:r>
    </w:p>
    <w:p>
      <w:pPr>
        <w:spacing w:after="0" w:line="204" w:lineRule="exact"/>
        <w:rPr>
          <w:sz w:val="20"/>
          <w:szCs w:val="20"/>
          <w:color w:val="auto"/>
        </w:rPr>
      </w:pPr>
    </w:p>
    <w:p>
      <w:pPr>
        <w:ind w:left="520" w:right="125"/>
        <w:spacing w:after="0" w:line="241" w:lineRule="auto"/>
        <w:rPr>
          <w:sz w:val="20"/>
          <w:szCs w:val="20"/>
          <w:color w:val="auto"/>
        </w:rPr>
      </w:pPr>
      <w:r>
        <w:rPr>
          <w:rFonts w:ascii="Times New Roman" w:cs="Times New Roman" w:eastAsia="Times New Roman" w:hAnsi="Times New Roman"/>
          <w:sz w:val="20"/>
          <w:szCs w:val="20"/>
          <w:color w:val="auto"/>
        </w:rPr>
        <w:t>Continued</w:t>
      </w:r>
      <w:r>
        <w:rPr>
          <w:sz w:val="20"/>
          <w:szCs w:val="20"/>
          <w:color w:val="auto"/>
        </w:rPr>
        <w:t xml:space="preserve"> </w:t>
      </w:r>
      <w:r>
        <w:rPr>
          <w:rFonts w:ascii="Times New Roman" w:cs="Times New Roman" w:eastAsia="Times New Roman" w:hAnsi="Times New Roman"/>
          <w:sz w:val="20"/>
          <w:szCs w:val="20"/>
          <w:color w:val="auto"/>
        </w:rPr>
        <w:t>Nursing Staffing Shortages CouJd Adversely Affect the Growth of the Company's Healthcare Businesses.</w:t>
      </w:r>
    </w:p>
    <w:p>
      <w:pPr>
        <w:spacing w:after="0" w:line="359" w:lineRule="exact"/>
        <w:rPr>
          <w:sz w:val="20"/>
          <w:szCs w:val="20"/>
          <w:color w:val="auto"/>
        </w:rPr>
      </w:pPr>
    </w:p>
    <w:p>
      <w:pPr>
        <w:jc w:val="both"/>
        <w:ind w:left="120" w:right="125" w:hanging="9"/>
        <w:spacing w:after="0" w:line="278" w:lineRule="auto"/>
        <w:rPr>
          <w:sz w:val="20"/>
          <w:szCs w:val="20"/>
          <w:color w:val="auto"/>
        </w:rPr>
      </w:pPr>
      <w:r>
        <w:rPr>
          <w:rFonts w:ascii="Times New Roman" w:cs="Times New Roman" w:eastAsia="Times New Roman" w:hAnsi="Times New Roman"/>
          <w:sz w:val="18"/>
          <w:szCs w:val="18"/>
          <w:color w:val="auto"/>
        </w:rPr>
        <w:t>The country's severe shortage of nurses could adversely affect GHG's ability to meet customer demand and may impact its ability to take on new business. In addition, competition to attract new nurses necessitates offering increased wages and benefits, which increases costs.</w:t>
      </w:r>
    </w:p>
    <w:p>
      <w:pPr>
        <w:spacing w:after="0" w:line="192" w:lineRule="exact"/>
        <w:rPr>
          <w:sz w:val="20"/>
          <w:szCs w:val="20"/>
          <w:color w:val="auto"/>
        </w:rPr>
      </w:pPr>
    </w:p>
    <w:p>
      <w:pPr>
        <w:ind w:left="520" w:hanging="409"/>
        <w:spacing w:after="0"/>
        <w:tabs>
          <w:tab w:leader="none" w:pos="520"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Value-based Purchasing Could Negatively Impact Medicare Reimbursement.</w:t>
      </w:r>
    </w:p>
    <w:p>
      <w:pPr>
        <w:spacing w:after="0" w:line="137" w:lineRule="exact"/>
        <w:rPr>
          <w:sz w:val="20"/>
          <w:szCs w:val="20"/>
          <w:color w:val="auto"/>
        </w:rPr>
      </w:pPr>
    </w:p>
    <w:p>
      <w:pPr>
        <w:jc w:val="both"/>
        <w:ind w:left="120" w:right="125" w:firstLine="11"/>
        <w:spacing w:after="0" w:line="278" w:lineRule="auto"/>
        <w:rPr>
          <w:sz w:val="20"/>
          <w:szCs w:val="20"/>
          <w:color w:val="auto"/>
        </w:rPr>
      </w:pPr>
      <w:r>
        <w:rPr>
          <w:rFonts w:ascii="Times New Roman" w:cs="Times New Roman" w:eastAsia="Times New Roman" w:hAnsi="Times New Roman"/>
          <w:sz w:val="18"/>
          <w:szCs w:val="18"/>
          <w:color w:val="auto"/>
        </w:rPr>
        <w:t>Both private and government payors are increasingly looking to value-based purchasing to lower costs. Value-based purchasing focuses on quality of outcomes and care efficiency, rather than quantity of care. Effective Januar y 1, 2023, under the 2022 Home Health final rule for Medicare home health providers, value-based purchasing was expanded to all 50 states. Under the expanded model, home health agencies receive adjustments to their Medicare fee-for-service payments based on their pe1formance against a set of quality measures, relative to their peers' performance. Performance on these quality measures in a specified year (performance year) impacts payment adjustments in a later year (payment year). T he Home Health Final Rule for 2024, publjshed on November 1, 2023, introduced significant updates that will take effect in 2025, altering the risk profile for home health providers. These changes include a redefined set of quality measures, updated performance benchmarks, and adjustments to payment methodologies, potentially intensifying the financia l and operational pressures on providers. CMS could also create a sirrular plan for hospice providers in the future. Private and government payors' implementation of value-based purchasing requjrements could negatively impact Medicare reimb!lirsement and have an adverse effect on GHG's financ ial condition, results of operations and overall cash flows.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520" w:right="125" w:firstLine="2"/>
        <w:spacing w:after="0" w:line="250" w:lineRule="auto"/>
        <w:rPr>
          <w:sz w:val="20"/>
          <w:szCs w:val="20"/>
          <w:color w:val="auto"/>
        </w:rPr>
      </w:pPr>
      <w:r>
        <w:rPr>
          <w:rFonts w:ascii="Times New Roman" w:cs="Times New Roman" w:eastAsia="Times New Roman" w:hAnsi="Times New Roman"/>
          <w:sz w:val="20"/>
          <w:szCs w:val="20"/>
          <w:color w:val="auto"/>
        </w:rPr>
        <w:t xml:space="preserve">T he Company' s Healthcare Business Is Limited in its Ability to Control Rates Received for its Services, Which Could Materially Ad versely Affect its Business </w:t>
      </w:r>
      <w:r>
        <w:rPr>
          <w:rFonts w:ascii="Arial" w:cs="Arial" w:eastAsia="Arial" w:hAnsi="Arial"/>
          <w:sz w:val="19"/>
          <w:szCs w:val="19"/>
          <w:color w:val="auto"/>
        </w:rPr>
        <w:t>if</w:t>
      </w:r>
      <w:r>
        <w:rPr>
          <w:rFonts w:ascii="Times New Roman" w:cs="Times New Roman" w:eastAsia="Times New Roman" w:hAnsi="Times New Roman"/>
          <w:sz w:val="20"/>
          <w:szCs w:val="20"/>
          <w:color w:val="auto"/>
        </w:rPr>
        <w:t xml:space="preserve"> it Is Unable to Maintain or Reduce Costs to Provide Such Services.</w:t>
      </w:r>
    </w:p>
    <w:p>
      <w:pPr>
        <w:spacing w:after="0" w:line="129" w:lineRule="exact"/>
        <w:rPr>
          <w:sz w:val="20"/>
          <w:szCs w:val="20"/>
          <w:color w:val="auto"/>
        </w:rPr>
      </w:pPr>
    </w:p>
    <w:p>
      <w:pPr>
        <w:jc w:val="both"/>
        <w:ind w:left="120" w:right="125" w:firstLine="2"/>
        <w:spacing w:after="0" w:line="275" w:lineRule="auto"/>
        <w:rPr>
          <w:sz w:val="20"/>
          <w:szCs w:val="20"/>
          <w:color w:val="auto"/>
        </w:rPr>
      </w:pPr>
      <w:r>
        <w:rPr>
          <w:rFonts w:ascii="Times New Roman" w:cs="Times New Roman" w:eastAsia="Times New Roman" w:hAnsi="Times New Roman"/>
          <w:sz w:val="18"/>
          <w:szCs w:val="18"/>
          <w:color w:val="auto"/>
        </w:rPr>
        <w:t xml:space="preserve">Medicare is the primary payor for the Company's Healthcare business and rates are established through federal legislation. Additionally, non-Medicare rates are difficult to negotiate because such payors are under pressure to reduce their own costs. As a result, the !Healthcare business must manage costs in order to achieve a desired level of profitability includjng, but not lim ited to, centralization of various processes, utilization of technology/ automation and management of the number of employees utilized. </w:t>
      </w:r>
      <w:r>
        <w:rPr>
          <w:rFonts w:ascii="Arial" w:cs="Arial" w:eastAsia="Arial" w:hAnsi="Arial"/>
          <w:sz w:val="19"/>
          <w:szCs w:val="19"/>
          <w:color w:val="auto"/>
        </w:rPr>
        <w:t>If</w:t>
      </w:r>
      <w:r>
        <w:rPr>
          <w:rFonts w:ascii="Times New Roman" w:cs="Times New Roman" w:eastAsia="Times New Roman" w:hAnsi="Times New Roman"/>
          <w:sz w:val="18"/>
          <w:szCs w:val="18"/>
          <w:color w:val="auto"/>
        </w:rPr>
        <w:t xml:space="preserve"> the Healthcare business is unable to streamline its processes and reduce costs, its business and consolidated financial condition, results of operations and cash flows could be materially adversely affected.</w:t>
      </w: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Automotive Businesses</w:t>
      </w:r>
    </w:p>
    <w:p>
      <w:pPr>
        <w:spacing w:after="0" w:line="119" w:lineRule="exact"/>
        <w:rPr>
          <w:sz w:val="20"/>
          <w:szCs w:val="20"/>
          <w:color w:val="auto"/>
        </w:rPr>
      </w:pPr>
    </w:p>
    <w:p>
      <w:pPr>
        <w:jc w:val="both"/>
        <w:ind w:left="500" w:right="125" w:hanging="389"/>
        <w:spacing w:after="0" w:line="250" w:lineRule="auto"/>
        <w:tabs>
          <w:tab w:leader="none" w:pos="509"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or Non-renewal of a Dealership Agreement by an Automobile Manufacturer and L imitations on the Company's Ability to Acquire Additional Dealerships Could Ad versely Affect the Company's Automotive Business and Results of Operations.</w:t>
      </w:r>
    </w:p>
    <w:p>
      <w:pPr>
        <w:spacing w:after="0" w:line="119" w:lineRule="exact"/>
        <w:rPr>
          <w:sz w:val="20"/>
          <w:szCs w:val="20"/>
          <w:color w:val="auto"/>
        </w:rPr>
      </w:pPr>
    </w:p>
    <w:p>
      <w:pPr>
        <w:jc w:val="both"/>
        <w:ind w:left="120" w:right="125" w:hanging="8"/>
        <w:spacing w:after="0" w:line="277" w:lineRule="auto"/>
        <w:rPr>
          <w:sz w:val="20"/>
          <w:szCs w:val="20"/>
          <w:color w:val="auto"/>
        </w:rPr>
      </w:pPr>
      <w:r>
        <w:rPr>
          <w:rFonts w:ascii="Times New Roman" w:cs="Times New Roman" w:eastAsia="Times New Roman" w:hAnsi="Times New Roman"/>
          <w:sz w:val="18"/>
          <w:szCs w:val="18"/>
          <w:color w:val="auto"/>
        </w:rPr>
        <w:t>The Company's automobile dealerships are dependent on majntairung strong relationships with manufacturers, and the Company's ownership and operation of automobile dealerships is subject to its ability to comply with various requirements established by automobile manufacturers. The Company's dealerships operate under separate agreements with each applicable automobile manufacturer. Manufacturers may terminate their agreements for a variety of reasons subject to state laws, inclurung a dealership's failure to meet a manufacturer's standards for financial and sales performance, customer satisfaction, facilities and the quality of dealershjp</w:t>
      </w:r>
    </w:p>
    <w:p>
      <w:pPr>
        <w:sectPr>
          <w:pgSz w:w="12240" w:h="15850" w:orient="portrait"/>
          <w:cols w:equalWidth="0" w:num="1">
            <w:col w:w="9365"/>
          </w:cols>
          <w:pgMar w:left="1440" w:top="1401" w:right="1440" w:bottom="723" w:gutter="0" w:footer="0" w:header="0"/>
        </w:sectPr>
      </w:pPr>
    </w:p>
    <w:p>
      <w:pPr>
        <w:spacing w:after="0" w:line="200" w:lineRule="exact"/>
        <w:rPr>
          <w:sz w:val="20"/>
          <w:szCs w:val="20"/>
          <w:color w:val="auto"/>
        </w:rPr>
      </w:pPr>
    </w:p>
    <w:p>
      <w:pPr>
        <w:spacing w:after="0" w:line="29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8"/>
          <w:szCs w:val="18"/>
          <w:color w:val="auto"/>
        </w:rPr>
        <w:t>GRAHAM HOLDINGS COMPANY</w:t>
        <w:tab/>
        <w:t>43</w:t>
      </w:r>
    </w:p>
    <w:p>
      <w:pPr>
        <w:sectPr>
          <w:pgSz w:w="12240" w:h="15850" w:orient="portrait"/>
          <w:cols w:equalWidth="0" w:num="1">
            <w:col w:w="9365"/>
          </w:cols>
          <w:pgMar w:left="1440" w:top="1401" w:right="1440" w:bottom="723" w:gutter="0" w:footer="0" w:header="0"/>
          <w:type w:val="continuous"/>
        </w:sectPr>
      </w:pPr>
    </w:p>
    <w:bookmarkStart w:id="59" w:name="page60"/>
    <w:bookmarkEnd w:id="59"/>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management; and any unapproved change in ownership or management. These agreements also limit the Company' s ability to acquire multiple dealerships of the same brand within a particular market and preclude the Company from establishing new dealerships within an area already served by another dealer of the same vehicle brand. In addition, dealerships controlled by related parties of the management team operating the Company's dealerships may restrict the Company's ability to acquire new dealerships within an area in which such dealerships operate. Manufacturers also have the right of first refusal if the Company seeks to sell dealerships and may limit the Company's ability to transfer ownership of a dealership without the prior approval of the manufacturer. Failure to maintain ownership of the dealerships in compliance with manufacturer agreements could constitute a breach of the agreements and could result in termination or non-renewal of existing dealer agreements. If one of the Company's manufacturers does not renew its dealer agreement or terminates the agreement, the Company's dealership would be unable to sell or distribute new vehicle.s or perform manufacturer-authorized warranty service, </w:t>
      </w:r>
      <w:r>
        <w:rPr>
          <w:rFonts w:ascii="Arial" w:cs="Arial" w:eastAsia="Arial" w:hAnsi="Arial"/>
          <w:sz w:val="18"/>
          <w:szCs w:val="18"/>
          <w:i w:val="1"/>
          <w:iCs w:val="1"/>
          <w:color w:val="auto"/>
        </w:rPr>
        <w:t>which</w:t>
      </w:r>
      <w:r>
        <w:rPr>
          <w:rFonts w:ascii="Times New Roman" w:cs="Times New Roman" w:eastAsia="Times New Roman" w:hAnsi="Times New Roman"/>
          <w:sz w:val="19"/>
          <w:szCs w:val="19"/>
          <w:color w:val="auto"/>
        </w:rPr>
        <w:t xml:space="preserve"> would adversely affect the Company's automotive business.</w:t>
      </w:r>
    </w:p>
    <w:p>
      <w:pPr>
        <w:spacing w:after="0" w:line="209" w:lineRule="exact"/>
        <w:rPr>
          <w:sz w:val="20"/>
          <w:szCs w:val="20"/>
          <w:color w:val="auto"/>
        </w:rPr>
      </w:pPr>
    </w:p>
    <w:p>
      <w:pPr>
        <w:ind w:left="520" w:right="125" w:hanging="409"/>
        <w:spacing w:after="0" w:line="242" w:lineRule="auto"/>
        <w:tabs>
          <w:tab w:leader="none" w:pos="519"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Affecting Automobile Manufactur ers Could Adversely Affect the Company's Automotive Business.</w:t>
      </w:r>
    </w:p>
    <w:p>
      <w:pPr>
        <w:spacing w:after="0" w:line="127"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The Company's dealerships are dependent on the products and services offered by the brand of automobiles that its dealerships sell. The ability of the Company's dealerships to sell and service these brands may be adversely affected by negative conditions faced by manufacturers such as negative changes to a manufacturer's financial condition, negative publicity concerning a manufacturer or vehicle model, declines in consumer demand or brand preferences, changes in consumer preferences driven by fuel price volatility, disruptions in production and delivery, including those caused by natural disasters or labor sttrikes, new laws or regulations, including more stringent fuel economy and greenhouse gas emission standards, and technological innovations in ride-sharing, electric vehicles and autonomous driving. The ability of the Company's dealerships to align with manufacturers and adapt to evolving consumer demand for electric vehicles could adversely affect new and used vehicle sales volumes, parts and service revenue and results of operations.</w:t>
      </w:r>
    </w:p>
    <w:p>
      <w:pPr>
        <w:spacing w:after="0" w:line="200" w:lineRule="exact"/>
        <w:rPr>
          <w:sz w:val="20"/>
          <w:szCs w:val="20"/>
          <w:color w:val="auto"/>
        </w:rPr>
      </w:pPr>
    </w:p>
    <w:p>
      <w:pPr>
        <w:spacing w:after="0" w:line="249" w:lineRule="exact"/>
        <w:rPr>
          <w:sz w:val="20"/>
          <w:szCs w:val="20"/>
          <w:color w:val="auto"/>
        </w:rPr>
      </w:pPr>
    </w:p>
    <w:p>
      <w:pPr>
        <w:jc w:val="both"/>
        <w:ind w:left="520" w:right="125" w:hanging="409"/>
        <w:spacing w:after="0"/>
        <w:tabs>
          <w:tab w:leader="none" w:pos="520"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to State Dealer Franchise Laws to P ermit Manufacturers to Enter the Reta il Market Directly a nd Technological Innovations Could Adversely Impact the Company's T raditiona l Dealership Model.</w:t>
      </w:r>
    </w:p>
    <w:p>
      <w:pPr>
        <w:spacing w:after="0" w:line="359"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Changes to state dealer franchise laws to permit the sale of new vehicles without the involvement of franchised dealers could adversely affect the Company's dealerships. Certain manufacturers have been challenging state dealer franchise laws in many states and some have expressed interest in sell ing directly to customers. The Company's dealership model could be adversely affected if new vehicle sales are allowed to be conducted on the internet without the involvement of franchised dealers.</w:t>
      </w:r>
    </w:p>
    <w:p>
      <w:pPr>
        <w:spacing w:after="0" w:line="200" w:lineRule="exact"/>
        <w:rPr>
          <w:sz w:val="20"/>
          <w:szCs w:val="20"/>
          <w:color w:val="auto"/>
        </w:rPr>
      </w:pPr>
    </w:p>
    <w:p>
      <w:pPr>
        <w:ind w:left="520" w:right="125" w:hanging="409"/>
        <w:spacing w:after="0" w:line="252" w:lineRule="auto"/>
        <w:tabs>
          <w:tab w:leader="none" w:pos="519"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Economic Conditions and Vehicle Inventories Are Difficult to Predict and May Adversely Impact the Results of Operations of the Company's Dealerships.</w:t>
      </w:r>
    </w:p>
    <w:p>
      <w:pPr>
        <w:spacing w:after="0" w:line="107" w:lineRule="exact"/>
        <w:rPr>
          <w:sz w:val="20"/>
          <w:szCs w:val="20"/>
          <w:color w:val="auto"/>
        </w:rPr>
      </w:pPr>
    </w:p>
    <w:p>
      <w:pPr>
        <w:jc w:val="both"/>
        <w:ind w:left="120" w:right="125"/>
        <w:spacing w:after="0" w:line="264" w:lineRule="auto"/>
        <w:rPr>
          <w:sz w:val="20"/>
          <w:szCs w:val="20"/>
          <w:color w:val="auto"/>
        </w:rPr>
      </w:pPr>
      <w:r>
        <w:rPr>
          <w:rFonts w:ascii="Times New Roman" w:cs="Times New Roman" w:eastAsia="Times New Roman" w:hAnsi="Times New Roman"/>
          <w:sz w:val="19"/>
          <w:szCs w:val="19"/>
          <w:color w:val="auto"/>
        </w:rPr>
        <w:t>Sales of new and used vehicles are cyclical. Historically there have been periods of downturns characterized by weak demand due to general economic conditions, excess supplies, consumer confidence, discretionary income and credit availability. Recently, supply shortages have led to a period of higher average new and used selling prices as a result of strong consumer demand and inventory shortages related to supply chain disruptions and production delays at vehicle manufacturers. These conditions may deteriorate in the future. Changes in these conditions could materially adversely impact the results of the Company's dealerships.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Other Businesses</w:t>
      </w:r>
    </w:p>
    <w:p>
      <w:pPr>
        <w:spacing w:after="0" w:line="119" w:lineRule="exact"/>
        <w:rPr>
          <w:sz w:val="20"/>
          <w:szCs w:val="20"/>
          <w:color w:val="auto"/>
        </w:rPr>
      </w:pPr>
    </w:p>
    <w:p>
      <w:pPr>
        <w:jc w:val="both"/>
        <w:ind w:left="520" w:right="125" w:hanging="408"/>
        <w:spacing w:after="0" w:line="250" w:lineRule="auto"/>
        <w:tabs>
          <w:tab w:leader="none" w:pos="515"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If </w:t>
      </w:r>
      <w:r>
        <w:rPr>
          <w:rFonts w:ascii="Times New Roman" w:cs="Times New Roman" w:eastAsia="Times New Roman" w:hAnsi="Times New Roman"/>
          <w:sz w:val="20"/>
          <w:szCs w:val="20"/>
          <w:color w:val="auto"/>
        </w:rPr>
        <w:t>Saatchi Art is Unable to Attract and Retain Artists, Convert Visitors, Retain C ustomers and</w:t>
      </w:r>
      <w:r>
        <w:rPr>
          <w:rFonts w:ascii="Arial" w:cs="Arial" w:eastAsia="Arial" w:hAnsi="Arial"/>
          <w:sz w:val="19"/>
          <w:szCs w:val="19"/>
          <w:color w:val="auto"/>
        </w:rPr>
        <w:t xml:space="preserve"> </w:t>
      </w:r>
      <w:r>
        <w:rPr>
          <w:rFonts w:ascii="Times New Roman" w:cs="Times New Roman" w:eastAsia="Times New Roman" w:hAnsi="Times New Roman"/>
          <w:sz w:val="20"/>
          <w:szCs w:val="20"/>
          <w:color w:val="auto"/>
        </w:rPr>
        <w:t xml:space="preserve">Successfully Drive Traffic </w:t>
      </w:r>
      <w:r>
        <w:rPr>
          <w:rFonts w:ascii="Times New Roman" w:cs="Times New Roman" w:eastAsia="Times New Roman" w:hAnsi="Times New Roman"/>
          <w:sz w:val="19"/>
          <w:szCs w:val="19"/>
          <w:color w:val="auto"/>
        </w:rPr>
        <w:t>to</w:t>
      </w:r>
      <w:r>
        <w:rPr>
          <w:rFonts w:ascii="Times New Roman" w:cs="Times New Roman" w:eastAsia="Times New Roman" w:hAnsi="Times New Roman"/>
          <w:sz w:val="20"/>
          <w:szCs w:val="20"/>
          <w:color w:val="auto"/>
        </w:rPr>
        <w:t xml:space="preserve"> its Marketplaces and Events, its Business and Results of Operations Would Be Adversely Affected.</w:t>
      </w:r>
    </w:p>
    <w:p>
      <w:pPr>
        <w:spacing w:after="0" w:line="100" w:lineRule="exact"/>
        <w:rPr>
          <w:sz w:val="20"/>
          <w:szCs w:val="20"/>
          <w:color w:val="auto"/>
        </w:rPr>
      </w:pPr>
    </w:p>
    <w:p>
      <w:pPr>
        <w:ind w:left="120" w:right="125" w:hanging="12"/>
        <w:spacing w:after="0" w:line="264" w:lineRule="auto"/>
        <w:rPr>
          <w:sz w:val="20"/>
          <w:szCs w:val="20"/>
          <w:color w:val="auto"/>
        </w:rPr>
      </w:pPr>
      <w:r>
        <w:rPr>
          <w:rFonts w:ascii="Times New Roman" w:cs="Times New Roman" w:eastAsia="Times New Roman" w:hAnsi="Times New Roman"/>
          <w:sz w:val="19"/>
          <w:szCs w:val="19"/>
          <w:color w:val="auto"/>
        </w:rPr>
        <w:t>Saatchi Art' s business and results of operations depend upon attracting and retaining artists whose artwork adds value to its marketplaces and that consumers want to purchase, and upon attracting customers who convert into</w:t>
      </w:r>
    </w:p>
    <w:p>
      <w:pPr>
        <w:sectPr>
          <w:pgSz w:w="12240" w:h="15850" w:orient="portrait"/>
          <w:cols w:equalWidth="0" w:num="1">
            <w:col w:w="9365"/>
          </w:cols>
          <w:pgMar w:left="1440" w:top="1392" w:right="1440" w:bottom="717"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44</w:t>
        <w:tab/>
        <w:t>2024 FORM 10-K</w:t>
      </w:r>
    </w:p>
    <w:p>
      <w:pPr>
        <w:sectPr>
          <w:pgSz w:w="12240" w:h="15850" w:orient="portrait"/>
          <w:cols w:equalWidth="0" w:num="1">
            <w:col w:w="9365"/>
          </w:cols>
          <w:pgMar w:left="1440" w:top="1392" w:right="1440" w:bottom="717" w:gutter="0" w:footer="0" w:header="0"/>
          <w:type w:val="continuous"/>
        </w:sectPr>
      </w:pPr>
    </w:p>
    <w:bookmarkStart w:id="60" w:name="page61"/>
    <w:bookmarkEnd w:id="60"/>
    <w:p>
      <w:pPr>
        <w:jc w:val="both"/>
        <w:ind w:left="100" w:right="105" w:firstLine="24"/>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new and repeat purchasers. Saatchi Art must continue to ensure there is a strong value proposition for artists to join and remain in the marketplace due to the quality of the service offered and the sales commissions it can generate. </w:t>
      </w:r>
      <w:r>
        <w:rPr>
          <w:rFonts w:ascii="Arial" w:cs="Arial" w:eastAsia="Arial" w:hAnsi="Arial"/>
          <w:sz w:val="18"/>
          <w:szCs w:val="18"/>
          <w:color w:val="auto"/>
        </w:rPr>
        <w:t>If</w:t>
      </w:r>
      <w:r>
        <w:rPr>
          <w:rFonts w:ascii="Times New Roman" w:cs="Times New Roman" w:eastAsia="Times New Roman" w:hAnsi="Times New Roman"/>
          <w:sz w:val="19"/>
          <w:szCs w:val="19"/>
          <w:color w:val="auto"/>
        </w:rPr>
        <w:t xml:space="preserve"> Saatchi Art is unable to do any of these functions effectively, then its business and results of operations would be adversely affected.</w:t>
      </w:r>
    </w:p>
    <w:p>
      <w:pPr>
        <w:spacing w:after="0" w:line="204" w:lineRule="exact"/>
        <w:rPr>
          <w:sz w:val="20"/>
          <w:szCs w:val="20"/>
          <w:color w:val="auto"/>
        </w:rPr>
      </w:pPr>
    </w:p>
    <w:p>
      <w:pPr>
        <w:ind w:left="520" w:right="145" w:hanging="409"/>
        <w:spacing w:after="0" w:line="260" w:lineRule="auto"/>
        <w:tabs>
          <w:tab w:leader="none" w:pos="512" w:val="left"/>
        </w:tabs>
        <w:numPr>
          <w:ilvl w:val="0"/>
          <w:numId w:val="43"/>
        </w:numPr>
        <w:rPr>
          <w:rFonts w:ascii="Arial" w:cs="Arial" w:eastAsia="Arial" w:hAnsi="Arial"/>
          <w:sz w:val="19"/>
          <w:szCs w:val="19"/>
          <w:color w:val="auto"/>
        </w:rPr>
      </w:pPr>
      <w:r>
        <w:rPr>
          <w:rFonts w:ascii="Arial" w:cs="Arial" w:eastAsia="Arial" w:hAnsi="Arial"/>
          <w:sz w:val="19"/>
          <w:szCs w:val="19"/>
          <w:color w:val="auto"/>
        </w:rPr>
        <w:t xml:space="preserve">If </w:t>
      </w:r>
      <w:r>
        <w:rPr>
          <w:rFonts w:ascii="Times New Roman" w:cs="Times New Roman" w:eastAsia="Times New Roman" w:hAnsi="Times New Roman"/>
          <w:sz w:val="19"/>
          <w:szCs w:val="19"/>
          <w:color w:val="auto"/>
        </w:rPr>
        <w:t>Society6 is Unable to Attract and Retain Customers and Successfully Drive Traffic to its</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Marketplace, its Business and Results of Operations Would Be Ad versely Affected.</w:t>
      </w:r>
    </w:p>
    <w:p>
      <w:pPr>
        <w:spacing w:after="0" w:line="105" w:lineRule="exact"/>
        <w:rPr>
          <w:sz w:val="20"/>
          <w:szCs w:val="20"/>
          <w:color w:val="auto"/>
        </w:rPr>
      </w:pPr>
    </w:p>
    <w:p>
      <w:pPr>
        <w:jc w:val="both"/>
        <w:ind w:left="120" w:right="105"/>
        <w:spacing w:after="0" w:line="263" w:lineRule="auto"/>
        <w:rPr>
          <w:sz w:val="20"/>
          <w:szCs w:val="20"/>
          <w:color w:val="auto"/>
        </w:rPr>
      </w:pPr>
      <w:r>
        <w:rPr>
          <w:rFonts w:ascii="Times New Roman" w:cs="Times New Roman" w:eastAsia="Times New Roman" w:hAnsi="Times New Roman"/>
          <w:sz w:val="19"/>
          <w:szCs w:val="19"/>
          <w:color w:val="auto"/>
        </w:rPr>
        <w:t xml:space="preserve">Society6's business and results of operation depend upon attracting and retaining customers who convert into new and repeat purchasers. Its ability to attract new customers, some of whom may already purchase similar products from competitors, depends in part on its ability to successfully drive traffic to its marketplace using social media platforms, email marketing campaigns and promotions, paid referrals, and search engines.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Society6 is unable to effectively attract and retain customers, then its business and results of operations would </w:t>
      </w:r>
      <w:r>
        <w:rPr>
          <w:rFonts w:ascii="Arial" w:cs="Arial" w:eastAsia="Arial" w:hAnsi="Arial"/>
          <w:sz w:val="18"/>
          <w:szCs w:val="18"/>
          <w:color w:val="auto"/>
        </w:rPr>
        <w:t>be</w:t>
      </w:r>
      <w:r>
        <w:rPr>
          <w:rFonts w:ascii="Times New Roman" w:cs="Times New Roman" w:eastAsia="Times New Roman" w:hAnsi="Times New Roman"/>
          <w:sz w:val="19"/>
          <w:szCs w:val="19"/>
          <w:color w:val="auto"/>
        </w:rPr>
        <w:t xml:space="preserve"> adversely affected.</w:t>
      </w:r>
    </w:p>
    <w:p>
      <w:pPr>
        <w:spacing w:after="0" w:line="200" w:lineRule="exact"/>
        <w:rPr>
          <w:sz w:val="20"/>
          <w:szCs w:val="20"/>
          <w:color w:val="auto"/>
        </w:rPr>
      </w:pPr>
    </w:p>
    <w:p>
      <w:pPr>
        <w:spacing w:after="0" w:line="235" w:lineRule="exact"/>
        <w:rPr>
          <w:sz w:val="20"/>
          <w:szCs w:val="20"/>
          <w:color w:val="auto"/>
        </w:rPr>
      </w:pPr>
    </w:p>
    <w:p>
      <w:pPr>
        <w:ind w:left="520" w:right="125" w:hanging="409"/>
        <w:spacing w:after="0" w:line="270" w:lineRule="auto"/>
        <w:tabs>
          <w:tab w:leader="none" w:pos="512"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If </w:t>
      </w:r>
      <w:r>
        <w:rPr>
          <w:rFonts w:ascii="Times New Roman" w:cs="Times New Roman" w:eastAsia="Times New Roman" w:hAnsi="Times New Roman"/>
          <w:sz w:val="19"/>
          <w:szCs w:val="19"/>
          <w:color w:val="auto"/>
        </w:rPr>
        <w:t>WGB Is Unable to Attract and Retain Visitors and Successfully Drive Traffic to its Media</w:t>
      </w:r>
      <w:r>
        <w:rPr>
          <w:rFonts w:ascii="Arial" w:cs="Arial" w:eastAsia="Arial" w:hAnsi="Arial"/>
          <w:sz w:val="19"/>
          <w:szCs w:val="19"/>
          <w:color w:val="auto"/>
        </w:rPr>
        <w:t xml:space="preserve"> </w:t>
      </w:r>
      <w:r>
        <w:rPr>
          <w:rFonts w:ascii="Times New Roman" w:cs="Times New Roman" w:eastAsia="Times New Roman" w:hAnsi="Times New Roman"/>
          <w:sz w:val="19"/>
          <w:szCs w:val="19"/>
          <w:color w:val="auto"/>
        </w:rPr>
        <w:t>Properties, its Business a nd Results of Operations Would Be Adversely Affected.</w:t>
      </w:r>
    </w:p>
    <w:p>
      <w:pPr>
        <w:spacing w:after="0" w:line="96" w:lineRule="exact"/>
        <w:rPr>
          <w:sz w:val="20"/>
          <w:szCs w:val="20"/>
          <w:color w:val="auto"/>
        </w:rPr>
      </w:pPr>
    </w:p>
    <w:p>
      <w:pPr>
        <w:jc w:val="both"/>
        <w:ind w:left="120" w:right="125" w:firstLine="12"/>
        <w:spacing w:after="0" w:line="262" w:lineRule="auto"/>
        <w:rPr>
          <w:sz w:val="20"/>
          <w:szCs w:val="20"/>
          <w:color w:val="auto"/>
        </w:rPr>
      </w:pPr>
      <w:r>
        <w:rPr>
          <w:rFonts w:ascii="Times New Roman" w:cs="Times New Roman" w:eastAsia="Times New Roman" w:hAnsi="Times New Roman"/>
          <w:sz w:val="19"/>
          <w:szCs w:val="19"/>
          <w:color w:val="auto"/>
        </w:rPr>
        <w:t>WGB 's business and results of operations depend upon attracting new visitors to its media properties and retaining its existing visitors. WGB's success in attracting traffic to its media properties and conve1ting these visitors into repeat users depends, in part, upon its ability to identify, create and distribute high-quality and reliable content and meet rapidly changing consumer demand. WGB may not be able to identify and create the desired content or produce an engaging user experience in a cost-effective or timely manner, if at all. WGB depends on search engines to direct a significant amount of traffic to its media and marketplace properties, and WGB utilizes search engine optimization efforts to help generate search referral traffic to its media properties. Changes in the methodologies or algorithms used by search engines to display results have caused and could continue to cause WGB' s properties to receive less favorable placements in the search results. If WGB is unable to successfully modify its search engine optimization practices in response to changes regularly implemented by searcm engine algorithms and in search query trends, or if WGB is unable to generate increased or diversified traffic from other sources such as social media, email, direct navigation and online marketing activities, WGB could continue to experience substantial declines in traffic to its media properties which would adversely impact WGB 's business and results of operations.</w:t>
      </w:r>
    </w:p>
    <w:p>
      <w:pPr>
        <w:spacing w:after="0" w:line="200" w:lineRule="exact"/>
        <w:rPr>
          <w:sz w:val="20"/>
          <w:szCs w:val="20"/>
          <w:color w:val="auto"/>
        </w:rPr>
      </w:pPr>
    </w:p>
    <w:p>
      <w:pPr>
        <w:spacing w:after="0" w:line="257" w:lineRule="exact"/>
        <w:rPr>
          <w:sz w:val="20"/>
          <w:szCs w:val="20"/>
          <w:color w:val="auto"/>
        </w:rPr>
      </w:pPr>
    </w:p>
    <w:p>
      <w:pPr>
        <w:ind w:left="520" w:right="125" w:hanging="409"/>
        <w:spacing w:after="0" w:line="253" w:lineRule="auto"/>
        <w:tabs>
          <w:tab w:leader="none" w:pos="521" w:val="left"/>
        </w:tabs>
        <w:numPr>
          <w:ilvl w:val="0"/>
          <w:numId w:val="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Failure to Recruit and Reta in Employees in the Company's Restaurants Could Adversely Impact the Company's Restaurant Business.</w:t>
      </w:r>
    </w:p>
    <w:p>
      <w:pPr>
        <w:spacing w:after="0" w:line="121"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Historically, competition among restaurant companies for qualified management and staff has been very high. The Company's ability to recruit and retain managers and staff to operate the Company's restaurants is critical to a customer's dining experience. Failure to recruit and retain employees, low levels of unemployment or high turnover levels could negatively affect the Company's restaurant business. Tipped wage legislation is presenting new challenges to balance menu pricing, service standards, staffing levels, operating costs and public awareness as new wage laws are implemented.</w:t>
      </w:r>
    </w:p>
    <w:p>
      <w:pPr>
        <w:spacing w:after="0" w:line="209" w:lineRule="exact"/>
        <w:rPr>
          <w:sz w:val="20"/>
          <w:szCs w:val="20"/>
          <w:color w:val="auto"/>
        </w:rPr>
      </w:pPr>
    </w:p>
    <w:p>
      <w:pPr>
        <w:ind w:left="520" w:right="125" w:hanging="409"/>
        <w:spacing w:after="0" w:line="264" w:lineRule="auto"/>
        <w:tabs>
          <w:tab w:leader="none" w:pos="520" w:val="left"/>
        </w:tabs>
        <w:numPr>
          <w:ilvl w:val="0"/>
          <w:numId w:val="4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Food-borne lllness Concerns a nd Damage to the Company's Reputation Could Harm the Company's Restaurant Business.</w:t>
      </w:r>
    </w:p>
    <w:p>
      <w:pPr>
        <w:spacing w:after="0" w:line="94"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 xml:space="preserve">Historically, reports of food-borne illness or food safety issues at restaurants, even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caused by food suppliers or distributors, have had negative effects, and may continue to have, negative effects on restaurant sales. Because food safety issues could be experienced! at the source by food suppliers or distributors, food safety could, in part, be out of the Company's control. Even instances of food-borne illness at a location served by one of the Company's competitors could result in negative publicity regarding the food service industry generally and could negatively impact restaurant revenue. Regardless of the source or cause, negative publicity about food-borne illness or other food safety issues could adversely impact the Company's reputation. Similarly, publicity about litigation, violence, complaints, or government investigations could have a negative effect on the Company's restaurant business.</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45</w:t>
      </w:r>
    </w:p>
    <w:p>
      <w:pPr>
        <w:sectPr>
          <w:pgSz w:w="12240" w:h="15850" w:orient="portrait"/>
          <w:cols w:equalWidth="0" w:num="1">
            <w:col w:w="9365"/>
          </w:cols>
          <w:pgMar w:left="1440" w:top="1392" w:right="1440" w:bottom="721" w:gutter="0" w:footer="0" w:header="0"/>
          <w:type w:val="continuous"/>
        </w:sectPr>
      </w:pPr>
    </w:p>
    <w:bookmarkStart w:id="61" w:name="page62"/>
    <w:bookmarkEnd w:id="61"/>
    <w:p>
      <w:pPr>
        <w:ind w:left="520" w:right="125" w:hanging="409"/>
        <w:spacing w:after="0" w:line="238" w:lineRule="auto"/>
        <w:tabs>
          <w:tab w:leader="none" w:pos="520"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 oncentration of the Company's Restaurants in the Washington, D.C. Region Subjects the Compa ny's Resta urant Business to Regional Economic Conditions.</w:t>
      </w:r>
    </w:p>
    <w:p>
      <w:pPr>
        <w:spacing w:after="0" w:line="154" w:lineRule="exact"/>
        <w:rPr>
          <w:sz w:val="20"/>
          <w:szCs w:val="20"/>
          <w:color w:val="auto"/>
        </w:rPr>
      </w:pPr>
    </w:p>
    <w:p>
      <w:pPr>
        <w:jc w:val="both"/>
        <w:ind w:left="120" w:right="105"/>
        <w:spacing w:after="0" w:line="256" w:lineRule="auto"/>
        <w:rPr>
          <w:sz w:val="20"/>
          <w:szCs w:val="20"/>
          <w:color w:val="auto"/>
        </w:rPr>
      </w:pPr>
      <w:r>
        <w:rPr>
          <w:rFonts w:ascii="Times New Roman" w:cs="Times New Roman" w:eastAsia="Times New Roman" w:hAnsi="Times New Roman"/>
          <w:sz w:val="19"/>
          <w:szCs w:val="19"/>
          <w:color w:val="auto"/>
        </w:rPr>
        <w:t>The concentration of the Company's restaurants in the Washington, D.C. region subjects it to adverse economic conditions and trends in the region that are out of the Company's control. For example, increases in the level of unemployment, a temporary government shutdown or a decrease in tourism would decrease customers' disposable income available for discretionary spending. These and other national, regional and local economic pressures could result in decreases in customer traffic and lower sales and profits.</w:t>
      </w:r>
    </w:p>
    <w:p>
      <w:pPr>
        <w:spacing w:after="0" w:line="37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the Company's Stock Ownership and Operations</w:t>
      </w:r>
    </w:p>
    <w:p>
      <w:pPr>
        <w:spacing w:after="0" w:line="123" w:lineRule="exact"/>
        <w:rPr>
          <w:sz w:val="20"/>
          <w:szCs w:val="20"/>
          <w:color w:val="auto"/>
        </w:rPr>
      </w:pPr>
    </w:p>
    <w:p>
      <w:pPr>
        <w:ind w:left="520" w:hanging="409"/>
        <w:spacing w:after="0"/>
        <w:tabs>
          <w:tab w:leader="none" w:pos="520"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a Controlled Company, the Rights of Class B Common Stockholders Are Limited.</w:t>
      </w:r>
    </w:p>
    <w:p>
      <w:pPr>
        <w:spacing w:after="0" w:line="162" w:lineRule="exact"/>
        <w:rPr>
          <w:sz w:val="20"/>
          <w:szCs w:val="20"/>
          <w:color w:val="auto"/>
        </w:rPr>
      </w:pPr>
    </w:p>
    <w:p>
      <w:pPr>
        <w:jc w:val="both"/>
        <w:ind w:left="120" w:right="125" w:firstLine="2"/>
        <w:spacing w:after="0" w:line="261" w:lineRule="auto"/>
        <w:rPr>
          <w:sz w:val="20"/>
          <w:szCs w:val="20"/>
          <w:color w:val="auto"/>
        </w:rPr>
      </w:pPr>
      <w:r>
        <w:rPr>
          <w:rFonts w:ascii="Times New Roman" w:cs="Times New Roman" w:eastAsia="Times New Roman" w:hAnsi="Times New Roman"/>
          <w:sz w:val="19"/>
          <w:szCs w:val="19"/>
          <w:color w:val="auto"/>
        </w:rPr>
        <w:t>The Company has two classes of shares, Class A Common Stock and Class B Common Stock. Class B Common Stock has limited voting rights, including the right to elect 30% of the Company's Board of Directors, to vote on the reservation of shares for option grants and on the acquisition of the stock or assets of other companies under certain circumstances. The descendants of Katharine Graham and trusts for the benefit of those descendants own the majority of the shares of Class A Common Stock and have the right to vote for 70% of the Board of Directors and to vote on all other matters. As a result, control of the Company has been and is expected to remain with members of the Graham family. In addition, the Company is a "controlled company" under the corporate governance rules of the New York Stock Exchange (NYSE) and as such, the Company is exempt from certain corporate governance requirements of the NYSE.</w:t>
      </w:r>
    </w:p>
    <w:p>
      <w:pPr>
        <w:spacing w:after="0" w:line="246" w:lineRule="exact"/>
        <w:rPr>
          <w:sz w:val="20"/>
          <w:szCs w:val="20"/>
          <w:color w:val="auto"/>
        </w:rPr>
      </w:pPr>
    </w:p>
    <w:p>
      <w:pPr>
        <w:ind w:left="520" w:right="125" w:hanging="409"/>
        <w:spacing w:after="0" w:line="238" w:lineRule="auto"/>
        <w:tabs>
          <w:tab w:leader="none" w:pos="521"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Pandemics or Other Outbreaks of Disease, Such as the COVID-19 Pandemic, Have Had, and Future Outbreaks Could Have, Adverse Impacts on the Company's Businesses.</w:t>
      </w:r>
    </w:p>
    <w:p>
      <w:pPr>
        <w:spacing w:after="0" w:line="154"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Pandemics and other disease outbreaks, such as the COVID-19 pandemic, have materially affected, and may in the future, materially adversely affect the Company's businesses, including the demand for its products and services. As a result of the COVID-19 pandemk, travel restrictions and school closures impeded the ability of students to travel to undertake overseas study resulting in reduced enrollments for programs offered by Kl, reduced demand for student housing and delays and cancellations of standardized tests. The adverse impact of a new health crisis could include, and in the past has included, reduced demand for the Company's products and services, supply chain disruptions, asset impairment charges, labor and manufacturing disruptions and restaurant and other closures.</w:t>
      </w:r>
    </w:p>
    <w:p>
      <w:pPr>
        <w:spacing w:after="0" w:line="200" w:lineRule="exact"/>
        <w:rPr>
          <w:sz w:val="20"/>
          <w:szCs w:val="20"/>
          <w:color w:val="auto"/>
        </w:rPr>
      </w:pPr>
    </w:p>
    <w:p>
      <w:pPr>
        <w:spacing w:after="0" w:line="277" w:lineRule="exact"/>
        <w:rPr>
          <w:sz w:val="20"/>
          <w:szCs w:val="20"/>
          <w:color w:val="auto"/>
        </w:rPr>
      </w:pPr>
    </w:p>
    <w:p>
      <w:pPr>
        <w:ind w:left="520" w:right="125" w:firstLine="1"/>
        <w:spacing w:after="0" w:line="247" w:lineRule="auto"/>
        <w:rPr>
          <w:sz w:val="20"/>
          <w:szCs w:val="20"/>
          <w:color w:val="auto"/>
        </w:rPr>
      </w:pPr>
      <w:r>
        <w:rPr>
          <w:rFonts w:ascii="Times New Roman" w:cs="Times New Roman" w:eastAsia="Times New Roman" w:hAnsi="Times New Roman"/>
          <w:sz w:val="20"/>
          <w:szCs w:val="20"/>
          <w:color w:val="auto"/>
        </w:rPr>
        <w:t>Failure to Comply with E nvironmental and Health and Safety Laws Applicable to the Compa ny's Operations Could Negatively Impact the Company's Bus inesses.</w:t>
      </w:r>
    </w:p>
    <w:p>
      <w:pPr>
        <w:spacing w:after="0" w:line="146"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The Company's operations are subject to extensive federal, state and local laws and regulations relating to the environment, as well as health and workplace safety, including those set forth by the Occupational Safety and Health Administration (OSHA), the Environmental Protection Agency (EPA) and state and local regulatory authorities in the U.S. as well as similar laws and regulations internationally where the Company operates. Such laws and regulations affect operations and require compliance with various environmental registrations, licenses, permits, inspections and other approvals. In the U.K., the Company will be subject to new registration requirements under the U.K. Building Safety Act in 2022 with respect to its dormitories as well as compliance with existing U.K. and local legislation regarding licensing occupancy of such dormitories. The Company incurs substantial costs to comply with these regulations, and any failure to comply may expose the Company to civil, criminal and administrative fees, fines, penalties and interruptions in operations that could have a material</w:t>
      </w:r>
    </w:p>
    <w:p>
      <w:pPr>
        <w:ind w:left="120"/>
        <w:spacing w:after="0"/>
        <w:rPr>
          <w:sz w:val="20"/>
          <w:szCs w:val="20"/>
          <w:color w:val="auto"/>
        </w:rPr>
      </w:pPr>
      <w:r>
        <w:rPr>
          <w:rFonts w:ascii="Times New Roman" w:cs="Times New Roman" w:eastAsia="Times New Roman" w:hAnsi="Times New Roman"/>
          <w:sz w:val="21"/>
          <w:szCs w:val="21"/>
          <w:color w:val="auto"/>
        </w:rPr>
        <w:t>adverse impact on the Company's resulls of operations, financial position or cash flows.</w:t>
      </w:r>
    </w:p>
    <w:p>
      <w:pPr>
        <w:spacing w:after="0" w:line="272" w:lineRule="exact"/>
        <w:rPr>
          <w:sz w:val="20"/>
          <w:szCs w:val="20"/>
          <w:color w:val="auto"/>
        </w:rPr>
      </w:pPr>
    </w:p>
    <w:p>
      <w:pPr>
        <w:jc w:val="both"/>
        <w:ind w:left="120" w:right="105" w:firstLine="11"/>
        <w:spacing w:after="0" w:line="258" w:lineRule="auto"/>
        <w:rPr>
          <w:sz w:val="20"/>
          <w:szCs w:val="20"/>
          <w:color w:val="auto"/>
        </w:rPr>
      </w:pPr>
      <w:r>
        <w:rPr>
          <w:rFonts w:ascii="Times New Roman" w:cs="Times New Roman" w:eastAsia="Times New Roman" w:hAnsi="Times New Roman"/>
          <w:sz w:val="19"/>
          <w:szCs w:val="19"/>
          <w:color w:val="auto"/>
        </w:rPr>
        <w:t xml:space="preserve">Environmental laws and regulations to which the Company is subject include those governing discharges into the air and water; the operation and removal of above-ground and underground storage tanks; the use, handling, storage and disposal of hazardous substances and other materials; and the investigation and remediation of environmental contamination at facilities that are owned or operated by the Company. The Company may </w:t>
      </w:r>
      <w:r>
        <w:rPr>
          <w:rFonts w:ascii="Arial" w:cs="Arial" w:eastAsia="Arial" w:hAnsi="Arial"/>
          <w:sz w:val="18"/>
          <w:szCs w:val="18"/>
          <w:color w:val="auto"/>
        </w:rPr>
        <w:t>be</w:t>
      </w:r>
    </w:p>
    <w:p>
      <w:pPr>
        <w:sectPr>
          <w:pgSz w:w="12240" w:h="15850" w:orient="portrait"/>
          <w:cols w:equalWidth="0" w:num="1">
            <w:col w:w="9365"/>
          </w:cols>
          <w:pgMar w:left="1440" w:top="1386" w:right="1440" w:bottom="719" w:gutter="0" w:footer="0" w:header="0"/>
        </w:sectPr>
      </w:pPr>
    </w:p>
    <w:p>
      <w:pPr>
        <w:spacing w:after="0" w:line="200" w:lineRule="exact"/>
        <w:rPr>
          <w:sz w:val="20"/>
          <w:szCs w:val="20"/>
          <w:color w:val="auto"/>
        </w:rPr>
      </w:pPr>
    </w:p>
    <w:p>
      <w:pPr>
        <w:spacing w:after="0" w:line="28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46</w:t>
        <w:tab/>
        <w:t xml:space="preserve">2024 </w:t>
      </w:r>
      <w:r>
        <w:rPr>
          <w:rFonts w:ascii="Times New Roman" w:cs="Times New Roman" w:eastAsia="Times New Roman" w:hAnsi="Times New Roman"/>
          <w:sz w:val="18"/>
          <w:szCs w:val="18"/>
          <w:color w:val="auto"/>
        </w:rPr>
        <w:t>FORM</w:t>
      </w:r>
      <w:r>
        <w:rPr>
          <w:rFonts w:ascii="Times New Roman" w:cs="Times New Roman" w:eastAsia="Times New Roman" w:hAnsi="Times New Roman"/>
          <w:sz w:val="20"/>
          <w:szCs w:val="20"/>
          <w:color w:val="auto"/>
        </w:rPr>
        <w:t xml:space="preserve"> 10-K</w:t>
      </w:r>
    </w:p>
    <w:p>
      <w:pPr>
        <w:sectPr>
          <w:pgSz w:w="12240" w:h="15850" w:orient="portrait"/>
          <w:cols w:equalWidth="0" w:num="1">
            <w:col w:w="9365"/>
          </w:cols>
          <w:pgMar w:left="1440" w:top="1386" w:right="1440" w:bottom="719" w:gutter="0" w:footer="0" w:header="0"/>
          <w:type w:val="continuous"/>
        </w:sectPr>
      </w:pPr>
    </w:p>
    <w:bookmarkStart w:id="62" w:name="page63"/>
    <w:bookmarkEnd w:id="62"/>
    <w:p>
      <w:pPr>
        <w:jc w:val="both"/>
        <w:ind w:left="120" w:right="125" w:firstLine="9"/>
        <w:spacing w:after="0" w:line="26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subject to liability, for example, in the automotive business, because the business involves the generation, use, handling and contracting for recycling or disposal of hazard ous or toxic substances or wastes, including environmentally sensitive materials such as motor oil, fillers, transmission fluid, antifreeLe, refrigeranL, batteries, solvents, lubricants, tires and fuel. In addition, climate change could cause increases in hurricanes, floods, wildfires, and other risks that could produce losses affecting the Company's businesses. Although in connection with certain acquisitions, the Company has obtained indemnification for certain environmental liabilities and insurance policies, sucih rights and policies may not be sufficient to reimburse the Company for all losses that it might incur. The Company has incurred, and will continue to incur, capital and operating expenditures and other costs to comply with such laws and regulations and changes to such regulations, including any new regulations related to c limate change, could give rise to additional compliance or remedial costs.</w:t>
      </w:r>
    </w:p>
    <w:p>
      <w:pPr>
        <w:spacing w:after="0" w:line="217" w:lineRule="exact"/>
        <w:rPr>
          <w:sz w:val="20"/>
          <w:szCs w:val="20"/>
          <w:color w:val="auto"/>
        </w:rPr>
      </w:pPr>
    </w:p>
    <w:p>
      <w:pPr>
        <w:ind w:left="520" w:right="125" w:hanging="8"/>
        <w:spacing w:after="0" w:line="241" w:lineRule="auto"/>
        <w:rPr>
          <w:sz w:val="20"/>
          <w:szCs w:val="20"/>
          <w:color w:val="auto"/>
        </w:rPr>
      </w:pPr>
      <w:r>
        <w:rPr>
          <w:rFonts w:ascii="Times New Roman" w:cs="Times New Roman" w:eastAsia="Times New Roman" w:hAnsi="Times New Roman"/>
          <w:sz w:val="20"/>
          <w:szCs w:val="20"/>
          <w:color w:val="auto"/>
        </w:rPr>
        <w:t>Failure</w:t>
      </w:r>
      <w:r>
        <w:rPr>
          <w:sz w:val="20"/>
          <w:szCs w:val="20"/>
          <w:color w:val="auto"/>
        </w:rPr>
        <w:t xml:space="preserve"> </w:t>
      </w:r>
      <w:r>
        <w:rPr>
          <w:rFonts w:ascii="Times New Roman" w:cs="Times New Roman" w:eastAsia="Times New Roman" w:hAnsi="Times New Roman"/>
          <w:sz w:val="20"/>
          <w:szCs w:val="20"/>
          <w:color w:val="auto"/>
        </w:rPr>
        <w:t>to Successfully Integrate Acquired Businesses Could Negatively Affect the Company's Operating Results.</w:t>
      </w:r>
    </w:p>
    <w:p>
      <w:pPr>
        <w:spacing w:after="0" w:line="361" w:lineRule="exact"/>
        <w:rPr>
          <w:sz w:val="20"/>
          <w:szCs w:val="20"/>
          <w:color w:val="auto"/>
        </w:rPr>
      </w:pPr>
    </w:p>
    <w:p>
      <w:pPr>
        <w:jc w:val="both"/>
        <w:ind w:left="120" w:right="105" w:firstLine="12"/>
        <w:spacing w:after="0" w:line="262" w:lineRule="auto"/>
        <w:rPr>
          <w:sz w:val="20"/>
          <w:szCs w:val="20"/>
          <w:color w:val="auto"/>
        </w:rPr>
      </w:pPr>
      <w:r>
        <w:rPr>
          <w:rFonts w:ascii="Times New Roman" w:cs="Times New Roman" w:eastAsia="Times New Roman" w:hAnsi="Times New Roman"/>
          <w:sz w:val="19"/>
          <w:szCs w:val="19"/>
          <w:color w:val="auto"/>
        </w:rPr>
        <w:t>Acqui sitions invo lve various inherent risks and uncertainties, including difficulties in efficiently integrating the service offerings, accounting and other administrative systems of an acquired business; the challenges of assimilating and retaining key personnel; the consequences of diverting the attention of senior management from existing operations; the possibility that an acquired business does not meet or exceed the financial projections that supported the purchase price; and the possible failure of the due diligence process to identify significant business risks or liabilities associated with the acquired business. A failure to effectively manage growth and integrate acquired businesses could have a material adverse effect on the Company's operating results.</w:t>
      </w:r>
    </w:p>
    <w:p>
      <w:pPr>
        <w:spacing w:after="0" w:line="218" w:lineRule="exact"/>
        <w:rPr>
          <w:sz w:val="20"/>
          <w:szCs w:val="20"/>
          <w:color w:val="auto"/>
        </w:rPr>
      </w:pPr>
    </w:p>
    <w:p>
      <w:pPr>
        <w:ind w:left="520" w:right="145"/>
        <w:spacing w:after="0" w:line="252" w:lineRule="auto"/>
        <w:rPr>
          <w:sz w:val="20"/>
          <w:szCs w:val="20"/>
          <w:color w:val="auto"/>
        </w:rPr>
      </w:pPr>
      <w:r>
        <w:rPr>
          <w:rFonts w:ascii="Times New Roman" w:cs="Times New Roman" w:eastAsia="Times New Roman" w:hAnsi="Times New Roman"/>
          <w:sz w:val="20"/>
          <w:szCs w:val="20"/>
          <w:color w:val="auto"/>
        </w:rPr>
        <w:t>Changes in Business Conditions Have Caused and May in the Future Cause Goodwill and Other Intangible Assets to Become lntpaired.</w:t>
      </w:r>
    </w:p>
    <w:p>
      <w:pPr>
        <w:spacing w:after="0" w:line="109" w:lineRule="exact"/>
        <w:rPr>
          <w:sz w:val="20"/>
          <w:szCs w:val="20"/>
          <w:color w:val="auto"/>
        </w:rPr>
      </w:pPr>
    </w:p>
    <w:p>
      <w:pPr>
        <w:jc w:val="both"/>
        <w:ind w:left="120" w:right="105" w:firstLine="2"/>
        <w:spacing w:after="0" w:line="263" w:lineRule="auto"/>
        <w:rPr>
          <w:sz w:val="20"/>
          <w:szCs w:val="20"/>
          <w:color w:val="auto"/>
        </w:rPr>
      </w:pPr>
      <w:r>
        <w:rPr>
          <w:rFonts w:ascii="Times New Roman" w:cs="Times New Roman" w:eastAsia="Times New Roman" w:hAnsi="Times New Roman"/>
          <w:sz w:val="19"/>
          <w:szCs w:val="19"/>
          <w:color w:val="auto"/>
        </w:rPr>
        <w:t>Goodwill generally represents the purchase price paid in excess of the fai r value of net tangible and intangible assets acquired in a business combination. Goodwill is not amortized and remains on the Company's balance sheet indefinitely unless there is a n impairment or a sale of a portion of the business. Goodwill is subject to an impairment test on an annual basis and when circumstances indicate that an impairment is more likely than not. Such circumstances include an adverse change in the business climate for one of the Company's businesses or a decision to dispose of a business o r a sjgnificant portion of a business. Each of tlhe Company's businesses faces uncertainty in its business environment due to a variety of factors, including cha llenges in operating environments created by macro-economic factors, pandemics and changes in demand for products and services. In the fourth quarter of 2024, the Company recorded an intangible asset impairment of $22.9 million of the MPW brand name and in the second quarter of 2024, the Company recorded a goodwill and intangible asset impairment of $26.3 million at WGB due to substantial digital advertising revenue declines. Additional declines in revenue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 The Company may experience other unforeseen c ircumstances that adversely affect the value of the Company's goodwill or intangible assets and trigger an evaluation of the amount of the recorded goodwill and intangible assets. T here also exists a reasonable possibility that changes to the discounted cash-flow model used to perform the quantitative goodwill impairment review, including a decrease in the asslllmed projected cash flows or long-term growth rate, or an increase in the discount rate assumption, could result in an impairment charge. Future write-offs of goodwill or other intangible assets as a result of an impairment in the business could materially adversely affect the Company's results of operations and financial condition.</w:t>
      </w:r>
    </w:p>
    <w:p>
      <w:pPr>
        <w:spacing w:after="0" w:line="200" w:lineRule="exact"/>
        <w:rPr>
          <w:sz w:val="20"/>
          <w:szCs w:val="20"/>
          <w:color w:val="auto"/>
        </w:rPr>
      </w:pPr>
    </w:p>
    <w:p>
      <w:pPr>
        <w:spacing w:after="0" w:line="266" w:lineRule="exact"/>
        <w:rPr>
          <w:sz w:val="20"/>
          <w:szCs w:val="20"/>
          <w:color w:val="auto"/>
        </w:rPr>
      </w:pPr>
    </w:p>
    <w:p>
      <w:pPr>
        <w:ind w:left="520" w:right="125" w:hanging="409"/>
        <w:spacing w:after="0" w:line="242" w:lineRule="auto"/>
        <w:tabs>
          <w:tab w:leader="none" w:pos="518"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Changes in International Income Tax Laws Have Subjected and Could F urther Subject the Company to Increased Taxes and Increased Compliance Costs.</w:t>
      </w:r>
    </w:p>
    <w:p>
      <w:pPr>
        <w:spacing w:after="0" w:line="138" w:lineRule="exact"/>
        <w:rPr>
          <w:sz w:val="20"/>
          <w:szCs w:val="20"/>
          <w:color w:val="auto"/>
        </w:rPr>
      </w:pPr>
    </w:p>
    <w:p>
      <w:pPr>
        <w:jc w:val="both"/>
        <w:ind w:left="120" w:right="125" w:firstLine="1"/>
        <w:spacing w:after="0" w:line="255" w:lineRule="auto"/>
        <w:rPr>
          <w:sz w:val="20"/>
          <w:szCs w:val="20"/>
          <w:color w:val="auto"/>
        </w:rPr>
      </w:pPr>
      <w:r>
        <w:rPr>
          <w:rFonts w:ascii="Times New Roman" w:cs="Times New Roman" w:eastAsia="Times New Roman" w:hAnsi="Times New Roman"/>
          <w:sz w:val="19"/>
          <w:szCs w:val="19"/>
          <w:color w:val="auto"/>
        </w:rPr>
        <w:t>Many countries have proposed or enacted changes to their tax laws to implement a minimum 15% tax rate on certain multinational companies based on a set of rules known as Pillar Two issued by the Organization for Economic Co-operation and Development (OECD). Global tax developments, such as Pillar T wo, have subjected and could further subject the Company to increased taxes and increased compliance costs.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0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47</w:t>
      </w:r>
    </w:p>
    <w:p>
      <w:pPr>
        <w:sectPr>
          <w:pgSz w:w="12240" w:h="15850" w:orient="portrait"/>
          <w:cols w:equalWidth="0" w:num="1">
            <w:col w:w="9365"/>
          </w:cols>
          <w:pgMar w:left="1440" w:top="1394" w:right="1440" w:bottom="721" w:gutter="0" w:footer="0" w:header="0"/>
          <w:type w:val="continuous"/>
        </w:sectPr>
      </w:pPr>
    </w:p>
    <w:bookmarkStart w:id="63" w:name="page64"/>
    <w:bookmarkEnd w:id="63"/>
    <w:p>
      <w:pPr>
        <w:ind w:left="500" w:right="125" w:hanging="389"/>
        <w:spacing w:after="0" w:line="237" w:lineRule="auto"/>
        <w:tabs>
          <w:tab w:leader="none" w:pos="50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Current Tariffs a nd the Introduction of Additional Tariffs Could Increase Material Costs and Reduce Demand.</w:t>
      </w:r>
    </w:p>
    <w:p>
      <w:pPr>
        <w:spacing w:after="0" w:line="157" w:lineRule="exact"/>
        <w:rPr>
          <w:sz w:val="20"/>
          <w:szCs w:val="20"/>
          <w:color w:val="auto"/>
        </w:rPr>
      </w:pPr>
    </w:p>
    <w:p>
      <w:pPr>
        <w:jc w:val="both"/>
        <w:ind w:left="120" w:right="125" w:firstLine="1"/>
        <w:spacing w:after="0" w:line="258" w:lineRule="auto"/>
        <w:rPr>
          <w:sz w:val="20"/>
          <w:szCs w:val="20"/>
          <w:color w:val="auto"/>
        </w:rPr>
      </w:pPr>
      <w:r>
        <w:rPr>
          <w:rFonts w:ascii="Times New Roman" w:cs="Times New Roman" w:eastAsia="Times New Roman" w:hAnsi="Times New Roman"/>
          <w:sz w:val="19"/>
          <w:szCs w:val="19"/>
          <w:color w:val="auto"/>
        </w:rPr>
        <w:t>The Company's businesses purchase materials from suppliers in both the U.S. and other countries, including Mexico, Canada and China. Some of its businesses source products and parts from regions that have already been subject to tariffs that have impacted the cost of their products. Should new tariffs be levied on goods or materials imported from other countries, it could result in cost increases to both the Company and its customers and could impact customer demand. Widespread imposition of tariffs could materially adversely affect the Company's results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Risks Related to Cybersecurity, Priva cy, Artificial Intelligence and Intellectua l Property</w:t>
      </w:r>
    </w:p>
    <w:p>
      <w:pPr>
        <w:spacing w:after="0" w:line="137" w:lineRule="exact"/>
        <w:rPr>
          <w:sz w:val="20"/>
          <w:szCs w:val="20"/>
          <w:color w:val="auto"/>
        </w:rPr>
      </w:pPr>
    </w:p>
    <w:p>
      <w:pPr>
        <w:jc w:val="both"/>
        <w:ind w:left="520" w:right="105" w:hanging="1"/>
        <w:spacing w:after="0" w:line="248" w:lineRule="auto"/>
        <w:rPr>
          <w:sz w:val="20"/>
          <w:szCs w:val="20"/>
          <w:color w:val="auto"/>
        </w:rPr>
      </w:pPr>
      <w:r>
        <w:rPr>
          <w:rFonts w:ascii="Times New Roman" w:cs="Times New Roman" w:eastAsia="Times New Roman" w:hAnsi="Times New Roman"/>
          <w:sz w:val="20"/>
          <w:szCs w:val="20"/>
          <w:color w:val="auto"/>
        </w:rPr>
        <w:t>System Disruptions a nd Security Threats to the Company's Information Technology Infrastructure, or Those of Third Parties, Could Have a Material Adverse Effect on Its Businesses and Results of Operations.</w:t>
      </w:r>
    </w:p>
    <w:p>
      <w:pPr>
        <w:spacing w:after="0" w:line="374"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Company reHes extensively on information technology systems, networks and services, inducting internet sites, data hosting and processing faciHties and tools and other hardware, software and technical platforms, some of which are managed, hosted, provided and/or used by third parties or their vendors, to assist in conducting the Company's business.</w:t>
      </w:r>
    </w:p>
    <w:p>
      <w:pPr>
        <w:spacing w:after="0" w:line="248"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The Company's systems and the third-party systems on which it relies have been subjected to, and will continue to be subject to, damage or interruption from a number of causes, including but not limited to power outages; computer and telecommunications failures; computer viruses; industry-wide software supply chain vulnerabilities and security breaches; cyberattacks, including phishing and other forms of social engineering such as deepfakes, hacking; denial-of-service allacks; cyber extortion; including the use of ransom ware and other actions or attempts to exploit vulnerabilities; catastrophic events such as fires, floods, earthquakes, tornadoes and hurricanes; infectious disease outbreaks (such as COVID-19); acts of war or terrorism; and design or usage errors by our employees, contractors or third-party service providers. The techniques used by computer hackers and cyber criminals to obtain unauthorized access to data or to sabotage computer systems change frequently, continue to grow in sophistication and volume, and may not be detected until after an incident has occurred. These techniques include using artificial intelligence, including generative AI to enhance their attacks, which may increase our cybersecurity risk. Although the Company and the third-party service providers seek to maintain their respective systems effectively and to successfully address the risk of compromise of the integrity, security and consistent operations of these systems, such efforts may not be successful. As a result, the Company or its service providers could experience errors, interruptions, delays or cessations of service in key portions of the Company' s information technology infrastructure, which could significantly dnsrupt its operations, including manufacturing production delays, and be costly, time-consuming and resource-intensive to remedy. Any security breach or unauthorized access also could result in a misappropriation of the Company's proprietary information or the proprietary information of the Company's users, customers or partners, which could result in significant legal and financial exposure and damage to the Company's reputation. If an actual or perceived breach of the Company's security occurs, or if the Company's consumer-facing sites become the subject of external attacks that affect or disrupt service or availability, the market perception of the effectiveness of the Company's security measures could be harmed and the Company could lose users, customers, advertisers or partners, all of which could have a material adverse effect on the Company' s business, financial condition and results of operations. Any security breach at a company providing services to the Company or the Company's users, including third-party !Payment processors, could have similar effects and the Company may not be fully indemnified for the costs it may incur as a result of any such breach. To the extent thal such vulnerabilities require remediation; such remedial measures could require significant resources and may not be implemented before such vulnerabilities are exploited. As the cybersecurity landscape evolves, the Company may also find it necessary to make significant further investments to protect data and in frastructure, including continuing to evaluate control changes and investments needed to support an increased remote workforce. Any of these events could have a material adverse effect on the Company's businesses and results of operations. Sustained or repeated system failures or</w:t>
      </w:r>
    </w:p>
    <w:p>
      <w:pPr>
        <w:sectPr>
          <w:pgSz w:w="12240" w:h="15850" w:orient="portrait"/>
          <w:cols w:equalWidth="0" w:num="1">
            <w:col w:w="9365"/>
          </w:cols>
          <w:pgMar w:left="1440" w:top="1382"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48</w:t>
        <w:tab/>
        <w:t>2024 FORM 10-K</w:t>
      </w:r>
    </w:p>
    <w:p>
      <w:pPr>
        <w:sectPr>
          <w:pgSz w:w="12240" w:h="15850" w:orient="portrait"/>
          <w:cols w:equalWidth="0" w:num="1">
            <w:col w:w="9365"/>
          </w:cols>
          <w:pgMar w:left="1440" w:top="1382" w:right="1440" w:bottom="717" w:gutter="0" w:footer="0" w:header="0"/>
          <w:type w:val="continuous"/>
        </w:sectPr>
      </w:pPr>
    </w:p>
    <w:bookmarkStart w:id="64" w:name="page65"/>
    <w:bookmarkEnd w:id="64"/>
    <w:p>
      <w:pPr>
        <w:jc w:val="both"/>
        <w:ind w:left="120" w:right="125" w:firstLine="9"/>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security breaches that interrupt the Company's ability to process information in a timely manner or that result in a breach of proprietary or personal information could have a material adverse effect on the Company's operations and reputation. In addition, minor incidents, even if dealt with promptly, could lead </w:t>
      </w:r>
      <w:r>
        <w:rPr>
          <w:rFonts w:ascii="Times New Roman" w:cs="Times New Roman" w:eastAsia="Times New Roman" w:hAnsi="Times New Roman"/>
          <w:sz w:val="17"/>
          <w:szCs w:val="17"/>
          <w:color w:val="auto"/>
        </w:rPr>
        <w:t>to</w:t>
      </w:r>
      <w:r>
        <w:rPr>
          <w:rFonts w:ascii="Times New Roman" w:cs="Times New Roman" w:eastAsia="Times New Roman" w:hAnsi="Times New Roman"/>
          <w:sz w:val="19"/>
          <w:szCs w:val="19"/>
          <w:color w:val="auto"/>
        </w:rPr>
        <w:t xml:space="preserve"> severe legal, financial and reputational issues, such as investigations by authorities, enforcement, lawsuits and negative publicity, and a collection of incidents, though not considered material individually at the time they occur, may be deemed material later in the aggregate.</w:t>
      </w:r>
    </w:p>
    <w:p>
      <w:pPr>
        <w:spacing w:after="0" w:line="201" w:lineRule="exact"/>
        <w:rPr>
          <w:sz w:val="20"/>
          <w:szCs w:val="20"/>
          <w:color w:val="auto"/>
        </w:rPr>
      </w:pPr>
    </w:p>
    <w:p>
      <w:pPr>
        <w:ind w:left="520" w:right="125" w:firstLine="1"/>
        <w:spacing w:after="0" w:line="236" w:lineRule="auto"/>
        <w:rPr>
          <w:sz w:val="20"/>
          <w:szCs w:val="20"/>
          <w:color w:val="auto"/>
        </w:rPr>
      </w:pPr>
      <w:r>
        <w:rPr>
          <w:rFonts w:ascii="Times New Roman" w:cs="Times New Roman" w:eastAsia="Times New Roman" w:hAnsi="Times New Roman"/>
          <w:sz w:val="21"/>
          <w:szCs w:val="21"/>
          <w:color w:val="auto"/>
        </w:rPr>
        <w:t>Failure to Comply with Privacy Laws or Regulations Could Have an Adverse E ffect on the Company's Businesses.</w:t>
      </w:r>
    </w:p>
    <w:p>
      <w:pPr>
        <w:spacing w:after="0" w:line="122" w:lineRule="exact"/>
        <w:rPr>
          <w:sz w:val="20"/>
          <w:szCs w:val="20"/>
          <w:color w:val="auto"/>
        </w:rPr>
      </w:pPr>
    </w:p>
    <w:p>
      <w:pPr>
        <w:jc w:val="both"/>
        <w:ind w:left="120" w:right="105" w:firstLine="11"/>
        <w:spacing w:after="0" w:line="264" w:lineRule="auto"/>
        <w:rPr>
          <w:sz w:val="20"/>
          <w:szCs w:val="20"/>
          <w:color w:val="auto"/>
        </w:rPr>
      </w:pPr>
      <w:r>
        <w:rPr>
          <w:rFonts w:ascii="Times New Roman" w:cs="Times New Roman" w:eastAsia="Times New Roman" w:hAnsi="Times New Roman"/>
          <w:sz w:val="19"/>
          <w:szCs w:val="19"/>
          <w:color w:val="auto"/>
        </w:rPr>
        <w:t>Various U.S. federal, state and internat ional laws and regulations govern the collection, use, rete ntion, sharing and security of personal data. This area of the law is evolving, and interpretations of applicable laws and regulations differ. Legislative activity in the privacy area may result in new laws that are relevant to the Company's operations, including restrictions on the collection, use and sharing of personal data that could limit our abi lity to use the data for marketing or advertising, and could result in exposure to material liability. For example, data privacy regulations adopted by the EU known as the General Data Protection Regulation (GDPR), became effective in May 2018. These regulations require certain of the Company's operations to meet extensive requirements regarding the handling of personal data, including its use, protection and transfer. In addition, the GDPR provides the legal right for persons whose data is stored to request access to or correction or deletion of the ir personal data, among other rights. Failure to meet the apphcable requirements in the GDPR could result in fines of up to 4% of the Company's annual global revenues. T11i addition to the GDPR in Europe, new privacy laws and regulations are rapidly developing and being implemented elsewhere around the globe, including amendments to the scope, penalties and! other provisions of existing data protection laws. Failure to comply with these international data protection laws and regulations could have a negative impact on the Company's reputation and subject the Company to significant fines, penalti es or other liabilities or restrict the Company's ability to continue operating its existing business processes, all of which may increase the cost of operations, reduce customer growth, or otherwise harm the Company's business.</w:t>
      </w:r>
    </w:p>
    <w:p>
      <w:pPr>
        <w:spacing w:after="0" w:line="200" w:lineRule="exact"/>
        <w:rPr>
          <w:sz w:val="20"/>
          <w:szCs w:val="20"/>
          <w:color w:val="auto"/>
        </w:rPr>
      </w:pPr>
    </w:p>
    <w:p>
      <w:pPr>
        <w:spacing w:after="0" w:line="256"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 xml:space="preserve">The California Consumer Privacy Act of2018 (CCPA), which became effective on January 1, 2020, provided a new private right of action for data breaches and requires companies that process personal information pertaining to California reside nts to make disclosures to consumers about their data collection, use and sharing practices and allows consumers to opt out of certain data sharing with third parties. The enforcement of the CCPA by the California Attorney General commenced on July 1, 2020. In November 2020, the California Privacy Rights Act (CPRA) was approved by California voters, and went into effect on January 1, 2023. The CPRA included new requirements that were not in the CCPA. Similar privacy laws also went into effect in Virg inia, Colorado, Connecticut and Utah during 2023, other privacy laws have been passed that will go into effect in 2024 and 2025, and data privacy bills continue to be introduced at the state level. There are also comprehensive privacy bills that have been introduced at the U.S. federal level. In addition to the comprehensive privacy laws and bills, the recent emergence of new AT tools has raised some additional information security and privacy issues. There are curremtly numerous bills for new laws to regulate the use of AT both at the U.S. federal and state level, and in other locations in which the Company does business such as the EU. The passage of any additional laws could result in further uncertainty and cause the Company to incur additional costs and expenses in order to comply. Compliance with the GDPR, the CCPA, the CPRA and other applicable international and U.S. privacy laws can be costly and time-consuming.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Company fai ls to properly respond to security breaches of its or its third-party's information technology systems or fail s to properly respo nd to an individual's requests under these laws, the Company could experience damage to its reputation, adverse publicity, loss of consumer confidence, reduced sales and profits, complications in executing the Company's growth initiatives and regulatory and legal risk, including criminal penalties or civil liabilities.</w:t>
      </w:r>
    </w:p>
    <w:p>
      <w:pPr>
        <w:spacing w:after="0" w:line="200" w:lineRule="exact"/>
        <w:rPr>
          <w:sz w:val="20"/>
          <w:szCs w:val="20"/>
          <w:color w:val="auto"/>
        </w:rPr>
      </w:pPr>
    </w:p>
    <w:p>
      <w:pPr>
        <w:spacing w:after="0" w:line="257" w:lineRule="exact"/>
        <w:rPr>
          <w:sz w:val="20"/>
          <w:szCs w:val="20"/>
          <w:color w:val="auto"/>
        </w:rPr>
      </w:pPr>
    </w:p>
    <w:p>
      <w:pPr>
        <w:jc w:val="both"/>
        <w:ind w:left="120" w:right="125"/>
        <w:spacing w:after="0" w:line="255" w:lineRule="auto"/>
        <w:rPr>
          <w:sz w:val="20"/>
          <w:szCs w:val="20"/>
          <w:color w:val="auto"/>
        </w:rPr>
      </w:pPr>
      <w:r>
        <w:rPr>
          <w:rFonts w:ascii="Times New Roman" w:cs="Times New Roman" w:eastAsia="Times New Roman" w:hAnsi="Times New Roman"/>
          <w:sz w:val="19"/>
          <w:szCs w:val="19"/>
          <w:color w:val="auto"/>
        </w:rPr>
        <w:t xml:space="preserve">Claims of failure to comply with the Company's privacy policies or applicable laws or regulations could form tbe basis of governmental or private party actions against the Company and could result </w:t>
      </w:r>
      <w:r>
        <w:rPr>
          <w:rFonts w:ascii="Times New Roman" w:cs="Times New Roman" w:eastAsia="Times New Roman" w:hAnsi="Times New Roman"/>
          <w:sz w:val="18"/>
          <w:szCs w:val="18"/>
          <w:color w:val="auto"/>
        </w:rPr>
        <w:t>in</w:t>
      </w:r>
      <w:r>
        <w:rPr>
          <w:rFonts w:ascii="Times New Roman" w:cs="Times New Roman" w:eastAsia="Times New Roman" w:hAnsi="Times New Roman"/>
          <w:sz w:val="19"/>
          <w:szCs w:val="19"/>
          <w:color w:val="auto"/>
        </w:rPr>
        <w:t xml:space="preserve"> significant penalties. Additionally, evolving concerns regarding data privacy may cause the Company's customers and potential customers to resist providing the data necessary to allow the Company to deliver its solutions effectively. Even</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0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49</w:t>
      </w:r>
    </w:p>
    <w:p>
      <w:pPr>
        <w:sectPr>
          <w:pgSz w:w="12240" w:h="15850" w:orient="portrait"/>
          <w:cols w:equalWidth="0" w:num="1">
            <w:col w:w="9365"/>
          </w:cols>
          <w:pgMar w:left="1440" w:top="1394" w:right="1440" w:bottom="721" w:gutter="0" w:footer="0" w:header="0"/>
          <w:type w:val="continuous"/>
        </w:sectPr>
      </w:pPr>
    </w:p>
    <w:bookmarkStart w:id="65" w:name="page66"/>
    <w:bookmarkEnd w:id="65"/>
    <w:p>
      <w:pPr>
        <w:jc w:val="both"/>
        <w:ind w:left="120" w:right="125" w:firstLine="11"/>
        <w:spacing w:after="0" w:line="24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perception that personal information is not satisfactorily protected or does not meet regulatory requirements could inhibit sales and any failure to comply with such Jaws and regulations could lead to significant fines,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penalties or other liabilities. Such claims and actions could cause damage to the Company's reputation and could</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have an adverse effect on the Company's businesses.</w:t>
      </w:r>
    </w:p>
    <w:p>
      <w:pPr>
        <w:spacing w:after="0" w:line="275" w:lineRule="exact"/>
        <w:rPr>
          <w:sz w:val="20"/>
          <w:szCs w:val="20"/>
          <w:color w:val="auto"/>
        </w:rPr>
      </w:pPr>
    </w:p>
    <w:p>
      <w:pPr>
        <w:jc w:val="both"/>
        <w:ind w:left="520" w:right="125" w:hanging="409"/>
        <w:spacing w:after="0" w:line="263" w:lineRule="auto"/>
        <w:tabs>
          <w:tab w:leader="none" w:pos="522" w:val="left"/>
        </w:tabs>
        <w:numPr>
          <w:ilvl w:val="0"/>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Uncertainty in the Development, Deployment, a nd Use of AI in the Company's Products and Services, as Well as its Businesses More Broadly, Could Ad versely Affect the Company's Business and Reputation.</w:t>
      </w:r>
    </w:p>
    <w:p>
      <w:pPr>
        <w:spacing w:after="0" w:line="370"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 xml:space="preserve">The Company is building and expects to use systems and tools that incorporate Al-based technologies, including generative AI, for its customers and workforce. The development, adoption and use of generative AI technology remains in early stages, and effective or inadequate AT or generative ATdevelopment or deployment practices by the Company or third parties could result in unintended consequences. For example, AI algorithms that the Company uses may be flawed or may </w:t>
      </w:r>
      <w:r>
        <w:rPr>
          <w:rFonts w:ascii="Times New Roman" w:cs="Times New Roman" w:eastAsia="Times New Roman" w:hAnsi="Times New Roman"/>
          <w:sz w:val="18"/>
          <w:szCs w:val="18"/>
          <w:color w:val="auto"/>
        </w:rPr>
        <w:t>be</w:t>
      </w:r>
      <w:r>
        <w:rPr>
          <w:rFonts w:ascii="Times New Roman" w:cs="Times New Roman" w:eastAsia="Times New Roman" w:hAnsi="Times New Roman"/>
          <w:sz w:val="19"/>
          <w:szCs w:val="19"/>
          <w:color w:val="auto"/>
        </w:rPr>
        <w:t xml:space="preserve"> (or perceived to be) based on datasets that are biased or insufficient. In addition there is uncertainty around the validity and enforceability of intellectual property rights related to the Company's development, deployment and use of AI. Compliance with new or changing laws, regulations or industry standards relating to AI may impose significant operational costs and may limit the Company's ability to develop, deploy or use AT technologies. Failure to appropriately respond to this evolving landscape may result in legal liability, regulatory action or brand and reputational harm.</w:t>
      </w:r>
    </w:p>
    <w:p>
      <w:pPr>
        <w:spacing w:after="0" w:line="266" w:lineRule="exact"/>
        <w:rPr>
          <w:sz w:val="20"/>
          <w:szCs w:val="20"/>
          <w:color w:val="auto"/>
        </w:rPr>
      </w:pPr>
    </w:p>
    <w:p>
      <w:pPr>
        <w:ind w:left="520" w:right="125" w:hanging="409"/>
        <w:spacing w:after="0" w:line="252" w:lineRule="auto"/>
        <w:tabs>
          <w:tab w:leader="none" w:pos="520" w:val="left"/>
        </w:tabs>
        <w:numPr>
          <w:ilvl w:val="0"/>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Potential Liability for Intellectual Property Infringem ent Could Adversely Affect the Company's Businesses.</w:t>
      </w:r>
    </w:p>
    <w:p>
      <w:pPr>
        <w:spacing w:after="0" w:line="38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Company periodically receives claims from third parties alleging that the Company's businesses infringe on the intellectual property rights of others. </w:t>
      </w:r>
      <w:r>
        <w:rPr>
          <w:rFonts w:ascii="Arial" w:cs="Arial" w:eastAsia="Arial" w:hAnsi="Arial"/>
          <w:sz w:val="18"/>
          <w:szCs w:val="18"/>
          <w:color w:val="auto"/>
        </w:rPr>
        <w:t>It</w:t>
      </w:r>
      <w:r>
        <w:rPr>
          <w:rFonts w:ascii="Times New Roman" w:cs="Times New Roman" w:eastAsia="Times New Roman" w:hAnsi="Times New Roman"/>
          <w:sz w:val="19"/>
          <w:szCs w:val="19"/>
          <w:color w:val="auto"/>
        </w:rPr>
        <w:t xml:space="preserve"> is likely that the Company will continue to be subject to similar cla ims, particularly as they relate to its media businesses. Other parts of the Company's business could also </w:t>
      </w:r>
      <w:r>
        <w:rPr>
          <w:rFonts w:ascii="Arial" w:cs="Arial" w:eastAsia="Arial" w:hAnsi="Arial"/>
          <w:sz w:val="19"/>
          <w:szCs w:val="19"/>
          <w:color w:val="auto"/>
        </w:rPr>
        <w:t>be</w:t>
      </w:r>
      <w:r>
        <w:rPr>
          <w:rFonts w:ascii="Times New Roman" w:cs="Times New Roman" w:eastAsia="Times New Roman" w:hAnsi="Times New Roman"/>
          <w:sz w:val="19"/>
          <w:szCs w:val="19"/>
          <w:color w:val="auto"/>
        </w:rPr>
        <w:t xml:space="preserve"> subject to such c laims. Addressing intellectual property claims is a time-consuming and expensive endeavor, regardless of the merits of the claims. In order to resolve such claims, the Company may have to change its method of doing business, enter into licensing agreements with copyright holders, or incur substantial monetary liability. Jt is also possible that one of the Company's businesses could be enjoined from using the intellectual property at issue, causing it to significantly alter its operations. Although the Company cannot predict the impact at this time, if any such claim is successful, the outcome would likely affect the business utilizing the intellectual property at issue and could have a material adverse effect on that business's operating results or prospects.</w:t>
      </w:r>
    </w:p>
    <w:p>
      <w:pPr>
        <w:spacing w:after="0" w:line="382"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9"/>
          <w:szCs w:val="19"/>
          <w:color w:val="auto"/>
        </w:rPr>
        <w:t>Item lB.</w:t>
        <w:tab/>
        <w:t>Unresolved Staff Comments.</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01"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19"/>
          <w:szCs w:val="19"/>
          <w:color w:val="auto"/>
        </w:rPr>
        <w:t>Item lC.</w:t>
      </w:r>
      <w:r>
        <w:rPr>
          <w:sz w:val="20"/>
          <w:szCs w:val="20"/>
          <w:color w:val="auto"/>
        </w:rPr>
        <w:tab/>
      </w:r>
      <w:r>
        <w:rPr>
          <w:rFonts w:ascii="Times New Roman" w:cs="Times New Roman" w:eastAsia="Times New Roman" w:hAnsi="Times New Roman"/>
          <w:sz w:val="18"/>
          <w:szCs w:val="18"/>
          <w:color w:val="auto"/>
        </w:rPr>
        <w:t>Cyber secUI·ity.</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Cybersecurity Risk Management and Str ategy.</w:t>
      </w:r>
    </w:p>
    <w:p>
      <w:pPr>
        <w:spacing w:after="0" w:line="161"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The Company is a holding company and its business units are decentralized. Together with its business units, the Company maintains a risk-based information security program establishing administrative, technical, and physical safeguards that are designed for the size, scope and type of the Company's businesses.</w:t>
      </w:r>
    </w:p>
    <w:p>
      <w:pPr>
        <w:spacing w:after="0" w:line="254" w:lineRule="exact"/>
        <w:rPr>
          <w:sz w:val="20"/>
          <w:szCs w:val="20"/>
          <w:color w:val="auto"/>
        </w:rPr>
      </w:pPr>
    </w:p>
    <w:p>
      <w:pPr>
        <w:jc w:val="both"/>
        <w:ind w:left="120" w:right="125"/>
        <w:spacing w:after="0" w:line="258" w:lineRule="auto"/>
        <w:rPr>
          <w:sz w:val="20"/>
          <w:szCs w:val="20"/>
          <w:color w:val="auto"/>
        </w:rPr>
      </w:pPr>
      <w:r>
        <w:rPr>
          <w:rFonts w:ascii="Times New Roman" w:cs="Times New Roman" w:eastAsia="Times New Roman" w:hAnsi="Times New Roman"/>
          <w:sz w:val="19"/>
          <w:szCs w:val="19"/>
          <w:color w:val="auto"/>
        </w:rPr>
        <w:t>The infom1ation security program is designed to protect the c·onfidentiality, integrity, and availability of the Company's information systems and data, and safeguard information systems and data in accordance with applicable local, state, federal or international laws, regulations, or standards.</w:t>
      </w:r>
    </w:p>
    <w:p>
      <w:pPr>
        <w:spacing w:after="0" w:line="268"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Company's information security program is risk-based; the Company and its business units perform business impact assessments and risk assessments o n a regular basis to calibrate areas of focus . Cybersecurity risks are evaluated as a part of the broader risk management activities at the Company.</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30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50</w:t>
        <w:tab/>
        <w:t>2024 FORM 10-K</w:t>
      </w:r>
    </w:p>
    <w:p>
      <w:pPr>
        <w:sectPr>
          <w:pgSz w:w="12240" w:h="15850" w:orient="portrait"/>
          <w:cols w:equalWidth="0" w:num="1">
            <w:col w:w="9365"/>
          </w:cols>
          <w:pgMar w:left="1440" w:top="1392" w:right="1440" w:bottom="721" w:gutter="0" w:footer="0" w:header="0"/>
          <w:type w:val="continuous"/>
        </w:sectPr>
      </w:pPr>
    </w:p>
    <w:bookmarkStart w:id="66" w:name="page67"/>
    <w:bookmarkEnd w:id="66"/>
    <w:p>
      <w:pPr>
        <w:jc w:val="both"/>
        <w:ind w:left="120" w:right="125" w:hanging="8"/>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and its business units leverage several information security controls frameworks, standards and best practices with the International Organization for Standardizations (ISO) 27001 used as the overarching framework. ISO 27001 establishes a multi-pronged information security standard for organizations to rnanage information security risks, build cyber resilience, and improve operations.</w:t>
      </w:r>
    </w:p>
    <w:p>
      <w:pPr>
        <w:spacing w:after="0" w:line="249"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Third-party service provider risk management is one of many components of the Company's information security program. The Company and its business units use a risk-based approach to identifying and overseeing cybersecurity risks presented by third parties that could adversely impact the Company. This approach may include, but is not limited to, reviewing and assessing providers' cybersecurity maturity, conducting diligence on certain providers' information security programs, and/or imposing contractual obligations on the provider depending on the type and quantity of data involved, the access provided to Company systems, the type of provider and the criticality of outsourced operations.</w:t>
      </w:r>
    </w:p>
    <w:p>
      <w:pPr>
        <w:spacing w:after="0" w:line="200" w:lineRule="exact"/>
        <w:rPr>
          <w:sz w:val="20"/>
          <w:szCs w:val="20"/>
          <w:color w:val="auto"/>
        </w:rPr>
      </w:pPr>
    </w:p>
    <w:p>
      <w:pPr>
        <w:spacing w:after="0" w:line="286"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maintains an incident response plan that is distributed to its business units for customization according to their specific operations and internal repotting structures. The Company leverages third-party cybersecurity experts to review the response plan and facilitate incident response exercises for its business units. The Company licenses third-party software that provides incident response simulation capabilities and playbooks and makes that available to its business units and also retains a third-party cybersecurity ftrm to provide assistance if needed during a cybersecurity incident.</w:t>
      </w:r>
    </w:p>
    <w:p>
      <w:pPr>
        <w:spacing w:after="0" w:line="257" w:lineRule="exact"/>
        <w:rPr>
          <w:sz w:val="20"/>
          <w:szCs w:val="20"/>
          <w:color w:val="auto"/>
        </w:rPr>
      </w:pPr>
    </w:p>
    <w:p>
      <w:pPr>
        <w:jc w:val="both"/>
        <w:ind w:left="120" w:right="125" w:hanging="7"/>
        <w:spacing w:after="0" w:line="263" w:lineRule="auto"/>
        <w:rPr>
          <w:sz w:val="20"/>
          <w:szCs w:val="20"/>
          <w:color w:val="auto"/>
        </w:rPr>
      </w:pPr>
      <w:r>
        <w:rPr>
          <w:rFonts w:ascii="Times New Roman" w:cs="Times New Roman" w:eastAsia="Times New Roman" w:hAnsi="Times New Roman"/>
          <w:sz w:val="19"/>
          <w:szCs w:val="19"/>
          <w:color w:val="auto"/>
        </w:rPr>
        <w:t>The Company and its business units engage third parties to assess various aspects of the information security program, provide threat intelligence, perform external audits, perform penetration testing, and provide other services as needed.</w:t>
      </w:r>
    </w:p>
    <w:p>
      <w:pPr>
        <w:spacing w:after="0" w:line="200" w:lineRule="exact"/>
        <w:rPr>
          <w:sz w:val="20"/>
          <w:szCs w:val="20"/>
          <w:color w:val="auto"/>
        </w:rPr>
      </w:pPr>
    </w:p>
    <w:p>
      <w:pPr>
        <w:spacing w:after="0" w:line="284"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Company and its business units have not been materially affected by risks from cybersecurity threats. For a discussion of whether and how any risks from cybersecurity threats are reasonably likely to materially affect the Company, see Hem I A Risk Factors.</w:t>
      </w:r>
    </w:p>
    <w:p>
      <w:pPr>
        <w:spacing w:after="0" w:line="3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Governance.</w:t>
      </w:r>
    </w:p>
    <w:p>
      <w:pPr>
        <w:spacing w:after="0" w:line="147" w:lineRule="exact"/>
        <w:rPr>
          <w:sz w:val="20"/>
          <w:szCs w:val="20"/>
          <w:color w:val="auto"/>
        </w:rPr>
      </w:pPr>
    </w:p>
    <w:p>
      <w:pPr>
        <w:jc w:val="both"/>
        <w:ind w:left="120" w:right="105" w:hanging="8"/>
        <w:spacing w:after="0" w:line="262" w:lineRule="auto"/>
        <w:rPr>
          <w:sz w:val="20"/>
          <w:szCs w:val="20"/>
          <w:color w:val="auto"/>
        </w:rPr>
      </w:pPr>
      <w:r>
        <w:rPr>
          <w:rFonts w:ascii="Times New Roman" w:cs="Times New Roman" w:eastAsia="Times New Roman" w:hAnsi="Times New Roman"/>
          <w:sz w:val="19"/>
          <w:szCs w:val="19"/>
          <w:color w:val="auto"/>
        </w:rPr>
        <w:t>The Board of Directors has delegated oversight of risks related to cybersecwity to the Audit Committee which reports on its risk management activities, including risks arising from cybersecurity threats, to the full Board of Directors. The Company's Vice President of Information Security and Privacy reports to the Audit Committee on an annual basis. In addition, the Audit Committee receives quarterly updates as part of the disclosure control process and other updates, as needed, for significant issues.</w:t>
      </w:r>
    </w:p>
    <w:p>
      <w:pPr>
        <w:spacing w:after="0" w:line="257"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The annual report to the Audit Committee includes an overview of multiple topics, such as current cybersecurity threats; other cybersecurity risks, including operational, legal/regulatory, and reputational risks; a status summary of company-wide metrics relating to information security controls (e.g., controls addressing vulnerability and patch management, web and mobile application security, administrative access, incident response capability, compliance activities, disaster recovery, sensitive data inventory, and phish ing prevention); and planned information security initiatives.</w:t>
      </w:r>
    </w:p>
    <w:p>
      <w:pPr>
        <w:spacing w:after="0" w:line="258"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At the Company's corporate level, the Information Security and Privacy team monitors the prevention, detection and remediation of cybersecurity incidents and coordinates w ith the Company' s business units to assess information security posture and risk. This coordination includes, for example, performing business impact assessments, conducting risk assessments, and testing and evaluating key aspects of business units' information security programs, the results of which are reported to the Company's senior management and the Audit Committee as appropriate.</w:t>
      </w:r>
    </w:p>
    <w:p>
      <w:pPr>
        <w:spacing w:after="0" w:line="200" w:lineRule="exact"/>
        <w:rPr>
          <w:sz w:val="20"/>
          <w:szCs w:val="20"/>
          <w:color w:val="auto"/>
        </w:rPr>
      </w:pPr>
    </w:p>
    <w:p>
      <w:pPr>
        <w:spacing w:after="0" w:line="272" w:lineRule="exact"/>
        <w:rPr>
          <w:sz w:val="20"/>
          <w:szCs w:val="20"/>
          <w:color w:val="auto"/>
        </w:rPr>
      </w:pPr>
    </w:p>
    <w:p>
      <w:pPr>
        <w:jc w:val="both"/>
        <w:ind w:left="120" w:right="125"/>
        <w:spacing w:after="0" w:line="264" w:lineRule="auto"/>
        <w:rPr>
          <w:sz w:val="20"/>
          <w:szCs w:val="20"/>
          <w:color w:val="auto"/>
        </w:rPr>
      </w:pPr>
      <w:r>
        <w:rPr>
          <w:rFonts w:ascii="Times New Roman" w:cs="Times New Roman" w:eastAsia="Times New Roman" w:hAnsi="Times New Roman"/>
          <w:sz w:val="19"/>
          <w:szCs w:val="19"/>
          <w:color w:val="auto"/>
        </w:rPr>
        <w:t>The Company's Information Security and Privacy team is led by the VP of Information Security and Privacy who reports to the Company's Chief Financial Officer. She joined the Company in 2003 and has more than 30 years</w:t>
      </w:r>
    </w:p>
    <w:p>
      <w:pPr>
        <w:sectPr>
          <w:pgSz w:w="12240" w:h="15850" w:orient="portrait"/>
          <w:cols w:equalWidth="0" w:num="1">
            <w:col w:w="9365"/>
          </w:cols>
          <w:pgMar w:left="1440" w:top="1392" w:right="1440" w:bottom="727" w:gutter="0" w:footer="0" w:header="0"/>
        </w:sectPr>
      </w:pPr>
    </w:p>
    <w:p>
      <w:pPr>
        <w:spacing w:after="0" w:line="200" w:lineRule="exact"/>
        <w:rPr>
          <w:sz w:val="20"/>
          <w:szCs w:val="20"/>
          <w:color w:val="auto"/>
        </w:rPr>
      </w:pPr>
    </w:p>
    <w:p>
      <w:pPr>
        <w:spacing w:after="0" w:line="27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51</w:t>
      </w:r>
    </w:p>
    <w:p>
      <w:pPr>
        <w:sectPr>
          <w:pgSz w:w="12240" w:h="15850" w:orient="portrait"/>
          <w:cols w:equalWidth="0" w:num="1">
            <w:col w:w="9365"/>
          </w:cols>
          <w:pgMar w:left="1440" w:top="1392" w:right="1440" w:bottom="727" w:gutter="0" w:footer="0" w:header="0"/>
          <w:type w:val="continuous"/>
        </w:sectPr>
      </w:pPr>
    </w:p>
    <w:bookmarkStart w:id="67" w:name="page68"/>
    <w:bookmarkEnd w:id="67"/>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of relevant experience. Before joining the Company, she served as the federal government and southeast region leader of Guardent (now part of Verisign), a security and privacy consulting and managed security services company. Prior to Guardent, she worked at PricewaterhouseCoopers LLP in the Technology Risk Services consulting practice. She is a strategic advisor to several organizations in the information security and privacy field and is a Certified Information Systems Security Professional (CISSP), and a Certified Information Privacy Professional (CTPP).</w:t>
      </w:r>
    </w:p>
    <w:p>
      <w:pPr>
        <w:spacing w:after="0" w:line="200" w:lineRule="exact"/>
        <w:rPr>
          <w:sz w:val="20"/>
          <w:szCs w:val="20"/>
          <w:color w:val="auto"/>
        </w:rPr>
      </w:pPr>
    </w:p>
    <w:p>
      <w:pPr>
        <w:spacing w:after="0" w:line="285"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Members of the Company's Information Security and Privacy team have an average of more than 20 years of information security and compliance experience, spanning diverse environments and industries, government agencies, and public and private companies. All members of the core team mainuain cybersecurity certifications and attend regular training programs relating to information security, privacy and compliance.</w:t>
      </w:r>
    </w:p>
    <w:p>
      <w:pPr>
        <w:spacing w:after="0" w:line="248"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 xml:space="preserve">The Company views information security as a shared responsibility. </w:t>
      </w:r>
      <w:r>
        <w:rPr>
          <w:rFonts w:ascii="Arial" w:cs="Arial" w:eastAsia="Arial" w:hAnsi="Arial"/>
          <w:sz w:val="19"/>
          <w:szCs w:val="19"/>
          <w:color w:val="auto"/>
        </w:rPr>
        <w:t>It</w:t>
      </w:r>
      <w:r>
        <w:rPr>
          <w:rFonts w:ascii="Times New Roman" w:cs="Times New Roman" w:eastAsia="Times New Roman" w:hAnsi="Times New Roman"/>
          <w:sz w:val="19"/>
          <w:szCs w:val="19"/>
          <w:color w:val="auto"/>
        </w:rPr>
        <w:t xml:space="preserve"> requires employees to complete information security and privacy awareness training and sends out regular communications on information security and privacy topics. Developers are trained regularly on secure coding practices and the Company mandates that every business unit perform phishing exercises quarterly. Some employees receive additional in-depth training related to their individual job responsibilities.</w:t>
      </w:r>
    </w:p>
    <w:p>
      <w:pPr>
        <w:spacing w:after="0" w:line="357"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Item 2.</w:t>
      </w:r>
      <w:r>
        <w:rPr>
          <w:sz w:val="20"/>
          <w:szCs w:val="20"/>
          <w:color w:val="auto"/>
        </w:rPr>
        <w:tab/>
      </w:r>
      <w:r>
        <w:rPr>
          <w:rFonts w:ascii="Times New Roman" w:cs="Times New Roman" w:eastAsia="Times New Roman" w:hAnsi="Times New Roman"/>
          <w:sz w:val="20"/>
          <w:szCs w:val="20"/>
          <w:color w:val="auto"/>
        </w:rPr>
        <w:t>Properties.</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 leases space for its corporate offices in Arlington, VA.</w:t>
      </w:r>
    </w:p>
    <w:p>
      <w:pPr>
        <w:spacing w:after="0" w:line="267"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In the education segment, Kaplan owns a total of five properties, including four in the U.S. and one property in South Kensington, London, U.K. used for school and dormitory space. Kaplan also leases facilities used for offices; instruction and student dormitories in several countries; including the U.S.; the U.K.; Ireland; Germany; France, Switzerland, Spain, Singapore, Australia and India. In 2017, Kaplan International entered into a 135-year lease of land in Liverpool, U.K. on which it completed the construction of college and/or dormitory space that opened in January 2020.</w:t>
      </w:r>
    </w:p>
    <w:p>
      <w:pPr>
        <w:spacing w:after="0" w:line="238"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In the television broadcasting segment, GMG owns all six of its studio facilities in Houston, TX, Detroit, Ml, Orlando, FL, San Antonio, TX, Jacksonville, FL, and Roanoke, VA. GMG owns the tower faci lities in its San Antonio, TX, Detroit, M I, and Roanoke, VA markets and jointly owns the transmitter facilities in Jacksonville, FL, Orlando, FL, and Houston, TX.</w:t>
      </w:r>
    </w:p>
    <w:p>
      <w:pPr>
        <w:spacing w:after="0" w:line="257"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In the healthcare segment, GHG leases 55 facilities for nursing and other office space across 15 states to support its home health, hospice, pharmacy infusion, physician practices and behavioral services and leases 12 facilities through its joint ventures with health systems and physician groups. GHG also owns two properties that are used for pharmacy infusion services (Nash, TX) and home health and !hospice administrative services (Lapeer, Ml).</w:t>
      </w:r>
    </w:p>
    <w:p>
      <w:pPr>
        <w:spacing w:after="0" w:line="248"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ln the manufacturing segment, Hoover operates 10 properties in AR, CA, FL, GA, Ml, PA, TX, VA, WA, and WV. Dekko owns 6 pll'Operties in IN, TX, AL and Juarez, Mexi.co; and Joyce/Dayton owns 3 properties in OH and IN, which are used for manufacturing, warehouse and office space. The remaining office and manufacturing facilities are leased, including one manufacturing facility in Monterrey, Mexico.</w:t>
      </w:r>
    </w:p>
    <w:p>
      <w:pPr>
        <w:spacing w:after="0" w:line="247" w:lineRule="exact"/>
        <w:rPr>
          <w:sz w:val="20"/>
          <w:szCs w:val="20"/>
          <w:color w:val="auto"/>
        </w:rPr>
      </w:pPr>
    </w:p>
    <w:p>
      <w:pPr>
        <w:jc w:val="both"/>
        <w:ind w:left="120" w:right="125" w:firstLine="19"/>
        <w:spacing w:after="0" w:line="262" w:lineRule="auto"/>
        <w:rPr>
          <w:sz w:val="20"/>
          <w:szCs w:val="20"/>
          <w:color w:val="auto"/>
        </w:rPr>
      </w:pPr>
      <w:r>
        <w:rPr>
          <w:rFonts w:ascii="Times New Roman" w:cs="Times New Roman" w:eastAsia="Times New Roman" w:hAnsi="Times New Roman"/>
          <w:sz w:val="19"/>
          <w:szCs w:val="19"/>
          <w:color w:val="auto"/>
        </w:rPr>
        <w:t xml:space="preserve">In the automotive segment, Graham Automotive owns properties for its Honda of Tysons Corner dealership in VA, Toyota of Woodbridge dealership in VA, Chrysler-Dodge-Jeep-Ram of Woodbridge dealership in VA, and Toyota of Richmond dealership in VA. </w:t>
      </w:r>
      <w:r>
        <w:rPr>
          <w:rFonts w:ascii="Arial" w:cs="Arial" w:eastAsia="Arial" w:hAnsi="Arial"/>
          <w:sz w:val="18"/>
          <w:szCs w:val="18"/>
          <w:color w:val="auto"/>
        </w:rPr>
        <w:t>It</w:t>
      </w:r>
      <w:r>
        <w:rPr>
          <w:rFonts w:ascii="Times New Roman" w:cs="Times New Roman" w:eastAsia="Times New Roman" w:hAnsi="Times New Roman"/>
          <w:sz w:val="19"/>
          <w:szCs w:val="19"/>
          <w:color w:val="auto"/>
        </w:rPr>
        <w:t xml:space="preserve"> leases 12 additiona] properties that serve as the sales and service departments for its Lexus of Rockville, Ourisman Jeep, Ford of Manassas, and Kia of Bethesda dealerships, along with a service facility for Roda.</w:t>
      </w:r>
    </w:p>
    <w:p>
      <w:pPr>
        <w:spacing w:after="0" w:line="238"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businesses that comprise the Company's other businesses lease space for their operations, including office space and retail locations in D.C., MD, VA, NY, NJ, IL, GA, MA, PA, CT, TX, TN and NC, and manufacturing</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52</w:t>
        <w:tab/>
        <w:t>2024 FORM 10-K</w:t>
      </w:r>
    </w:p>
    <w:p>
      <w:pPr>
        <w:sectPr>
          <w:pgSz w:w="12240" w:h="15850" w:orient="portrait"/>
          <w:cols w:equalWidth="0" w:num="1">
            <w:col w:w="9365"/>
          </w:cols>
          <w:pgMar w:left="1440" w:top="1394" w:right="1440" w:bottom="721" w:gutter="0" w:footer="0" w:header="0"/>
          <w:type w:val="continuous"/>
        </w:sectPr>
      </w:pPr>
    </w:p>
    <w:bookmarkStart w:id="68" w:name="page69"/>
    <w:bookmarkEnd w:id="68"/>
    <w:p>
      <w:pPr>
        <w:jc w:val="both"/>
        <w:ind w:left="120" w:right="125"/>
        <w:spacing w:after="0" w:line="24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faci lities in KY and VA for Framebridge; restaurant facilities and office space in D.C., MD, and VA for Clyde' s; office space in NY and D.C. for Slate; office space in D.C. for Foreign Policy; office space in CO for Society6; office spact: in the </w:t>
      </w:r>
      <w:r>
        <w:rPr>
          <w:rFonts w:ascii="Times New Roman" w:cs="Times New Roman" w:eastAsia="Times New Roman" w:hAnsi="Times New Roman"/>
          <w:sz w:val="21"/>
          <w:szCs w:val="21"/>
          <w:color w:val="auto"/>
        </w:rPr>
        <w:t>U.K.</w:t>
      </w:r>
      <w:r>
        <w:rPr>
          <w:rFonts w:ascii="Times New Roman" w:cs="Times New Roman" w:eastAsia="Times New Roman" w:hAnsi="Times New Roman"/>
          <w:sz w:val="19"/>
          <w:szCs w:val="19"/>
          <w:color w:val="auto"/>
        </w:rPr>
        <w:t xml:space="preserve"> and Australia for Saatchi Art; and e vent space in CA for WGB.</w:t>
      </w:r>
    </w:p>
    <w:p>
      <w:pPr>
        <w:spacing w:after="0" w:line="265" w:lineRule="exact"/>
        <w:rPr>
          <w:sz w:val="20"/>
          <w:szCs w:val="20"/>
          <w:color w:val="auto"/>
        </w:rPr>
      </w:pPr>
    </w:p>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t>The Company considers its properties suitable for the conduct of its respective businesses and adequate for its currernt use. The Company believes that suitable additional or alternative space is available at commercially reasonable terms as leases expire or premises become unavailable. However, it recognizes that replacements for student dormitory space leased by KI may be difficult to obtain due to high demand and alternative transmitter facilities could be costly and require a significant amount of time to construct.</w:t>
      </w:r>
    </w:p>
    <w:p>
      <w:pPr>
        <w:spacing w:after="0" w:line="359"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Item 3.</w:t>
      </w:r>
      <w:r>
        <w:rPr>
          <w:sz w:val="20"/>
          <w:szCs w:val="20"/>
          <w:color w:val="auto"/>
        </w:rPr>
        <w:tab/>
      </w:r>
      <w:r>
        <w:rPr>
          <w:rFonts w:ascii="Times New Roman" w:cs="Times New Roman" w:eastAsia="Times New Roman" w:hAnsi="Times New Roman"/>
          <w:sz w:val="20"/>
          <w:szCs w:val="20"/>
          <w:color w:val="auto"/>
        </w:rPr>
        <w:t>Legal Proceedings.</w:t>
      </w:r>
    </w:p>
    <w:p>
      <w:pPr>
        <w:spacing w:after="0" w:line="143" w:lineRule="exact"/>
        <w:rPr>
          <w:sz w:val="20"/>
          <w:szCs w:val="20"/>
          <w:color w:val="auto"/>
        </w:rPr>
      </w:pPr>
    </w:p>
    <w:p>
      <w:pPr>
        <w:jc w:val="both"/>
        <w:ind w:left="120" w:right="125" w:firstLine="10"/>
        <w:spacing w:after="0"/>
        <w:rPr>
          <w:sz w:val="20"/>
          <w:szCs w:val="20"/>
          <w:color w:val="auto"/>
        </w:rPr>
      </w:pPr>
      <w:r>
        <w:rPr>
          <w:rFonts w:ascii="Times New Roman" w:cs="Times New Roman" w:eastAsia="Times New Roman" w:hAnsi="Times New Roman"/>
          <w:sz w:val="19"/>
          <w:szCs w:val="19"/>
          <w:color w:val="auto"/>
        </w:rPr>
        <w:t xml:space="preserve">Information with respect to legal proceedings may </w:t>
      </w:r>
      <w:r>
        <w:rPr>
          <w:rFonts w:ascii="Arial" w:cs="Arial" w:eastAsia="Arial" w:hAnsi="Arial"/>
          <w:sz w:val="19"/>
          <w:szCs w:val="19"/>
          <w:color w:val="auto"/>
        </w:rPr>
        <w:t>be</w:t>
      </w:r>
      <w:r>
        <w:rPr>
          <w:rFonts w:ascii="Times New Roman" w:cs="Times New Roman" w:eastAsia="Times New Roman" w:hAnsi="Times New Roman"/>
          <w:sz w:val="19"/>
          <w:szCs w:val="19"/>
          <w:color w:val="auto"/>
        </w:rPr>
        <w:t xml:space="preserve"> found in Note 18, "Contingencies and Other Commitments-Litigat ion, Legal and Other Matters" to the consolidated financial statements in Pan </w:t>
      </w:r>
      <w:r>
        <w:rPr>
          <w:rFonts w:ascii="Arial" w:cs="Arial" w:eastAsia="Arial" w:hAnsi="Arial"/>
          <w:sz w:val="23"/>
          <w:szCs w:val="23"/>
          <w:color w:val="auto"/>
        </w:rPr>
        <w:t>n</w:t>
      </w:r>
      <w:r>
        <w:rPr>
          <w:rFonts w:ascii="Times New Roman" w:cs="Times New Roman" w:eastAsia="Times New Roman" w:hAnsi="Times New Roman"/>
          <w:sz w:val="19"/>
          <w:szCs w:val="19"/>
          <w:color w:val="auto"/>
        </w:rPr>
        <w:t xml:space="preserve"> of this Annual Report, which is incorporated he rein by reference.</w:t>
      </w:r>
    </w:p>
    <w:p>
      <w:pPr>
        <w:spacing w:after="0" w:line="364"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Item 4.</w:t>
      </w:r>
      <w:r>
        <w:rPr>
          <w:sz w:val="20"/>
          <w:szCs w:val="20"/>
          <w:color w:val="auto"/>
        </w:rPr>
        <w:tab/>
      </w:r>
      <w:r>
        <w:rPr>
          <w:rFonts w:ascii="Times New Roman" w:cs="Times New Roman" w:eastAsia="Times New Roman" w:hAnsi="Times New Roman"/>
          <w:sz w:val="20"/>
          <w:szCs w:val="20"/>
          <w:color w:val="auto"/>
        </w:rPr>
        <w:t>Mine Safety Disclosures.</w:t>
      </w:r>
    </w:p>
    <w:p>
      <w:pPr>
        <w:spacing w:after="0" w:line="1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29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PART II</w:t>
      </w:r>
    </w:p>
    <w:p>
      <w:pPr>
        <w:spacing w:after="0" w:line="247" w:lineRule="exact"/>
        <w:rPr>
          <w:sz w:val="20"/>
          <w:szCs w:val="20"/>
          <w:color w:val="auto"/>
        </w:rPr>
      </w:pPr>
    </w:p>
    <w:p>
      <w:pPr>
        <w:ind w:left="120"/>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r>
      <w:r>
        <w:rPr>
          <w:sz w:val="20"/>
          <w:szCs w:val="20"/>
          <w:color w:val="auto"/>
        </w:rPr>
        <w:tab/>
      </w:r>
      <w:r>
        <w:rPr>
          <w:rFonts w:ascii="Times New Roman" w:cs="Times New Roman" w:eastAsia="Times New Roman" w:hAnsi="Times New Roman"/>
          <w:sz w:val="20"/>
          <w:szCs w:val="20"/>
          <w:color w:val="auto"/>
        </w:rPr>
        <w:t>Market for the Registrant's Common Equity, Related Stockholder Matters and Issuer</w:t>
      </w:r>
    </w:p>
    <w:p>
      <w:pPr>
        <w:spacing w:after="0" w:line="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22"/>
          <w:szCs w:val="22"/>
          <w:color w:val="auto"/>
        </w:rPr>
        <w:t>Purchases of Equity Securiities.</w:t>
      </w:r>
    </w:p>
    <w:p>
      <w:pPr>
        <w:spacing w:after="0" w:line="1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Market Information and Holders</w:t>
      </w:r>
    </w:p>
    <w:p>
      <w:pPr>
        <w:spacing w:after="0" w:line="149" w:lineRule="exact"/>
        <w:rPr>
          <w:sz w:val="20"/>
          <w:szCs w:val="20"/>
          <w:color w:val="auto"/>
        </w:rPr>
      </w:pPr>
    </w:p>
    <w:p>
      <w:pPr>
        <w:jc w:val="both"/>
        <w:ind w:left="120" w:right="125"/>
        <w:spacing w:after="0" w:line="243" w:lineRule="auto"/>
        <w:rPr>
          <w:sz w:val="20"/>
          <w:szCs w:val="20"/>
          <w:color w:val="auto"/>
        </w:rPr>
      </w:pPr>
      <w:r>
        <w:rPr>
          <w:rFonts w:ascii="Times New Roman" w:cs="Times New Roman" w:eastAsia="Times New Roman" w:hAnsi="Times New Roman"/>
          <w:sz w:val="19"/>
          <w:szCs w:val="19"/>
          <w:color w:val="auto"/>
        </w:rPr>
        <w:t>The Company's Class B Common Stock is traded on the NYSE under the symbol "GHC." The Company's Class A Common Stock is not publicly traded.</w:t>
      </w:r>
    </w:p>
    <w:p>
      <w:pPr>
        <w:spacing w:after="0" w:line="273" w:lineRule="exact"/>
        <w:rPr>
          <w:sz w:val="20"/>
          <w:szCs w:val="20"/>
          <w:color w:val="auto"/>
        </w:rPr>
      </w:pPr>
    </w:p>
    <w:p>
      <w:pPr>
        <w:jc w:val="both"/>
        <w:ind w:left="120" w:right="125" w:firstLine="11"/>
        <w:spacing w:after="0" w:line="253" w:lineRule="auto"/>
        <w:rPr>
          <w:sz w:val="20"/>
          <w:szCs w:val="20"/>
          <w:color w:val="auto"/>
        </w:rPr>
      </w:pPr>
      <w:r>
        <w:rPr>
          <w:rFonts w:ascii="Times New Roman" w:cs="Times New Roman" w:eastAsia="Times New Roman" w:hAnsi="Times New Roman"/>
          <w:sz w:val="19"/>
          <w:szCs w:val="19"/>
          <w:color w:val="auto"/>
        </w:rPr>
        <w:t>At January 3 1, 2025, there were 27 holders of record of the Company's Class A Common Stock and 309 holders of record of the Company's Class B Common Stock.</w:t>
      </w: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Purchases of Equity Securities by the Issuer and Affiliated Purchasers</w:t>
      </w:r>
    </w:p>
    <w:p>
      <w:pPr>
        <w:spacing w:after="0" w:line="149" w:lineRule="exact"/>
        <w:rPr>
          <w:sz w:val="20"/>
          <w:szCs w:val="20"/>
          <w:color w:val="auto"/>
        </w:rPr>
      </w:pPr>
    </w:p>
    <w:p>
      <w:pPr>
        <w:jc w:val="both"/>
        <w:ind w:left="120" w:right="125" w:firstLine="2"/>
        <w:spacing w:after="0" w:line="264" w:lineRule="auto"/>
        <w:rPr>
          <w:sz w:val="20"/>
          <w:szCs w:val="20"/>
          <w:color w:val="auto"/>
        </w:rPr>
      </w:pPr>
      <w:r>
        <w:rPr>
          <w:rFonts w:ascii="Times New Roman" w:cs="Times New Roman" w:eastAsia="Times New Roman" w:hAnsi="Times New Roman"/>
          <w:sz w:val="19"/>
          <w:szCs w:val="19"/>
          <w:color w:val="auto"/>
        </w:rPr>
        <w:t>During the quarter ended December 31, 2024, the Company purchased shares of its Class B Common Stock as set forth in the following table:</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6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5"/>
                <w:szCs w:val="15"/>
                <w:color w:val="auto"/>
              </w:rPr>
              <w:t>Total Number</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3"/>
          </w:tcPr>
          <w:p>
            <w:pPr>
              <w:jc w:val="center"/>
              <w:ind w:right="200"/>
              <w:spacing w:after="0"/>
              <w:rPr>
                <w:sz w:val="20"/>
                <w:szCs w:val="20"/>
                <w:color w:val="auto"/>
              </w:rPr>
            </w:pPr>
            <w:r>
              <w:rPr>
                <w:rFonts w:ascii="Times New Roman" w:cs="Times New Roman" w:eastAsia="Times New Roman" w:hAnsi="Times New Roman"/>
                <w:sz w:val="15"/>
                <w:szCs w:val="15"/>
                <w:color w:val="auto"/>
              </w:rPr>
              <w:t>Average</w:t>
            </w:r>
          </w:p>
        </w:tc>
        <w:tc>
          <w:tcPr>
            <w:tcW w:w="60" w:type="dxa"/>
            <w:vAlign w:val="bottom"/>
          </w:tcPr>
          <w:p>
            <w:pPr>
              <w:spacing w:after="0"/>
              <w:rPr>
                <w:sz w:val="15"/>
                <w:szCs w:val="15"/>
                <w:color w:val="auto"/>
              </w:rPr>
            </w:pPr>
          </w:p>
        </w:tc>
        <w:tc>
          <w:tcPr>
            <w:tcW w:w="2060" w:type="dxa"/>
            <w:vAlign w:val="bottom"/>
            <w:gridSpan w:val="2"/>
          </w:tcPr>
          <w:p>
            <w:pPr>
              <w:ind w:left="100"/>
              <w:spacing w:after="0"/>
              <w:rPr>
                <w:sz w:val="20"/>
                <w:szCs w:val="20"/>
                <w:color w:val="auto"/>
              </w:rPr>
            </w:pPr>
            <w:r>
              <w:rPr>
                <w:rFonts w:ascii="Times New Roman" w:cs="Times New Roman" w:eastAsia="Times New Roman" w:hAnsi="Times New Roman"/>
                <w:sz w:val="15"/>
                <w:szCs w:val="15"/>
                <w:color w:val="auto"/>
              </w:rPr>
              <w:t>Total Number of Shares</w:t>
            </w:r>
          </w:p>
        </w:tc>
        <w:tc>
          <w:tcPr>
            <w:tcW w:w="20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Maximum Number of Sha res</w:t>
            </w: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of Shares</w:t>
            </w:r>
          </w:p>
        </w:tc>
        <w:tc>
          <w:tcPr>
            <w:tcW w:w="920" w:type="dxa"/>
            <w:vAlign w:val="bottom"/>
            <w:gridSpan w:val="5"/>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Price Paid</w:t>
            </w:r>
          </w:p>
        </w:tc>
        <w:tc>
          <w:tcPr>
            <w:tcW w:w="60" w:type="dxa"/>
            <w:vAlign w:val="bottom"/>
          </w:tcPr>
          <w:p>
            <w:pPr>
              <w:spacing w:after="0"/>
              <w:rPr>
                <w:sz w:val="14"/>
                <w:szCs w:val="14"/>
                <w:color w:val="auto"/>
              </w:rPr>
            </w:pPr>
          </w:p>
        </w:tc>
        <w:tc>
          <w:tcPr>
            <w:tcW w:w="2060" w:type="dxa"/>
            <w:vAlign w:val="bottom"/>
            <w:gridSpan w:val="2"/>
          </w:tcPr>
          <w:p>
            <w:pPr>
              <w:jc w:val="center"/>
              <w:ind w:right="180"/>
              <w:spacing w:after="0" w:line="162" w:lineRule="exact"/>
              <w:rPr>
                <w:sz w:val="20"/>
                <w:szCs w:val="20"/>
                <w:color w:val="auto"/>
              </w:rPr>
            </w:pPr>
            <w:r>
              <w:rPr>
                <w:rFonts w:ascii="Times New Roman" w:cs="Times New Roman" w:eastAsia="Times New Roman" w:hAnsi="Times New Roman"/>
                <w:sz w:val="15"/>
                <w:szCs w:val="15"/>
                <w:color w:val="auto"/>
              </w:rPr>
              <w:t>Purchased as Part of</w:t>
            </w:r>
          </w:p>
        </w:tc>
        <w:tc>
          <w:tcPr>
            <w:tcW w:w="20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T ha t May Yet Be Purchased</w:t>
            </w:r>
          </w:p>
        </w:tc>
        <w:tc>
          <w:tcPr>
            <w:tcW w:w="0" w:type="dxa"/>
            <w:vAlign w:val="bottom"/>
          </w:tcPr>
          <w:p>
            <w:pPr>
              <w:spacing w:after="0"/>
              <w:rPr>
                <w:sz w:val="1"/>
                <w:szCs w:val="1"/>
                <w:color w:val="auto"/>
              </w:rPr>
            </w:pPr>
          </w:p>
        </w:tc>
      </w:tr>
      <w:tr>
        <w:trPr>
          <w:trHeight w:val="168"/>
        </w:trPr>
        <w:tc>
          <w:tcPr>
            <w:tcW w:w="2820" w:type="dxa"/>
            <w:vAlign w:val="bottom"/>
            <w:gridSpan w:val="2"/>
          </w:tcPr>
          <w:p>
            <w:pPr>
              <w:spacing w:after="0" w:line="168" w:lineRule="exact"/>
              <w:rPr>
                <w:sz w:val="20"/>
                <w:szCs w:val="20"/>
                <w:color w:val="auto"/>
              </w:rPr>
            </w:pPr>
            <w:r>
              <w:rPr>
                <w:rFonts w:ascii="Times New Roman" w:cs="Times New Roman" w:eastAsia="Times New Roman" w:hAnsi="Times New Roman"/>
                <w:sz w:val="15"/>
                <w:szCs w:val="15"/>
                <w:color w:val="auto"/>
              </w:rPr>
              <w:t>Period</w:t>
            </w:r>
          </w:p>
        </w:tc>
        <w:tc>
          <w:tcPr>
            <w:tcW w:w="80" w:type="dxa"/>
            <w:vAlign w:val="bottom"/>
          </w:tcPr>
          <w:p>
            <w:pPr>
              <w:spacing w:after="0"/>
              <w:rPr>
                <w:sz w:val="14"/>
                <w:szCs w:val="14"/>
                <w:color w:val="auto"/>
              </w:rPr>
            </w:pPr>
          </w:p>
        </w:tc>
        <w:tc>
          <w:tcPr>
            <w:tcW w:w="1180" w:type="dxa"/>
            <w:vAlign w:val="bottom"/>
            <w:gridSpan w:val="2"/>
          </w:tcPr>
          <w:p>
            <w:pPr>
              <w:jc w:val="center"/>
              <w:ind w:right="220"/>
              <w:spacing w:after="0" w:line="168" w:lineRule="exact"/>
              <w:rPr>
                <w:sz w:val="20"/>
                <w:szCs w:val="20"/>
                <w:color w:val="auto"/>
              </w:rPr>
            </w:pPr>
            <w:r>
              <w:rPr>
                <w:rFonts w:ascii="Times New Roman" w:cs="Times New Roman" w:eastAsia="Times New Roman" w:hAnsi="Times New Roman"/>
                <w:sz w:val="15"/>
                <w:szCs w:val="15"/>
                <w:color w:val="auto"/>
              </w:rPr>
              <w:t>Purchased</w:t>
            </w:r>
          </w:p>
        </w:tc>
        <w:tc>
          <w:tcPr>
            <w:tcW w:w="920" w:type="dxa"/>
            <w:vAlign w:val="bottom"/>
            <w:gridSpan w:val="5"/>
          </w:tcPr>
          <w:p>
            <w:pPr>
              <w:spacing w:after="0" w:line="168" w:lineRule="exact"/>
              <w:rPr>
                <w:sz w:val="20"/>
                <w:szCs w:val="20"/>
                <w:color w:val="auto"/>
              </w:rPr>
            </w:pPr>
            <w:r>
              <w:rPr>
                <w:rFonts w:ascii="Times New Roman" w:cs="Times New Roman" w:eastAsia="Times New Roman" w:hAnsi="Times New Roman"/>
                <w:sz w:val="15"/>
                <w:szCs w:val="15"/>
                <w:color w:val="auto"/>
              </w:rPr>
              <w:t>per Sha r e&lt;•&gt;</w:t>
            </w:r>
          </w:p>
        </w:tc>
        <w:tc>
          <w:tcPr>
            <w:tcW w:w="2120" w:type="dxa"/>
            <w:vAlign w:val="bottom"/>
            <w:gridSpan w:val="3"/>
          </w:tcPr>
          <w:p>
            <w:pPr>
              <w:jc w:val="center"/>
              <w:ind w:right="80"/>
              <w:spacing w:after="0" w:line="168" w:lineRule="exact"/>
              <w:rPr>
                <w:sz w:val="20"/>
                <w:szCs w:val="20"/>
                <w:color w:val="auto"/>
              </w:rPr>
            </w:pPr>
            <w:r>
              <w:rPr>
                <w:rFonts w:ascii="Times New Roman" w:cs="Times New Roman" w:eastAsia="Times New Roman" w:hAnsi="Times New Roman"/>
                <w:sz w:val="15"/>
                <w:szCs w:val="15"/>
                <w:color w:val="auto"/>
              </w:rPr>
              <w:t>Publicly Announced PJan&lt;2&gt;</w:t>
            </w:r>
          </w:p>
        </w:tc>
        <w:tc>
          <w:tcPr>
            <w:tcW w:w="200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Under the Plan&lt;2&gt;</w:t>
            </w:r>
          </w:p>
        </w:tc>
        <w:tc>
          <w:tcPr>
            <w:tcW w:w="0" w:type="dxa"/>
            <w:vAlign w:val="bottom"/>
          </w:tcPr>
          <w:p>
            <w:pPr>
              <w:spacing w:after="0"/>
              <w:rPr>
                <w:sz w:val="1"/>
                <w:szCs w:val="1"/>
                <w:color w:val="auto"/>
              </w:rPr>
            </w:pPr>
          </w:p>
        </w:tc>
      </w:tr>
      <w:tr>
        <w:trPr>
          <w:trHeight w:val="43"/>
        </w:trPr>
        <w:tc>
          <w:tcPr>
            <w:tcW w:w="9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2024</w:t>
            </w:r>
          </w:p>
        </w:tc>
        <w:tc>
          <w:tcPr>
            <w:tcW w:w="186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Borders>
              <w:bottom w:val="single" w:sz="8" w:color="403C3C"/>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80" w:type="dxa"/>
            <w:vAlign w:val="bottom"/>
            <w:tcBorders>
              <w:bottom w:val="single" w:sz="8" w:color="403C3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188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960" w:type="dxa"/>
            <w:vAlign w:val="bottom"/>
            <w:vMerge w:val="continue"/>
          </w:tcPr>
          <w:p>
            <w:pPr>
              <w:spacing w:after="0"/>
              <w:rPr>
                <w:sz w:val="23"/>
                <w:szCs w:val="23"/>
                <w:color w:val="auto"/>
              </w:rPr>
            </w:pPr>
          </w:p>
        </w:tc>
        <w:tc>
          <w:tcPr>
            <w:tcW w:w="18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6"/>
        </w:trPr>
        <w:tc>
          <w:tcPr>
            <w:tcW w:w="2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October I - 3 1 </w:t>
            </w:r>
            <w:r>
              <w:rPr>
                <w:rFonts w:ascii="Arial" w:cs="Arial" w:eastAsia="Arial" w:hAnsi="Arial"/>
                <w:sz w:val="18"/>
                <w:szCs w:val="18"/>
                <w:color w:val="auto"/>
              </w:rPr>
              <w:t>...............</w:t>
            </w:r>
          </w:p>
        </w:tc>
        <w:tc>
          <w:tcPr>
            <w:tcW w:w="1060" w:type="dxa"/>
            <w:vAlign w:val="bottom"/>
            <w:gridSpan w:val="2"/>
          </w:tcPr>
          <w:p>
            <w:pPr>
              <w:jc w:val="right"/>
              <w:ind w:right="117"/>
              <w:spacing w:after="0"/>
              <w:rPr>
                <w:sz w:val="20"/>
                <w:szCs w:val="20"/>
                <w:color w:val="auto"/>
              </w:rPr>
            </w:pPr>
            <w:r>
              <w:rPr>
                <w:rFonts w:ascii="Times New Roman" w:cs="Times New Roman" w:eastAsia="Times New Roman" w:hAnsi="Times New Roman"/>
                <w:sz w:val="19"/>
                <w:szCs w:val="19"/>
                <w:color w:val="auto"/>
              </w:rPr>
              <w:t>18,223</w:t>
            </w:r>
          </w:p>
        </w:tc>
        <w:tc>
          <w:tcPr>
            <w:tcW w:w="200" w:type="dxa"/>
            <w:vAlign w:val="bottom"/>
          </w:tcPr>
          <w:p>
            <w:pPr>
              <w:spacing w:after="0"/>
              <w:rPr>
                <w:sz w:val="21"/>
                <w:szCs w:val="21"/>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$812.87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gridSpan w:val="2"/>
          </w:tcPr>
          <w:p>
            <w:pPr>
              <w:jc w:val="right"/>
              <w:ind w:right="604"/>
              <w:spacing w:after="0"/>
              <w:rPr>
                <w:sz w:val="20"/>
                <w:szCs w:val="20"/>
                <w:color w:val="auto"/>
              </w:rPr>
            </w:pPr>
            <w:r>
              <w:rPr>
                <w:rFonts w:ascii="Times New Roman" w:cs="Times New Roman" w:eastAsia="Times New Roman" w:hAnsi="Times New Roman"/>
                <w:sz w:val="19"/>
                <w:szCs w:val="19"/>
                <w:color w:val="auto"/>
              </w:rPr>
              <w:t>18,223</w:t>
            </w:r>
          </w:p>
        </w:tc>
        <w:tc>
          <w:tcPr>
            <w:tcW w:w="180" w:type="dxa"/>
            <w:vAlign w:val="bottom"/>
          </w:tcPr>
          <w:p>
            <w:pPr>
              <w:spacing w:after="0"/>
              <w:rPr>
                <w:sz w:val="21"/>
                <w:szCs w:val="21"/>
                <w:color w:val="auto"/>
              </w:rPr>
            </w:pPr>
          </w:p>
        </w:tc>
        <w:tc>
          <w:tcPr>
            <w:tcW w:w="200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467,909</w:t>
            </w:r>
          </w:p>
        </w:tc>
        <w:tc>
          <w:tcPr>
            <w:tcW w:w="0" w:type="dxa"/>
            <w:vAlign w:val="bottom"/>
          </w:tcPr>
          <w:p>
            <w:pPr>
              <w:spacing w:after="0"/>
              <w:rPr>
                <w:sz w:val="1"/>
                <w:szCs w:val="1"/>
                <w:color w:val="auto"/>
              </w:rPr>
            </w:pPr>
          </w:p>
        </w:tc>
      </w:tr>
      <w:tr>
        <w:trPr>
          <w:trHeight w:val="238"/>
        </w:trPr>
        <w:tc>
          <w:tcPr>
            <w:tcW w:w="2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November 1 - 30  </w:t>
            </w:r>
            <w:r>
              <w:rPr>
                <w:rFonts w:ascii="Arial" w:cs="Arial" w:eastAsia="Arial" w:hAnsi="Arial"/>
                <w:sz w:val="18"/>
                <w:szCs w:val="18"/>
                <w:color w:val="auto"/>
              </w:rPr>
              <w:t>. . ...... . .. . .</w:t>
            </w:r>
          </w:p>
        </w:tc>
        <w:tc>
          <w:tcPr>
            <w:tcW w:w="1060" w:type="dxa"/>
            <w:vAlign w:val="bottom"/>
            <w:gridSpan w:val="2"/>
          </w:tcPr>
          <w:p>
            <w:pPr>
              <w:jc w:val="right"/>
              <w:ind w:right="117"/>
              <w:spacing w:after="0"/>
              <w:rPr>
                <w:sz w:val="20"/>
                <w:szCs w:val="20"/>
                <w:color w:val="auto"/>
              </w:rPr>
            </w:pPr>
            <w:r>
              <w:rPr>
                <w:rFonts w:ascii="Times New Roman" w:cs="Times New Roman" w:eastAsia="Times New Roman" w:hAnsi="Times New Roman"/>
                <w:sz w:val="19"/>
                <w:szCs w:val="19"/>
                <w:color w:val="auto"/>
              </w:rPr>
              <w:t>1,400</w:t>
            </w:r>
          </w:p>
        </w:tc>
        <w:tc>
          <w:tcPr>
            <w:tcW w:w="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851.40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584"/>
              <w:spacing w:after="0"/>
              <w:rPr>
                <w:sz w:val="20"/>
                <w:szCs w:val="20"/>
                <w:color w:val="auto"/>
              </w:rPr>
            </w:pPr>
            <w:r>
              <w:rPr>
                <w:rFonts w:ascii="Times New Roman" w:cs="Times New Roman" w:eastAsia="Times New Roman" w:hAnsi="Times New Roman"/>
                <w:sz w:val="19"/>
                <w:szCs w:val="19"/>
                <w:color w:val="auto"/>
              </w:rPr>
              <w:t>1,400</w:t>
            </w:r>
          </w:p>
        </w:tc>
        <w:tc>
          <w:tcPr>
            <w:tcW w:w="180" w:type="dxa"/>
            <w:vAlign w:val="bottom"/>
          </w:tcPr>
          <w:p>
            <w:pPr>
              <w:spacing w:after="0"/>
              <w:rPr>
                <w:sz w:val="20"/>
                <w:szCs w:val="20"/>
                <w:color w:val="auto"/>
              </w:rPr>
            </w:pPr>
          </w:p>
        </w:tc>
        <w:tc>
          <w:tcPr>
            <w:tcW w:w="200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466,509</w:t>
            </w:r>
          </w:p>
        </w:tc>
        <w:tc>
          <w:tcPr>
            <w:tcW w:w="0" w:type="dxa"/>
            <w:vAlign w:val="bottom"/>
          </w:tcPr>
          <w:p>
            <w:pPr>
              <w:spacing w:after="0"/>
              <w:rPr>
                <w:sz w:val="1"/>
                <w:szCs w:val="1"/>
                <w:color w:val="auto"/>
              </w:rPr>
            </w:pPr>
          </w:p>
        </w:tc>
      </w:tr>
      <w:tr>
        <w:trPr>
          <w:trHeight w:val="238"/>
        </w:trPr>
        <w:tc>
          <w:tcPr>
            <w:tcW w:w="28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December 1 - 31  </w:t>
            </w:r>
            <w:r>
              <w:rPr>
                <w:rFonts w:ascii="Arial" w:cs="Arial" w:eastAsia="Arial" w:hAnsi="Arial"/>
                <w:sz w:val="18"/>
                <w:szCs w:val="18"/>
                <w:color w:val="auto"/>
              </w:rPr>
              <w:t>........ . .. . .</w:t>
            </w:r>
          </w:p>
        </w:tc>
        <w:tc>
          <w:tcPr>
            <w:tcW w:w="1060" w:type="dxa"/>
            <w:vAlign w:val="bottom"/>
            <w:gridSpan w:val="2"/>
          </w:tcPr>
          <w:p>
            <w:pPr>
              <w:jc w:val="right"/>
              <w:ind w:right="137"/>
              <w:spacing w:after="0"/>
              <w:rPr>
                <w:sz w:val="20"/>
                <w:szCs w:val="20"/>
                <w:color w:val="auto"/>
              </w:rPr>
            </w:pPr>
            <w:r>
              <w:rPr>
                <w:rFonts w:ascii="Times New Roman" w:cs="Times New Roman" w:eastAsia="Times New Roman" w:hAnsi="Times New Roman"/>
                <w:sz w:val="19"/>
                <w:szCs w:val="19"/>
                <w:color w:val="auto"/>
              </w:rPr>
              <w:t>49</w:t>
            </w:r>
          </w:p>
        </w:tc>
        <w:tc>
          <w:tcPr>
            <w:tcW w:w="2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875.93</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gridSpan w:val="2"/>
          </w:tcPr>
          <w:p>
            <w:pPr>
              <w:jc w:val="right"/>
              <w:ind w:right="584"/>
              <w:spacing w:after="0"/>
              <w:rPr>
                <w:sz w:val="20"/>
                <w:szCs w:val="20"/>
                <w:color w:val="auto"/>
              </w:rPr>
            </w:pPr>
            <w:r>
              <w:rPr>
                <w:rFonts w:ascii="Times New Roman" w:cs="Times New Roman" w:eastAsia="Times New Roman" w:hAnsi="Times New Roman"/>
                <w:sz w:val="19"/>
                <w:szCs w:val="19"/>
                <w:color w:val="auto"/>
              </w:rPr>
              <w:t>49</w:t>
            </w:r>
          </w:p>
        </w:tc>
        <w:tc>
          <w:tcPr>
            <w:tcW w:w="180" w:type="dxa"/>
            <w:vAlign w:val="bottom"/>
          </w:tcPr>
          <w:p>
            <w:pPr>
              <w:spacing w:after="0"/>
              <w:rPr>
                <w:sz w:val="20"/>
                <w:szCs w:val="20"/>
                <w:color w:val="auto"/>
              </w:rPr>
            </w:pPr>
          </w:p>
        </w:tc>
        <w:tc>
          <w:tcPr>
            <w:tcW w:w="2000" w:type="dxa"/>
            <w:vAlign w:val="bottom"/>
          </w:tcPr>
          <w:p>
            <w:pPr>
              <w:ind w:left="680"/>
              <w:spacing w:after="0"/>
              <w:rPr>
                <w:sz w:val="20"/>
                <w:szCs w:val="20"/>
                <w:color w:val="auto"/>
              </w:rPr>
            </w:pPr>
            <w:r>
              <w:rPr>
                <w:rFonts w:ascii="Times New Roman" w:cs="Times New Roman" w:eastAsia="Times New Roman" w:hAnsi="Times New Roman"/>
                <w:sz w:val="19"/>
                <w:szCs w:val="19"/>
                <w:color w:val="auto"/>
              </w:rPr>
              <w:t>466,460</w:t>
            </w:r>
          </w:p>
        </w:tc>
        <w:tc>
          <w:tcPr>
            <w:tcW w:w="0" w:type="dxa"/>
            <w:vAlign w:val="bottom"/>
          </w:tcPr>
          <w:p>
            <w:pPr>
              <w:spacing w:after="0"/>
              <w:rPr>
                <w:sz w:val="1"/>
                <w:szCs w:val="1"/>
                <w:color w:val="auto"/>
              </w:rPr>
            </w:pPr>
          </w:p>
        </w:tc>
      </w:tr>
      <w:tr>
        <w:trPr>
          <w:trHeight w:val="36"/>
        </w:trPr>
        <w:tc>
          <w:tcPr>
            <w:tcW w:w="28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gridSpan w:val="2"/>
          </w:tcPr>
          <w:p>
            <w:pPr>
              <w:spacing w:after="0"/>
              <w:rPr>
                <w:sz w:val="3"/>
                <w:szCs w:val="3"/>
                <w:color w:val="auto"/>
              </w:rPr>
            </w:pPr>
          </w:p>
        </w:tc>
        <w:tc>
          <w:tcPr>
            <w:tcW w:w="80" w:type="dxa"/>
            <w:vAlign w:val="bottom"/>
            <w:gridSpan w:val="2"/>
          </w:tcPr>
          <w:p>
            <w:pPr>
              <w:spacing w:after="0"/>
              <w:rPr>
                <w:sz w:val="3"/>
                <w:szCs w:val="3"/>
                <w:color w:val="auto"/>
              </w:rPr>
            </w:pPr>
          </w:p>
        </w:tc>
        <w:tc>
          <w:tcPr>
            <w:tcW w:w="640" w:type="dxa"/>
            <w:vAlign w:val="bottom"/>
            <w:tcBorders>
              <w:bottom w:val="single" w:sz="8" w:color="4C4C4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900" w:type="dxa"/>
            <w:vAlign w:val="bottom"/>
            <w:gridSpan w:val="3"/>
          </w:tcPr>
          <w:p>
            <w:pPr>
              <w:ind w:left="380"/>
              <w:spacing w:after="0"/>
              <w:rPr>
                <w:sz w:val="20"/>
                <w:szCs w:val="20"/>
                <w:color w:val="auto"/>
              </w:rPr>
            </w:pPr>
            <w:r>
              <w:rPr>
                <w:rFonts w:ascii="Times New Roman" w:cs="Times New Roman" w:eastAsia="Times New Roman" w:hAnsi="Times New Roman"/>
                <w:sz w:val="19"/>
                <w:szCs w:val="19"/>
                <w:color w:val="auto"/>
              </w:rPr>
              <w:t xml:space="preserve">Total  </w:t>
            </w:r>
            <w:r>
              <w:rPr>
                <w:rFonts w:ascii="Arial" w:cs="Arial" w:eastAsia="Arial" w:hAnsi="Arial"/>
                <w:sz w:val="23"/>
                <w:szCs w:val="23"/>
                <w:color w:val="auto"/>
              </w:rPr>
              <w:t>. . .............. . .</w:t>
            </w:r>
          </w:p>
        </w:tc>
        <w:tc>
          <w:tcPr>
            <w:tcW w:w="1180" w:type="dxa"/>
            <w:vAlign w:val="bottom"/>
            <w:gridSpan w:val="2"/>
          </w:tcPr>
          <w:p>
            <w:pPr>
              <w:jc w:val="right"/>
              <w:ind w:right="420"/>
              <w:spacing w:after="0"/>
              <w:rPr>
                <w:sz w:val="20"/>
                <w:szCs w:val="20"/>
                <w:color w:val="auto"/>
              </w:rPr>
            </w:pPr>
            <w:r>
              <w:rPr>
                <w:rFonts w:ascii="Times New Roman" w:cs="Times New Roman" w:eastAsia="Times New Roman" w:hAnsi="Times New Roman"/>
                <w:sz w:val="19"/>
                <w:szCs w:val="19"/>
                <w:color w:val="auto"/>
              </w:rPr>
              <w:t>L9,672</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$815.77</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gridSpan w:val="2"/>
          </w:tcPr>
          <w:p>
            <w:pPr>
              <w:jc w:val="right"/>
              <w:ind w:right="584"/>
              <w:spacing w:after="0"/>
              <w:rPr>
                <w:sz w:val="20"/>
                <w:szCs w:val="20"/>
                <w:color w:val="auto"/>
              </w:rPr>
            </w:pPr>
            <w:r>
              <w:rPr>
                <w:rFonts w:ascii="Times New Roman" w:cs="Times New Roman" w:eastAsia="Times New Roman" w:hAnsi="Times New Roman"/>
                <w:sz w:val="19"/>
                <w:szCs w:val="19"/>
                <w:color w:val="auto"/>
              </w:rPr>
              <w:t>19,672</w:t>
            </w:r>
          </w:p>
        </w:tc>
        <w:tc>
          <w:tcPr>
            <w:tcW w:w="1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960" w:type="dxa"/>
            <w:vAlign w:val="bottom"/>
          </w:tcPr>
          <w:p>
            <w:pPr>
              <w:spacing w:after="0"/>
              <w:rPr>
                <w:sz w:val="2"/>
                <w:szCs w:val="2"/>
                <w:color w:val="auto"/>
              </w:rPr>
            </w:pPr>
          </w:p>
        </w:tc>
        <w:tc>
          <w:tcPr>
            <w:tcW w:w="186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080808"/>
            </w:tcBorders>
          </w:tcPr>
          <w:p>
            <w:pPr>
              <w:spacing w:after="0"/>
              <w:rPr>
                <w:sz w:val="2"/>
                <w:szCs w:val="2"/>
                <w:color w:val="auto"/>
              </w:rPr>
            </w:pPr>
          </w:p>
        </w:tc>
        <w:tc>
          <w:tcPr>
            <w:tcW w:w="640" w:type="dxa"/>
            <w:vAlign w:val="bottom"/>
            <w:tcBorders>
              <w:bottom w:val="single" w:sz="8" w:color="080808"/>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960" w:type="dxa"/>
            <w:vAlign w:val="bottom"/>
            <w:tcBorders>
              <w:bottom w:val="single" w:sz="8" w:color="0C0808"/>
            </w:tcBorders>
          </w:tcPr>
          <w:p>
            <w:pPr>
              <w:spacing w:after="0"/>
              <w:rPr>
                <w:sz w:val="15"/>
                <w:szCs w:val="15"/>
                <w:color w:val="auto"/>
              </w:rPr>
            </w:pPr>
          </w:p>
        </w:tc>
        <w:tc>
          <w:tcPr>
            <w:tcW w:w="1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5"/>
          <w:szCs w:val="15"/>
          <w:color w:val="auto"/>
        </w:rPr>
        <w:t>( I)</w:t>
        <w:tab/>
        <w:t>Average price paid per share includes costs associated with repurchases. including commissions and excise taxes.</w:t>
      </w:r>
    </w:p>
    <w:p>
      <w:pPr>
        <w:spacing w:after="0" w:line="33" w:lineRule="exact"/>
        <w:rPr>
          <w:sz w:val="20"/>
          <w:szCs w:val="20"/>
          <w:color w:val="auto"/>
        </w:rPr>
      </w:pPr>
    </w:p>
    <w:p>
      <w:pPr>
        <w:jc w:val="both"/>
        <w:ind w:left="440" w:right="125" w:hanging="327"/>
        <w:spacing w:after="0" w:line="273" w:lineRule="auto"/>
        <w:tabs>
          <w:tab w:leader="none" w:pos="440"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September 12, 2024, the Company's Boa rd of Directors authorized the Company to purchase. on the open market or otherwise. up to 500,000 shares of its Class B Common Stock. This authori zation includes shares that remained under the previous autho rization. There is no expiration date for this authorization. Share purchases made during the quarte r ended Dece mber 3 1. 2024 occuned thro ugh open market transactions or to enable employees to obtain the funds necessary to sati sfy taxes incurred in connection with the vesting of restricted stock awards. Some of these shares were purchased pursuant to a 10 b5·1 trading plan.</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30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53</w:t>
      </w:r>
    </w:p>
    <w:p>
      <w:pPr>
        <w:sectPr>
          <w:pgSz w:w="12240" w:h="15850" w:orient="portrait"/>
          <w:cols w:equalWidth="0" w:num="1">
            <w:col w:w="9365"/>
          </w:cols>
          <w:pgMar w:left="1440" w:top="1392" w:right="1440" w:bottom="721" w:gutter="0" w:footer="0" w:header="0"/>
          <w:type w:val="continuous"/>
        </w:sectPr>
      </w:pPr>
    </w:p>
    <w:bookmarkStart w:id="69" w:name="page70"/>
    <w:bookmarkEnd w:id="69"/>
    <w:p>
      <w:pPr>
        <w:ind w:left="12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7">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Performance Graph</w:t>
      </w:r>
    </w:p>
    <w:p>
      <w:pPr>
        <w:spacing w:after="0" w:line="139" w:lineRule="exact"/>
        <w:rPr>
          <w:sz w:val="20"/>
          <w:szCs w:val="20"/>
          <w:color w:val="auto"/>
        </w:rPr>
      </w:pPr>
    </w:p>
    <w:p>
      <w:pPr>
        <w:jc w:val="both"/>
        <w:ind w:left="120" w:right="105"/>
        <w:spacing w:after="0" w:line="263" w:lineRule="auto"/>
        <w:rPr>
          <w:sz w:val="20"/>
          <w:szCs w:val="20"/>
          <w:color w:val="auto"/>
        </w:rPr>
      </w:pPr>
      <w:r>
        <w:rPr>
          <w:rFonts w:ascii="Times New Roman" w:cs="Times New Roman" w:eastAsia="Times New Roman" w:hAnsi="Times New Roman"/>
          <w:sz w:val="19"/>
          <w:szCs w:val="19"/>
          <w:color w:val="auto"/>
        </w:rPr>
        <w:t>The following graph is a comparison of the yearly percentage change in the Company's cumulative total shareholder return with the cumulative total return of the Standard &amp; Poor's 500 Stock Index (S&amp;P 500 Index) and a c ustom peer group index comprised of a composite group of education and television broadcasting companies. The S&amp;P 500 Index is comprised of 500 U.S. companies in the industrial, transportation, utilities and financial industries and is weighted by market capitalization. T he custom peer group of composite companies includes Adtalem G lobal Education Inc., Chegg, Inc., The E.W. Scripps Company, Grand Canyon Education Inc., Nexstar Media Group Inc., Gray Media, Inc (formerly Gray Television Inc.), New Orienta] Education &amp; Technology Group Inc., Pearson plc and Tegna Inc. The graph reflects the investment of $100 on December 31, 2019, in the Company's Class B Common Stock, the S&amp;P 500 Index and the custom peer group index of composite companies. For purposes of this graph, it has been ass·umed that dividends were reinvested on the date paid in the case of the Company, and o n a quarterly basis in the case of the S&amp;P 500 Index and the custom peer group index of composite companies.</w:t>
      </w:r>
    </w:p>
    <w:p>
      <w:pPr>
        <w:spacing w:after="0" w:line="200" w:lineRule="exact"/>
        <w:rPr>
          <w:sz w:val="20"/>
          <w:szCs w:val="20"/>
          <w:color w:val="auto"/>
        </w:rPr>
      </w:pPr>
    </w:p>
    <w:p>
      <w:pPr>
        <w:spacing w:after="0" w:line="340" w:lineRule="exact"/>
        <w:rPr>
          <w:sz w:val="20"/>
          <w:szCs w:val="20"/>
          <w:color w:val="auto"/>
        </w:rPr>
      </w:pPr>
    </w:p>
    <w:p>
      <w:pPr>
        <w:jc w:val="center"/>
        <w:ind w:right="-14"/>
        <w:spacing w:after="0"/>
        <w:rPr>
          <w:sz w:val="20"/>
          <w:szCs w:val="20"/>
          <w:color w:val="auto"/>
        </w:rPr>
      </w:pPr>
      <w:r>
        <w:rPr>
          <w:rFonts w:ascii="Arial" w:cs="Arial" w:eastAsia="Arial" w:hAnsi="Arial"/>
          <w:sz w:val="14"/>
          <w:szCs w:val="14"/>
          <w:color w:val="auto"/>
        </w:rPr>
        <w:t>COMPARISON OF CUMULATIVE FIVE YEAR TOTAL RETURN</w:t>
      </w:r>
    </w:p>
    <w:p>
      <w:pPr>
        <w:spacing w:after="0" w:line="27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$250</w:t>
      </w:r>
    </w:p>
    <w:p>
      <w:pPr>
        <w:spacing w:after="0" w:line="32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$200</w:t>
      </w:r>
    </w:p>
    <w:p>
      <w:pPr>
        <w:spacing w:after="0" w:line="318"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3"/>
          <w:szCs w:val="13"/>
          <w:color w:val="auto"/>
        </w:rPr>
        <w:t>$1 50</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4"/>
          <w:szCs w:val="14"/>
          <w:color w:val="auto"/>
        </w:rPr>
        <w:t>$50</w:t>
      </w:r>
    </w:p>
    <w:p>
      <w:pPr>
        <w:spacing w:after="0" w:line="314" w:lineRule="exact"/>
        <w:rPr>
          <w:sz w:val="20"/>
          <w:szCs w:val="20"/>
          <w:color w:val="auto"/>
        </w:rPr>
      </w:pPr>
    </w:p>
    <w:tbl>
      <w:tblPr>
        <w:tblLayout w:type="fixed"/>
        <w:tblInd w:w="1720" w:type="dxa"/>
        <w:tblCellMar>
          <w:top w:w="0" w:type="dxa"/>
          <w:left w:w="0" w:type="dxa"/>
          <w:bottom w:w="0" w:type="dxa"/>
          <w:right w:w="0" w:type="dxa"/>
        </w:tblCellMar>
      </w:tblPr>
      <w:tr>
        <w:trPr>
          <w:trHeight w:val="149"/>
        </w:trPr>
        <w:tc>
          <w:tcPr>
            <w:tcW w:w="2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w w:val="91"/>
              </w:rPr>
              <w:t>$0</w:t>
            </w:r>
          </w:p>
        </w:tc>
        <w:tc>
          <w:tcPr>
            <w:tcW w:w="5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r>
      <w:tr>
        <w:trPr>
          <w:trHeight w:val="210"/>
        </w:trPr>
        <w:tc>
          <w:tcPr>
            <w:tcW w:w="780" w:type="dxa"/>
            <w:vAlign w:val="bottom"/>
            <w:gridSpan w:val="2"/>
          </w:tcPr>
          <w:p>
            <w:pPr>
              <w:jc w:val="right"/>
              <w:ind w:right="217"/>
              <w:spacing w:after="0"/>
              <w:rPr>
                <w:sz w:val="20"/>
                <w:szCs w:val="20"/>
                <w:color w:val="auto"/>
              </w:rPr>
            </w:pPr>
            <w:r>
              <w:rPr>
                <w:rFonts w:ascii="Times New Roman" w:cs="Times New Roman" w:eastAsia="Times New Roman" w:hAnsi="Times New Roman"/>
                <w:sz w:val="13"/>
                <w:szCs w:val="13"/>
                <w:color w:val="auto"/>
                <w:w w:val="97"/>
              </w:rPr>
              <w:t>12131/19</w:t>
            </w:r>
          </w:p>
        </w:tc>
        <w:tc>
          <w:tcPr>
            <w:tcW w:w="10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12/31/20</w:t>
            </w:r>
          </w:p>
        </w:tc>
        <w:tc>
          <w:tcPr>
            <w:tcW w:w="104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12/31/21</w:t>
            </w:r>
          </w:p>
        </w:tc>
        <w:tc>
          <w:tcPr>
            <w:tcW w:w="84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12/31/22</w:t>
            </w:r>
          </w:p>
        </w:tc>
        <w:tc>
          <w:tcPr>
            <w:tcW w:w="1260" w:type="dxa"/>
            <w:vAlign w:val="bottom"/>
          </w:tcPr>
          <w:p>
            <w:pPr>
              <w:jc w:val="right"/>
              <w:ind w:right="217"/>
              <w:spacing w:after="0"/>
              <w:rPr>
                <w:sz w:val="20"/>
                <w:szCs w:val="20"/>
                <w:color w:val="auto"/>
              </w:rPr>
            </w:pPr>
            <w:r>
              <w:rPr>
                <w:rFonts w:ascii="Times New Roman" w:cs="Times New Roman" w:eastAsia="Times New Roman" w:hAnsi="Times New Roman"/>
                <w:sz w:val="13"/>
                <w:szCs w:val="13"/>
                <w:color w:val="auto"/>
              </w:rPr>
              <w:t>12131/23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12/31/24</w:t>
            </w:r>
          </w:p>
        </w:tc>
      </w:tr>
      <w:tr>
        <w:trPr>
          <w:trHeight w:val="289"/>
        </w:trPr>
        <w:tc>
          <w:tcPr>
            <w:tcW w:w="260" w:type="dxa"/>
            <w:vAlign w:val="bottom"/>
          </w:tcPr>
          <w:p>
            <w:pPr>
              <w:spacing w:after="0"/>
              <w:rPr>
                <w:sz w:val="24"/>
                <w:szCs w:val="24"/>
                <w:color w:val="auto"/>
              </w:rPr>
            </w:pPr>
          </w:p>
        </w:tc>
        <w:tc>
          <w:tcPr>
            <w:tcW w:w="3460" w:type="dxa"/>
            <w:vAlign w:val="bottom"/>
            <w:tcBorders>
              <w:bottom w:val="single" w:sz="8" w:color="0C0808"/>
            </w:tcBorders>
            <w:gridSpan w:val="4"/>
          </w:tcPr>
          <w:p>
            <w:pPr>
              <w:spacing w:after="0"/>
              <w:rPr>
                <w:sz w:val="24"/>
                <w:szCs w:val="24"/>
                <w:color w:val="auto"/>
              </w:rPr>
            </w:pPr>
          </w:p>
        </w:tc>
        <w:tc>
          <w:tcPr>
            <w:tcW w:w="1800" w:type="dxa"/>
            <w:vAlign w:val="bottom"/>
            <w:tcBorders>
              <w:bottom w:val="single" w:sz="8" w:color="0C0808"/>
            </w:tcBorders>
            <w:gridSpan w:val="2"/>
          </w:tcPr>
          <w:p>
            <w:pPr>
              <w:spacing w:after="0"/>
              <w:rPr>
                <w:sz w:val="24"/>
                <w:szCs w:val="24"/>
                <w:color w:val="auto"/>
              </w:rPr>
            </w:pPr>
          </w:p>
        </w:tc>
        <w:tc>
          <w:tcPr>
            <w:tcW w:w="240" w:type="dxa"/>
            <w:vAlign w:val="bottom"/>
          </w:tcPr>
          <w:p>
            <w:pPr>
              <w:spacing w:after="0"/>
              <w:rPr>
                <w:sz w:val="24"/>
                <w:szCs w:val="24"/>
                <w:color w:val="auto"/>
              </w:rPr>
            </w:pPr>
          </w:p>
        </w:tc>
      </w:tr>
      <w:tr>
        <w:trPr>
          <w:trHeight w:val="218"/>
        </w:trPr>
        <w:tc>
          <w:tcPr>
            <w:tcW w:w="260" w:type="dxa"/>
            <w:vAlign w:val="bottom"/>
          </w:tcPr>
          <w:p>
            <w:pPr>
              <w:spacing w:after="0"/>
              <w:rPr>
                <w:sz w:val="18"/>
                <w:szCs w:val="18"/>
                <w:color w:val="auto"/>
              </w:rPr>
            </w:pPr>
          </w:p>
        </w:tc>
        <w:tc>
          <w:tcPr>
            <w:tcW w:w="3460" w:type="dxa"/>
            <w:vAlign w:val="bottom"/>
            <w:gridSpan w:val="4"/>
          </w:tcPr>
          <w:p>
            <w:pPr>
              <w:jc w:val="right"/>
              <w:ind w:right="57"/>
              <w:spacing w:after="0"/>
              <w:rPr>
                <w:sz w:val="20"/>
                <w:szCs w:val="20"/>
                <w:color w:val="auto"/>
              </w:rPr>
            </w:pPr>
            <w:r>
              <w:rPr>
                <w:rFonts w:ascii="Arial" w:cs="Arial" w:eastAsia="Arial" w:hAnsi="Arial"/>
                <w:sz w:val="13"/>
                <w:szCs w:val="13"/>
                <w:color w:val="auto"/>
              </w:rPr>
              <w:t>-- Graham Holdings Company   -- s&amp;P 500 Index</w:t>
            </w:r>
          </w:p>
        </w:tc>
        <w:tc>
          <w:tcPr>
            <w:tcW w:w="2040" w:type="dxa"/>
            <w:vAlign w:val="bottom"/>
            <w:gridSpan w:val="3"/>
          </w:tcPr>
          <w:p>
            <w:pPr>
              <w:jc w:val="right"/>
              <w:ind w:right="420"/>
              <w:spacing w:after="0"/>
              <w:rPr>
                <w:sz w:val="20"/>
                <w:szCs w:val="20"/>
                <w:color w:val="auto"/>
              </w:rPr>
            </w:pPr>
            <w:r>
              <w:rPr>
                <w:rFonts w:ascii="Arial" w:cs="Arial" w:eastAsia="Arial" w:hAnsi="Arial"/>
                <w:sz w:val="13"/>
                <w:szCs w:val="13"/>
                <w:color w:val="auto"/>
              </w:rPr>
              <w:t>-- eomposhe Peer Group</w:t>
            </w:r>
          </w:p>
        </w:tc>
      </w:tr>
      <w:tr>
        <w:trPr>
          <w:trHeight w:val="125"/>
        </w:trPr>
        <w:tc>
          <w:tcPr>
            <w:tcW w:w="260" w:type="dxa"/>
            <w:vAlign w:val="bottom"/>
          </w:tcPr>
          <w:p>
            <w:pPr>
              <w:spacing w:after="0"/>
              <w:rPr>
                <w:sz w:val="10"/>
                <w:szCs w:val="10"/>
                <w:color w:val="auto"/>
              </w:rPr>
            </w:pPr>
          </w:p>
        </w:tc>
        <w:tc>
          <w:tcPr>
            <w:tcW w:w="520" w:type="dxa"/>
            <w:vAlign w:val="bottom"/>
            <w:tcBorders>
              <w:bottom w:val="single" w:sz="8" w:color="0C0808"/>
            </w:tcBorders>
          </w:tcPr>
          <w:p>
            <w:pPr>
              <w:spacing w:after="0"/>
              <w:rPr>
                <w:sz w:val="10"/>
                <w:szCs w:val="10"/>
                <w:color w:val="auto"/>
              </w:rPr>
            </w:pPr>
          </w:p>
        </w:tc>
        <w:tc>
          <w:tcPr>
            <w:tcW w:w="1060" w:type="dxa"/>
            <w:vAlign w:val="bottom"/>
            <w:tcBorders>
              <w:bottom w:val="single" w:sz="8" w:color="0C0808"/>
            </w:tcBorders>
          </w:tcPr>
          <w:p>
            <w:pPr>
              <w:spacing w:after="0"/>
              <w:rPr>
                <w:sz w:val="10"/>
                <w:szCs w:val="10"/>
                <w:color w:val="auto"/>
              </w:rPr>
            </w:pPr>
          </w:p>
        </w:tc>
        <w:tc>
          <w:tcPr>
            <w:tcW w:w="1040" w:type="dxa"/>
            <w:vAlign w:val="bottom"/>
            <w:tcBorders>
              <w:bottom w:val="single" w:sz="8" w:color="0C0808"/>
            </w:tcBorders>
          </w:tcPr>
          <w:p>
            <w:pPr>
              <w:spacing w:after="0"/>
              <w:rPr>
                <w:sz w:val="10"/>
                <w:szCs w:val="10"/>
                <w:color w:val="auto"/>
              </w:rPr>
            </w:pPr>
          </w:p>
        </w:tc>
        <w:tc>
          <w:tcPr>
            <w:tcW w:w="840" w:type="dxa"/>
            <w:vAlign w:val="bottom"/>
            <w:tcBorders>
              <w:bottom w:val="single" w:sz="8" w:color="0C0808"/>
            </w:tcBorders>
          </w:tcPr>
          <w:p>
            <w:pPr>
              <w:spacing w:after="0"/>
              <w:rPr>
                <w:sz w:val="10"/>
                <w:szCs w:val="10"/>
                <w:color w:val="auto"/>
              </w:rPr>
            </w:pPr>
          </w:p>
        </w:tc>
        <w:tc>
          <w:tcPr>
            <w:tcW w:w="1260" w:type="dxa"/>
            <w:vAlign w:val="bottom"/>
            <w:tcBorders>
              <w:bottom w:val="single" w:sz="8" w:color="0C0808"/>
            </w:tcBorders>
          </w:tcPr>
          <w:p>
            <w:pPr>
              <w:spacing w:after="0"/>
              <w:rPr>
                <w:sz w:val="10"/>
                <w:szCs w:val="10"/>
                <w:color w:val="auto"/>
              </w:rPr>
            </w:pPr>
          </w:p>
        </w:tc>
        <w:tc>
          <w:tcPr>
            <w:tcW w:w="540" w:type="dxa"/>
            <w:vAlign w:val="bottom"/>
            <w:tcBorders>
              <w:bottom w:val="single" w:sz="8" w:color="0C0808"/>
            </w:tcBorders>
          </w:tcPr>
          <w:p>
            <w:pPr>
              <w:spacing w:after="0"/>
              <w:rPr>
                <w:sz w:val="10"/>
                <w:szCs w:val="10"/>
                <w:color w:val="auto"/>
              </w:rPr>
            </w:pPr>
          </w:p>
        </w:tc>
        <w:tc>
          <w:tcPr>
            <w:tcW w:w="240" w:type="dxa"/>
            <w:vAlign w:val="bottom"/>
          </w:tcPr>
          <w:p>
            <w:pPr>
              <w:spacing w:after="0"/>
              <w:rPr>
                <w:sz w:val="10"/>
                <w:szCs w:val="10"/>
                <w:color w:val="auto"/>
              </w:rPr>
            </w:pPr>
          </w:p>
        </w:tc>
      </w:tr>
    </w:tbl>
    <w:p>
      <w:pPr>
        <w:spacing w:after="0" w:line="336"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2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w:t>
            </w:r>
          </w:p>
        </w:tc>
        <w:tc>
          <w:tcPr>
            <w:tcW w:w="18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89"/>
              </w:rPr>
              <w:t>2019</w:t>
            </w:r>
          </w:p>
        </w:tc>
        <w:tc>
          <w:tcPr>
            <w:tcW w:w="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2020</w:t>
            </w:r>
          </w:p>
        </w:tc>
        <w:tc>
          <w:tcPr>
            <w:tcW w:w="76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2021</w:t>
            </w:r>
          </w:p>
        </w:tc>
        <w:tc>
          <w:tcPr>
            <w:tcW w:w="74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2022</w:t>
            </w:r>
          </w:p>
        </w:tc>
        <w:tc>
          <w:tcPr>
            <w:tcW w:w="76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2023</w:t>
            </w:r>
          </w:p>
        </w:tc>
        <w:tc>
          <w:tcPr>
            <w:tcW w:w="640" w:type="dxa"/>
            <w:vAlign w:val="bottom"/>
          </w:tcPr>
          <w:p>
            <w:pPr>
              <w:jc w:val="right"/>
              <w:ind w:right="29"/>
              <w:spacing w:after="0"/>
              <w:rPr>
                <w:sz w:val="20"/>
                <w:szCs w:val="20"/>
                <w:color w:val="auto"/>
              </w:rPr>
            </w:pPr>
            <w:r>
              <w:rPr>
                <w:rFonts w:ascii="Times New Roman" w:cs="Times New Roman" w:eastAsia="Times New Roman" w:hAnsi="Times New Roman"/>
                <w:sz w:val="16"/>
                <w:szCs w:val="16"/>
                <w:color w:val="auto"/>
              </w:rPr>
              <w:t>2024</w:t>
            </w:r>
          </w:p>
        </w:tc>
      </w:tr>
      <w:tr>
        <w:trPr>
          <w:trHeight w:val="35"/>
        </w:trPr>
        <w:tc>
          <w:tcPr>
            <w:tcW w:w="920" w:type="dxa"/>
            <w:vAlign w:val="bottom"/>
            <w:tcBorders>
              <w:bottom w:val="single" w:sz="8" w:color="403C3C"/>
            </w:tcBorders>
          </w:tcPr>
          <w:p>
            <w:pPr>
              <w:spacing w:after="0"/>
              <w:rPr>
                <w:sz w:val="3"/>
                <w:szCs w:val="3"/>
                <w:color w:val="auto"/>
              </w:rPr>
            </w:pPr>
          </w:p>
        </w:tc>
        <w:tc>
          <w:tcPr>
            <w:tcW w:w="1960" w:type="dxa"/>
            <w:vAlign w:val="bottom"/>
          </w:tcPr>
          <w:p>
            <w:pPr>
              <w:spacing w:after="0"/>
              <w:rPr>
                <w:sz w:val="3"/>
                <w:szCs w:val="3"/>
                <w:color w:val="auto"/>
              </w:rPr>
            </w:pPr>
          </w:p>
        </w:tc>
        <w:tc>
          <w:tcPr>
            <w:tcW w:w="1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69"/>
        </w:trPr>
        <w:tc>
          <w:tcPr>
            <w:tcW w:w="2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Graham Holdings Company  </w:t>
            </w:r>
            <w:r>
              <w:rPr>
                <w:rFonts w:ascii="Times New Roman" w:cs="Times New Roman" w:eastAsia="Times New Roman" w:hAnsi="Times New Roman"/>
                <w:sz w:val="3"/>
                <w:szCs w:val="3"/>
                <w:color w:val="auto"/>
              </w:rPr>
              <w:t>•       ••     •       0</w:t>
            </w:r>
          </w:p>
        </w:tc>
        <w:tc>
          <w:tcPr>
            <w:tcW w:w="1840" w:type="dxa"/>
            <w:vAlign w:val="bottom"/>
          </w:tcPr>
          <w:p>
            <w:pPr>
              <w:spacing w:after="0"/>
              <w:rPr>
                <w:sz w:val="20"/>
                <w:szCs w:val="20"/>
                <w:color w:val="auto"/>
              </w:rPr>
            </w:pPr>
            <w:r>
              <w:rPr>
                <w:rFonts w:ascii="Times New Roman" w:cs="Times New Roman" w:eastAsia="Times New Roman" w:hAnsi="Times New Roman"/>
                <w:sz w:val="3"/>
                <w:szCs w:val="3"/>
                <w:color w:val="auto"/>
              </w:rPr>
              <w:t>••••••0 .0 .0•••••0 .</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100.00</w:t>
            </w:r>
          </w:p>
        </w:tc>
        <w:tc>
          <w:tcPr>
            <w:tcW w:w="7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84.68</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100.99</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97.93</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H4.15</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144.19</w:t>
            </w:r>
          </w:p>
        </w:tc>
      </w:tr>
      <w:tr>
        <w:trPr>
          <w:trHeight w:val="224"/>
        </w:trPr>
        <w:tc>
          <w:tcPr>
            <w:tcW w:w="2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S&amp;P 500 Index  </w:t>
            </w:r>
            <w:r>
              <w:rPr>
                <w:rFonts w:ascii="Times New Roman" w:cs="Times New Roman" w:eastAsia="Times New Roman" w:hAnsi="Times New Roman"/>
                <w:sz w:val="3"/>
                <w:szCs w:val="3"/>
                <w:color w:val="auto"/>
              </w:rPr>
              <w:t>•      •••••••••••••     0</w:t>
            </w:r>
          </w:p>
        </w:tc>
        <w:tc>
          <w:tcPr>
            <w:tcW w:w="1840" w:type="dxa"/>
            <w:vAlign w:val="bottom"/>
          </w:tcPr>
          <w:p>
            <w:pPr>
              <w:spacing w:after="0"/>
              <w:rPr>
                <w:sz w:val="20"/>
                <w:szCs w:val="20"/>
                <w:color w:val="auto"/>
              </w:rPr>
            </w:pPr>
            <w:r>
              <w:rPr>
                <w:rFonts w:ascii="Times New Roman" w:cs="Times New Roman" w:eastAsia="Times New Roman" w:hAnsi="Times New Roman"/>
                <w:sz w:val="3"/>
                <w:szCs w:val="3"/>
                <w:color w:val="auto"/>
              </w:rPr>
              <w:t>••••••••••••••••••</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100.00</w:t>
            </w:r>
          </w:p>
        </w:tc>
        <w:tc>
          <w:tcPr>
            <w:tcW w:w="7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11 8.40</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152.39</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124.79</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157.59</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197.02</w:t>
            </w:r>
          </w:p>
        </w:tc>
      </w:tr>
      <w:tr>
        <w:trPr>
          <w:trHeight w:val="263"/>
        </w:trPr>
        <w:tc>
          <w:tcPr>
            <w:tcW w:w="4720" w:type="dxa"/>
            <w:vAlign w:val="bottom"/>
            <w:gridSpan w:val="3"/>
          </w:tcPr>
          <w:p>
            <w:pPr>
              <w:spacing w:after="0" w:line="263" w:lineRule="exact"/>
              <w:rPr>
                <w:sz w:val="20"/>
                <w:szCs w:val="20"/>
                <w:color w:val="auto"/>
              </w:rPr>
            </w:pPr>
            <w:r>
              <w:rPr>
                <w:rFonts w:ascii="Times New Roman" w:cs="Times New Roman" w:eastAsia="Times New Roman" w:hAnsi="Times New Roman"/>
                <w:sz w:val="19"/>
                <w:szCs w:val="19"/>
                <w:color w:val="auto"/>
              </w:rPr>
              <w:t xml:space="preserve">Composite Peer Group  </w:t>
            </w:r>
            <w:r>
              <w:rPr>
                <w:rFonts w:ascii="Arial" w:cs="Arial" w:eastAsia="Arial" w:hAnsi="Arial"/>
                <w:sz w:val="23"/>
                <w:szCs w:val="23"/>
                <w:color w:val="auto"/>
              </w:rPr>
              <w:t>.. ........ . ..... .. ..... ....</w:t>
            </w:r>
          </w:p>
        </w:tc>
        <w:tc>
          <w:tcPr>
            <w:tcW w:w="76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100.00</w:t>
            </w:r>
          </w:p>
        </w:tc>
        <w:tc>
          <w:tcPr>
            <w:tcW w:w="740" w:type="dxa"/>
            <w:vAlign w:val="bottom"/>
          </w:tcPr>
          <w:p>
            <w:pPr>
              <w:ind w:left="120"/>
              <w:spacing w:after="0"/>
              <w:rPr>
                <w:sz w:val="20"/>
                <w:szCs w:val="20"/>
                <w:color w:val="auto"/>
              </w:rPr>
            </w:pPr>
            <w:r>
              <w:rPr>
                <w:rFonts w:ascii="Times New Roman" w:cs="Times New Roman" w:eastAsia="Times New Roman" w:hAnsi="Times New Roman"/>
                <w:sz w:val="19"/>
                <w:szCs w:val="19"/>
                <w:color w:val="auto"/>
              </w:rPr>
              <w:t>132.43</w:t>
            </w:r>
          </w:p>
        </w:tc>
        <w:tc>
          <w:tcPr>
            <w:tcW w:w="760" w:type="dxa"/>
            <w:vAlign w:val="bottom"/>
          </w:tcPr>
          <w:p>
            <w:pPr>
              <w:jc w:val="right"/>
              <w:ind w:right="26"/>
              <w:spacing w:after="0"/>
              <w:rPr>
                <w:sz w:val="20"/>
                <w:szCs w:val="20"/>
                <w:color w:val="auto"/>
              </w:rPr>
            </w:pPr>
            <w:r>
              <w:rPr>
                <w:rFonts w:ascii="Times New Roman" w:cs="Times New Roman" w:eastAsia="Times New Roman" w:hAnsi="Times New Roman"/>
                <w:sz w:val="19"/>
                <w:szCs w:val="19"/>
                <w:color w:val="auto"/>
              </w:rPr>
              <w:t>66.93</w:t>
            </w:r>
          </w:p>
        </w:tc>
        <w:tc>
          <w:tcPr>
            <w:tcW w:w="74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80.53</w:t>
            </w:r>
          </w:p>
        </w:tc>
        <w:tc>
          <w:tcPr>
            <w:tcW w:w="760" w:type="dxa"/>
            <w:vAlign w:val="bottom"/>
          </w:tcPr>
          <w:p>
            <w:pPr>
              <w:jc w:val="right"/>
              <w:ind w:right="6"/>
              <w:spacing w:after="0"/>
              <w:rPr>
                <w:sz w:val="20"/>
                <w:szCs w:val="20"/>
                <w:color w:val="auto"/>
              </w:rPr>
            </w:pPr>
            <w:r>
              <w:rPr>
                <w:rFonts w:ascii="Times New Roman" w:cs="Times New Roman" w:eastAsia="Times New Roman" w:hAnsi="Times New Roman"/>
                <w:sz w:val="19"/>
                <w:szCs w:val="19"/>
                <w:color w:val="auto"/>
              </w:rPr>
              <w:t>9 1.38</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97.93</w:t>
            </w:r>
          </w:p>
        </w:tc>
      </w:tr>
    </w:tbl>
    <w:p>
      <w:pPr>
        <w:spacing w:after="0" w:line="353"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1"/>
          <w:szCs w:val="21"/>
          <w:color w:val="auto"/>
        </w:rPr>
        <w:t>Item 6.</w:t>
        <w:tab/>
        <w:t>Reserved.</w:t>
      </w:r>
    </w:p>
    <w:p>
      <w:pPr>
        <w:spacing w:after="0" w:line="369"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 Results of Operations.</w:t>
      </w:r>
    </w:p>
    <w:p>
      <w:pPr>
        <w:spacing w:after="0" w:line="160" w:lineRule="exact"/>
        <w:rPr>
          <w:sz w:val="20"/>
          <w:szCs w:val="20"/>
          <w:color w:val="auto"/>
        </w:rPr>
      </w:pPr>
    </w:p>
    <w:p>
      <w:pPr>
        <w:jc w:val="both"/>
        <w:ind w:left="120" w:right="105" w:hanging="1"/>
        <w:spacing w:after="0" w:line="257" w:lineRule="auto"/>
        <w:rPr>
          <w:sz w:val="20"/>
          <w:szCs w:val="20"/>
          <w:color w:val="auto"/>
        </w:rPr>
      </w:pPr>
      <w:r>
        <w:rPr>
          <w:rFonts w:ascii="Times New Roman" w:cs="Times New Roman" w:eastAsia="Times New Roman" w:hAnsi="Times New Roman"/>
          <w:sz w:val="19"/>
          <w:szCs w:val="19"/>
          <w:color w:val="auto"/>
        </w:rPr>
        <w:t>See the</w:t>
      </w:r>
      <w:r>
        <w:rPr>
          <w:sz w:val="20"/>
          <w:szCs w:val="20"/>
          <w:color w:val="auto"/>
        </w:rPr>
        <w:t xml:space="preserve"> </w:t>
      </w:r>
      <w:r>
        <w:rPr>
          <w:rFonts w:ascii="Times New Roman" w:cs="Times New Roman" w:eastAsia="Times New Roman" w:hAnsi="Times New Roman"/>
          <w:sz w:val="19"/>
          <w:szCs w:val="19"/>
          <w:color w:val="auto"/>
        </w:rPr>
        <w:t>information contained under the heading "Management's Discussion and Analysis of Results of Operations and Financial Condition," which is included in this Annual Report on Form 10-K and listed in the index to financial information on page 62 hereof.</w:t>
      </w:r>
    </w:p>
    <w:p>
      <w:pPr>
        <w:spacing w:after="0" w:line="3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Item </w:t>
      </w:r>
      <w:r>
        <w:rPr>
          <w:rFonts w:ascii="Times New Roman" w:cs="Times New Roman" w:eastAsia="Times New Roman" w:hAnsi="Times New Roman"/>
          <w:sz w:val="22"/>
          <w:szCs w:val="22"/>
          <w:color w:val="auto"/>
        </w:rPr>
        <w:t>7</w:t>
      </w:r>
      <w:r>
        <w:rPr>
          <w:rFonts w:ascii="Times New Roman" w:cs="Times New Roman" w:eastAsia="Times New Roman" w:hAnsi="Times New Roman"/>
          <w:sz w:val="20"/>
          <w:szCs w:val="20"/>
          <w:color w:val="auto"/>
        </w:rPr>
        <w:t xml:space="preserve"> A. Quantitative and Qualitative Disclosures About Market Risk.</w:t>
      </w:r>
    </w:p>
    <w:p>
      <w:pPr>
        <w:spacing w:after="0" w:line="156" w:lineRule="exact"/>
        <w:rPr>
          <w:sz w:val="20"/>
          <w:szCs w:val="20"/>
          <w:color w:val="auto"/>
        </w:rPr>
      </w:pPr>
    </w:p>
    <w:p>
      <w:pPr>
        <w:jc w:val="both"/>
        <w:ind w:left="120" w:right="105"/>
        <w:spacing w:after="0" w:line="255" w:lineRule="auto"/>
        <w:rPr>
          <w:sz w:val="20"/>
          <w:szCs w:val="20"/>
          <w:color w:val="auto"/>
        </w:rPr>
      </w:pPr>
      <w:r>
        <w:rPr>
          <w:rFonts w:ascii="Times New Roman" w:cs="Times New Roman" w:eastAsia="Times New Roman" w:hAnsi="Times New Roman"/>
          <w:sz w:val="19"/>
          <w:szCs w:val="19"/>
          <w:color w:val="auto"/>
        </w:rPr>
        <w:t>The Company is exposed to market risk in the normal course of its business due primarily to its ownership of marketable equity securities, which are subject to equity price risk; to its borrowing and cash-management activities, which are subject to interest rate risk; and to its non- U.S. business operations, which are subject to foreign exchange rate risk.</w:t>
      </w:r>
    </w:p>
    <w:p>
      <w:pPr>
        <w:sectPr>
          <w:pgSz w:w="12240" w:h="15850" w:orient="portrait"/>
          <w:cols w:equalWidth="0" w:num="1">
            <w:col w:w="9365"/>
          </w:cols>
          <w:pgMar w:left="1440" w:top="1366" w:right="1440" w:bottom="721" w:gutter="0" w:footer="0" w:header="0"/>
        </w:sectPr>
      </w:pPr>
    </w:p>
    <w:p>
      <w:pPr>
        <w:spacing w:after="0" w:line="200" w:lineRule="exact"/>
        <w:rPr>
          <w:sz w:val="20"/>
          <w:szCs w:val="20"/>
          <w:color w:val="auto"/>
        </w:rPr>
      </w:pPr>
    </w:p>
    <w:p>
      <w:pPr>
        <w:spacing w:after="0" w:line="303"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54</w:t>
        <w:tab/>
        <w:t>2024 FORM 10-K</w:t>
      </w:r>
    </w:p>
    <w:p>
      <w:pPr>
        <w:sectPr>
          <w:pgSz w:w="12240" w:h="15850" w:orient="portrait"/>
          <w:cols w:equalWidth="0" w:num="1">
            <w:col w:w="9365"/>
          </w:cols>
          <w:pgMar w:left="1440" w:top="1366" w:right="1440" w:bottom="721" w:gutter="0" w:footer="0" w:header="0"/>
          <w:type w:val="continuous"/>
        </w:sectPr>
      </w:pPr>
    </w:p>
    <w:bookmarkStart w:id="70" w:name="page71"/>
    <w:bookmarkEnd w:id="70"/>
    <w:p>
      <w:pPr>
        <w:jc w:val="both"/>
        <w:ind w:left="120" w:right="125" w:firstLine="3"/>
        <w:spacing w:after="0" w:line="255" w:lineRule="auto"/>
        <w:rPr>
          <w:sz w:val="20"/>
          <w:szCs w:val="20"/>
          <w:color w:val="auto"/>
        </w:rPr>
      </w:pPr>
      <w:r>
        <w:rPr>
          <w:rFonts w:ascii="Times New Roman" w:cs="Times New Roman" w:eastAsia="Times New Roman" w:hAnsi="Times New Roman"/>
          <w:sz w:val="20"/>
          <w:szCs w:val="20"/>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7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Equity Price Risk. </w:t>
      </w:r>
      <w:r>
        <w:rPr>
          <w:rFonts w:ascii="Times New Roman" w:cs="Times New Roman" w:eastAsia="Times New Roman" w:hAnsi="Times New Roman"/>
          <w:sz w:val="19"/>
          <w:szCs w:val="19"/>
          <w:color w:val="auto"/>
        </w:rPr>
        <w:t>The Company has common stock investments in several publicly traded companies (as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discussed in Note 4 to the Company's Consolidated Financia l Statements) that are subject to market price volatility. The fair value of these common stock investments totaled $852.4 million at December 31, 2024.</w:t>
      </w:r>
    </w:p>
    <w:p>
      <w:pPr>
        <w:spacing w:after="0" w:line="235" w:lineRule="exact"/>
        <w:rPr>
          <w:sz w:val="20"/>
          <w:szCs w:val="20"/>
          <w:color w:val="auto"/>
        </w:rPr>
      </w:pPr>
    </w:p>
    <w:p>
      <w:pPr>
        <w:jc w:val="both"/>
        <w:ind w:left="120" w:right="105" w:hanging="5"/>
        <w:spacing w:after="0" w:line="253" w:lineRule="auto"/>
        <w:rPr>
          <w:sz w:val="20"/>
          <w:szCs w:val="20"/>
          <w:color w:val="auto"/>
        </w:rPr>
      </w:pPr>
      <w:r>
        <w:rPr>
          <w:rFonts w:ascii="Times New Roman" w:cs="Times New Roman" w:eastAsia="Times New Roman" w:hAnsi="Times New Roman"/>
          <w:sz w:val="20"/>
          <w:szCs w:val="20"/>
          <w:i w:val="1"/>
          <w:iCs w:val="1"/>
          <w:color w:val="auto"/>
        </w:rPr>
        <w:t>Interest Rate Risk.</w:t>
      </w:r>
      <w:r>
        <w:rPr>
          <w:sz w:val="20"/>
          <w:szCs w:val="20"/>
          <w:color w:val="auto"/>
        </w:rPr>
        <w:t xml:space="preserve"> </w:t>
      </w:r>
      <w:r>
        <w:rPr>
          <w:rFonts w:ascii="Times New Roman" w:cs="Times New Roman" w:eastAsia="Times New Roman" w:hAnsi="Times New Roman"/>
          <w:sz w:val="19"/>
          <w:szCs w:val="19"/>
          <w:color w:val="auto"/>
        </w:rPr>
        <w:t>The Company manages the risk associated with interest rate movements through the use of a combination of variable and fixed-rate debt.</w:t>
      </w:r>
    </w:p>
    <w:p>
      <w:pPr>
        <w:spacing w:after="0" w:line="244"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 xml:space="preserve">At December 3 1, 2024, the Company had $400 million principal amount of 5.75% unsecured fixed-rate notes due June 1, 2026 (the Notes). At December 31, 2024, the aggregate fair value of the Notes, based upon quoted market prices, was $398.9 miLlion. There were no earnings or liquidity risks associated with the Company's Notes. The fair value of the Notes varies with fluctuations in market interest rates. A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00 basis point decrease in market interest rates would increase the fair value of the Notes by $5.4 mi ll ion at December 3 1, 2024 using a yield to maturity. A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00 basis point increase in market interest rates would decrease the fair value of the Notes by $5.3 million at December 31, 2024, using a yield to maturity. The Company also had approximately $16 million of other fixed-rate debt, primarily relating to the healthcare business.</w:t>
      </w:r>
    </w:p>
    <w:p>
      <w:pPr>
        <w:spacing w:after="0" w:line="240" w:lineRule="exact"/>
        <w:rPr>
          <w:sz w:val="20"/>
          <w:szCs w:val="20"/>
          <w:color w:val="auto"/>
        </w:rPr>
      </w:pPr>
    </w:p>
    <w:p>
      <w:pPr>
        <w:jc w:val="both"/>
        <w:ind w:left="120" w:right="125" w:firstLine="2"/>
        <w:spacing w:after="0" w:line="262" w:lineRule="auto"/>
        <w:rPr>
          <w:sz w:val="20"/>
          <w:szCs w:val="20"/>
          <w:color w:val="auto"/>
        </w:rPr>
      </w:pPr>
      <w:r>
        <w:rPr>
          <w:rFonts w:ascii="Times New Roman" w:cs="Times New Roman" w:eastAsia="Times New Roman" w:hAnsi="Times New Roman"/>
          <w:sz w:val="19"/>
          <w:szCs w:val="19"/>
          <w:color w:val="auto"/>
        </w:rPr>
        <w:t>At December 3 1, 2024, the Company had approximately $483 million of variable -rate debt, including floor plan faci lity obligations. Approximately $70.9 million of this debt is hedged by an interest rate swap. The Company is subject to earnings and liquidity risks for changes in the interest rate on the unhedged portion of this debt. A 100 basis point increase in the applicable floating rates for the unhedged portions of our variable-rate debt would increase annual interest expense by approximately $4.1 million.</w:t>
      </w:r>
    </w:p>
    <w:p>
      <w:pPr>
        <w:spacing w:after="0" w:line="239" w:lineRule="exact"/>
        <w:rPr>
          <w:sz w:val="20"/>
          <w:szCs w:val="20"/>
          <w:color w:val="auto"/>
        </w:rPr>
      </w:pPr>
    </w:p>
    <w:p>
      <w:pPr>
        <w:jc w:val="both"/>
        <w:ind w:left="120" w:right="125" w:hanging="5"/>
        <w:spacing w:after="0" w:line="261" w:lineRule="auto"/>
        <w:rPr>
          <w:sz w:val="20"/>
          <w:szCs w:val="20"/>
          <w:color w:val="auto"/>
        </w:rPr>
      </w:pPr>
      <w:r>
        <w:rPr>
          <w:rFonts w:ascii="Times New Roman" w:cs="Times New Roman" w:eastAsia="Times New Roman" w:hAnsi="Times New Roman"/>
          <w:sz w:val="20"/>
          <w:szCs w:val="20"/>
          <w:i w:val="1"/>
          <w:iCs w:val="1"/>
          <w:color w:val="auto"/>
        </w:rPr>
        <w:t>Foreign Exchange Rate Risk.</w:t>
      </w:r>
      <w:r>
        <w:rPr>
          <w:sz w:val="20"/>
          <w:szCs w:val="20"/>
          <w:color w:val="auto"/>
        </w:rPr>
        <w:t xml:space="preserve"> </w:t>
      </w:r>
      <w:r>
        <w:rPr>
          <w:rFonts w:ascii="Times New Roman" w:cs="Times New Roman" w:eastAsia="Times New Roman" w:hAnsi="Times New Roman"/>
          <w:sz w:val="19"/>
          <w:szCs w:val="19"/>
          <w:color w:val="auto"/>
        </w:rPr>
        <w:t xml:space="preserve">The Company is exposed to foreign exchange rate risk primarily at its Kaplan international operations, and the primary exposure relates to the exchange rate between the U.S. dollar and the British pound, the Australian dollar, and the Singapore dollar. </w:t>
      </w:r>
      <w:r>
        <w:rPr>
          <w:rFonts w:ascii="Times New Roman" w:cs="Times New Roman" w:eastAsia="Times New Roman" w:hAnsi="Times New Roman"/>
          <w:sz w:val="17"/>
          <w:szCs w:val="17"/>
          <w:color w:val="auto"/>
        </w:rPr>
        <w:t>lrn</w:t>
      </w:r>
      <w:r>
        <w:rPr>
          <w:rFonts w:ascii="Times New Roman" w:cs="Times New Roman" w:eastAsia="Times New Roman" w:hAnsi="Times New Roman"/>
          <w:sz w:val="19"/>
          <w:szCs w:val="19"/>
          <w:color w:val="auto"/>
        </w:rPr>
        <w:t xml:space="preserve"> 2024, 2023 and 2022, the Company reported a net foreig n currency gain of $5.4 million and net foreign currency losses of $ 1.1 million and $2.0 million, respectively.</w:t>
      </w:r>
    </w:p>
    <w:p>
      <w:pPr>
        <w:spacing w:after="0" w:line="200" w:lineRule="exact"/>
        <w:rPr>
          <w:sz w:val="20"/>
          <w:szCs w:val="20"/>
          <w:color w:val="auto"/>
        </w:rPr>
      </w:pPr>
    </w:p>
    <w:p>
      <w:pPr>
        <w:spacing w:after="0" w:line="279" w:lineRule="exact"/>
        <w:rPr>
          <w:sz w:val="20"/>
          <w:szCs w:val="20"/>
          <w:color w:val="auto"/>
        </w:rPr>
      </w:pPr>
    </w:p>
    <w:p>
      <w:pPr>
        <w:jc w:val="both"/>
        <w:ind w:left="120" w:right="125" w:hanging="1"/>
        <w:spacing w:after="0" w:line="259" w:lineRule="auto"/>
        <w:rPr>
          <w:sz w:val="20"/>
          <w:szCs w:val="20"/>
          <w:color w:val="auto"/>
        </w:rPr>
      </w:pPr>
      <w:r>
        <w:rPr>
          <w:rFonts w:ascii="Times New Roman" w:cs="Times New Roman" w:eastAsia="Times New Roman" w:hAnsi="Times New Roman"/>
          <w:sz w:val="19"/>
          <w:szCs w:val="19"/>
          <w:color w:val="auto"/>
        </w:rPr>
        <w:t>If the values of the British pound, the Australian dollar, and the Singapore dollar relative to the U.S. dollar had been 10% lower than tihe values that prevailed during 2024, the Company's pre-tax income for 2024 would have been approximately $33 million lower. Conversely, if such values had been 10% higher, the Company's reported pre-tax income for 2024 would have been approximately $33 million higher.</w:t>
      </w:r>
    </w:p>
    <w:p>
      <w:pPr>
        <w:spacing w:after="0" w:line="348"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w:t>
      </w:r>
    </w:p>
    <w:p>
      <w:pPr>
        <w:spacing w:after="0" w:line="138" w:lineRule="exact"/>
        <w:rPr>
          <w:sz w:val="20"/>
          <w:szCs w:val="20"/>
          <w:color w:val="auto"/>
        </w:rPr>
      </w:pPr>
    </w:p>
    <w:p>
      <w:pPr>
        <w:jc w:val="both"/>
        <w:ind w:left="120" w:right="125" w:firstLine="7"/>
        <w:spacing w:after="0" w:line="263" w:lineRule="auto"/>
        <w:rPr>
          <w:sz w:val="20"/>
          <w:szCs w:val="20"/>
          <w:color w:val="auto"/>
        </w:rPr>
      </w:pPr>
      <w:r>
        <w:rPr>
          <w:rFonts w:ascii="Times New Roman" w:cs="Times New Roman" w:eastAsia="Times New Roman" w:hAnsi="Times New Roman"/>
          <w:sz w:val="19"/>
          <w:szCs w:val="19"/>
          <w:color w:val="auto"/>
        </w:rPr>
        <w:t xml:space="preserve">See the Company's Consolidated Fi nancial Stateme nts at December 3 </w:t>
      </w:r>
      <w:r>
        <w:rPr>
          <w:rFonts w:ascii="Arial" w:cs="Arial" w:eastAsia="Arial" w:hAnsi="Arial"/>
          <w:sz w:val="17"/>
          <w:szCs w:val="17"/>
          <w:color w:val="auto"/>
        </w:rPr>
        <w:t>I ,</w:t>
      </w:r>
      <w:r>
        <w:rPr>
          <w:rFonts w:ascii="Times New Roman" w:cs="Times New Roman" w:eastAsia="Times New Roman" w:hAnsi="Times New Roman"/>
          <w:sz w:val="19"/>
          <w:szCs w:val="19"/>
          <w:color w:val="auto"/>
        </w:rPr>
        <w:t xml:space="preserve"> 2024, and for the periods then ended, togeth er with the re po11 of Pricewaterho useCoopers LLP thereon, which are inducted in this Annual Report on Form 10-K and listed in the index to financial information on page 62 hereof.</w:t>
      </w:r>
    </w:p>
    <w:p>
      <w:pPr>
        <w:spacing w:after="0" w:line="335" w:lineRule="exact"/>
        <w:rPr>
          <w:sz w:val="20"/>
          <w:szCs w:val="20"/>
          <w:color w:val="auto"/>
        </w:rPr>
      </w:pPr>
    </w:p>
    <w:p>
      <w:pPr>
        <w:ind w:left="120"/>
        <w:spacing w:after="0"/>
        <w:tabs>
          <w:tab w:leader="none" w:pos="90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 Financial Disclosure.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Not applicable.</w:t>
      </w:r>
    </w:p>
    <w:p>
      <w:pPr>
        <w:spacing w:after="0" w:line="3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9A. Controls and Procedures.</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Evaluation of Disclosure Controls and Procedures</w:t>
      </w:r>
    </w:p>
    <w:p>
      <w:pPr>
        <w:spacing w:after="0" w:line="128" w:lineRule="exact"/>
        <w:rPr>
          <w:sz w:val="20"/>
          <w:szCs w:val="20"/>
          <w:color w:val="auto"/>
        </w:rPr>
      </w:pPr>
    </w:p>
    <w:p>
      <w:pPr>
        <w:jc w:val="both"/>
        <w:ind w:left="120" w:right="105" w:firstLine="12"/>
        <w:spacing w:after="0" w:line="262" w:lineRule="auto"/>
        <w:rPr>
          <w:sz w:val="20"/>
          <w:szCs w:val="20"/>
          <w:color w:val="auto"/>
        </w:rPr>
      </w:pPr>
      <w:r>
        <w:rPr>
          <w:rFonts w:ascii="Arial" w:cs="Arial" w:eastAsia="Arial" w:hAnsi="Arial"/>
          <w:sz w:val="18"/>
          <w:szCs w:val="18"/>
          <w:color w:val="auto"/>
        </w:rPr>
        <w:t xml:space="preserve">An </w:t>
      </w:r>
      <w:r>
        <w:rPr>
          <w:rFonts w:ascii="Times New Roman" w:cs="Times New Roman" w:eastAsia="Times New Roman" w:hAnsi="Times New Roman"/>
          <w:sz w:val="19"/>
          <w:szCs w:val="19"/>
          <w:color w:val="auto"/>
        </w:rPr>
        <w:t>evaluation was</w:t>
      </w:r>
      <w:r>
        <w:rPr>
          <w:rFonts w:ascii="Arial" w:cs="Arial" w:eastAsia="Arial" w:hAnsi="Arial"/>
          <w:sz w:val="18"/>
          <w:szCs w:val="18"/>
          <w:color w:val="auto"/>
        </w:rPr>
        <w:t xml:space="preserve"> </w:t>
      </w:r>
      <w:r>
        <w:rPr>
          <w:rFonts w:ascii="Arial" w:cs="Arial" w:eastAsia="Arial" w:hAnsi="Arial"/>
          <w:sz w:val="13"/>
          <w:szCs w:val="13"/>
          <w:color w:val="auto"/>
        </w:rPr>
        <w:t>pe~rformed</w:t>
      </w:r>
      <w:r>
        <w:rPr>
          <w:rFonts w:ascii="Arial" w:cs="Arial" w:eastAsia="Arial" w:hAnsi="Arial"/>
          <w:sz w:val="18"/>
          <w:szCs w:val="18"/>
          <w:color w:val="auto"/>
        </w:rPr>
        <w:t xml:space="preserve"> </w:t>
      </w:r>
      <w:r>
        <w:rPr>
          <w:rFonts w:ascii="Times New Roman" w:cs="Times New Roman" w:eastAsia="Times New Roman" w:hAnsi="Times New Roman"/>
          <w:sz w:val="19"/>
          <w:szCs w:val="19"/>
          <w:color w:val="auto"/>
        </w:rPr>
        <w:t>by the Company's management, with the participation of the Company's Chief</w:t>
      </w:r>
      <w:r>
        <w:rPr>
          <w:rFonts w:ascii="Arial" w:cs="Arial" w:eastAsia="Arial" w:hAnsi="Arial"/>
          <w:sz w:val="18"/>
          <w:szCs w:val="18"/>
          <w:color w:val="auto"/>
        </w:rPr>
        <w:t xml:space="preserve"> </w:t>
      </w:r>
      <w:r>
        <w:rPr>
          <w:rFonts w:ascii="Times New Roman" w:cs="Times New Roman" w:eastAsia="Times New Roman" w:hAnsi="Times New Roman"/>
          <w:sz w:val="19"/>
          <w:szCs w:val="19"/>
          <w:color w:val="auto"/>
        </w:rPr>
        <w:t>Executive Officer (principal executive officer) and the Company's Chief Financial Officer (principal financial officer), of the effectiveness of the Company's disclosure controls and procedures (as defined in Exchange Act Rules 13a- 15(e) and 15d-15(e)), as of December 31, 2024. Based on that evaluation, the Company's Chief Executive Officer and Chief Financial Officer have concluded that the Company's disclosure controls and procedures, as designed and implemented, are effective in ensuring that information required to be disclosed by</w:t>
      </w:r>
    </w:p>
    <w:p>
      <w:pPr>
        <w:sectPr>
          <w:pgSz w:w="12240" w:h="15850" w:orient="portrait"/>
          <w:cols w:equalWidth="0" w:num="1">
            <w:col w:w="9365"/>
          </w:cols>
          <w:pgMar w:left="1440" w:top="1384" w:right="1440" w:bottom="721" w:gutter="0" w:footer="0" w:header="0"/>
        </w:sectPr>
      </w:pPr>
    </w:p>
    <w:p>
      <w:pPr>
        <w:spacing w:after="0" w:line="200" w:lineRule="exact"/>
        <w:rPr>
          <w:sz w:val="20"/>
          <w:szCs w:val="20"/>
          <w:color w:val="auto"/>
        </w:rPr>
      </w:pPr>
    </w:p>
    <w:p>
      <w:pPr>
        <w:spacing w:after="0" w:line="29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55</w:t>
      </w:r>
    </w:p>
    <w:p>
      <w:pPr>
        <w:sectPr>
          <w:pgSz w:w="12240" w:h="15850" w:orient="portrait"/>
          <w:cols w:equalWidth="0" w:num="1">
            <w:col w:w="9365"/>
          </w:cols>
          <w:pgMar w:left="1440" w:top="1384" w:right="1440" w:bottom="721" w:gutter="0" w:footer="0" w:header="0"/>
          <w:type w:val="continuous"/>
        </w:sectPr>
      </w:pPr>
    </w:p>
    <w:bookmarkStart w:id="71" w:name="page72"/>
    <w:bookmarkEnd w:id="71"/>
    <w:p>
      <w:pPr>
        <w:jc w:val="both"/>
        <w:ind w:left="120" w:right="125" w:firstLine="11"/>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in the reports that it files or submits under the Exchange Act is recorded, processed, summarized and reported within the time periods specified in the Securities and Exchange Commission's rules and forms and is accumulated and communicaled to managemenl, including the Chief Executive Officer and Chief Financial Officer, in a manner that allows timely decisions regarding required disclosure.</w:t>
      </w:r>
    </w:p>
    <w:p>
      <w:pPr>
        <w:spacing w:after="0" w:line="3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Management's Report on Internal Cont rol Over F inancial Reporting</w:t>
      </w:r>
    </w:p>
    <w:p>
      <w:pPr>
        <w:spacing w:after="0" w:line="138"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Management of Graham Holdings Company is responsible for establishing and maintaining adequate internal control over financial reporting (as defined in Exchange Act Rules 13a-15(f) and 15d-15(f)). The Company's internal control over fi nancial reporting is designed to provide reasonable assurance regarding the reliability of financia l reporting and the preparation of financial statements for external purposes in accordance with generally accepted accounting principles.</w:t>
      </w:r>
    </w:p>
    <w:p>
      <w:pPr>
        <w:spacing w:after="0" w:line="266"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 xml:space="preserve">The Company's management assessed the effectiveness of internal control over financial reporting as of December 31, 2024. In making thjs assessment, management used the criteria set forth in </w:t>
      </w:r>
      <w:r>
        <w:rPr>
          <w:rFonts w:ascii="Times New Roman" w:cs="Times New Roman" w:eastAsia="Times New Roman" w:hAnsi="Times New Roman"/>
          <w:sz w:val="19"/>
          <w:szCs w:val="19"/>
          <w:i w:val="1"/>
          <w:iCs w:val="1"/>
          <w:color w:val="auto"/>
        </w:rPr>
        <w:t>Internal Control</w:t>
      </w:r>
      <w:r>
        <w:rPr>
          <w:rFonts w:ascii="Times New Roman" w:cs="Times New Roman" w:eastAsia="Times New Roman" w:hAnsi="Times New Roman"/>
          <w:sz w:val="19"/>
          <w:szCs w:val="19"/>
          <w:color w:val="auto"/>
        </w:rPr>
        <w:t xml:space="preserve"> - </w:t>
      </w:r>
      <w:r>
        <w:rPr>
          <w:rFonts w:ascii="Times New Roman" w:cs="Times New Roman" w:eastAsia="Times New Roman" w:hAnsi="Times New Roman"/>
          <w:sz w:val="19"/>
          <w:szCs w:val="19"/>
          <w:i w:val="1"/>
          <w:iCs w:val="1"/>
          <w:color w:val="auto"/>
        </w:rPr>
        <w:t xml:space="preserve">Integrated Fram.ework </w:t>
      </w:r>
      <w:r>
        <w:rPr>
          <w:rFonts w:ascii="Times New Roman" w:cs="Times New Roman" w:eastAsia="Times New Roman" w:hAnsi="Times New Roman"/>
          <w:sz w:val="19"/>
          <w:szCs w:val="19"/>
          <w:color w:val="auto"/>
        </w:rPr>
        <w:t>issued by the Committee of Sponsoring Organizations of the Treadway Commission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(COSO) in 2013. Management has concluded that as of December 31, 2024, the Company's internal control over financial reporting was effective based on these criteria.</w:t>
      </w:r>
    </w:p>
    <w:p>
      <w:pPr>
        <w:spacing w:after="0" w:line="267" w:lineRule="exact"/>
        <w:rPr>
          <w:sz w:val="20"/>
          <w:szCs w:val="20"/>
          <w:color w:val="auto"/>
        </w:rPr>
      </w:pPr>
    </w:p>
    <w:p>
      <w:pPr>
        <w:jc w:val="both"/>
        <w:ind w:left="120" w:right="125" w:hanging="8"/>
        <w:spacing w:after="0" w:line="263" w:lineRule="auto"/>
        <w:rPr>
          <w:sz w:val="20"/>
          <w:szCs w:val="20"/>
          <w:color w:val="auto"/>
        </w:rPr>
      </w:pPr>
      <w:r>
        <w:rPr>
          <w:rFonts w:ascii="Times New Roman" w:cs="Times New Roman" w:eastAsia="Times New Roman" w:hAnsi="Times New Roman"/>
          <w:sz w:val="19"/>
          <w:szCs w:val="19"/>
          <w:color w:val="auto"/>
        </w:rPr>
        <w:t>The effectiveness of the Company's internal control over financial reporting as of December 31, 2024, has been audited by PricewaterhouseCoopers LLP, an independent registered public accounting firm, as stated in their report included herein.</w:t>
      </w: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Changes in Internal Control Over Financial Reporting</w:t>
      </w:r>
    </w:p>
    <w:p>
      <w:pPr>
        <w:spacing w:after="0" w:line="157" w:lineRule="exact"/>
        <w:rPr>
          <w:sz w:val="20"/>
          <w:szCs w:val="20"/>
          <w:color w:val="auto"/>
        </w:rPr>
      </w:pPr>
    </w:p>
    <w:p>
      <w:pPr>
        <w:jc w:val="both"/>
        <w:ind w:left="120" w:right="125" w:hanging="9"/>
        <w:spacing w:after="0" w:line="263" w:lineRule="auto"/>
        <w:rPr>
          <w:sz w:val="20"/>
          <w:szCs w:val="20"/>
          <w:color w:val="auto"/>
        </w:rPr>
      </w:pPr>
      <w:r>
        <w:rPr>
          <w:rFonts w:ascii="Times New Roman" w:cs="Times New Roman" w:eastAsia="Times New Roman" w:hAnsi="Times New Roman"/>
          <w:sz w:val="19"/>
          <w:szCs w:val="19"/>
          <w:color w:val="auto"/>
        </w:rPr>
        <w:t>There has been no change in the Company's internal control over financial reporting during the quarter ended December 31, 2024, tihat has materially affected, or is reasonably likely to materially affect, the Company's internal control over financial reporting.</w:t>
      </w:r>
    </w:p>
    <w:p>
      <w:pPr>
        <w:spacing w:after="0" w:line="3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9B. Other Information.</w:t>
      </w:r>
    </w:p>
    <w:p>
      <w:pPr>
        <w:spacing w:after="0" w:line="1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Rule </w:t>
      </w:r>
      <w:r>
        <w:rPr>
          <w:rFonts w:ascii="Times New Roman" w:cs="Times New Roman" w:eastAsia="Times New Roman" w:hAnsi="Times New Roman"/>
          <w:sz w:val="19"/>
          <w:szCs w:val="19"/>
          <w:color w:val="auto"/>
        </w:rPr>
        <w:t>l ObS-1</w:t>
      </w:r>
      <w:r>
        <w:rPr>
          <w:rFonts w:ascii="Times New Roman" w:cs="Times New Roman" w:eastAsia="Times New Roman" w:hAnsi="Times New Roman"/>
          <w:sz w:val="20"/>
          <w:szCs w:val="20"/>
          <w:color w:val="auto"/>
        </w:rPr>
        <w:t xml:space="preserve"> Trading Plans</w:t>
      </w:r>
    </w:p>
    <w:p>
      <w:pPr>
        <w:spacing w:after="0" w:line="153" w:lineRule="exact"/>
        <w:rPr>
          <w:sz w:val="20"/>
          <w:szCs w:val="20"/>
          <w:color w:val="auto"/>
        </w:rPr>
      </w:pPr>
    </w:p>
    <w:p>
      <w:pPr>
        <w:jc w:val="both"/>
        <w:ind w:left="120" w:right="125" w:hanging="6"/>
        <w:spacing w:after="0" w:line="259" w:lineRule="auto"/>
        <w:rPr>
          <w:sz w:val="20"/>
          <w:szCs w:val="20"/>
          <w:color w:val="auto"/>
        </w:rPr>
      </w:pPr>
      <w:r>
        <w:rPr>
          <w:rFonts w:ascii="Times New Roman" w:cs="Times New Roman" w:eastAsia="Times New Roman" w:hAnsi="Times New Roman"/>
          <w:sz w:val="19"/>
          <w:szCs w:val="19"/>
          <w:color w:val="auto"/>
        </w:rPr>
        <w:t xml:space="preserve">For the three months ended December 31, 2024, none of the Company's directors or officers (as defined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Rule 16a-l </w:t>
      </w:r>
      <w:r>
        <w:rPr>
          <w:rFonts w:ascii="Arial" w:cs="Arial" w:eastAsia="Arial" w:hAnsi="Arial"/>
          <w:sz w:val="18"/>
          <w:szCs w:val="18"/>
          <w:color w:val="auto"/>
        </w:rPr>
        <w:t>(f)</w:t>
      </w:r>
      <w:r>
        <w:rPr>
          <w:rFonts w:ascii="Times New Roman" w:cs="Times New Roman" w:eastAsia="Times New Roman" w:hAnsi="Times New Roman"/>
          <w:sz w:val="19"/>
          <w:szCs w:val="19"/>
          <w:color w:val="auto"/>
        </w:rPr>
        <w:t xml:space="preserve"> of the Exchange Act) adopted, modified or terminated a " Rule l Ob5-l trading arrangement" or "non-Rule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Ob5- l trading arrangement," as defined in Item 408 of Regulation S-K.</w:t>
      </w:r>
    </w:p>
    <w:p>
      <w:pPr>
        <w:spacing w:after="0" w:line="3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9C. Disclosure Regarding Foreign Jurisdictions that Prevent Inspections.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Not applicable.</w:t>
      </w:r>
    </w:p>
    <w:p>
      <w:pPr>
        <w:spacing w:after="0" w:line="200" w:lineRule="exact"/>
        <w:rPr>
          <w:sz w:val="20"/>
          <w:szCs w:val="20"/>
          <w:color w:val="auto"/>
        </w:rPr>
      </w:pPr>
    </w:p>
    <w:p>
      <w:pPr>
        <w:spacing w:after="0" w:line="33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PART III</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10.  Directors, Executive Officers and Corporate Governance.</w:t>
      </w:r>
    </w:p>
    <w:p>
      <w:pPr>
        <w:spacing w:after="0" w:line="147"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The information contained under the heading "Executive Officers" in Item 1 hereof and the information contained under the headings "Nominees for Election by Class A Shareholders," "Nominees for Election by Class B Shareholders," " Audit Committee," "Risk Assessment of Compensation Program, Ins ider Trading, Recoupment and Hedging Policies" and "Section 16(a) Beneficial Ownership Reporting Compliance" in the definitive Proxy Statement for the Company's 2025 Annual Meeting of Stockholders is incorporated herein by reference thereto.</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56</w:t>
        <w:tab/>
        <w:t>2024 FORM 10-K</w:t>
      </w:r>
    </w:p>
    <w:p>
      <w:pPr>
        <w:sectPr>
          <w:pgSz w:w="12240" w:h="15850" w:orient="portrait"/>
          <w:cols w:equalWidth="0" w:num="1">
            <w:col w:w="9365"/>
          </w:cols>
          <w:pgMar w:left="1440" w:top="1392" w:right="1440" w:bottom="721" w:gutter="0" w:footer="0" w:header="0"/>
          <w:type w:val="continuous"/>
        </w:sectPr>
      </w:pPr>
    </w:p>
    <w:bookmarkStart w:id="72" w:name="page73"/>
    <w:bookmarkEnd w:id="72"/>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has adopted codes of conduct that constitute "codes of ethics" as that term is defined in paragraph</w:t>
      </w:r>
    </w:p>
    <w:p>
      <w:pPr>
        <w:spacing w:after="0" w:line="18" w:lineRule="exact"/>
        <w:rPr>
          <w:sz w:val="20"/>
          <w:szCs w:val="20"/>
          <w:color w:val="auto"/>
        </w:rPr>
      </w:pPr>
    </w:p>
    <w:p>
      <w:pPr>
        <w:jc w:val="both"/>
        <w:ind w:left="120" w:right="125" w:firstLine="2"/>
        <w:spacing w:after="0" w:line="262" w:lineRule="auto"/>
        <w:tabs>
          <w:tab w:leader="none" w:pos="453" w:val="left"/>
        </w:tabs>
        <w:numPr>
          <w:ilvl w:val="0"/>
          <w:numId w:val="5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Item 406 of Regulation S-K and that apply to the Company's principal executive officer, principal financial officer, principal accounting officer or controller and to any persons performing similar functions. Such codes of conduct are posted on the Company's website, the address of which is ghco.com, and the Company intends to satisfy the d isclosure requirements under Item 5.05 of Form 8-K with respect to certain amendments to, and waivers of the requirements of, the provisions of such codes of conduct applicable to the officers and persons referred to above by posting the required information on its website.</w:t>
      </w:r>
    </w:p>
    <w:p>
      <w:pPr>
        <w:spacing w:after="0" w:line="257" w:lineRule="exact"/>
        <w:rPr>
          <w:sz w:val="20"/>
          <w:szCs w:val="20"/>
          <w:color w:val="auto"/>
        </w:rPr>
      </w:pPr>
    </w:p>
    <w:p>
      <w:pPr>
        <w:jc w:val="both"/>
        <w:ind w:left="120" w:right="125" w:firstLine="10"/>
        <w:spacing w:after="0" w:line="259" w:lineRule="auto"/>
        <w:rPr>
          <w:sz w:val="20"/>
          <w:szCs w:val="20"/>
          <w:color w:val="auto"/>
        </w:rPr>
      </w:pPr>
      <w:r>
        <w:rPr>
          <w:rFonts w:ascii="Times New Roman" w:cs="Times New Roman" w:eastAsia="Times New Roman" w:hAnsi="Times New Roman"/>
          <w:sz w:val="19"/>
          <w:szCs w:val="19"/>
          <w:color w:val="auto"/>
        </w:rPr>
        <w:t>In addition to the certifications of the Company's Chief Executive Officer and Chief Financial Officer filed as exhibits to this Annual Report on Form 10-K, on June 3, 2024, the Company's Chief Executive Officer submitted to the New York Stock Exchange the annual certification regarding compliance with the NYSE's corporate governance listing standards required by Section 303A. I2(a) of the NYSE Listed Company Manual.</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11. Executive Compensation.</w:t>
      </w:r>
    </w:p>
    <w:p>
      <w:pPr>
        <w:spacing w:after="0" w:line="157" w:lineRule="exact"/>
        <w:rPr>
          <w:sz w:val="20"/>
          <w:szCs w:val="20"/>
          <w:color w:val="auto"/>
        </w:rPr>
      </w:pPr>
    </w:p>
    <w:p>
      <w:pPr>
        <w:jc w:val="both"/>
        <w:ind w:left="120" w:right="125" w:hanging="8"/>
        <w:spacing w:after="0" w:line="261" w:lineRule="auto"/>
        <w:rPr>
          <w:sz w:val="20"/>
          <w:szCs w:val="20"/>
          <w:color w:val="auto"/>
        </w:rPr>
      </w:pPr>
      <w:r>
        <w:rPr>
          <w:rFonts w:ascii="Times New Roman" w:cs="Times New Roman" w:eastAsia="Times New Roman" w:hAnsi="Times New Roman"/>
          <w:sz w:val="19"/>
          <w:szCs w:val="19"/>
          <w:color w:val="auto"/>
        </w:rPr>
        <w:t>The information contained under the headings "Director Compensation," "Compensation Committee Interlocks and Insider Participation," "Executive Compensation" and "Compensation Committee Report" in the definitive Proxy Statement for the Company's 2025 Annual Meeting of Stockholders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20" w:right="505" w:hanging="810"/>
        <w:spacing w:after="0" w:line="242" w:lineRule="auto"/>
        <w:rPr>
          <w:sz w:val="20"/>
          <w:szCs w:val="20"/>
          <w:color w:val="auto"/>
        </w:rPr>
      </w:pPr>
      <w:r>
        <w:rPr>
          <w:rFonts w:ascii="Times New Roman" w:cs="Times New Roman" w:eastAsia="Times New Roman" w:hAnsi="Times New Roman"/>
          <w:sz w:val="20"/>
          <w:szCs w:val="20"/>
          <w:color w:val="auto"/>
        </w:rPr>
        <w:t>Item 12. Security Ownership of Certain Beneficial Owners and Management and Related Stockholder Matters.</w:t>
      </w:r>
    </w:p>
    <w:p>
      <w:pPr>
        <w:spacing w:after="0" w:line="146" w:lineRule="exact"/>
        <w:rPr>
          <w:sz w:val="20"/>
          <w:szCs w:val="20"/>
          <w:color w:val="auto"/>
        </w:rPr>
      </w:pPr>
    </w:p>
    <w:p>
      <w:pPr>
        <w:jc w:val="both"/>
        <w:ind w:left="120" w:right="125" w:hanging="9"/>
        <w:spacing w:after="0" w:line="263" w:lineRule="auto"/>
        <w:rPr>
          <w:sz w:val="20"/>
          <w:szCs w:val="20"/>
          <w:color w:val="auto"/>
        </w:rPr>
      </w:pPr>
      <w:r>
        <w:rPr>
          <w:rFonts w:ascii="Times New Roman" w:cs="Times New Roman" w:eastAsia="Times New Roman" w:hAnsi="Times New Roman"/>
          <w:sz w:val="19"/>
          <w:szCs w:val="19"/>
          <w:color w:val="auto"/>
        </w:rPr>
        <w:t>The information contained under the heading "Stock Holdings of Certain Beneficial Owners and Management" in the definitive Proxy Statement for the Company's 2025 Annual Meeting of Stockholders is incorporated herein by reference thereto.</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13. Certa in Rela tionships and Related Transactions, and Director Independence.</w:t>
      </w:r>
    </w:p>
    <w:p>
      <w:pPr>
        <w:spacing w:after="0" w:line="138"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The information contained under the headings ''Transactions With Related Persons, Promoters and Certain Control Persons" and "Controlled Company" in the definitive Proxy Statement for the Company's 2025 Annual Meeting of Stockholders is incorporated herein by reference thereto.</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14. Principal Accounting Fees a nd Services.</w:t>
      </w:r>
    </w:p>
    <w:p>
      <w:pPr>
        <w:spacing w:after="0" w:line="147" w:lineRule="exact"/>
        <w:rPr>
          <w:sz w:val="20"/>
          <w:szCs w:val="20"/>
          <w:color w:val="auto"/>
        </w:rPr>
      </w:pPr>
    </w:p>
    <w:p>
      <w:pPr>
        <w:jc w:val="both"/>
        <w:ind w:left="120" w:right="125" w:hanging="10"/>
        <w:spacing w:after="0" w:line="264" w:lineRule="auto"/>
        <w:rPr>
          <w:sz w:val="20"/>
          <w:szCs w:val="20"/>
          <w:color w:val="auto"/>
        </w:rPr>
      </w:pPr>
      <w:r>
        <w:rPr>
          <w:rFonts w:ascii="Times New Roman" w:cs="Times New Roman" w:eastAsia="Times New Roman" w:hAnsi="Times New Roman"/>
          <w:sz w:val="19"/>
          <w:szCs w:val="19"/>
          <w:color w:val="auto"/>
        </w:rPr>
        <w:t>The information contained under the heading " Audit Committee Report" in the definitive Proxy Statement for the Company's 2025 Annual Meeting of Stockholders is incorporated herein by reference thereto.</w:t>
      </w:r>
    </w:p>
    <w:p>
      <w:pPr>
        <w:spacing w:after="0" w:line="200" w:lineRule="exact"/>
        <w:rPr>
          <w:sz w:val="20"/>
          <w:szCs w:val="20"/>
          <w:color w:val="auto"/>
        </w:rPr>
      </w:pPr>
    </w:p>
    <w:p>
      <w:pPr>
        <w:spacing w:after="0" w:line="27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PART IV</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15. Exhibits and Financial Statement Schedules.</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following documents are filed as part of this report:</w:t>
      </w:r>
    </w:p>
    <w:p>
      <w:pPr>
        <w:spacing w:after="0" w:line="258" w:lineRule="exact"/>
        <w:rPr>
          <w:sz w:val="20"/>
          <w:szCs w:val="20"/>
          <w:color w:val="auto"/>
        </w:rPr>
      </w:pPr>
    </w:p>
    <w:p>
      <w:pPr>
        <w:ind w:left="920" w:hanging="378"/>
        <w:spacing w:after="0"/>
        <w:tabs>
          <w:tab w:leader="none" w:pos="920"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xml:space="preserve">Financial Statements. </w:t>
      </w:r>
      <w:r>
        <w:rPr>
          <w:rFonts w:ascii="Times New Roman" w:cs="Times New Roman" w:eastAsia="Times New Roman" w:hAnsi="Times New Roman"/>
          <w:sz w:val="19"/>
          <w:szCs w:val="19"/>
          <w:color w:val="auto"/>
        </w:rPr>
        <w:t>As listed in the index to fi nancia l information on page 62 hereof.</w:t>
      </w:r>
    </w:p>
    <w:p>
      <w:pPr>
        <w:spacing w:after="0" w:line="256" w:lineRule="exact"/>
        <w:rPr>
          <w:sz w:val="20"/>
          <w:szCs w:val="20"/>
          <w:color w:val="auto"/>
        </w:rPr>
      </w:pPr>
    </w:p>
    <w:p>
      <w:pPr>
        <w:ind w:left="920" w:hanging="406"/>
        <w:spacing w:after="0"/>
        <w:tabs>
          <w:tab w:leader="none" w:pos="920"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i w:val="1"/>
          <w:iCs w:val="1"/>
          <w:color w:val="auto"/>
        </w:rPr>
        <w:t xml:space="preserve">Exhibits. </w:t>
      </w:r>
      <w:r>
        <w:rPr>
          <w:rFonts w:ascii="Times New Roman" w:cs="Times New Roman" w:eastAsia="Times New Roman" w:hAnsi="Times New Roman"/>
          <w:sz w:val="19"/>
          <w:szCs w:val="19"/>
          <w:color w:val="auto"/>
        </w:rPr>
        <w:t>As listed in the index to exhibits on page 58 hereof.</w:t>
      </w:r>
    </w:p>
    <w:p>
      <w:pPr>
        <w:spacing w:after="0" w:line="3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Item 16. Form 10-K Summary.</w:t>
      </w:r>
    </w:p>
    <w:p>
      <w:pPr>
        <w:spacing w:after="0" w:line="1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Not applicable.</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31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57</w:t>
      </w:r>
    </w:p>
    <w:p>
      <w:pPr>
        <w:sectPr>
          <w:pgSz w:w="12240" w:h="15850" w:orient="portrait"/>
          <w:cols w:equalWidth="0" w:num="1">
            <w:col w:w="9365"/>
          </w:cols>
          <w:pgMar w:left="1440" w:top="1385" w:right="1440" w:bottom="721" w:gutter="0" w:footer="0" w:header="0"/>
          <w:type w:val="continuous"/>
        </w:sectPr>
      </w:pPr>
    </w:p>
    <w:bookmarkStart w:id="73" w:name="page74"/>
    <w:bookmarkEnd w:id="73"/>
    <w:p>
      <w:pPr>
        <w:jc w:val="center"/>
        <w:ind w:right="5"/>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INDEX TO EXHIBITS</w:t>
      </w:r>
    </w:p>
    <w:p>
      <w:pPr>
        <w:spacing w:after="0" w:line="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6"/>
          <w:szCs w:val="16"/>
          <w:color w:val="auto"/>
        </w:rPr>
        <w:t>Exhibit</w:t>
      </w:r>
    </w:p>
    <w:p>
      <w:pPr>
        <w:ind w:left="220"/>
        <w:spacing w:after="0" w:line="211" w:lineRule="auto"/>
        <w:tabs>
          <w:tab w:leader="none" w:pos="4840" w:val="left"/>
        </w:tabs>
        <w:rPr>
          <w:sz w:val="20"/>
          <w:szCs w:val="20"/>
          <w:color w:val="auto"/>
        </w:rPr>
      </w:pPr>
      <w:r>
        <w:rPr>
          <w:rFonts w:ascii="Times New Roman" w:cs="Times New Roman" w:eastAsia="Times New Roman" w:hAnsi="Times New Roman"/>
          <w:sz w:val="16"/>
          <w:szCs w:val="16"/>
          <w:color w:val="auto"/>
        </w:rPr>
        <w:t>Number</w:t>
      </w:r>
      <w:r>
        <w:rPr>
          <w:sz w:val="20"/>
          <w:szCs w:val="20"/>
          <w:color w:val="auto"/>
        </w:rPr>
        <w:tab/>
      </w:r>
      <w:r>
        <w:rPr>
          <w:rFonts w:ascii="Times New Roman" w:cs="Times New Roman" w:eastAsia="Times New Roman" w:hAnsi="Times New Roman"/>
          <w:sz w:val="16"/>
          <w:szCs w:val="16"/>
          <w:color w:val="auto"/>
        </w:rPr>
        <w:t>Descrip tion</w:t>
      </w:r>
    </w:p>
    <w:p>
      <w:pPr>
        <w:spacing w:after="0" w:line="216" w:lineRule="exact"/>
        <w:rPr>
          <w:sz w:val="20"/>
          <w:szCs w:val="20"/>
          <w:color w:val="auto"/>
        </w:rPr>
      </w:pPr>
    </w:p>
    <w:p>
      <w:pPr>
        <w:ind w:left="1260" w:right="625" w:hanging="1147"/>
        <w:spacing w:after="0" w:line="262" w:lineRule="auto"/>
        <w:tabs>
          <w:tab w:leader="none" w:pos="282" w:val="left"/>
        </w:tabs>
        <w:numPr>
          <w:ilvl w:val="0"/>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1Contribution and Transfer Agreement, dated April 27, 2017, by and among Kaplan Higher Education, LLC, Iowa College Acquisition, LLC, Purdue University and Purdue New U, Inc.</w:t>
      </w:r>
    </w:p>
    <w:p>
      <w:pPr>
        <w:spacing w:after="0" w:line="9" w:lineRule="exact"/>
        <w:rPr>
          <w:rFonts w:ascii="Times New Roman" w:cs="Times New Roman" w:eastAsia="Times New Roman" w:hAnsi="Times New Roman"/>
          <w:sz w:val="19"/>
          <w:szCs w:val="19"/>
          <w:color w:val="auto"/>
        </w:rPr>
      </w:pPr>
    </w:p>
    <w:p>
      <w:pPr>
        <w:ind w:left="1260" w:right="585" w:hanging="2"/>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(incorporated by reference to Exhibit 2.1 to the Company's Current Report on Form 8-K filed April27, 2017).**</w:t>
      </w:r>
    </w:p>
    <w:p>
      <w:pPr>
        <w:spacing w:after="0" w:line="143" w:lineRule="exact"/>
        <w:rPr>
          <w:sz w:val="20"/>
          <w:szCs w:val="20"/>
          <w:color w:val="auto"/>
        </w:rPr>
      </w:pPr>
    </w:p>
    <w:p>
      <w:pPr>
        <w:jc w:val="both"/>
        <w:ind w:left="1260" w:right="305" w:hanging="1145"/>
        <w:spacing w:after="0" w:line="262" w:lineRule="auto"/>
        <w:tabs>
          <w:tab w:leader="none" w:pos="1240" w:val="left"/>
        </w:tabs>
        <w:rPr>
          <w:sz w:val="20"/>
          <w:szCs w:val="20"/>
          <w:color w:val="auto"/>
        </w:rPr>
      </w:pPr>
      <w:r>
        <w:rPr>
          <w:rFonts w:ascii="Times New Roman" w:cs="Times New Roman" w:eastAsia="Times New Roman" w:hAnsi="Times New Roman"/>
          <w:sz w:val="19"/>
          <w:szCs w:val="19"/>
          <w:color w:val="auto"/>
        </w:rPr>
        <w:t>3.1</w:t>
      </w:r>
      <w:r>
        <w:rPr>
          <w:sz w:val="20"/>
          <w:szCs w:val="20"/>
          <w:color w:val="auto"/>
        </w:rPr>
        <w:tab/>
      </w:r>
      <w:r>
        <w:rPr>
          <w:rFonts w:ascii="Times New Roman" w:cs="Times New Roman" w:eastAsia="Times New Roman" w:hAnsi="Times New Roman"/>
          <w:sz w:val="19"/>
          <w:szCs w:val="19"/>
          <w:color w:val="auto"/>
        </w:rPr>
        <w:t>Restated Certificate of Incorporation of the Company dated November 13, 2003 (incorporated by reference to Exhibit 3.1 to the Company's Annual Report on Form 1.0-K for the fisca] year ended December 28, 2003).</w:t>
      </w:r>
    </w:p>
    <w:p>
      <w:pPr>
        <w:spacing w:after="0" w:line="114" w:lineRule="exact"/>
        <w:rPr>
          <w:sz w:val="20"/>
          <w:szCs w:val="20"/>
          <w:color w:val="auto"/>
        </w:rPr>
      </w:pPr>
    </w:p>
    <w:p>
      <w:pPr>
        <w:ind w:left="1260" w:right="205" w:hanging="1145"/>
        <w:spacing w:after="0" w:line="257" w:lineRule="auto"/>
        <w:tabs>
          <w:tab w:leader="none" w:pos="1240" w:val="left"/>
        </w:tabs>
        <w:rPr>
          <w:sz w:val="20"/>
          <w:szCs w:val="20"/>
          <w:color w:val="auto"/>
        </w:rPr>
      </w:pPr>
      <w:r>
        <w:rPr>
          <w:rFonts w:ascii="Times New Roman" w:cs="Times New Roman" w:eastAsia="Times New Roman" w:hAnsi="Times New Roman"/>
          <w:sz w:val="19"/>
          <w:szCs w:val="19"/>
          <w:color w:val="auto"/>
        </w:rPr>
        <w:t>3.2</w:t>
      </w:r>
      <w:r>
        <w:rPr>
          <w:sz w:val="20"/>
          <w:szCs w:val="20"/>
          <w:color w:val="auto"/>
        </w:rPr>
        <w:tab/>
      </w:r>
      <w:r>
        <w:rPr>
          <w:rFonts w:ascii="Times New Roman" w:cs="Times New Roman" w:eastAsia="Times New Roman" w:hAnsi="Times New Roman"/>
          <w:sz w:val="19"/>
          <w:szCs w:val="19"/>
          <w:color w:val="auto"/>
        </w:rPr>
        <w:t>Certificate of Amendment, effective November 29, 2013, to the Restated Certificate of Incorporation of the Company (incorporated by reference to Exhibit3.1 to the Company's Current Report on Form 8-K filedl November 29, 20 13).</w:t>
      </w:r>
    </w:p>
    <w:p>
      <w:pPr>
        <w:spacing w:after="0" w:line="128" w:lineRule="exact"/>
        <w:rPr>
          <w:sz w:val="20"/>
          <w:szCs w:val="20"/>
          <w:color w:val="auto"/>
        </w:rPr>
      </w:pPr>
    </w:p>
    <w:p>
      <w:pPr>
        <w:ind w:left="1260" w:right="305" w:hanging="1144"/>
        <w:spacing w:after="0" w:line="255" w:lineRule="auto"/>
        <w:tabs>
          <w:tab w:leader="none" w:pos="1240" w:val="left"/>
        </w:tabs>
        <w:rPr>
          <w:sz w:val="20"/>
          <w:szCs w:val="20"/>
          <w:color w:val="auto"/>
        </w:rPr>
      </w:pPr>
      <w:r>
        <w:rPr>
          <w:rFonts w:ascii="Times New Roman" w:cs="Times New Roman" w:eastAsia="Times New Roman" w:hAnsi="Times New Roman"/>
          <w:sz w:val="19"/>
          <w:szCs w:val="19"/>
          <w:color w:val="auto"/>
        </w:rPr>
        <w:t>3.3</w:t>
      </w:r>
      <w:r>
        <w:rPr>
          <w:sz w:val="20"/>
          <w:szCs w:val="20"/>
          <w:color w:val="auto"/>
        </w:rPr>
        <w:tab/>
      </w:r>
      <w:r>
        <w:rPr>
          <w:rFonts w:ascii="Times New Roman" w:cs="Times New Roman" w:eastAsia="Times New Roman" w:hAnsi="Times New Roman"/>
          <w:sz w:val="19"/>
          <w:szCs w:val="19"/>
          <w:color w:val="auto"/>
        </w:rPr>
        <w:t>By-Laws of the Company as amended and restated through September 12, 2024 (incorporated by reference to Exhibit 3.1 to the Company's Current Report on Form 8-K dated September 12, 2024).</w:t>
      </w:r>
    </w:p>
    <w:p>
      <w:pPr>
        <w:spacing w:after="0" w:line="356" w:lineRule="exact"/>
        <w:rPr>
          <w:sz w:val="20"/>
          <w:szCs w:val="20"/>
          <w:color w:val="auto"/>
        </w:rPr>
      </w:pPr>
    </w:p>
    <w:p>
      <w:pPr>
        <w:ind w:left="1260" w:right="445" w:hanging="1146"/>
        <w:spacing w:after="0" w:line="257" w:lineRule="auto"/>
        <w:tabs>
          <w:tab w:leader="none" w:pos="283"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1Senior Notes Indenture dated as of May 30, 2018, between the Company and The Bank of New York Mellon Trust Company, N.A., as Trustee (incorporated by reference to Exhibit 4.1 to the Company's Current Report on Form 8-K dated May 30, 2018).</w:t>
      </w:r>
    </w:p>
    <w:p>
      <w:pPr>
        <w:spacing w:after="0" w:line="119" w:lineRule="exact"/>
        <w:rPr>
          <w:sz w:val="20"/>
          <w:szCs w:val="20"/>
          <w:color w:val="auto"/>
        </w:rPr>
      </w:pPr>
    </w:p>
    <w:tbl>
      <w:tblPr>
        <w:tblLayout w:type="fixed"/>
        <w:tblInd w:w="120" w:type="dxa"/>
        <w:tblCellMar>
          <w:top w:w="0" w:type="dxa"/>
          <w:left w:w="0" w:type="dxa"/>
          <w:bottom w:w="0" w:type="dxa"/>
          <w:right w:w="0" w:type="dxa"/>
        </w:tblCellMar>
      </w:tblPr>
      <w:tr>
        <w:trPr>
          <w:trHeight w:val="219"/>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4.2</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First Supplemental Indenture, dated as of March 24, 2020, among Graham Healthcare Group, Inc.,</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 Delaware corporation, a subsidiary of the Company, and The Bank of New York Mellon Trust</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N.A., as trustee (incorporated by reference to Exhibit 4.1 to the Company's Quarterly</w:t>
            </w:r>
          </w:p>
        </w:tc>
      </w:tr>
      <w:tr>
        <w:trPr>
          <w:trHeight w:val="248"/>
        </w:trPr>
        <w:tc>
          <w:tcPr>
            <w:tcW w:w="740" w:type="dxa"/>
            <w:vAlign w:val="bottom"/>
          </w:tcPr>
          <w:p>
            <w:pPr>
              <w:spacing w:after="0"/>
              <w:rPr>
                <w:sz w:val="21"/>
                <w:szCs w:val="21"/>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Report on Form 10-Q for the quarter ended March 31, 2020).</w:t>
            </w:r>
          </w:p>
        </w:tc>
      </w:tr>
      <w:tr>
        <w:trPr>
          <w:trHeight w:val="343"/>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4.3</w:t>
            </w: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Second Supplemental Indlenture, dated as of January 6, 2022, among Graham Automotive LLC, a</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Delaware limited liability company, a subsidiary of Graham Holdings Company, a Delaware</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corporation, and The Bank of New York Mellon Trust Company, N.A. , as trustee (incorporated by</w:t>
            </w:r>
          </w:p>
        </w:tc>
      </w:tr>
      <w:tr>
        <w:trPr>
          <w:trHeight w:val="229"/>
        </w:trPr>
        <w:tc>
          <w:tcPr>
            <w:tcW w:w="74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reference to Exhibit 4.3 to the Company' s Annual Report on Form 10-K for the fisca] year ended</w:t>
            </w:r>
          </w:p>
        </w:tc>
      </w:tr>
      <w:tr>
        <w:trPr>
          <w:trHeight w:val="248"/>
        </w:trPr>
        <w:tc>
          <w:tcPr>
            <w:tcW w:w="740" w:type="dxa"/>
            <w:vAlign w:val="bottom"/>
          </w:tcPr>
          <w:p>
            <w:pPr>
              <w:spacing w:after="0"/>
              <w:rPr>
                <w:sz w:val="21"/>
                <w:szCs w:val="21"/>
                <w:color w:val="auto"/>
              </w:rPr>
            </w:pP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 xml:space="preserve">December 3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202 </w:t>
            </w:r>
            <w:r>
              <w:rPr>
                <w:rFonts w:ascii="Arial" w:cs="Arial" w:eastAsia="Arial" w:hAnsi="Arial"/>
                <w:sz w:val="18"/>
                <w:szCs w:val="18"/>
                <w:color w:val="auto"/>
              </w:rPr>
              <w:t>I).</w:t>
            </w:r>
          </w:p>
        </w:tc>
      </w:tr>
      <w:tr>
        <w:trPr>
          <w:trHeight w:val="343"/>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4.4</w:t>
            </w: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Third Supplemental Indenture, dated as of August 15, 2023, among Graham Digital Holding</w:t>
            </w:r>
          </w:p>
        </w:tc>
      </w:tr>
      <w:tr>
        <w:trPr>
          <w:trHeight w:val="248"/>
        </w:trPr>
        <w:tc>
          <w:tcPr>
            <w:tcW w:w="740" w:type="dxa"/>
            <w:vAlign w:val="bottom"/>
          </w:tcPr>
          <w:p>
            <w:pPr>
              <w:spacing w:after="0"/>
              <w:rPr>
                <w:sz w:val="21"/>
                <w:szCs w:val="21"/>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LLC, a Delaware limited liability company, a subsidiary of Graham Holdings Company,</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 Delaware corporation, and The Bank of New York Mellon Trust Company, N.A., as trustee</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(incorporated by reference to Exhibit 4.4 to the Company's Quarterly Report on Form 10-Q for the</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quarter ended September 30, 2023).</w:t>
            </w:r>
          </w:p>
        </w:tc>
      </w:tr>
      <w:tr>
        <w:trPr>
          <w:trHeight w:val="353"/>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4.5</w:t>
            </w:r>
          </w:p>
        </w:tc>
        <w:tc>
          <w:tcPr>
            <w:tcW w:w="8340" w:type="dxa"/>
            <w:vAlign w:val="bottom"/>
          </w:tcPr>
          <w:p>
            <w:pPr>
              <w:ind w:left="420"/>
              <w:spacing w:after="0"/>
              <w:rPr>
                <w:sz w:val="20"/>
                <w:szCs w:val="20"/>
                <w:color w:val="auto"/>
              </w:rPr>
            </w:pPr>
            <w:r>
              <w:rPr>
                <w:rFonts w:ascii="Times New Roman" w:cs="Times New Roman" w:eastAsia="Times New Roman" w:hAnsi="Times New Roman"/>
                <w:sz w:val="19"/>
                <w:szCs w:val="19"/>
                <w:color w:val="auto"/>
              </w:rPr>
              <w:t>Description of the Company' s Securities (incorporated by reference to Exhibit 4.2 to the</w:t>
            </w:r>
          </w:p>
        </w:tc>
      </w:tr>
      <w:tr>
        <w:trPr>
          <w:trHeight w:val="229"/>
        </w:trPr>
        <w:tc>
          <w:tcPr>
            <w:tcW w:w="74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s Annual Report on Form 10-K for the fEscal year ended December 31, 20 19).</w:t>
            </w:r>
          </w:p>
        </w:tc>
      </w:tr>
      <w:tr>
        <w:trPr>
          <w:trHeight w:val="353"/>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10.1</w:t>
            </w: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Amended and Restated Five Year Credit Agreement, dated as of May 30, 2018, among the</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Company, and the foreign borrowers from time to time party thereto, and certain of its domestic</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subsidiaries as guarantors, the several lenders from time to time party thereto, Wells Fargo Bank,</w:t>
            </w:r>
          </w:p>
        </w:tc>
      </w:tr>
      <w:tr>
        <w:trPr>
          <w:trHeight w:val="248"/>
        </w:trPr>
        <w:tc>
          <w:tcPr>
            <w:tcW w:w="740" w:type="dxa"/>
            <w:vAlign w:val="bottom"/>
          </w:tcPr>
          <w:p>
            <w:pPr>
              <w:spacing w:after="0"/>
              <w:rPr>
                <w:sz w:val="21"/>
                <w:szCs w:val="21"/>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National Association, as Administrative Agent and JPMorgan Chase Bank, N.A. , as Syndication</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Agent (incorporated by reference to Exhibit 4.2 to the Company's Quarterly Report on Form 10-Q</w:t>
            </w:r>
          </w:p>
        </w:tc>
      </w:tr>
      <w:tr>
        <w:trPr>
          <w:trHeight w:val="238"/>
        </w:trPr>
        <w:tc>
          <w:tcPr>
            <w:tcW w:w="740" w:type="dxa"/>
            <w:vAlign w:val="bottom"/>
          </w:tcPr>
          <w:p>
            <w:pPr>
              <w:spacing w:after="0"/>
              <w:rPr>
                <w:sz w:val="20"/>
                <w:szCs w:val="20"/>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 the qlllarter ended June 30, 20 18).</w:t>
            </w:r>
          </w:p>
        </w:tc>
      </w:tr>
      <w:tr>
        <w:trPr>
          <w:trHeight w:val="353"/>
        </w:trPr>
        <w:tc>
          <w:tcPr>
            <w:tcW w:w="74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10.2</w:t>
            </w: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First Amendment, dated as of November 23,2021, to Amended and Restated Five Year Credit</w:t>
            </w:r>
          </w:p>
        </w:tc>
      </w:tr>
      <w:tr>
        <w:trPr>
          <w:trHeight w:val="229"/>
        </w:trPr>
        <w:tc>
          <w:tcPr>
            <w:tcW w:w="740" w:type="dxa"/>
            <w:vAlign w:val="bottom"/>
          </w:tcPr>
          <w:p>
            <w:pPr>
              <w:spacing w:after="0"/>
              <w:rPr>
                <w:sz w:val="19"/>
                <w:szCs w:val="19"/>
                <w:color w:val="auto"/>
              </w:rPr>
            </w:pPr>
          </w:p>
        </w:tc>
        <w:tc>
          <w:tcPr>
            <w:tcW w:w="83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Agreement, dated as of May 30,2018, among the Company, and the foreign borrowers from time</w:t>
            </w:r>
          </w:p>
        </w:tc>
      </w:tr>
    </w:tbl>
    <w:p>
      <w:pPr>
        <w:spacing w:after="0" w:line="38" w:lineRule="exact"/>
        <w:rPr>
          <w:sz w:val="20"/>
          <w:szCs w:val="20"/>
          <w:color w:val="auto"/>
        </w:rPr>
      </w:pPr>
    </w:p>
    <w:p>
      <w:pPr>
        <w:ind w:left="1260" w:right="205" w:firstLine="1"/>
        <w:spacing w:after="0" w:line="258" w:lineRule="auto"/>
        <w:rPr>
          <w:sz w:val="20"/>
          <w:szCs w:val="20"/>
          <w:color w:val="auto"/>
        </w:rPr>
      </w:pPr>
      <w:r>
        <w:rPr>
          <w:rFonts w:ascii="Times New Roman" w:cs="Times New Roman" w:eastAsia="Times New Roman" w:hAnsi="Times New Roman"/>
          <w:sz w:val="19"/>
          <w:szCs w:val="19"/>
          <w:color w:val="auto"/>
        </w:rPr>
        <w:t>to time party thereto, and certain of its domestic subsidiaries as guarantors, the several lenders from time to time party thereto, Wells Fargo Bank, National Association, as Administrative Agent and JPMorgan Chase Bank, N.A., as Syndication Agent (incorporated by reference to Exhibit 10.2 to the Company's Annual Report on Form 10-K for the fiscal year ended December 31, 2021).</w:t>
      </w:r>
    </w:p>
    <w:p>
      <w:pPr>
        <w:sectPr>
          <w:pgSz w:w="12240" w:h="15850" w:orient="portrait"/>
          <w:cols w:equalWidth="0" w:num="1">
            <w:col w:w="9365"/>
          </w:cols>
          <w:pgMar w:left="1440" w:top="1377" w:right="1440" w:bottom="721" w:gutter="0" w:footer="0" w:header="0"/>
        </w:sectPr>
      </w:pPr>
    </w:p>
    <w:p>
      <w:pPr>
        <w:spacing w:after="0" w:line="200" w:lineRule="exact"/>
        <w:rPr>
          <w:sz w:val="20"/>
          <w:szCs w:val="20"/>
          <w:color w:val="auto"/>
        </w:rPr>
      </w:pPr>
    </w:p>
    <w:p>
      <w:pPr>
        <w:spacing w:after="0" w:line="301"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58</w:t>
        <w:tab/>
        <w:t>2024 FORM 10-K</w:t>
      </w:r>
    </w:p>
    <w:p>
      <w:pPr>
        <w:sectPr>
          <w:pgSz w:w="12240" w:h="15850" w:orient="portrait"/>
          <w:cols w:equalWidth="0" w:num="1">
            <w:col w:w="9365"/>
          </w:cols>
          <w:pgMar w:left="1440" w:top="1377" w:right="1440" w:bottom="721" w:gutter="0" w:footer="0" w:header="0"/>
          <w:type w:val="continuous"/>
        </w:sectPr>
      </w:pPr>
    </w:p>
    <w:bookmarkStart w:id="74" w:name="page75"/>
    <w:bookmarkEnd w:id="74"/>
    <w:tbl>
      <w:tblPr>
        <w:tblLayout w:type="fixed"/>
        <w:tblInd w:w="120" w:type="dxa"/>
        <w:tblCellMar>
          <w:top w:w="0" w:type="dxa"/>
          <w:left w:w="0" w:type="dxa"/>
          <w:bottom w:w="0" w:type="dxa"/>
          <w:right w:w="0" w:type="dxa"/>
        </w:tblCellMar>
      </w:tblPr>
      <w:tr>
        <w:trPr>
          <w:trHeight w:val="184"/>
        </w:trPr>
        <w:tc>
          <w:tcPr>
            <w:tcW w:w="900" w:type="dxa"/>
            <w:vAlign w:val="bottom"/>
          </w:tcPr>
          <w:p>
            <w:pPr>
              <w:jc w:val="right"/>
              <w:ind w:right="168"/>
              <w:spacing w:after="0"/>
              <w:rPr>
                <w:sz w:val="20"/>
                <w:szCs w:val="20"/>
                <w:color w:val="auto"/>
              </w:rPr>
            </w:pPr>
            <w:r>
              <w:rPr>
                <w:rFonts w:ascii="Times New Roman" w:cs="Times New Roman" w:eastAsia="Times New Roman" w:hAnsi="Times New Roman"/>
                <w:sz w:val="16"/>
                <w:szCs w:val="16"/>
                <w:color w:val="auto"/>
              </w:rPr>
              <w:t>Exhibit</w:t>
            </w:r>
          </w:p>
        </w:tc>
        <w:tc>
          <w:tcPr>
            <w:tcW w:w="8120" w:type="dxa"/>
            <w:vAlign w:val="bottom"/>
          </w:tcPr>
          <w:p>
            <w:pPr>
              <w:spacing w:after="0"/>
              <w:rPr>
                <w:sz w:val="16"/>
                <w:szCs w:val="16"/>
                <w:color w:val="auto"/>
              </w:rPr>
            </w:pPr>
          </w:p>
        </w:tc>
      </w:tr>
      <w:tr>
        <w:trPr>
          <w:trHeight w:val="174"/>
        </w:trPr>
        <w:tc>
          <w:tcPr>
            <w:tcW w:w="900" w:type="dxa"/>
            <w:vAlign w:val="bottom"/>
          </w:tcPr>
          <w:p>
            <w:pPr>
              <w:jc w:val="right"/>
              <w:ind w:right="148"/>
              <w:spacing w:after="0" w:line="174" w:lineRule="exact"/>
              <w:rPr>
                <w:sz w:val="20"/>
                <w:szCs w:val="20"/>
                <w:color w:val="auto"/>
              </w:rPr>
            </w:pPr>
            <w:r>
              <w:rPr>
                <w:rFonts w:ascii="Times New Roman" w:cs="Times New Roman" w:eastAsia="Times New Roman" w:hAnsi="Times New Roman"/>
                <w:sz w:val="16"/>
                <w:szCs w:val="16"/>
                <w:color w:val="auto"/>
              </w:rPr>
              <w:t>Number</w:t>
            </w:r>
          </w:p>
        </w:tc>
        <w:tc>
          <w:tcPr>
            <w:tcW w:w="8120" w:type="dxa"/>
            <w:vAlign w:val="bottom"/>
          </w:tcPr>
          <w:p>
            <w:pPr>
              <w:ind w:left="3840"/>
              <w:spacing w:after="0" w:line="174" w:lineRule="exact"/>
              <w:rPr>
                <w:sz w:val="20"/>
                <w:szCs w:val="20"/>
                <w:color w:val="auto"/>
              </w:rPr>
            </w:pPr>
            <w:r>
              <w:rPr>
                <w:rFonts w:ascii="Times New Roman" w:cs="Times New Roman" w:eastAsia="Times New Roman" w:hAnsi="Times New Roman"/>
                <w:sz w:val="16"/>
                <w:szCs w:val="16"/>
                <w:color w:val="auto"/>
              </w:rPr>
              <w:t>Description</w:t>
            </w:r>
          </w:p>
        </w:tc>
      </w:tr>
      <w:tr>
        <w:trPr>
          <w:trHeight w:val="321"/>
        </w:trPr>
        <w:tc>
          <w:tcPr>
            <w:tcW w:w="900" w:type="dxa"/>
            <w:vAlign w:val="bottom"/>
          </w:tcPr>
          <w:p>
            <w:pPr>
              <w:jc w:val="right"/>
              <w:ind w:right="468"/>
              <w:spacing w:after="0"/>
              <w:rPr>
                <w:sz w:val="20"/>
                <w:szCs w:val="20"/>
                <w:color w:val="auto"/>
              </w:rPr>
            </w:pPr>
            <w:r>
              <w:rPr>
                <w:rFonts w:ascii="Times New Roman" w:cs="Times New Roman" w:eastAsia="Times New Roman" w:hAnsi="Times New Roman"/>
                <w:sz w:val="19"/>
                <w:szCs w:val="19"/>
                <w:color w:val="auto"/>
                <w:w w:val="96"/>
              </w:rPr>
              <w:t>10.3</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Second Amended and Restated Five Year Credit Agreement, dated as of May 3, 2022, among the</w:t>
            </w:r>
          </w:p>
        </w:tc>
      </w:tr>
      <w:tr>
        <w:trPr>
          <w:trHeight w:val="248"/>
        </w:trPr>
        <w:tc>
          <w:tcPr>
            <w:tcW w:w="900" w:type="dxa"/>
            <w:vAlign w:val="bottom"/>
          </w:tcPr>
          <w:p>
            <w:pPr>
              <w:spacing w:after="0"/>
              <w:rPr>
                <w:sz w:val="21"/>
                <w:szCs w:val="21"/>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Company, Kaplan U.K. Limited, and the foreign borrowers from time to time party thereto, and</w:t>
            </w:r>
          </w:p>
        </w:tc>
      </w:tr>
      <w:tr>
        <w:trPr>
          <w:trHeight w:val="229"/>
        </w:trPr>
        <w:tc>
          <w:tcPr>
            <w:tcW w:w="90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certain of its domestic subsidiaries as guarantors, the several lenders from time to time party</w:t>
            </w:r>
          </w:p>
        </w:tc>
      </w:tr>
      <w:tr>
        <w:trPr>
          <w:trHeight w:val="248"/>
        </w:trPr>
        <w:tc>
          <w:tcPr>
            <w:tcW w:w="900" w:type="dxa"/>
            <w:vAlign w:val="bottom"/>
          </w:tcPr>
          <w:p>
            <w:pPr>
              <w:spacing w:after="0"/>
              <w:rPr>
                <w:sz w:val="21"/>
                <w:szCs w:val="21"/>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thereto, Wells Fargo Bank, National Association, </w:t>
            </w:r>
            <w:r>
              <w:rPr>
                <w:rFonts w:ascii="Arial" w:cs="Arial" w:eastAsia="Arial" w:hAnsi="Arial"/>
                <w:sz w:val="17"/>
                <w:szCs w:val="17"/>
                <w:i w:val="1"/>
                <w:iCs w:val="1"/>
                <w:color w:val="auto"/>
              </w:rPr>
              <w:t>as</w:t>
            </w:r>
            <w:r>
              <w:rPr>
                <w:rFonts w:ascii="Times New Roman" w:cs="Times New Roman" w:eastAsia="Times New Roman" w:hAnsi="Times New Roman"/>
                <w:sz w:val="19"/>
                <w:szCs w:val="19"/>
                <w:color w:val="auto"/>
              </w:rPr>
              <w:t xml:space="preserve"> Administrative Agent and JPMorgan Chase</w:t>
            </w:r>
          </w:p>
        </w:tc>
      </w:tr>
      <w:tr>
        <w:trPr>
          <w:trHeight w:val="239"/>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Bank, N.A., as Syndication Agent (incorporated by reference to Exhibit 10.1 to the Company's</w:t>
            </w:r>
          </w:p>
        </w:tc>
      </w:tr>
      <w:tr>
        <w:trPr>
          <w:trHeight w:val="229"/>
        </w:trPr>
        <w:tc>
          <w:tcPr>
            <w:tcW w:w="90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Quarterly Report on Form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0-Q for the quarter ended March 31, 2022).</w:t>
            </w:r>
          </w:p>
        </w:tc>
      </w:tr>
      <w:tr>
        <w:trPr>
          <w:trHeight w:val="362"/>
        </w:trPr>
        <w:tc>
          <w:tcPr>
            <w:tcW w:w="900" w:type="dxa"/>
            <w:vAlign w:val="bottom"/>
          </w:tcPr>
          <w:p>
            <w:pPr>
              <w:jc w:val="right"/>
              <w:ind w:right="448"/>
              <w:spacing w:after="0"/>
              <w:rPr>
                <w:sz w:val="20"/>
                <w:szCs w:val="20"/>
                <w:color w:val="auto"/>
              </w:rPr>
            </w:pPr>
            <w:r>
              <w:rPr>
                <w:rFonts w:ascii="Times New Roman" w:cs="Times New Roman" w:eastAsia="Times New Roman" w:hAnsi="Times New Roman"/>
                <w:sz w:val="19"/>
                <w:szCs w:val="19"/>
                <w:color w:val="auto"/>
              </w:rPr>
              <w:t>10.4</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First Amendment to Second Amended and Restated Five Year Credit Agreement, dated as of</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July 28, 2023, among the Company, Kaplan U.K. Limited, and the foreign borrowers from time to</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time party thereto, and certain of its domestic subsEdiaries as guarantors, the several lenders from</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time to time party thereto, Wells Fargo Bank, National Association, as Administrative Agent and</w:t>
            </w:r>
          </w:p>
        </w:tc>
      </w:tr>
      <w:tr>
        <w:trPr>
          <w:trHeight w:val="248"/>
        </w:trPr>
        <w:tc>
          <w:tcPr>
            <w:tcW w:w="900" w:type="dxa"/>
            <w:vAlign w:val="bottom"/>
          </w:tcPr>
          <w:p>
            <w:pPr>
              <w:spacing w:after="0"/>
              <w:rPr>
                <w:sz w:val="21"/>
                <w:szCs w:val="21"/>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JPMorgan Chase Bank, N.A. , as Syndication Agent (incorporated by reference to Exhibit 10. 1 to</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the Company's Quarterly Report on Form 10-Q for the quarter ended June 30, 2023).</w:t>
            </w:r>
          </w:p>
        </w:tc>
      </w:tr>
      <w:tr>
        <w:trPr>
          <w:trHeight w:val="362"/>
        </w:trPr>
        <w:tc>
          <w:tcPr>
            <w:tcW w:w="900" w:type="dxa"/>
            <w:vAlign w:val="bottom"/>
          </w:tcPr>
          <w:p>
            <w:pPr>
              <w:jc w:val="right"/>
              <w:ind w:right="468"/>
              <w:spacing w:after="0"/>
              <w:rPr>
                <w:sz w:val="20"/>
                <w:szCs w:val="20"/>
                <w:color w:val="auto"/>
              </w:rPr>
            </w:pPr>
            <w:r>
              <w:rPr>
                <w:rFonts w:ascii="Times New Roman" w:cs="Times New Roman" w:eastAsia="Times New Roman" w:hAnsi="Times New Roman"/>
                <w:sz w:val="19"/>
                <w:szCs w:val="19"/>
                <w:color w:val="auto"/>
                <w:w w:val="96"/>
              </w:rPr>
              <w:t>10.5</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Transition and Operations Support Agreement, dated March 22, 2018, by and among Kaplan</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Higher Education, LLC, Iowa College Acquisition, LLC and Purdue University Global, Inc., with</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Purdue University as a party to the Transition and Operations Support Agreement solely for the</w:t>
            </w:r>
          </w:p>
        </w:tc>
      </w:tr>
      <w:tr>
        <w:trPr>
          <w:trHeight w:val="248"/>
        </w:trPr>
        <w:tc>
          <w:tcPr>
            <w:tcW w:w="900" w:type="dxa"/>
            <w:vAlign w:val="bottom"/>
          </w:tcPr>
          <w:p>
            <w:pPr>
              <w:spacing w:after="0"/>
              <w:rPr>
                <w:sz w:val="21"/>
                <w:szCs w:val="21"/>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purposes of being bound by the Purdue Provisions (as defined therein) (incorporated by reference</w:t>
            </w:r>
          </w:p>
        </w:tc>
      </w:tr>
      <w:tr>
        <w:trPr>
          <w:trHeight w:val="229"/>
        </w:trPr>
        <w:tc>
          <w:tcPr>
            <w:tcW w:w="90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to Exhibit 10.1 to the Company's Current Report on Form 8-K dated March 22, 20 18).**+</w:t>
            </w:r>
          </w:p>
        </w:tc>
      </w:tr>
      <w:tr>
        <w:trPr>
          <w:trHeight w:val="362"/>
        </w:trPr>
        <w:tc>
          <w:tcPr>
            <w:tcW w:w="900" w:type="dxa"/>
            <w:vAlign w:val="bottom"/>
          </w:tcPr>
          <w:p>
            <w:pPr>
              <w:jc w:val="right"/>
              <w:ind w:right="448"/>
              <w:spacing w:after="0"/>
              <w:rPr>
                <w:sz w:val="20"/>
                <w:szCs w:val="20"/>
                <w:color w:val="auto"/>
              </w:rPr>
            </w:pPr>
            <w:r>
              <w:rPr>
                <w:rFonts w:ascii="Times New Roman" w:cs="Times New Roman" w:eastAsia="Times New Roman" w:hAnsi="Times New Roman"/>
                <w:sz w:val="19"/>
                <w:szCs w:val="19"/>
                <w:color w:val="auto"/>
              </w:rPr>
              <w:t>10.6</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First Amendment, dated as of July 29, 2019, to the Transition and O perations Support Agreement,</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dated March 22,2018, by and among Kaplan Higher Education, LLC, Iowa College Acquisition,</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LLC and Purdue University Global, Inc. (the "First Amendment"), with The Trustees of Purdue</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University as a party to the First Amendment solely for the purposes of continuing to be bound by</w:t>
            </w:r>
          </w:p>
        </w:tc>
      </w:tr>
      <w:tr>
        <w:trPr>
          <w:trHeight w:val="248"/>
        </w:trPr>
        <w:tc>
          <w:tcPr>
            <w:tcW w:w="900" w:type="dxa"/>
            <w:vAlign w:val="bottom"/>
          </w:tcPr>
          <w:p>
            <w:pPr>
              <w:spacing w:after="0"/>
              <w:rPr>
                <w:sz w:val="21"/>
                <w:szCs w:val="21"/>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the Purdue Provisions (as defined therein) (incorporated by reference to Exhibit 10. 1 to the</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Company's Quarterly Report on Form 10-Q for the quarter ended September 30, 2019).+</w:t>
            </w:r>
          </w:p>
        </w:tc>
      </w:tr>
      <w:tr>
        <w:trPr>
          <w:trHeight w:val="353"/>
        </w:trPr>
        <w:tc>
          <w:tcPr>
            <w:tcW w:w="900" w:type="dxa"/>
            <w:vAlign w:val="bottom"/>
          </w:tcPr>
          <w:p>
            <w:pPr>
              <w:jc w:val="right"/>
              <w:ind w:right="468"/>
              <w:spacing w:after="0"/>
              <w:rPr>
                <w:sz w:val="20"/>
                <w:szCs w:val="20"/>
                <w:color w:val="auto"/>
              </w:rPr>
            </w:pPr>
            <w:r>
              <w:rPr>
                <w:rFonts w:ascii="Times New Roman" w:cs="Times New Roman" w:eastAsia="Times New Roman" w:hAnsi="Times New Roman"/>
                <w:sz w:val="19"/>
                <w:szCs w:val="19"/>
                <w:color w:val="auto"/>
                <w:w w:val="96"/>
              </w:rPr>
              <w:t>10.7</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Graham Holdings Company 2022 Incentive Compensation Plan, effective May 5, 2022, filed as</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Appendix A to the Company's Proxy Statement on Form DEF l4A for the fiscal year ended</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December 31, 2021, and incorporated herein by reference.*</w:t>
            </w:r>
          </w:p>
        </w:tc>
      </w:tr>
      <w:tr>
        <w:trPr>
          <w:trHeight w:val="362"/>
        </w:trPr>
        <w:tc>
          <w:tcPr>
            <w:tcW w:w="900" w:type="dxa"/>
            <w:vAlign w:val="bottom"/>
          </w:tcPr>
          <w:p>
            <w:pPr>
              <w:jc w:val="right"/>
              <w:ind w:right="468"/>
              <w:spacing w:after="0"/>
              <w:rPr>
                <w:sz w:val="20"/>
                <w:szCs w:val="20"/>
                <w:color w:val="auto"/>
              </w:rPr>
            </w:pPr>
            <w:r>
              <w:rPr>
                <w:rFonts w:ascii="Times New Roman" w:cs="Times New Roman" w:eastAsia="Times New Roman" w:hAnsi="Times New Roman"/>
                <w:sz w:val="19"/>
                <w:szCs w:val="19"/>
                <w:color w:val="auto"/>
                <w:w w:val="96"/>
              </w:rPr>
              <w:t>10.8</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Graham Holdings Company Supplemental Executive Retirement Plan as amended and restated</w:t>
            </w:r>
          </w:p>
        </w:tc>
      </w:tr>
      <w:tr>
        <w:trPr>
          <w:trHeight w:val="229"/>
        </w:trPr>
        <w:tc>
          <w:tcPr>
            <w:tcW w:w="90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effective December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0, 2013 (incorporated by reference to Exhibit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0.3 to the Company's Annual</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Report on Form 10-K for the fiscal year ended December 31, 20 13). *</w:t>
            </w:r>
          </w:p>
        </w:tc>
      </w:tr>
      <w:tr>
        <w:trPr>
          <w:trHeight w:val="362"/>
        </w:trPr>
        <w:tc>
          <w:tcPr>
            <w:tcW w:w="900" w:type="dxa"/>
            <w:vAlign w:val="bottom"/>
          </w:tcPr>
          <w:p>
            <w:pPr>
              <w:jc w:val="right"/>
              <w:ind w:right="468"/>
              <w:spacing w:after="0"/>
              <w:rPr>
                <w:sz w:val="20"/>
                <w:szCs w:val="20"/>
                <w:color w:val="auto"/>
              </w:rPr>
            </w:pPr>
            <w:r>
              <w:rPr>
                <w:rFonts w:ascii="Times New Roman" w:cs="Times New Roman" w:eastAsia="Times New Roman" w:hAnsi="Times New Roman"/>
                <w:sz w:val="19"/>
                <w:szCs w:val="19"/>
                <w:color w:val="auto"/>
                <w:w w:val="96"/>
              </w:rPr>
              <w:t>10.9</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Amendment No. 1 to Graham Holdings Company Supplemental Executive Retirement Plan,</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effective March 31, 2014 (incorporated by reference to Exhi bit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0.4 to the Company' s Annual</w:t>
            </w:r>
          </w:p>
        </w:tc>
      </w:tr>
      <w:tr>
        <w:trPr>
          <w:trHeight w:val="239"/>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Report on Form 10-K for the fiscal year ended December 31, 20 14).*</w:t>
            </w:r>
          </w:p>
        </w:tc>
      </w:tr>
      <w:tr>
        <w:trPr>
          <w:trHeight w:val="362"/>
        </w:trPr>
        <w:tc>
          <w:tcPr>
            <w:tcW w:w="900" w:type="dxa"/>
            <w:vAlign w:val="bottom"/>
          </w:tcPr>
          <w:p>
            <w:pPr>
              <w:jc w:val="right"/>
              <w:ind w:right="368"/>
              <w:spacing w:after="0"/>
              <w:rPr>
                <w:sz w:val="20"/>
                <w:szCs w:val="20"/>
                <w:color w:val="auto"/>
              </w:rPr>
            </w:pPr>
            <w:r>
              <w:rPr>
                <w:rFonts w:ascii="Times New Roman" w:cs="Times New Roman" w:eastAsia="Times New Roman" w:hAnsi="Times New Roman"/>
                <w:sz w:val="19"/>
                <w:szCs w:val="19"/>
                <w:color w:val="auto"/>
                <w:w w:val="98"/>
              </w:rPr>
              <w:t>10.10</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Graham Holdings Company Deferred Compensation Plan as amended and restated effective</w:t>
            </w:r>
          </w:p>
        </w:tc>
      </w:tr>
      <w:tr>
        <w:trPr>
          <w:trHeight w:val="229"/>
        </w:trPr>
        <w:tc>
          <w:tcPr>
            <w:tcW w:w="900" w:type="dxa"/>
            <w:vAlign w:val="bottom"/>
          </w:tcPr>
          <w:p>
            <w:pPr>
              <w:spacing w:after="0"/>
              <w:rPr>
                <w:sz w:val="19"/>
                <w:szCs w:val="19"/>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 xml:space="preserve">January 1, 2014 (incorporated by reference to Exhibit 10.4 to Company's Annual Report </w:t>
            </w:r>
            <w:r>
              <w:rPr>
                <w:rFonts w:ascii="Times New Roman" w:cs="Times New Roman" w:eastAsia="Times New Roman" w:hAnsi="Times New Roman"/>
                <w:sz w:val="18"/>
                <w:szCs w:val="18"/>
                <w:color w:val="auto"/>
              </w:rPr>
              <w:t>on</w:t>
            </w:r>
            <w:r>
              <w:rPr>
                <w:rFonts w:ascii="Times New Roman" w:cs="Times New Roman" w:eastAsia="Times New Roman" w:hAnsi="Times New Roman"/>
                <w:sz w:val="19"/>
                <w:szCs w:val="19"/>
                <w:color w:val="auto"/>
              </w:rPr>
              <w:t xml:space="preserve"> Form</w:t>
            </w:r>
          </w:p>
        </w:tc>
      </w:tr>
      <w:tr>
        <w:trPr>
          <w:trHeight w:val="248"/>
        </w:trPr>
        <w:tc>
          <w:tcPr>
            <w:tcW w:w="900" w:type="dxa"/>
            <w:vAlign w:val="bottom"/>
          </w:tcPr>
          <w:p>
            <w:pPr>
              <w:spacing w:after="0"/>
              <w:rPr>
                <w:sz w:val="21"/>
                <w:szCs w:val="21"/>
                <w:color w:val="auto"/>
              </w:rPr>
            </w:pPr>
          </w:p>
        </w:tc>
        <w:tc>
          <w:tcPr>
            <w:tcW w:w="8120" w:type="dxa"/>
            <w:vAlign w:val="bottom"/>
          </w:tcPr>
          <w:p>
            <w:pPr>
              <w:ind w:left="260"/>
              <w:spacing w:after="0"/>
              <w:rPr>
                <w:sz w:val="20"/>
                <w:szCs w:val="20"/>
                <w:color w:val="auto"/>
              </w:rPr>
            </w:pPr>
            <w:r>
              <w:rPr>
                <w:rFonts w:ascii="Times New Roman" w:cs="Times New Roman" w:eastAsia="Times New Roman" w:hAnsi="Times New Roman"/>
                <w:sz w:val="19"/>
                <w:szCs w:val="19"/>
                <w:color w:val="auto"/>
              </w:rPr>
              <w:t>10-K for the fiscal year ended December 31, 2013).*</w:t>
            </w:r>
          </w:p>
        </w:tc>
      </w:tr>
      <w:tr>
        <w:trPr>
          <w:trHeight w:val="362"/>
        </w:trPr>
        <w:tc>
          <w:tcPr>
            <w:tcW w:w="900" w:type="dxa"/>
            <w:vAlign w:val="bottom"/>
          </w:tcPr>
          <w:p>
            <w:pPr>
              <w:jc w:val="right"/>
              <w:ind w:right="348"/>
              <w:spacing w:after="0"/>
              <w:rPr>
                <w:sz w:val="20"/>
                <w:szCs w:val="20"/>
                <w:color w:val="auto"/>
              </w:rPr>
            </w:pPr>
            <w:r>
              <w:rPr>
                <w:rFonts w:ascii="Times New Roman" w:cs="Times New Roman" w:eastAsia="Times New Roman" w:hAnsi="Times New Roman"/>
                <w:sz w:val="19"/>
                <w:szCs w:val="19"/>
                <w:color w:val="auto"/>
                <w:w w:val="92"/>
              </w:rPr>
              <w:t>10.1 1</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Letter Agreement between the Company and Timothy J. O'Shaughnessy, dated October 20, 2014</w:t>
            </w:r>
          </w:p>
        </w:tc>
      </w:tr>
      <w:tr>
        <w:trPr>
          <w:trHeight w:val="239"/>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(incorporated by reference to Exhibit 10.6 to the Company's Annual Report on Form 10-K for the</w:t>
            </w:r>
          </w:p>
        </w:tc>
      </w:tr>
      <w:tr>
        <w:trPr>
          <w:trHeight w:val="238"/>
        </w:trPr>
        <w:tc>
          <w:tcPr>
            <w:tcW w:w="900" w:type="dxa"/>
            <w:vAlign w:val="bottom"/>
          </w:tcPr>
          <w:p>
            <w:pPr>
              <w:spacing w:after="0"/>
              <w:rPr>
                <w:sz w:val="20"/>
                <w:szCs w:val="20"/>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fiscal year ended December 31, 20 14). *</w:t>
            </w:r>
          </w:p>
        </w:tc>
      </w:tr>
      <w:tr>
        <w:trPr>
          <w:trHeight w:val="362"/>
        </w:trPr>
        <w:tc>
          <w:tcPr>
            <w:tcW w:w="900" w:type="dxa"/>
            <w:vAlign w:val="bottom"/>
          </w:tcPr>
          <w:p>
            <w:pPr>
              <w:jc w:val="right"/>
              <w:ind w:right="368"/>
              <w:spacing w:after="0"/>
              <w:rPr>
                <w:sz w:val="20"/>
                <w:szCs w:val="20"/>
                <w:color w:val="auto"/>
              </w:rPr>
            </w:pPr>
            <w:r>
              <w:rPr>
                <w:rFonts w:ascii="Times New Roman" w:cs="Times New Roman" w:eastAsia="Times New Roman" w:hAnsi="Times New Roman"/>
                <w:sz w:val="19"/>
                <w:szCs w:val="19"/>
                <w:color w:val="auto"/>
                <w:w w:val="98"/>
              </w:rPr>
              <w:t>10.12</w:t>
            </w:r>
          </w:p>
        </w:tc>
        <w:tc>
          <w:tcPr>
            <w:tcW w:w="8120" w:type="dxa"/>
            <w:vAlign w:val="bottom"/>
          </w:tcPr>
          <w:p>
            <w:pPr>
              <w:ind w:left="240"/>
              <w:spacing w:after="0"/>
              <w:rPr>
                <w:sz w:val="20"/>
                <w:szCs w:val="20"/>
                <w:color w:val="auto"/>
              </w:rPr>
            </w:pPr>
            <w:r>
              <w:rPr>
                <w:rFonts w:ascii="Times New Roman" w:cs="Times New Roman" w:eastAsia="Times New Roman" w:hAnsi="Times New Roman"/>
                <w:sz w:val="19"/>
                <w:szCs w:val="19"/>
                <w:color w:val="auto"/>
              </w:rPr>
              <w:t>Letter Agreement between the Company and AndrewS. Rosen, dated April 7, 2014 (incorporated</w:t>
            </w:r>
          </w:p>
        </w:tc>
      </w:tr>
      <w:tr>
        <w:trPr>
          <w:trHeight w:val="212"/>
        </w:trPr>
        <w:tc>
          <w:tcPr>
            <w:tcW w:w="900" w:type="dxa"/>
            <w:vAlign w:val="bottom"/>
          </w:tcPr>
          <w:p>
            <w:pPr>
              <w:spacing w:after="0"/>
              <w:rPr>
                <w:sz w:val="18"/>
                <w:szCs w:val="18"/>
                <w:color w:val="auto"/>
              </w:rPr>
            </w:pPr>
          </w:p>
        </w:tc>
        <w:tc>
          <w:tcPr>
            <w:tcW w:w="8120" w:type="dxa"/>
            <w:vAlign w:val="bottom"/>
          </w:tcPr>
          <w:p>
            <w:pPr>
              <w:ind w:left="240"/>
              <w:spacing w:after="0" w:line="212" w:lineRule="exact"/>
              <w:rPr>
                <w:sz w:val="20"/>
                <w:szCs w:val="20"/>
                <w:color w:val="auto"/>
              </w:rPr>
            </w:pPr>
            <w:r>
              <w:rPr>
                <w:rFonts w:ascii="Times New Roman" w:cs="Times New Roman" w:eastAsia="Times New Roman" w:hAnsi="Times New Roman"/>
                <w:sz w:val="19"/>
                <w:szCs w:val="19"/>
                <w:color w:val="auto"/>
              </w:rPr>
              <w:t>by reference to Exhibit 10.1 to the Company's Quarterly Report on Form 10-Q for the quarter</w:t>
            </w:r>
          </w:p>
        </w:tc>
      </w:tr>
      <w:tr>
        <w:trPr>
          <w:trHeight w:val="279"/>
        </w:trPr>
        <w:tc>
          <w:tcPr>
            <w:tcW w:w="900" w:type="dxa"/>
            <w:vAlign w:val="bottom"/>
          </w:tcPr>
          <w:p>
            <w:pPr>
              <w:spacing w:after="0"/>
              <w:rPr>
                <w:sz w:val="24"/>
                <w:szCs w:val="24"/>
                <w:color w:val="auto"/>
              </w:rPr>
            </w:pPr>
          </w:p>
        </w:tc>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 xml:space="preserve">ended March 31 , </w:t>
            </w:r>
            <w:r>
              <w:rPr>
                <w:rFonts w:ascii="Times New Roman" w:cs="Times New Roman" w:eastAsia="Times New Roman" w:hAnsi="Times New Roman"/>
                <w:sz w:val="19"/>
                <w:szCs w:val="19"/>
                <w:color w:val="auto"/>
              </w:rPr>
              <w:t>20</w:t>
            </w:r>
            <w:r>
              <w:rPr>
                <w:rFonts w:ascii="Times New Roman" w:cs="Times New Roman" w:eastAsia="Times New Roman" w:hAnsi="Times New Roman"/>
                <w:sz w:val="18"/>
                <w:szCs w:val="18"/>
                <w:color w:val="auto"/>
              </w:rPr>
              <w:t xml:space="preserve"> 15). </w:t>
            </w:r>
            <w:r>
              <w:rPr>
                <w:rFonts w:ascii="Arial" w:cs="Arial" w:eastAsia="Arial" w:hAnsi="Arial"/>
                <w:sz w:val="24"/>
                <w:szCs w:val="24"/>
                <w:color w:val="auto"/>
              </w:rPr>
              <w:t>*</w:t>
            </w:r>
          </w:p>
        </w:tc>
      </w:tr>
    </w:tbl>
    <w:p>
      <w:pPr>
        <w:spacing w:after="0" w:line="1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r>
    </w:p>
    <w:p>
      <w:pPr>
        <w:ind w:left="400" w:hanging="254"/>
        <w:spacing w:after="0"/>
        <w:tabs>
          <w:tab w:leader="none" w:pos="400"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13Letter Agreement between the Company and Jacob M. Maas, dated August 24, 2015 (incorporated</w:t>
      </w:r>
    </w:p>
    <w:p>
      <w:pPr>
        <w:spacing w:after="0" w:line="38" w:lineRule="exact"/>
        <w:rPr>
          <w:rFonts w:ascii="Times New Roman" w:cs="Times New Roman" w:eastAsia="Times New Roman" w:hAnsi="Times New Roman"/>
          <w:sz w:val="19"/>
          <w:szCs w:val="19"/>
          <w:color w:val="auto"/>
        </w:rPr>
      </w:pPr>
    </w:p>
    <w:p>
      <w:pPr>
        <w:ind w:left="1260" w:right="385" w:firstLine="2"/>
        <w:spacing w:after="0" w:line="241"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by reference to Exhibit 10.10 to the Company's Annual Report on Form 10-K for the fiscal year ended December 31, 2018).*</w:t>
      </w:r>
    </w:p>
    <w:p>
      <w:pPr>
        <w:spacing w:after="0" w:line="134" w:lineRule="exact"/>
        <w:rPr>
          <w:sz w:val="20"/>
          <w:szCs w:val="20"/>
          <w:color w:val="auto"/>
        </w:rPr>
      </w:pPr>
    </w:p>
    <w:p>
      <w:pPr>
        <w:ind w:left="120"/>
        <w:spacing w:after="0"/>
        <w:tabs>
          <w:tab w:leader="none" w:pos="1240" w:val="left"/>
        </w:tabs>
        <w:rPr>
          <w:sz w:val="20"/>
          <w:szCs w:val="20"/>
          <w:color w:val="auto"/>
        </w:rPr>
      </w:pPr>
      <w:r>
        <w:rPr>
          <w:rFonts w:ascii="Times New Roman" w:cs="Times New Roman" w:eastAsia="Times New Roman" w:hAnsi="Times New Roman"/>
          <w:sz w:val="19"/>
          <w:szCs w:val="19"/>
          <w:color w:val="auto"/>
        </w:rPr>
        <w:t>19</w:t>
      </w:r>
      <w:r>
        <w:rPr>
          <w:sz w:val="20"/>
          <w:szCs w:val="20"/>
          <w:color w:val="auto"/>
        </w:rPr>
        <w:tab/>
      </w:r>
      <w:r>
        <w:rPr>
          <w:rFonts w:ascii="Times New Roman" w:cs="Times New Roman" w:eastAsia="Times New Roman" w:hAnsi="Times New Roman"/>
          <w:sz w:val="19"/>
          <w:szCs w:val="19"/>
          <w:color w:val="auto"/>
        </w:rPr>
        <w:t>Insider Trading and Hedg ing Policy.</w:t>
      </w:r>
    </w:p>
    <w:p>
      <w:pPr>
        <w:sectPr>
          <w:pgSz w:w="12240" w:h="15850" w:orient="portrait"/>
          <w:cols w:equalWidth="0" w:num="1">
            <w:col w:w="9365"/>
          </w:cols>
          <w:pgMar w:left="1440" w:top="1316" w:right="1440" w:bottom="721" w:gutter="0" w:footer="0" w:header="0"/>
        </w:sectPr>
      </w:pPr>
    </w:p>
    <w:p>
      <w:pPr>
        <w:spacing w:after="0" w:line="200" w:lineRule="exact"/>
        <w:rPr>
          <w:sz w:val="20"/>
          <w:szCs w:val="20"/>
          <w:color w:val="auto"/>
        </w:rPr>
      </w:pPr>
    </w:p>
    <w:p>
      <w:pPr>
        <w:spacing w:after="0" w:line="31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59</w:t>
      </w:r>
    </w:p>
    <w:p>
      <w:pPr>
        <w:sectPr>
          <w:pgSz w:w="12240" w:h="15850" w:orient="portrait"/>
          <w:cols w:equalWidth="0" w:num="1">
            <w:col w:w="9365"/>
          </w:cols>
          <w:pgMar w:left="1440" w:top="1316" w:right="1440" w:bottom="721" w:gutter="0" w:footer="0" w:header="0"/>
          <w:type w:val="continuous"/>
        </w:sectPr>
      </w:pPr>
    </w:p>
    <w:bookmarkStart w:id="75" w:name="page76"/>
    <w:bookmarkEnd w:id="75"/>
    <w:p>
      <w:pPr>
        <w:ind w:left="240"/>
        <w:spacing w:after="0"/>
        <w:rPr>
          <w:sz w:val="20"/>
          <w:szCs w:val="20"/>
          <w:color w:val="auto"/>
        </w:rPr>
      </w:pPr>
      <w:r>
        <w:rPr>
          <w:rFonts w:ascii="Times New Roman" w:cs="Times New Roman" w:eastAsia="Times New Roman" w:hAnsi="Times New Roman"/>
          <w:sz w:val="16"/>
          <w:szCs w:val="16"/>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3">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Exhibit</w:t>
      </w:r>
    </w:p>
    <w:p>
      <w:pPr>
        <w:ind w:left="220"/>
        <w:spacing w:after="0" w:line="211" w:lineRule="auto"/>
        <w:tabs>
          <w:tab w:leader="none" w:pos="4840" w:val="left"/>
        </w:tabs>
        <w:rPr>
          <w:sz w:val="20"/>
          <w:szCs w:val="20"/>
          <w:color w:val="auto"/>
        </w:rPr>
      </w:pPr>
      <w:r>
        <w:rPr>
          <w:rFonts w:ascii="Times New Roman" w:cs="Times New Roman" w:eastAsia="Times New Roman" w:hAnsi="Times New Roman"/>
          <w:sz w:val="16"/>
          <w:szCs w:val="16"/>
          <w:color w:val="auto"/>
        </w:rPr>
        <w:t>Number</w:t>
      </w:r>
      <w:r>
        <w:rPr>
          <w:sz w:val="20"/>
          <w:szCs w:val="20"/>
          <w:color w:val="auto"/>
        </w:rPr>
        <w:tab/>
      </w:r>
      <w:r>
        <w:rPr>
          <w:rFonts w:ascii="Times New Roman" w:cs="Times New Roman" w:eastAsia="Times New Roman" w:hAnsi="Times New Roman"/>
          <w:sz w:val="16"/>
          <w:szCs w:val="16"/>
          <w:color w:val="auto"/>
        </w:rPr>
        <w:t>Descr ip tion</w:t>
      </w:r>
    </w:p>
    <w:p>
      <w:pPr>
        <w:spacing w:after="0" w:line="93" w:lineRule="exact"/>
        <w:rPr>
          <w:sz w:val="20"/>
          <w:szCs w:val="20"/>
          <w:color w:val="auto"/>
        </w:rPr>
      </w:pPr>
    </w:p>
    <w:p>
      <w:pPr>
        <w:ind w:left="120"/>
        <w:spacing w:after="0"/>
        <w:tabs>
          <w:tab w:leader="none" w:pos="1260" w:val="left"/>
        </w:tabs>
        <w:rPr>
          <w:sz w:val="20"/>
          <w:szCs w:val="20"/>
          <w:color w:val="auto"/>
        </w:rPr>
      </w:pPr>
      <w:r>
        <w:rPr>
          <w:rFonts w:ascii="Times New Roman" w:cs="Times New Roman" w:eastAsia="Times New Roman" w:hAnsi="Times New Roman"/>
          <w:sz w:val="19"/>
          <w:szCs w:val="19"/>
          <w:color w:val="auto"/>
        </w:rPr>
        <w:t>21</w:t>
      </w:r>
      <w:r>
        <w:rPr>
          <w:sz w:val="20"/>
          <w:szCs w:val="20"/>
          <w:color w:val="auto"/>
        </w:rPr>
        <w:tab/>
      </w:r>
      <w:r>
        <w:rPr>
          <w:rFonts w:ascii="Times New Roman" w:cs="Times New Roman" w:eastAsia="Times New Roman" w:hAnsi="Times New Roman"/>
          <w:sz w:val="19"/>
          <w:szCs w:val="19"/>
          <w:color w:val="auto"/>
        </w:rPr>
        <w:t>List of subsidiaries of the Company.</w:t>
      </w:r>
    </w:p>
    <w:p>
      <w:pPr>
        <w:spacing w:after="0" w:line="154" w:lineRule="exact"/>
        <w:rPr>
          <w:sz w:val="20"/>
          <w:szCs w:val="20"/>
          <w:color w:val="auto"/>
        </w:rPr>
      </w:pPr>
    </w:p>
    <w:p>
      <w:pPr>
        <w:ind w:left="1260" w:hanging="1147"/>
        <w:spacing w:after="0"/>
        <w:tabs>
          <w:tab w:leader="none" w:pos="12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Consent of independent registered public accounting firm.</w:t>
      </w:r>
    </w:p>
    <w:p>
      <w:pPr>
        <w:spacing w:after="0" w:line="143" w:lineRule="exact"/>
        <w:rPr>
          <w:rFonts w:ascii="Times New Roman" w:cs="Times New Roman" w:eastAsia="Times New Roman" w:hAnsi="Times New Roman"/>
          <w:sz w:val="19"/>
          <w:szCs w:val="19"/>
          <w:color w:val="auto"/>
        </w:rPr>
      </w:pPr>
    </w:p>
    <w:p>
      <w:pPr>
        <w:ind w:left="1260" w:hanging="1147"/>
        <w:spacing w:after="0"/>
        <w:tabs>
          <w:tab w:leader="none" w:pos="1260" w:val="left"/>
        </w:tabs>
        <w:numPr>
          <w:ilvl w:val="0"/>
          <w:numId w:val="6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Power of Attorney dated January 18, 2024.</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31.1</w:t>
            </w:r>
          </w:p>
        </w:tc>
        <w:tc>
          <w:tcPr>
            <w:tcW w:w="76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Rule l3a-l4(a)/15d-l4(a) Certification of the Chief Executive Officer.</w:t>
            </w:r>
          </w:p>
        </w:tc>
      </w:tr>
      <w:tr>
        <w:trPr>
          <w:trHeight w:val="353"/>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3 1.2</w:t>
            </w:r>
          </w:p>
        </w:tc>
        <w:tc>
          <w:tcPr>
            <w:tcW w:w="76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Rule 13a-14(a)ll5d- 14(a) Certification of the Chief Financial Officer.</w:t>
            </w:r>
          </w:p>
        </w:tc>
      </w:tr>
      <w:tr>
        <w:trPr>
          <w:trHeight w:val="372"/>
        </w:trPr>
        <w:tc>
          <w:tcPr>
            <w:tcW w:w="740" w:type="dxa"/>
            <w:vAlign w:val="bottom"/>
          </w:tcPr>
          <w:p>
            <w:pPr>
              <w:spacing w:after="0"/>
              <w:rPr>
                <w:sz w:val="20"/>
                <w:szCs w:val="20"/>
                <w:color w:val="auto"/>
              </w:rPr>
            </w:pPr>
            <w:r>
              <w:rPr>
                <w:rFonts w:ascii="Times New Roman" w:cs="Times New Roman" w:eastAsia="Times New Roman" w:hAnsi="Times New Roman"/>
                <w:sz w:val="19"/>
                <w:szCs w:val="19"/>
                <w:color w:val="auto"/>
              </w:rPr>
              <w:t>32</w:t>
            </w:r>
          </w:p>
        </w:tc>
        <w:tc>
          <w:tcPr>
            <w:tcW w:w="76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Section [ 350 Certification of the Chief Executive Officer and the Chief Financial Officer.</w:t>
            </w:r>
          </w:p>
        </w:tc>
      </w:tr>
    </w:tbl>
    <w:p>
      <w:pPr>
        <w:spacing w:after="0" w:line="148" w:lineRule="exact"/>
        <w:rPr>
          <w:sz w:val="20"/>
          <w:szCs w:val="20"/>
          <w:color w:val="auto"/>
        </w:rPr>
      </w:pPr>
    </w:p>
    <w:p>
      <w:pPr>
        <w:ind w:left="1260" w:right="645" w:hanging="1148"/>
        <w:spacing w:after="0" w:line="257" w:lineRule="auto"/>
        <w:tabs>
          <w:tab w:leader="none" w:pos="1260" w:val="left"/>
        </w:tabs>
        <w:numPr>
          <w:ilvl w:val="0"/>
          <w:numId w:val="6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Graham Holdings Company Clawback Policy (incorporated by reference to Exhibit 97 to the Company's Annual Report on Form I 0- K for the fiscal year ended December 31, 2023).</w:t>
      </w:r>
    </w:p>
    <w:p>
      <w:pPr>
        <w:spacing w:after="0" w:line="120" w:lineRule="exact"/>
        <w:rPr>
          <w:sz w:val="20"/>
          <w:szCs w:val="20"/>
          <w:color w:val="auto"/>
        </w:rPr>
      </w:pPr>
    </w:p>
    <w:p>
      <w:pPr>
        <w:ind w:left="160"/>
        <w:spacing w:after="0"/>
        <w:tabs>
          <w:tab w:leader="none" w:pos="1240" w:val="left"/>
        </w:tabs>
        <w:rPr>
          <w:sz w:val="20"/>
          <w:szCs w:val="20"/>
          <w:color w:val="auto"/>
        </w:rPr>
      </w:pPr>
      <w:r>
        <w:rPr>
          <w:rFonts w:ascii="Times New Roman" w:cs="Times New Roman" w:eastAsia="Times New Roman" w:hAnsi="Times New Roman"/>
          <w:sz w:val="19"/>
          <w:szCs w:val="19"/>
          <w:color w:val="auto"/>
        </w:rPr>
        <w:t>IOI.INS</w:t>
      </w:r>
      <w:r>
        <w:rPr>
          <w:sz w:val="20"/>
          <w:szCs w:val="20"/>
          <w:color w:val="auto"/>
        </w:rPr>
        <w:tab/>
      </w:r>
      <w:r>
        <w:rPr>
          <w:rFonts w:ascii="Times New Roman" w:cs="Times New Roman" w:eastAsia="Times New Roman" w:hAnsi="Times New Roman"/>
          <w:sz w:val="19"/>
          <w:szCs w:val="19"/>
          <w:color w:val="auto"/>
        </w:rPr>
        <w:t>In line XBRL Instance Document-the instance document does not appear in the Interactive Data</w:t>
      </w:r>
    </w:p>
    <w:p>
      <w:pPr>
        <w:spacing w:after="0" w:line="29"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9"/>
          <w:szCs w:val="19"/>
          <w:color w:val="auto"/>
        </w:rPr>
        <w:t>File because its XBRL tags are embedded within the lnline XBRL document</w:t>
      </w:r>
    </w:p>
    <w:p>
      <w:pPr>
        <w:spacing w:after="0" w:line="134" w:lineRule="exact"/>
        <w:rPr>
          <w:sz w:val="20"/>
          <w:szCs w:val="20"/>
          <w:color w:val="auto"/>
        </w:rPr>
      </w:pPr>
    </w:p>
    <w:p>
      <w:pPr>
        <w:ind w:left="160"/>
        <w:spacing w:after="0"/>
        <w:tabs>
          <w:tab w:leader="none" w:pos="1240" w:val="left"/>
        </w:tabs>
        <w:rPr>
          <w:sz w:val="20"/>
          <w:szCs w:val="20"/>
          <w:color w:val="auto"/>
        </w:rPr>
      </w:pPr>
      <w:r>
        <w:rPr>
          <w:rFonts w:ascii="Times New Roman" w:cs="Times New Roman" w:eastAsia="Times New Roman" w:hAnsi="Times New Roman"/>
          <w:sz w:val="19"/>
          <w:szCs w:val="19"/>
          <w:color w:val="auto"/>
        </w:rPr>
        <w:t>IOl.SCH</w:t>
      </w:r>
      <w:r>
        <w:rPr>
          <w:sz w:val="20"/>
          <w:szCs w:val="20"/>
          <w:color w:val="auto"/>
        </w:rPr>
        <w:tab/>
      </w:r>
      <w:r>
        <w:rPr>
          <w:rFonts w:ascii="Times New Roman" w:cs="Times New Roman" w:eastAsia="Times New Roman" w:hAnsi="Times New Roman"/>
          <w:sz w:val="19"/>
          <w:szCs w:val="19"/>
          <w:color w:val="auto"/>
        </w:rPr>
        <w:t>In line XBRL Taxonomy Extension Schema Document</w:t>
      </w:r>
    </w:p>
    <w:p>
      <w:pPr>
        <w:spacing w:after="0" w:line="144"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9"/>
          <w:szCs w:val="19"/>
          <w:color w:val="auto"/>
        </w:rPr>
        <w:t>lOl.CAL</w:t>
      </w:r>
      <w:r>
        <w:rPr>
          <w:sz w:val="20"/>
          <w:szCs w:val="20"/>
          <w:color w:val="auto"/>
        </w:rPr>
        <w:tab/>
      </w:r>
      <w:r>
        <w:rPr>
          <w:rFonts w:ascii="Times New Roman" w:cs="Times New Roman" w:eastAsia="Times New Roman" w:hAnsi="Times New Roman"/>
          <w:sz w:val="19"/>
          <w:szCs w:val="19"/>
          <w:color w:val="auto"/>
        </w:rPr>
        <w:t>Inline XBRL Taxonomy Extension Calculation Lin.kbase Document</w:t>
      </w:r>
    </w:p>
    <w:p>
      <w:pPr>
        <w:spacing w:after="0" w:line="144"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9"/>
          <w:szCs w:val="19"/>
          <w:color w:val="auto"/>
        </w:rPr>
        <w:t>lOl.DEF</w:t>
      </w:r>
      <w:r>
        <w:rPr>
          <w:sz w:val="20"/>
          <w:szCs w:val="20"/>
          <w:color w:val="auto"/>
        </w:rPr>
        <w:tab/>
      </w:r>
      <w:r>
        <w:rPr>
          <w:rFonts w:ascii="Times New Roman" w:cs="Times New Roman" w:eastAsia="Times New Roman" w:hAnsi="Times New Roman"/>
          <w:sz w:val="19"/>
          <w:szCs w:val="19"/>
          <w:color w:val="auto"/>
        </w:rPr>
        <w:t>lnline XBRL Taxonomy Extension Definition Linkbase Document</w:t>
      </w:r>
    </w:p>
    <w:p>
      <w:pPr>
        <w:spacing w:after="0" w:line="144" w:lineRule="exact"/>
        <w:rPr>
          <w:sz w:val="20"/>
          <w:szCs w:val="20"/>
          <w:color w:val="auto"/>
        </w:rPr>
      </w:pPr>
    </w:p>
    <w:p>
      <w:pPr>
        <w:ind w:left="140"/>
        <w:spacing w:after="0"/>
        <w:tabs>
          <w:tab w:leader="none" w:pos="1240" w:val="left"/>
        </w:tabs>
        <w:rPr>
          <w:sz w:val="20"/>
          <w:szCs w:val="20"/>
          <w:color w:val="auto"/>
        </w:rPr>
      </w:pPr>
      <w:r>
        <w:rPr>
          <w:rFonts w:ascii="Times New Roman" w:cs="Times New Roman" w:eastAsia="Times New Roman" w:hAnsi="Times New Roman"/>
          <w:sz w:val="19"/>
          <w:szCs w:val="19"/>
          <w:color w:val="auto"/>
        </w:rPr>
        <w:t>lOl.LAB</w:t>
      </w:r>
      <w:r>
        <w:rPr>
          <w:sz w:val="20"/>
          <w:szCs w:val="20"/>
          <w:color w:val="auto"/>
        </w:rPr>
        <w:tab/>
      </w:r>
      <w:r>
        <w:rPr>
          <w:rFonts w:ascii="Times New Roman" w:cs="Times New Roman" w:eastAsia="Times New Roman" w:hAnsi="Times New Roman"/>
          <w:sz w:val="19"/>
          <w:szCs w:val="19"/>
          <w:color w:val="auto"/>
        </w:rPr>
        <w:t>Inline XBRL Taxonomy Extension Label Linkbase Document</w:t>
      </w:r>
    </w:p>
    <w:p>
      <w:pPr>
        <w:spacing w:after="0" w:line="134" w:lineRule="exact"/>
        <w:rPr>
          <w:sz w:val="20"/>
          <w:szCs w:val="20"/>
          <w:color w:val="auto"/>
        </w:rPr>
      </w:pPr>
    </w:p>
    <w:p>
      <w:pPr>
        <w:ind w:left="160"/>
        <w:spacing w:after="0"/>
        <w:tabs>
          <w:tab w:leader="none" w:pos="1240" w:val="left"/>
        </w:tabs>
        <w:rPr>
          <w:sz w:val="20"/>
          <w:szCs w:val="20"/>
          <w:color w:val="auto"/>
        </w:rPr>
      </w:pPr>
      <w:r>
        <w:rPr>
          <w:rFonts w:ascii="Times New Roman" w:cs="Times New Roman" w:eastAsia="Times New Roman" w:hAnsi="Times New Roman"/>
          <w:sz w:val="19"/>
          <w:szCs w:val="19"/>
          <w:color w:val="auto"/>
        </w:rPr>
        <w:t>IOI.PRE</w:t>
      </w:r>
      <w:r>
        <w:rPr>
          <w:sz w:val="20"/>
          <w:szCs w:val="20"/>
          <w:color w:val="auto"/>
        </w:rPr>
        <w:tab/>
      </w:r>
      <w:r>
        <w:rPr>
          <w:rFonts w:ascii="Times New Roman" w:cs="Times New Roman" w:eastAsia="Times New Roman" w:hAnsi="Times New Roman"/>
          <w:sz w:val="19"/>
          <w:szCs w:val="19"/>
          <w:color w:val="auto"/>
        </w:rPr>
        <w:t>In line XBRL Taxonomy Extension Presentation Linkbase Document</w:t>
      </w:r>
    </w:p>
    <w:p>
      <w:pPr>
        <w:spacing w:after="0" w:line="144" w:lineRule="exact"/>
        <w:rPr>
          <w:sz w:val="20"/>
          <w:szCs w:val="20"/>
          <w:color w:val="auto"/>
        </w:rPr>
      </w:pPr>
    </w:p>
    <w:p>
      <w:pPr>
        <w:ind w:left="1260" w:hanging="1114"/>
        <w:spacing w:after="0"/>
        <w:tabs>
          <w:tab w:leader="none" w:pos="1260" w:val="left"/>
        </w:tabs>
        <w:numPr>
          <w:ilvl w:val="2"/>
          <w:numId w:val="6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Cover Page Interactive Data File, formatted in In line XBRL and included as Exhibit 10 I</w:t>
      </w:r>
    </w:p>
    <w:p>
      <w:pPr>
        <w:spacing w:after="0" w:line="317" w:lineRule="exact"/>
        <w:rPr>
          <w:rFonts w:ascii="Times New Roman" w:cs="Times New Roman" w:eastAsia="Times New Roman" w:hAnsi="Times New Roman"/>
          <w:sz w:val="19"/>
          <w:szCs w:val="19"/>
          <w:color w:val="auto"/>
        </w:rPr>
      </w:pPr>
    </w:p>
    <w:p>
      <w:pPr>
        <w:ind w:left="440" w:right="105" w:hanging="318"/>
        <w:spacing w:after="0" w:line="208" w:lineRule="auto"/>
        <w:tabs>
          <w:tab w:leader="none" w:pos="434" w:val="left"/>
        </w:tabs>
        <w:numPr>
          <w:ilvl w:val="1"/>
          <w:numId w:val="63"/>
        </w:numPr>
        <w:rPr>
          <w:rFonts w:ascii="Arial" w:cs="Arial" w:eastAsia="Arial" w:hAnsi="Arial"/>
          <w:sz w:val="36"/>
          <w:szCs w:val="36"/>
          <w:color w:val="auto"/>
          <w:vertAlign w:val="subscript"/>
        </w:rPr>
      </w:pPr>
      <w:r>
        <w:rPr>
          <w:rFonts w:ascii="Arial" w:cs="Arial" w:eastAsia="Arial" w:hAnsi="Arial"/>
          <w:sz w:val="13"/>
          <w:szCs w:val="13"/>
          <w:color w:val="auto"/>
        </w:rPr>
        <w:t>A management contract or compensatory plan or arrangement required to be included as an exhibit hereto pursuant to Item 15(b) of Form 10-K.</w:t>
      </w:r>
    </w:p>
    <w:p>
      <w:pPr>
        <w:spacing w:after="0" w:line="51" w:lineRule="exact"/>
        <w:rPr>
          <w:rFonts w:ascii="Arial" w:cs="Arial" w:eastAsia="Arial" w:hAnsi="Arial"/>
          <w:sz w:val="36"/>
          <w:szCs w:val="36"/>
          <w:color w:val="auto"/>
          <w:vertAlign w:val="subscript"/>
        </w:rPr>
      </w:pPr>
    </w:p>
    <w:p>
      <w:pPr>
        <w:ind w:left="440" w:right="125" w:hanging="318"/>
        <w:spacing w:after="0" w:line="208" w:lineRule="auto"/>
        <w:tabs>
          <w:tab w:leader="none" w:pos="439" w:val="left"/>
        </w:tabs>
        <w:numPr>
          <w:ilvl w:val="1"/>
          <w:numId w:val="64"/>
        </w:numPr>
        <w:rPr>
          <w:rFonts w:ascii="Arial" w:cs="Arial" w:eastAsia="Arial" w:hAnsi="Arial"/>
          <w:sz w:val="21"/>
          <w:szCs w:val="21"/>
          <w:color w:val="auto"/>
        </w:rPr>
      </w:pPr>
      <w:r>
        <w:rPr>
          <w:rFonts w:ascii="Arial" w:cs="Arial" w:eastAsia="Arial" w:hAnsi="Arial"/>
          <w:sz w:val="14"/>
          <w:szCs w:val="14"/>
          <w:color w:val="auto"/>
        </w:rPr>
        <w:t xml:space="preserve">Graham Holdings Company hereby undertakes to furn ish supplementally a copy of any omitted e.xhibit or schedule </w:t>
      </w:r>
      <w:r>
        <w:rPr>
          <w:rFonts w:ascii="Arial" w:cs="Arial" w:eastAsia="Arial" w:hAnsi="Arial"/>
          <w:sz w:val="11"/>
          <w:szCs w:val="11"/>
          <w:color w:val="auto"/>
        </w:rPr>
        <w:t>10</w:t>
      </w:r>
      <w:r>
        <w:rPr>
          <w:rFonts w:ascii="Arial" w:cs="Arial" w:eastAsia="Arial" w:hAnsi="Arial"/>
          <w:sz w:val="14"/>
          <w:szCs w:val="14"/>
          <w:color w:val="auto"/>
        </w:rPr>
        <w:t xml:space="preserve"> such agreement </w:t>
      </w:r>
      <w:r>
        <w:rPr>
          <w:rFonts w:ascii="Arial" w:cs="Arial" w:eastAsia="Arial" w:hAnsi="Arial"/>
          <w:sz w:val="11"/>
          <w:szCs w:val="11"/>
          <w:color w:val="auto"/>
        </w:rPr>
        <w:t>10</w:t>
      </w:r>
      <w:r>
        <w:rPr>
          <w:rFonts w:ascii="Arial" w:cs="Arial" w:eastAsia="Arial" w:hAnsi="Arial"/>
          <w:sz w:val="14"/>
          <w:szCs w:val="14"/>
          <w:color w:val="auto"/>
        </w:rPr>
        <w:t xml:space="preserve"> the SEC upon request.</w:t>
      </w:r>
    </w:p>
    <w:p>
      <w:pPr>
        <w:spacing w:after="0" w:line="32" w:lineRule="exact"/>
        <w:rPr>
          <w:rFonts w:ascii="Arial" w:cs="Arial" w:eastAsia="Arial" w:hAnsi="Arial"/>
          <w:sz w:val="21"/>
          <w:szCs w:val="21"/>
          <w:color w:val="auto"/>
        </w:rPr>
      </w:pPr>
    </w:p>
    <w:p>
      <w:pPr>
        <w:ind w:left="440" w:right="125" w:hanging="326"/>
        <w:spacing w:after="0" w:line="266" w:lineRule="auto"/>
        <w:tabs>
          <w:tab w:leader="none" w:pos="440" w:val="left"/>
        </w:tabs>
        <w:numPr>
          <w:ilvl w:val="0"/>
          <w:numId w:val="64"/>
        </w:numPr>
        <w:rPr>
          <w:rFonts w:ascii="Times New Roman" w:cs="Times New Roman" w:eastAsia="Times New Roman" w:hAnsi="Times New Roman"/>
          <w:sz w:val="14"/>
          <w:szCs w:val="14"/>
          <w:color w:val="auto"/>
        </w:rPr>
      </w:pPr>
      <w:r>
        <w:rPr>
          <w:rFonts w:ascii="Arial" w:cs="Arial" w:eastAsia="Arial" w:hAnsi="Arial"/>
          <w:sz w:val="14"/>
          <w:szCs w:val="14"/>
          <w:color w:val="auto"/>
        </w:rPr>
        <w:t>Select portions of this exhibit have been omiued pursuant to a request for confidential treatment and have been filed separately with the SEC.</w:t>
      </w:r>
    </w:p>
    <w:p>
      <w:pPr>
        <w:sectPr>
          <w:pgSz w:w="12240" w:h="15850" w:orient="portrait"/>
          <w:cols w:equalWidth="0" w:num="1">
            <w:col w:w="9365"/>
          </w:cols>
          <w:pgMar w:left="1440" w:top="1328"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60</w:t>
        <w:tab/>
        <w:t>2024 FORM 10-</w:t>
      </w:r>
      <w:r>
        <w:rPr>
          <w:rFonts w:ascii="Arial" w:cs="Arial" w:eastAsia="Arial" w:hAnsi="Arial"/>
          <w:sz w:val="18"/>
          <w:szCs w:val="18"/>
          <w:color w:val="auto"/>
        </w:rPr>
        <w:t>K</w:t>
      </w:r>
    </w:p>
    <w:p>
      <w:pPr>
        <w:sectPr>
          <w:pgSz w:w="12240" w:h="15850" w:orient="portrait"/>
          <w:cols w:equalWidth="0" w:num="1">
            <w:col w:w="9365"/>
          </w:cols>
          <w:pgMar w:left="1440" w:top="1328" w:right="1440" w:bottom="719" w:gutter="0" w:footer="0" w:header="0"/>
          <w:type w:val="continuous"/>
        </w:sectPr>
      </w:pPr>
    </w:p>
    <w:bookmarkStart w:id="76" w:name="page77"/>
    <w:bookmarkEnd w:id="76"/>
    <w:p>
      <w:pPr>
        <w:jc w:val="center"/>
        <w:ind w:right="5"/>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SIGNATURES</w:t>
      </w:r>
    </w:p>
    <w:p>
      <w:pPr>
        <w:spacing w:after="0" w:line="277" w:lineRule="exact"/>
        <w:rPr>
          <w:sz w:val="20"/>
          <w:szCs w:val="20"/>
          <w:color w:val="auto"/>
        </w:rPr>
      </w:pPr>
    </w:p>
    <w:p>
      <w:pPr>
        <w:jc w:val="both"/>
        <w:ind w:left="120" w:right="125" w:firstLine="10"/>
        <w:spacing w:after="0" w:line="286" w:lineRule="auto"/>
        <w:rPr>
          <w:sz w:val="20"/>
          <w:szCs w:val="20"/>
          <w:color w:val="auto"/>
        </w:rPr>
      </w:pPr>
      <w:r>
        <w:rPr>
          <w:rFonts w:ascii="Times New Roman" w:cs="Times New Roman" w:eastAsia="Times New Roman" w:hAnsi="Times New Roman"/>
          <w:sz w:val="18"/>
          <w:szCs w:val="18"/>
          <w:color w:val="auto"/>
        </w:rPr>
        <w:t>Pursuant to the requiremems of Section 13 or 15(d) of the Securities Exchange Act of 1934, the Registrant has duly caused this report to be signed on its behalf by the undersigned, thereunto dlllly authorized, on February 26, 2025.</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color w:val="auto"/>
        </w:rPr>
        <w:t>GRAHAM HOLDINGS COMPANY</w:t>
      </w:r>
    </w:p>
    <w:p>
      <w:pPr>
        <w:spacing w:after="0" w:line="31" w:lineRule="exact"/>
        <w:rPr>
          <w:sz w:val="20"/>
          <w:szCs w:val="20"/>
          <w:color w:val="auto"/>
        </w:rPr>
      </w:pPr>
    </w:p>
    <w:p>
      <w:pPr>
        <w:jc w:val="cente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13" w:lineRule="exact"/>
        <w:rPr>
          <w:sz w:val="20"/>
          <w:szCs w:val="20"/>
          <w:color w:val="auto"/>
        </w:rPr>
      </w:pPr>
    </w:p>
    <w:p>
      <w:pPr>
        <w:ind w:left="4920"/>
        <w:spacing w:after="0"/>
        <w:tabs>
          <w:tab w:leader="none" w:pos="6000" w:val="left"/>
          <w:tab w:leader="none" w:pos="64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_s</w:t>
      </w:r>
      <w:r>
        <w:rPr>
          <w:rFonts w:ascii="Times New Roman" w:cs="Times New Roman" w:eastAsia="Times New Roman" w:hAnsi="Times New Roman"/>
          <w:sz w:val="20"/>
          <w:szCs w:val="20"/>
          <w:u w:val="single" w:color="auto"/>
          <w:color w:val="auto"/>
        </w:rPr>
        <w:t>i</w:t>
      </w:r>
      <w:r>
        <w:rPr>
          <w:sz w:val="20"/>
          <w:szCs w:val="20"/>
          <w:color w:val="auto"/>
        </w:rPr>
        <w:tab/>
      </w:r>
      <w:r>
        <w:rPr>
          <w:rFonts w:ascii="Times New Roman" w:cs="Times New Roman" w:eastAsia="Times New Roman" w:hAnsi="Times New Roman"/>
          <w:sz w:val="17"/>
          <w:szCs w:val="17"/>
          <w:color w:val="auto"/>
        </w:rPr>
        <w:t>W__</w:t>
      </w:r>
      <w:r>
        <w:rPr>
          <w:rFonts w:ascii="Arial" w:cs="Arial" w:eastAsia="Arial" w:hAnsi="Arial"/>
          <w:sz w:val="14"/>
          <w:szCs w:val="14"/>
          <w:color w:val="auto"/>
        </w:rPr>
        <w:t>aU_a_c_e_R_._C_o_o_ne~y~--------­</w:t>
      </w:r>
    </w:p>
    <w:p>
      <w:pPr>
        <w:spacing w:after="0" w:line="75"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Waliace R. Cooney</w:t>
      </w:r>
    </w:p>
    <w:p>
      <w:pPr>
        <w:spacing w:after="0" w:line="3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92" w:lineRule="exact"/>
        <w:rPr>
          <w:sz w:val="20"/>
          <w:szCs w:val="20"/>
          <w:color w:val="auto"/>
        </w:rPr>
      </w:pPr>
    </w:p>
    <w:p>
      <w:pPr>
        <w:jc w:val="both"/>
        <w:ind w:left="120" w:right="125" w:firstLine="11"/>
        <w:spacing w:after="0" w:line="27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on February 26, 2025:</w:t>
      </w:r>
    </w:p>
    <w:p>
      <w:pPr>
        <w:spacing w:after="0" w:line="200" w:lineRule="exact"/>
        <w:rPr>
          <w:sz w:val="20"/>
          <w:szCs w:val="20"/>
          <w:color w:val="auto"/>
        </w:rPr>
      </w:pPr>
    </w:p>
    <w:p>
      <w:pPr>
        <w:spacing w:after="0" w:line="272" w:lineRule="exact"/>
        <w:rPr>
          <w:sz w:val="20"/>
          <w:szCs w:val="20"/>
          <w:color w:val="auto"/>
        </w:rPr>
      </w:pPr>
    </w:p>
    <w:tbl>
      <w:tblPr>
        <w:tblLayout w:type="fixed"/>
        <w:tblInd w:w="1300" w:type="dxa"/>
        <w:tblCellMar>
          <w:top w:w="0" w:type="dxa"/>
          <w:left w:w="0" w:type="dxa"/>
          <w:bottom w:w="0" w:type="dxa"/>
          <w:right w:w="0" w:type="dxa"/>
        </w:tblCellMar>
      </w:tblPr>
      <w:tr>
        <w:trPr>
          <w:trHeight w:val="230"/>
        </w:trPr>
        <w:tc>
          <w:tcPr>
            <w:tcW w:w="4120" w:type="dxa"/>
            <w:vAlign w:val="bottom"/>
          </w:tcPr>
          <w:p>
            <w:pPr>
              <w:jc w:val="center"/>
              <w:ind w:right="1828"/>
              <w:spacing w:after="0"/>
              <w:rPr>
                <w:sz w:val="20"/>
                <w:szCs w:val="20"/>
                <w:color w:val="auto"/>
              </w:rPr>
            </w:pPr>
            <w:r>
              <w:rPr>
                <w:rFonts w:ascii="Times New Roman" w:cs="Times New Roman" w:eastAsia="Times New Roman" w:hAnsi="Times New Roman"/>
                <w:sz w:val="18"/>
                <w:szCs w:val="18"/>
                <w:color w:val="auto"/>
              </w:rPr>
              <w:t xml:space="preserve">Timothy </w:t>
            </w:r>
            <w:r>
              <w:rPr>
                <w:rFonts w:ascii="Times New Roman" w:cs="Times New Roman" w:eastAsia="Times New Roman" w:hAnsi="Times New Roman"/>
                <w:sz w:val="20"/>
                <w:szCs w:val="20"/>
                <w:color w:val="auto"/>
              </w:rPr>
              <w:t>J.</w:t>
            </w:r>
            <w:r>
              <w:rPr>
                <w:rFonts w:ascii="Times New Roman" w:cs="Times New Roman" w:eastAsia="Times New Roman" w:hAnsi="Times New Roman"/>
                <w:sz w:val="18"/>
                <w:szCs w:val="18"/>
                <w:color w:val="auto"/>
              </w:rPr>
              <w:t xml:space="preserve"> O'Shaughnessy</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President, Chief Executi ve Officer</w:t>
            </w:r>
          </w:p>
        </w:tc>
      </w:tr>
      <w:tr>
        <w:trPr>
          <w:trHeight w:val="234"/>
        </w:trPr>
        <w:tc>
          <w:tcPr>
            <w:tcW w:w="4120" w:type="dxa"/>
            <w:vAlign w:val="bottom"/>
          </w:tcPr>
          <w:p>
            <w:pPr>
              <w:spacing w:after="0"/>
              <w:rPr>
                <w:sz w:val="20"/>
                <w:szCs w:val="20"/>
                <w:color w:val="auto"/>
              </w:rPr>
            </w:pPr>
          </w:p>
        </w:tc>
        <w:tc>
          <w:tcPr>
            <w:tcW w:w="306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(Principal Executive Officer) and</w:t>
            </w:r>
          </w:p>
        </w:tc>
      </w:tr>
      <w:tr>
        <w:trPr>
          <w:trHeight w:val="248"/>
        </w:trPr>
        <w:tc>
          <w:tcPr>
            <w:tcW w:w="4120" w:type="dxa"/>
            <w:vAlign w:val="bottom"/>
          </w:tcPr>
          <w:p>
            <w:pPr>
              <w:spacing w:after="0"/>
              <w:rPr>
                <w:sz w:val="21"/>
                <w:szCs w:val="21"/>
                <w:color w:val="auto"/>
              </w:rPr>
            </w:pP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4120" w:type="dxa"/>
            <w:vAlign w:val="bottom"/>
          </w:tcPr>
          <w:p>
            <w:pPr>
              <w:jc w:val="center"/>
              <w:ind w:right="1828"/>
              <w:spacing w:after="0"/>
              <w:rPr>
                <w:sz w:val="20"/>
                <w:szCs w:val="20"/>
                <w:color w:val="auto"/>
              </w:rPr>
            </w:pPr>
            <w:r>
              <w:rPr>
                <w:rFonts w:ascii="Times New Roman" w:cs="Times New Roman" w:eastAsia="Times New Roman" w:hAnsi="Times New Roman"/>
                <w:sz w:val="18"/>
                <w:szCs w:val="18"/>
                <w:color w:val="auto"/>
              </w:rPr>
              <w:t>Wallace R. Cooney</w:t>
            </w:r>
          </w:p>
        </w:tc>
        <w:tc>
          <w:tcPr>
            <w:tcW w:w="306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8"/>
        </w:trPr>
        <w:tc>
          <w:tcPr>
            <w:tcW w:w="4120" w:type="dxa"/>
            <w:vAlign w:val="bottom"/>
          </w:tcPr>
          <w:p>
            <w:pPr>
              <w:spacing w:after="0"/>
              <w:rPr>
                <w:sz w:val="20"/>
                <w:szCs w:val="20"/>
                <w:color w:val="auto"/>
              </w:rPr>
            </w:pPr>
          </w:p>
        </w:tc>
        <w:tc>
          <w:tcPr>
            <w:tcW w:w="306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496"/>
        </w:trPr>
        <w:tc>
          <w:tcPr>
            <w:tcW w:w="4120" w:type="dxa"/>
            <w:vAlign w:val="bottom"/>
          </w:tcPr>
          <w:p>
            <w:pPr>
              <w:jc w:val="center"/>
              <w:ind w:right="1828"/>
              <w:spacing w:after="0"/>
              <w:rPr>
                <w:sz w:val="20"/>
                <w:szCs w:val="20"/>
                <w:color w:val="auto"/>
              </w:rPr>
            </w:pPr>
            <w:r>
              <w:rPr>
                <w:rFonts w:ascii="Times New Roman" w:cs="Times New Roman" w:eastAsia="Times New Roman" w:hAnsi="Times New Roman"/>
                <w:sz w:val="18"/>
                <w:szCs w:val="18"/>
                <w:color w:val="auto"/>
              </w:rPr>
              <w:t>Marcel A. Snyman</w:t>
            </w:r>
          </w:p>
        </w:tc>
        <w:tc>
          <w:tcPr>
            <w:tcW w:w="306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Principal Accounting Officer</w:t>
            </w:r>
          </w:p>
        </w:tc>
      </w:tr>
      <w:tr>
        <w:trPr>
          <w:trHeight w:val="496"/>
        </w:trPr>
        <w:tc>
          <w:tcPr>
            <w:tcW w:w="4120" w:type="dxa"/>
            <w:vAlign w:val="bottom"/>
          </w:tcPr>
          <w:p>
            <w:pPr>
              <w:jc w:val="center"/>
              <w:ind w:right="1848"/>
              <w:spacing w:after="0"/>
              <w:rPr>
                <w:sz w:val="20"/>
                <w:szCs w:val="20"/>
                <w:color w:val="auto"/>
              </w:rPr>
            </w:pPr>
            <w:r>
              <w:rPr>
                <w:rFonts w:ascii="Times New Roman" w:cs="Times New Roman" w:eastAsia="Times New Roman" w:hAnsi="Times New Roman"/>
                <w:sz w:val="18"/>
                <w:szCs w:val="18"/>
                <w:color w:val="auto"/>
              </w:rPr>
              <w:t>Anne M. Mulcahy</w:t>
            </w:r>
          </w:p>
        </w:tc>
        <w:tc>
          <w:tcPr>
            <w:tcW w:w="306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Chair of the Board</w:t>
            </w:r>
          </w:p>
        </w:tc>
      </w:tr>
      <w:tr>
        <w:trPr>
          <w:trHeight w:val="477"/>
        </w:trPr>
        <w:tc>
          <w:tcPr>
            <w:tcW w:w="4120" w:type="dxa"/>
            <w:vAlign w:val="bottom"/>
          </w:tcPr>
          <w:p>
            <w:pPr>
              <w:jc w:val="center"/>
              <w:ind w:right="1848"/>
              <w:spacing w:after="0"/>
              <w:rPr>
                <w:sz w:val="20"/>
                <w:szCs w:val="20"/>
                <w:color w:val="auto"/>
              </w:rPr>
            </w:pPr>
            <w:r>
              <w:rPr>
                <w:rFonts w:ascii="Times New Roman" w:cs="Times New Roman" w:eastAsia="Times New Roman" w:hAnsi="Times New Roman"/>
                <w:sz w:val="18"/>
                <w:szCs w:val="18"/>
                <w:color w:val="auto"/>
              </w:rPr>
              <w:t>Donald E. Graham</w:t>
            </w:r>
          </w:p>
        </w:tc>
        <w:tc>
          <w:tcPr>
            <w:tcW w:w="3060" w:type="dxa"/>
            <w:vAlign w:val="bottom"/>
          </w:tcPr>
          <w:p>
            <w:pPr>
              <w:jc w:val="center"/>
              <w:ind w:left="173"/>
              <w:spacing w:after="0"/>
              <w:rPr>
                <w:sz w:val="20"/>
                <w:szCs w:val="20"/>
                <w:color w:val="auto"/>
              </w:rPr>
            </w:pPr>
            <w:r>
              <w:rPr>
                <w:rFonts w:ascii="Times New Roman" w:cs="Times New Roman" w:eastAsia="Times New Roman" w:hAnsi="Times New Roman"/>
                <w:sz w:val="18"/>
                <w:szCs w:val="18"/>
                <w:color w:val="auto"/>
              </w:rPr>
              <w:t>Chairman Emeritus</w:t>
            </w:r>
          </w:p>
        </w:tc>
      </w:tr>
      <w:tr>
        <w:trPr>
          <w:trHeight w:val="496"/>
        </w:trPr>
        <w:tc>
          <w:tcPr>
            <w:tcW w:w="4120" w:type="dxa"/>
            <w:vAlign w:val="bottom"/>
          </w:tcPr>
          <w:p>
            <w:pPr>
              <w:jc w:val="center"/>
              <w:ind w:right="1868"/>
              <w:spacing w:after="0"/>
              <w:rPr>
                <w:sz w:val="20"/>
                <w:szCs w:val="20"/>
                <w:color w:val="auto"/>
              </w:rPr>
            </w:pPr>
            <w:r>
              <w:rPr>
                <w:rFonts w:ascii="Times New Roman" w:cs="Times New Roman" w:eastAsia="Times New Roman" w:hAnsi="Times New Roman"/>
                <w:sz w:val="18"/>
                <w:szCs w:val="18"/>
                <w:color w:val="auto"/>
              </w:rPr>
              <w:t>Tony Allen</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4120" w:type="dxa"/>
            <w:vAlign w:val="bottom"/>
          </w:tcPr>
          <w:p>
            <w:pPr>
              <w:jc w:val="center"/>
              <w:ind w:right="1828"/>
              <w:spacing w:after="0"/>
              <w:rPr>
                <w:sz w:val="20"/>
                <w:szCs w:val="20"/>
                <w:color w:val="auto"/>
              </w:rPr>
            </w:pPr>
            <w:r>
              <w:rPr>
                <w:rFonts w:ascii="Times New Roman" w:cs="Times New Roman" w:eastAsia="Times New Roman" w:hAnsi="Times New Roman"/>
                <w:sz w:val="18"/>
                <w:szCs w:val="18"/>
                <w:color w:val="auto"/>
              </w:rPr>
              <w:t>Danie lle Conley</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Director</w:t>
            </w:r>
          </w:p>
        </w:tc>
      </w:tr>
      <w:tr>
        <w:trPr>
          <w:trHeight w:val="496"/>
        </w:trPr>
        <w:tc>
          <w:tcPr>
            <w:tcW w:w="4120" w:type="dxa"/>
            <w:vAlign w:val="bottom"/>
          </w:tcPr>
          <w:p>
            <w:pPr>
              <w:jc w:val="center"/>
              <w:ind w:right="1848"/>
              <w:spacing w:after="0"/>
              <w:rPr>
                <w:sz w:val="20"/>
                <w:szCs w:val="20"/>
                <w:color w:val="auto"/>
              </w:rPr>
            </w:pPr>
            <w:r>
              <w:rPr>
                <w:rFonts w:ascii="Times New Roman" w:cs="Times New Roman" w:eastAsia="Times New Roman" w:hAnsi="Times New Roman"/>
                <w:sz w:val="18"/>
                <w:szCs w:val="18"/>
                <w:color w:val="auto"/>
              </w:rPr>
              <w:t>Christopher C. Davis</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4120" w:type="dxa"/>
            <w:vAlign w:val="bottom"/>
          </w:tcPr>
          <w:p>
            <w:pPr>
              <w:jc w:val="center"/>
              <w:ind w:right="1848"/>
              <w:spacing w:after="0"/>
              <w:rPr>
                <w:sz w:val="20"/>
                <w:szCs w:val="20"/>
                <w:color w:val="auto"/>
              </w:rPr>
            </w:pPr>
            <w:r>
              <w:rPr>
                <w:rFonts w:ascii="Times New Roman" w:cs="Times New Roman" w:eastAsia="Times New Roman" w:hAnsi="Times New Roman"/>
                <w:sz w:val="18"/>
                <w:szCs w:val="18"/>
                <w:color w:val="auto"/>
              </w:rPr>
              <w:t>Thomas S. Gayner</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Director</w:t>
            </w:r>
          </w:p>
        </w:tc>
      </w:tr>
      <w:tr>
        <w:trPr>
          <w:trHeight w:val="486"/>
        </w:trPr>
        <w:tc>
          <w:tcPr>
            <w:tcW w:w="4120" w:type="dxa"/>
            <w:vAlign w:val="bottom"/>
          </w:tcPr>
          <w:p>
            <w:pPr>
              <w:jc w:val="center"/>
              <w:ind w:right="1828"/>
              <w:spacing w:after="0"/>
              <w:rPr>
                <w:sz w:val="20"/>
                <w:szCs w:val="20"/>
                <w:color w:val="auto"/>
              </w:rPr>
            </w:pPr>
            <w:r>
              <w:rPr>
                <w:rFonts w:ascii="Times New Roman" w:cs="Times New Roman" w:eastAsia="Times New Roman" w:hAnsi="Times New Roman"/>
                <w:sz w:val="18"/>
                <w:szCs w:val="18"/>
                <w:color w:val="auto"/>
              </w:rPr>
              <w:t>G. Richard Wagoner, Jr.</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 irector</w:t>
            </w:r>
          </w:p>
        </w:tc>
      </w:tr>
      <w:tr>
        <w:trPr>
          <w:trHeight w:val="496"/>
        </w:trPr>
        <w:tc>
          <w:tcPr>
            <w:tcW w:w="4120" w:type="dxa"/>
            <w:vAlign w:val="bottom"/>
          </w:tcPr>
          <w:p>
            <w:pPr>
              <w:jc w:val="center"/>
              <w:ind w:right="1828"/>
              <w:spacing w:after="0"/>
              <w:rPr>
                <w:sz w:val="20"/>
                <w:szCs w:val="20"/>
                <w:color w:val="auto"/>
              </w:rPr>
            </w:pPr>
            <w:r>
              <w:rPr>
                <w:rFonts w:ascii="Times New Roman" w:cs="Times New Roman" w:eastAsia="Times New Roman" w:hAnsi="Times New Roman"/>
                <w:sz w:val="18"/>
                <w:szCs w:val="18"/>
                <w:color w:val="auto"/>
              </w:rPr>
              <w:t>Katharine Weymouth</w:t>
            </w:r>
          </w:p>
        </w:tc>
        <w:tc>
          <w:tcPr>
            <w:tcW w:w="306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rPr>
              <w:t>Director</w:t>
            </w:r>
          </w:p>
        </w:tc>
      </w:tr>
      <w:tr>
        <w:trPr>
          <w:trHeight w:val="496"/>
        </w:trPr>
        <w:tc>
          <w:tcPr>
            <w:tcW w:w="4120" w:type="dxa"/>
            <w:vAlign w:val="bottom"/>
          </w:tcPr>
          <w:p>
            <w:pPr>
              <w:ind w:left="3620"/>
              <w:spacing w:after="0"/>
              <w:rPr>
                <w:sz w:val="20"/>
                <w:szCs w:val="20"/>
                <w:color w:val="auto"/>
              </w:rPr>
            </w:pPr>
            <w:r>
              <w:rPr>
                <w:rFonts w:ascii="Times New Roman" w:cs="Times New Roman" w:eastAsia="Times New Roman" w:hAnsi="Times New Roman"/>
                <w:sz w:val="18"/>
                <w:szCs w:val="18"/>
                <w:color w:val="auto"/>
              </w:rPr>
              <w:t>By</w:t>
            </w:r>
          </w:p>
        </w:tc>
        <w:tc>
          <w:tcPr>
            <w:tcW w:w="3060" w:type="dxa"/>
            <w:vAlign w:val="bottom"/>
          </w:tcPr>
          <w:p>
            <w:pPr>
              <w:ind w:left="600"/>
              <w:spacing w:after="0"/>
              <w:rPr>
                <w:sz w:val="20"/>
                <w:szCs w:val="20"/>
                <w:color w:val="auto"/>
              </w:rPr>
            </w:pPr>
            <w:r>
              <w:rPr>
                <w:rFonts w:ascii="Arial" w:cs="Arial" w:eastAsia="Arial" w:hAnsi="Arial"/>
                <w:sz w:val="18"/>
                <w:szCs w:val="18"/>
                <w:i w:val="1"/>
                <w:iCs w:val="1"/>
                <w:color w:val="auto"/>
              </w:rPr>
              <w:t>Is!</w:t>
            </w:r>
            <w:r>
              <w:rPr>
                <w:rFonts w:ascii="Times New Roman" w:cs="Times New Roman" w:eastAsia="Times New Roman" w:hAnsi="Times New Roman"/>
                <w:sz w:val="18"/>
                <w:szCs w:val="18"/>
                <w:color w:val="auto"/>
              </w:rPr>
              <w:t>Wallace R. Cooney</w:t>
            </w:r>
          </w:p>
        </w:tc>
      </w:tr>
      <w:tr>
        <w:trPr>
          <w:trHeight w:val="296"/>
        </w:trPr>
        <w:tc>
          <w:tcPr>
            <w:tcW w:w="4120" w:type="dxa"/>
            <w:vAlign w:val="bottom"/>
          </w:tcPr>
          <w:p>
            <w:pPr>
              <w:spacing w:after="0"/>
              <w:rPr>
                <w:sz w:val="24"/>
                <w:szCs w:val="24"/>
                <w:color w:val="auto"/>
              </w:rPr>
            </w:pPr>
          </w:p>
        </w:tc>
        <w:tc>
          <w:tcPr>
            <w:tcW w:w="3060" w:type="dxa"/>
            <w:vAlign w:val="bottom"/>
          </w:tcPr>
          <w:p>
            <w:pPr>
              <w:jc w:val="center"/>
              <w:ind w:left="453"/>
              <w:spacing w:after="0"/>
              <w:rPr>
                <w:sz w:val="20"/>
                <w:szCs w:val="20"/>
                <w:color w:val="auto"/>
              </w:rPr>
            </w:pPr>
            <w:r>
              <w:rPr>
                <w:rFonts w:ascii="Times New Roman" w:cs="Times New Roman" w:eastAsia="Times New Roman" w:hAnsi="Times New Roman"/>
                <w:sz w:val="18"/>
                <w:szCs w:val="18"/>
                <w:color w:val="auto"/>
              </w:rPr>
              <w:t>Wallace R. Cooney</w:t>
            </w:r>
          </w:p>
        </w:tc>
      </w:tr>
      <w:tr>
        <w:trPr>
          <w:trHeight w:val="239"/>
        </w:trPr>
        <w:tc>
          <w:tcPr>
            <w:tcW w:w="4120" w:type="dxa"/>
            <w:vAlign w:val="bottom"/>
          </w:tcPr>
          <w:p>
            <w:pPr>
              <w:spacing w:after="0"/>
              <w:rPr>
                <w:sz w:val="20"/>
                <w:szCs w:val="20"/>
                <w:color w:val="auto"/>
              </w:rPr>
            </w:pPr>
          </w:p>
        </w:tc>
        <w:tc>
          <w:tcPr>
            <w:tcW w:w="3060" w:type="dxa"/>
            <w:vAlign w:val="bottom"/>
          </w:tcPr>
          <w:p>
            <w:pPr>
              <w:jc w:val="center"/>
              <w:ind w:left="473"/>
              <w:spacing w:after="0"/>
              <w:rPr>
                <w:sz w:val="20"/>
                <w:szCs w:val="20"/>
                <w:color w:val="auto"/>
              </w:rPr>
            </w:pPr>
            <w:r>
              <w:rPr>
                <w:rFonts w:ascii="Times New Roman" w:cs="Times New Roman" w:eastAsia="Times New Roman" w:hAnsi="Times New Roman"/>
                <w:sz w:val="18"/>
                <w:szCs w:val="18"/>
                <w:color w:val="auto"/>
              </w:rPr>
              <w:t>Attorney-in-Fact</w:t>
            </w:r>
          </w:p>
        </w:tc>
      </w:tr>
    </w:tbl>
    <w:p>
      <w:pPr>
        <w:spacing w:after="0" w:line="292" w:lineRule="exact"/>
        <w:rPr>
          <w:sz w:val="20"/>
          <w:szCs w:val="20"/>
          <w:color w:val="auto"/>
        </w:rPr>
      </w:pPr>
    </w:p>
    <w:p>
      <w:pPr>
        <w:jc w:val="both"/>
        <w:ind w:left="120" w:right="125" w:firstLine="10"/>
        <w:spacing w:after="0" w:line="279" w:lineRule="auto"/>
        <w:rPr>
          <w:sz w:val="20"/>
          <w:szCs w:val="20"/>
          <w:color w:val="auto"/>
        </w:rPr>
      </w:pPr>
      <w:r>
        <w:rPr>
          <w:rFonts w:ascii="Times New Roman" w:cs="Times New Roman" w:eastAsia="Times New Roman" w:hAnsi="Times New Roman"/>
          <w:sz w:val="18"/>
          <w:szCs w:val="18"/>
          <w:color w:val="auto"/>
        </w:rPr>
        <w:t>An original power of attorney authorizing Timothy J. O'Shaughnessy, Wallace R. Cooney and Nicole M. Maddrey, and each of them, to sign all reports required to be fi.led by the Regis trant pursuant to the Securities Exchange Act of 1934 on behalf of the above-named directors and officers has been filed with the Securities and Exchange Commission.</w:t>
      </w:r>
    </w:p>
    <w:p>
      <w:pPr>
        <w:sectPr>
          <w:pgSz w:w="12240" w:h="15850" w:orient="portrait"/>
          <w:cols w:equalWidth="0" w:num="1">
            <w:col w:w="9365"/>
          </w:cols>
          <w:pgMar w:left="1440" w:top="1356"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8"/>
          <w:szCs w:val="18"/>
          <w:color w:val="auto"/>
        </w:rPr>
        <w:t>GRAHAM HOLDINGS COMPANY</w:t>
        <w:tab/>
        <w:t>61</w:t>
      </w:r>
    </w:p>
    <w:p>
      <w:pPr>
        <w:sectPr>
          <w:pgSz w:w="12240" w:h="15850" w:orient="portrait"/>
          <w:cols w:equalWidth="0" w:num="1">
            <w:col w:w="9365"/>
          </w:cols>
          <w:pgMar w:left="1440" w:top="1356" w:right="1440" w:bottom="721" w:gutter="0" w:footer="0" w:header="0"/>
          <w:type w:val="continuous"/>
        </w:sectPr>
      </w:pPr>
    </w:p>
    <w:bookmarkStart w:id="77" w:name="page78"/>
    <w:bookmarkEnd w:id="77"/>
    <w:p>
      <w:pPr>
        <w:jc w:val="center"/>
        <w:ind w:right="5"/>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5">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INDEX TO FINANCIAL INFORMATION</w:t>
      </w:r>
    </w:p>
    <w:p>
      <w:pPr>
        <w:spacing w:after="0" w:line="200" w:lineRule="exact"/>
        <w:rPr>
          <w:sz w:val="20"/>
          <w:szCs w:val="20"/>
          <w:color w:val="auto"/>
        </w:rPr>
      </w:pPr>
    </w:p>
    <w:p>
      <w:pPr>
        <w:spacing w:after="0" w:line="28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GRAHAM HOLDINGS COMPANY</w:t>
      </w:r>
    </w:p>
    <w:p>
      <w:pPr>
        <w:spacing w:after="0" w:line="247"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Management's Discussion and Analysis of Results of Operations and F inancial Condition (Unaudited).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w:t>
            </w:r>
          </w:p>
        </w:tc>
      </w:tr>
      <w:tr>
        <w:trPr>
          <w:trHeight w:val="236"/>
        </w:trPr>
        <w:tc>
          <w:tcPr>
            <w:tcW w:w="8720" w:type="dxa"/>
            <w:vAlign w:val="bottom"/>
            <w:gridSpan w:val="3"/>
          </w:tcPr>
          <w:p>
            <w:pPr>
              <w:jc w:val="right"/>
              <w:ind w:right="6980"/>
              <w:spacing w:after="0"/>
              <w:rPr>
                <w:sz w:val="20"/>
                <w:szCs w:val="20"/>
                <w:color w:val="auto"/>
              </w:rPr>
            </w:pPr>
            <w:r>
              <w:rPr>
                <w:rFonts w:ascii="Times New Roman" w:cs="Times New Roman" w:eastAsia="Times New Roman" w:hAnsi="Times New Roman"/>
                <w:sz w:val="19"/>
                <w:szCs w:val="19"/>
                <w:color w:val="auto"/>
              </w:rPr>
              <w:t>Financial Statements:</w:t>
            </w:r>
          </w:p>
        </w:tc>
        <w:tc>
          <w:tcPr>
            <w:tcW w:w="400" w:type="dxa"/>
            <w:vAlign w:val="bottom"/>
          </w:tcPr>
          <w:p>
            <w:pPr>
              <w:spacing w:after="0"/>
              <w:rPr>
                <w:sz w:val="20"/>
                <w:szCs w:val="20"/>
                <w:color w:val="auto"/>
              </w:rPr>
            </w:pPr>
          </w:p>
        </w:tc>
      </w:tr>
      <w:tr>
        <w:trPr>
          <w:trHeight w:val="240"/>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Report of Independent Registered Public Accounting Firm (PCAOB </w:t>
            </w:r>
            <w:r>
              <w:rPr>
                <w:rFonts w:ascii="Times New Roman" w:cs="Times New Roman" w:eastAsia="Times New Roman" w:hAnsi="Times New Roman"/>
                <w:sz w:val="20"/>
                <w:szCs w:val="20"/>
                <w:color w:val="auto"/>
              </w:rPr>
              <w:t>lD 238)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85</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Consolidated State ments of Operations for the Three Years E nded December </w:t>
            </w:r>
            <w:r>
              <w:rPr>
                <w:rFonts w:ascii="Times New Roman" w:cs="Times New Roman" w:eastAsia="Times New Roman" w:hAnsi="Times New Roman"/>
                <w:sz w:val="20"/>
                <w:szCs w:val="20"/>
                <w:color w:val="auto"/>
              </w:rPr>
              <w:t>31, 2024  . . . . . . . . . . . .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w:t>
            </w:r>
          </w:p>
        </w:tc>
      </w:tr>
      <w:tr>
        <w:trPr>
          <w:trHeight w:val="248"/>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 xml:space="preserve">Consolidated Statements of Comprehe ns ive Income (Loss) for the Three Years Ended December </w:t>
            </w:r>
            <w:r>
              <w:rPr>
                <w:rFonts w:ascii="Times New Roman" w:cs="Times New Roman" w:eastAsia="Times New Roman" w:hAnsi="Times New Roman"/>
                <w:sz w:val="20"/>
                <w:szCs w:val="20"/>
                <w:color w:val="auto"/>
              </w:rPr>
              <w:t>31,</w:t>
            </w:r>
          </w:p>
        </w:tc>
        <w:tc>
          <w:tcPr>
            <w:tcW w:w="400" w:type="dxa"/>
            <w:vAlign w:val="bottom"/>
          </w:tcPr>
          <w:p>
            <w:pPr>
              <w:spacing w:after="0"/>
              <w:rPr>
                <w:sz w:val="21"/>
                <w:szCs w:val="21"/>
                <w:color w:val="auto"/>
              </w:rPr>
            </w:pP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20"/>
                <w:szCs w:val="20"/>
                <w:color w:val="auto"/>
              </w:rPr>
              <w:t>2024 ......... . ............... . ....................................... . ...... . ...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89</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Consolidated Balance Sheets at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2023  . . . . . . . . . . . . . . . . . . . . . . . . . . . . . . . .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90</w:t>
            </w:r>
          </w:p>
        </w:tc>
      </w:tr>
      <w:tr>
        <w:trPr>
          <w:trHeight w:val="24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Consolidated Statements of Cash Flows for the Three Years Ended December </w:t>
            </w:r>
            <w:r>
              <w:rPr>
                <w:rFonts w:ascii="Times New Roman" w:cs="Times New Roman" w:eastAsia="Times New Roman" w:hAnsi="Times New Roman"/>
                <w:sz w:val="20"/>
                <w:szCs w:val="20"/>
                <w:color w:val="auto"/>
              </w:rPr>
              <w:t>31, 2024 . . . . . . . . . . . .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91</w:t>
            </w:r>
          </w:p>
        </w:tc>
      </w:tr>
      <w:tr>
        <w:trPr>
          <w:trHeight w:val="227"/>
        </w:trPr>
        <w:tc>
          <w:tcPr>
            <w:tcW w:w="872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Consolidated Statements of C hanges in Common Stockho lders' Equity for the Three Years Ended</w:t>
            </w:r>
          </w:p>
        </w:tc>
        <w:tc>
          <w:tcPr>
            <w:tcW w:w="400" w:type="dxa"/>
            <w:vAlign w:val="bottom"/>
          </w:tcPr>
          <w:p>
            <w:pPr>
              <w:spacing w:after="0"/>
              <w:rPr>
                <w:sz w:val="19"/>
                <w:szCs w:val="19"/>
                <w:color w:val="auto"/>
              </w:rPr>
            </w:pPr>
          </w:p>
        </w:tc>
      </w:tr>
      <w:tr>
        <w:trPr>
          <w:trHeight w:val="250"/>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 xml:space="preserve">December </w:t>
            </w:r>
            <w:r>
              <w:rPr>
                <w:rFonts w:ascii="Times New Roman" w:cs="Times New Roman" w:eastAsia="Times New Roman" w:hAnsi="Times New Roman"/>
                <w:sz w:val="20"/>
                <w:szCs w:val="20"/>
                <w:color w:val="auto"/>
              </w:rPr>
              <w:t>31, 2024  . . . . . . . . . . . . . . . . . . . . . . . . . . . . . . . . . . . . . . . . . . . . . . . . . . . . . . . . . . . . . . . .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Notes to Consolidated Financial Statements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Organization and Nature of Operations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Summary of Significant Accounting Policies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r>
      <w:tr>
        <w:trPr>
          <w:trHeight w:val="24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Acquisitions and Dispositions of Businesses  . . . . . . . . . . . . . . . . . . . . . . . . . . . . . . . . . . . . . . . . . .</w:t>
            </w:r>
          </w:p>
        </w:tc>
        <w:tc>
          <w:tcPr>
            <w:tcW w:w="400" w:type="dxa"/>
            <w:vAlign w:val="bottom"/>
          </w:tcPr>
          <w:p>
            <w:pPr>
              <w:ind w:left="100"/>
              <w:spacing w:after="0"/>
              <w:rPr>
                <w:sz w:val="20"/>
                <w:szCs w:val="20"/>
                <w:color w:val="auto"/>
              </w:rPr>
            </w:pPr>
            <w:r>
              <w:rPr>
                <w:rFonts w:ascii="Arial" w:cs="Arial" w:eastAsia="Arial" w:hAnsi="Arial"/>
                <w:sz w:val="18"/>
                <w:szCs w:val="18"/>
                <w:color w:val="auto"/>
                <w:w w:val="93"/>
              </w:rPr>
              <w:t xml:space="preserve">I </w:t>
            </w:r>
            <w:r>
              <w:rPr>
                <w:rFonts w:ascii="Times New Roman" w:cs="Times New Roman" w:eastAsia="Times New Roman" w:hAnsi="Times New Roman"/>
                <w:sz w:val="20"/>
                <w:szCs w:val="20"/>
                <w:color w:val="auto"/>
                <w:w w:val="93"/>
              </w:rPr>
              <w:t>05</w:t>
            </w:r>
          </w:p>
        </w:tc>
      </w:tr>
      <w:tr>
        <w:trPr>
          <w:trHeight w:val="229"/>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Tnvestments  . . . . . . . . . . . . . . . . . . . . . . . . . . . . . . . . . . . . . . . . . . . . . . . . . . . . . . . . . . . . . . . . . . . .</w:t>
            </w:r>
          </w:p>
        </w:tc>
        <w:tc>
          <w:tcPr>
            <w:tcW w:w="400" w:type="dxa"/>
            <w:vAlign w:val="bottom"/>
          </w:tcPr>
          <w:p>
            <w:pPr>
              <w:ind w:left="120"/>
              <w:spacing w:after="0" w:line="229" w:lineRule="exact"/>
              <w:rPr>
                <w:sz w:val="20"/>
                <w:szCs w:val="20"/>
                <w:color w:val="auto"/>
              </w:rPr>
            </w:pPr>
            <w:r>
              <w:rPr>
                <w:rFonts w:ascii="Times New Roman" w:cs="Times New Roman" w:eastAsia="Times New Roman" w:hAnsi="Times New Roman"/>
                <w:sz w:val="20"/>
                <w:szCs w:val="20"/>
                <w:color w:val="auto"/>
                <w:w w:val="81"/>
              </w:rPr>
              <w:t>I 07</w:t>
            </w:r>
          </w:p>
        </w:tc>
      </w:tr>
      <w:tr>
        <w:trPr>
          <w:trHeight w:val="24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Accounts Receivable, Accounts Payable, Vehicle Floor Plan Payable and Accrued Liabilities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109</w:t>
            </w:r>
          </w:p>
        </w:tc>
      </w:tr>
      <w:tr>
        <w:trPr>
          <w:trHeight w:val="236"/>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Inventories and Contracts in P rogress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11 1</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Property, Plant and Equipme nt  . . . . . . . . . . . . . . . . . . . . . . . . . . . . . . . . . . . . . . . . . . . . . . . . . . . . .</w:t>
            </w:r>
          </w:p>
        </w:tc>
        <w:tc>
          <w:tcPr>
            <w:tcW w:w="400" w:type="dxa"/>
            <w:vAlign w:val="bottom"/>
          </w:tcPr>
          <w:p>
            <w:pPr>
              <w:ind w:left="100"/>
              <w:spacing w:after="0"/>
              <w:rPr>
                <w:sz w:val="20"/>
                <w:szCs w:val="20"/>
                <w:color w:val="auto"/>
              </w:rPr>
            </w:pPr>
            <w:r>
              <w:rPr>
                <w:rFonts w:ascii="Arial" w:cs="Arial" w:eastAsia="Arial" w:hAnsi="Arial"/>
                <w:sz w:val="18"/>
                <w:szCs w:val="18"/>
                <w:color w:val="auto"/>
              </w:rPr>
              <w:t>Ill</w:t>
            </w:r>
          </w:p>
        </w:tc>
      </w:tr>
      <w:tr>
        <w:trPr>
          <w:trHeight w:val="240"/>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Leases  . . . . . . . . . . . . . . . . . . . . . . . . . . . . . . . . . . . . . . . . . . . . . . . . . . . . . . . . . . . . . . . . . . . . . . . .</w:t>
            </w:r>
          </w:p>
        </w:tc>
        <w:tc>
          <w:tcPr>
            <w:tcW w:w="4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III</w:t>
            </w:r>
          </w:p>
        </w:tc>
      </w:tr>
      <w:tr>
        <w:trPr>
          <w:trHeight w:val="246"/>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Goodwill and Other Intangible Assets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114</w:t>
            </w:r>
          </w:p>
        </w:tc>
      </w:tr>
      <w:tr>
        <w:trPr>
          <w:trHeight w:val="240"/>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Income T axes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Debt . . . . . . . . . . . .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Fair Value Measurements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123</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Revenue From Contracts With Customers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r>
      <w:tr>
        <w:trPr>
          <w:trHeight w:val="229"/>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Capital Stock, Stock Awards and Stock Options  . . . . . . . . . . . . . . . . . . . . . . . . . . . . . . . . . . . . . . .</w:t>
            </w:r>
          </w:p>
        </w:tc>
        <w:tc>
          <w:tcPr>
            <w:tcW w:w="4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126</w:t>
            </w:r>
          </w:p>
        </w:tc>
      </w:tr>
      <w:tr>
        <w:trPr>
          <w:trHeight w:val="24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Pensions and Other Postretirement Plans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130</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Other Non-Operating Income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139</w:t>
            </w:r>
          </w:p>
        </w:tc>
      </w:tr>
      <w:tr>
        <w:trPr>
          <w:trHeight w:val="238"/>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Accumulated Other Comprehe nsive Income (Loss)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140</w:t>
            </w:r>
          </w:p>
        </w:tc>
      </w:tr>
      <w:tr>
        <w:trPr>
          <w:trHeight w:val="246"/>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Contingencies and Other Commitments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w:t>
            </w:r>
          </w:p>
        </w:tc>
      </w:tr>
      <w:tr>
        <w:trPr>
          <w:trHeight w:val="240"/>
        </w:trPr>
        <w:tc>
          <w:tcPr>
            <w:tcW w:w="87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Business Segme nts  . . . . . . . . . . . . . . . . . . . . . . . . . . . . . . . . . . . . . . . . . . . . . . . . . . . . . . . . . . . . . .</w:t>
            </w:r>
          </w:p>
        </w:tc>
        <w:tc>
          <w:tcPr>
            <w:tcW w:w="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143</w:t>
            </w:r>
          </w:p>
        </w:tc>
      </w:tr>
      <w:tr>
        <w:trPr>
          <w:trHeight w:val="310"/>
        </w:trPr>
        <w:tc>
          <w:tcPr>
            <w:tcW w:w="3600" w:type="dxa"/>
            <w:vAlign w:val="bottom"/>
          </w:tcPr>
          <w:p>
            <w:pPr>
              <w:spacing w:after="0"/>
              <w:rPr>
                <w:sz w:val="24"/>
                <w:szCs w:val="24"/>
                <w:color w:val="auto"/>
              </w:rPr>
            </w:pPr>
          </w:p>
        </w:tc>
        <w:tc>
          <w:tcPr>
            <w:tcW w:w="1920" w:type="dxa"/>
            <w:vAlign w:val="bottom"/>
            <w:tcBorders>
              <w:bottom w:val="single" w:sz="8" w:color="403C3C"/>
            </w:tcBorders>
          </w:tcPr>
          <w:p>
            <w:pPr>
              <w:spacing w:after="0"/>
              <w:rPr>
                <w:sz w:val="24"/>
                <w:szCs w:val="24"/>
                <w:color w:val="auto"/>
              </w:rPr>
            </w:pPr>
          </w:p>
        </w:tc>
        <w:tc>
          <w:tcPr>
            <w:tcW w:w="3200" w:type="dxa"/>
            <w:vAlign w:val="bottom"/>
          </w:tcPr>
          <w:p>
            <w:pPr>
              <w:spacing w:after="0"/>
              <w:rPr>
                <w:sz w:val="24"/>
                <w:szCs w:val="24"/>
                <w:color w:val="auto"/>
              </w:rPr>
            </w:pPr>
          </w:p>
        </w:tc>
        <w:tc>
          <w:tcPr>
            <w:tcW w:w="400" w:type="dxa"/>
            <w:vAlign w:val="bottom"/>
          </w:tcPr>
          <w:p>
            <w:pPr>
              <w:spacing w:after="0"/>
              <w:rPr>
                <w:sz w:val="24"/>
                <w:szCs w:val="24"/>
                <w:color w:val="auto"/>
              </w:rPr>
            </w:pPr>
          </w:p>
        </w:tc>
      </w:tr>
    </w:tbl>
    <w:p>
      <w:pPr>
        <w:spacing w:after="0" w:line="299" w:lineRule="exact"/>
        <w:rPr>
          <w:sz w:val="20"/>
          <w:szCs w:val="20"/>
          <w:color w:val="auto"/>
        </w:rPr>
      </w:pPr>
    </w:p>
    <w:p>
      <w:pPr>
        <w:ind w:left="120" w:right="125" w:firstLine="1"/>
        <w:spacing w:after="0" w:line="250" w:lineRule="auto"/>
        <w:rPr>
          <w:sz w:val="20"/>
          <w:szCs w:val="20"/>
          <w:color w:val="auto"/>
        </w:rPr>
      </w:pPr>
      <w:r>
        <w:rPr>
          <w:rFonts w:ascii="Times New Roman" w:cs="Times New Roman" w:eastAsia="Times New Roman" w:hAnsi="Times New Roman"/>
          <w:sz w:val="19"/>
          <w:szCs w:val="19"/>
          <w:color w:val="auto"/>
        </w:rPr>
        <w:t>All schedules have been omitted either because they are not applicable or because the required information is inc luded in the Consolidated Financ ial S tatements or the notes the reto referred to above.</w:t>
      </w:r>
    </w:p>
    <w:p>
      <w:pPr>
        <w:sectPr>
          <w:pgSz w:w="12240" w:h="15850" w:orient="portrait"/>
          <w:cols w:equalWidth="0" w:num="1">
            <w:col w:w="9365"/>
          </w:cols>
          <w:pgMar w:left="1440" w:top="1375"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62</w:t>
        <w:tab/>
        <w:t xml:space="preserve">2024 </w:t>
      </w:r>
      <w:r>
        <w:rPr>
          <w:rFonts w:ascii="Times New Roman" w:cs="Times New Roman" w:eastAsia="Times New Roman" w:hAnsi="Times New Roman"/>
          <w:sz w:val="18"/>
          <w:szCs w:val="18"/>
          <w:color w:val="auto"/>
        </w:rPr>
        <w:t>FORM</w:t>
      </w:r>
      <w:r>
        <w:rPr>
          <w:rFonts w:ascii="Times New Roman" w:cs="Times New Roman" w:eastAsia="Times New Roman" w:hAnsi="Times New Roman"/>
          <w:sz w:val="20"/>
          <w:szCs w:val="20"/>
          <w:color w:val="auto"/>
        </w:rPr>
        <w:t xml:space="preserve"> 10-K</w:t>
      </w:r>
    </w:p>
    <w:p>
      <w:pPr>
        <w:sectPr>
          <w:pgSz w:w="12240" w:h="15850" w:orient="portrait"/>
          <w:cols w:equalWidth="0" w:num="1">
            <w:col w:w="9365"/>
          </w:cols>
          <w:pgMar w:left="1440" w:top="1375" w:right="1440" w:bottom="719" w:gutter="0" w:footer="0" w:header="0"/>
          <w:type w:val="continuous"/>
        </w:sectPr>
      </w:pPr>
    </w:p>
    <w:bookmarkStart w:id="78" w:name="page79"/>
    <w:bookmarkEnd w:id="78"/>
    <w:p>
      <w:pPr>
        <w:jc w:val="center"/>
        <w:ind w:left="120" w:right="125"/>
        <w:spacing w:after="0" w:line="239" w:lineRule="auto"/>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MANAGEMENT'S DISCUSSION AND ANALYSIS OF RESULTS OF OPERATIONS AND FINANCIAL CONDITION</w:t>
      </w:r>
    </w:p>
    <w:p>
      <w:pPr>
        <w:spacing w:after="0" w:line="234" w:lineRule="exact"/>
        <w:rPr>
          <w:sz w:val="20"/>
          <w:szCs w:val="20"/>
          <w:color w:val="auto"/>
        </w:rPr>
      </w:pPr>
    </w:p>
    <w:p>
      <w:pPr>
        <w:jc w:val="both"/>
        <w:ind w:left="120" w:right="105"/>
        <w:spacing w:after="0" w:line="259" w:lineRule="auto"/>
        <w:rPr>
          <w:sz w:val="20"/>
          <w:szCs w:val="20"/>
          <w:color w:val="auto"/>
        </w:rPr>
      </w:pPr>
      <w:r>
        <w:rPr>
          <w:rFonts w:ascii="Times New Roman" w:cs="Times New Roman" w:eastAsia="Times New Roman" w:hAnsi="Times New Roman"/>
          <w:sz w:val="19"/>
          <w:szCs w:val="19"/>
          <w:color w:val="auto"/>
        </w:rPr>
        <w:t>This analysis should be read in conjunction with the Consolidated Financial Statements and the notes thereto. Refer to Item 7. Management's Discussion and Analysis of Financial Condition and Results of Operations in the Graham Holdings Company's 2023 Annual Report on Form 10-K for management's discussion and analysis of fmancial condition and results of operations for the year ended December 31, 2023 compared to the year ended December 31, 2022.</w:t>
      </w:r>
    </w:p>
    <w:p>
      <w:pPr>
        <w:spacing w:after="0" w:line="3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OVERVIEW</w:t>
      </w:r>
    </w:p>
    <w:p>
      <w:pPr>
        <w:spacing w:after="0" w:line="134"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Graham Holdings Company (the Company) is a diversified holding company whose operations include educational services, television broadcasting, manufacturing, healthcare and automotive dealerships. The Company has seven reportable segments and a group of companies that make up Other Businesses. The Company's business units are diverse and subject to different trends and risks.</w:t>
      </w:r>
    </w:p>
    <w:p>
      <w:pPr>
        <w:spacing w:after="0" w:line="219" w:lineRule="exact"/>
        <w:rPr>
          <w:sz w:val="20"/>
          <w:szCs w:val="20"/>
          <w:color w:val="auto"/>
        </w:rPr>
      </w:pPr>
    </w:p>
    <w:p>
      <w:pPr>
        <w:jc w:val="both"/>
        <w:ind w:left="120" w:right="125" w:firstLine="21"/>
        <w:spacing w:after="0" w:line="262" w:lineRule="auto"/>
        <w:rPr>
          <w:sz w:val="20"/>
          <w:szCs w:val="20"/>
          <w:color w:val="auto"/>
        </w:rPr>
      </w:pPr>
      <w:r>
        <w:rPr>
          <w:rFonts w:ascii="Times New Roman" w:cs="Times New Roman" w:eastAsia="Times New Roman" w:hAnsi="Times New Roman"/>
          <w:sz w:val="19"/>
          <w:szCs w:val="19"/>
          <w:color w:val="auto"/>
        </w:rPr>
        <w:t>Education is the largest operating division of the Company, making up 35% of the Company's consolidated revenues in 2024. Through its subsidiary Kaplan, Inc., the Company provides extensive worldwide education services for individuals, schools and businesses. The Company has devoted significant resources and attention to this division for many years, given its geographic and product diversity, the investment opportunities and growth prospects during this time, and challenges related to government regulation. Kaplan is organized into the following three operating segments: Kaplan International (KI), Kaplan Higher Education (KHE) and Supplemental Education.</w:t>
      </w:r>
    </w:p>
    <w:p>
      <w:pPr>
        <w:spacing w:after="0" w:line="200" w:lineRule="exact"/>
        <w:rPr>
          <w:sz w:val="20"/>
          <w:szCs w:val="20"/>
          <w:color w:val="auto"/>
        </w:rPr>
      </w:pPr>
    </w:p>
    <w:p>
      <w:pPr>
        <w:spacing w:after="0" w:line="257" w:lineRule="exact"/>
        <w:rPr>
          <w:sz w:val="20"/>
          <w:szCs w:val="20"/>
          <w:color w:val="auto"/>
        </w:rPr>
      </w:pPr>
    </w:p>
    <w:p>
      <w:pPr>
        <w:jc w:val="both"/>
        <w:ind w:left="120" w:right="125" w:firstLine="13"/>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Kl </w:t>
      </w:r>
      <w:r>
        <w:rPr>
          <w:rFonts w:ascii="Times New Roman" w:cs="Times New Roman" w:eastAsia="Times New Roman" w:hAnsi="Times New Roman"/>
          <w:sz w:val="19"/>
          <w:szCs w:val="19"/>
          <w:color w:val="auto"/>
        </w:rPr>
        <w:t>reported revenue and operating income growth for 2024 due largely to increases at Pathways, Australia, UK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9"/>
          <w:szCs w:val="19"/>
          <w:color w:val="auto"/>
        </w:rPr>
        <w:t xml:space="preserve">Professional and Singapore. </w:t>
      </w:r>
      <w:r>
        <w:rPr>
          <w:rFonts w:ascii="Times New Roman" w:cs="Times New Roman" w:eastAsia="Times New Roman" w:hAnsi="Times New Roman"/>
          <w:sz w:val="21"/>
          <w:szCs w:val="21"/>
          <w:color w:val="auto"/>
        </w:rPr>
        <w:t>KHE</w:t>
      </w:r>
      <w:r>
        <w:rPr>
          <w:rFonts w:ascii="Times New Roman" w:cs="Times New Roman" w:eastAsia="Times New Roman" w:hAnsi="Times New Roman"/>
          <w:sz w:val="19"/>
          <w:szCs w:val="19"/>
          <w:color w:val="auto"/>
        </w:rPr>
        <w:t xml:space="preserve"> revenue declined due to reduced reimbursable expenses from Purdue University Global (Purdue Global), partially offset by an increase in the fees from Purdue Global and growth in other higher education programs. </w:t>
      </w:r>
      <w:r>
        <w:rPr>
          <w:rFonts w:ascii="Arial" w:cs="Arial" w:eastAsia="Arial" w:hAnsi="Arial"/>
          <w:sz w:val="18"/>
          <w:szCs w:val="18"/>
          <w:color w:val="auto"/>
        </w:rPr>
        <w:t>KHE</w:t>
      </w:r>
      <w:r>
        <w:rPr>
          <w:rFonts w:ascii="Times New Roman" w:cs="Times New Roman" w:eastAsia="Times New Roman" w:hAnsi="Times New Roman"/>
          <w:sz w:val="19"/>
          <w:szCs w:val="19"/>
          <w:color w:val="auto"/>
        </w:rPr>
        <w:t xml:space="preserve"> operating results improved in 2024 due to an increase in the Purdue Global fee recorded, partially offset by an increase in higher education development costs. Supplemental Education revenues declined slightly in 2024, while operating results improved due largely to cost reductions from !ower headcount, partially offset by increased employee healthcare and pensnon expense.</w:t>
      </w:r>
    </w:p>
    <w:p>
      <w:pPr>
        <w:spacing w:after="0" w:line="226" w:lineRule="exact"/>
        <w:rPr>
          <w:sz w:val="20"/>
          <w:szCs w:val="20"/>
          <w:color w:val="auto"/>
        </w:rPr>
      </w:pPr>
    </w:p>
    <w:p>
      <w:pPr>
        <w:jc w:val="both"/>
        <w:ind w:left="120" w:right="125" w:firstLine="11"/>
        <w:spacing w:after="0" w:line="264" w:lineRule="auto"/>
        <w:rPr>
          <w:sz w:val="20"/>
          <w:szCs w:val="20"/>
          <w:color w:val="auto"/>
        </w:rPr>
      </w:pPr>
      <w:r>
        <w:rPr>
          <w:rFonts w:ascii="Times New Roman" w:cs="Times New Roman" w:eastAsia="Times New Roman" w:hAnsi="Times New Roman"/>
          <w:sz w:val="19"/>
          <w:szCs w:val="19"/>
          <w:color w:val="auto"/>
        </w:rPr>
        <w:t>From an operating income standpoint, television broadcasting is the Company's largest business. The Company's television broadcasting division reported higher revenues andl operating income in 2024, due largely to a significant increase in political advertising revenue from the 2024 election cycle, partially offset by a decline in local advertising revenue. Retransmission revenues, net of network fee expense, trended down modestly in 2024 with this trend expected to continue in the future due largely to adverse subscriber trends from cord cutting. In recent years, the television broadcasting division has consistently generated significantly higher operating income amounts and operating income margins than the education division and the Company's other reporting segments.</w:t>
      </w:r>
    </w:p>
    <w:p>
      <w:pPr>
        <w:spacing w:after="0" w:line="200" w:lineRule="exact"/>
        <w:rPr>
          <w:sz w:val="20"/>
          <w:szCs w:val="20"/>
          <w:color w:val="auto"/>
        </w:rPr>
      </w:pPr>
    </w:p>
    <w:p>
      <w:pPr>
        <w:spacing w:after="0" w:line="254" w:lineRule="exact"/>
        <w:rPr>
          <w:sz w:val="20"/>
          <w:szCs w:val="20"/>
          <w:color w:val="auto"/>
        </w:rPr>
      </w:pPr>
    </w:p>
    <w:p>
      <w:pPr>
        <w:jc w:val="both"/>
        <w:ind w:left="120" w:right="125"/>
        <w:spacing w:after="0" w:line="256" w:lineRule="auto"/>
        <w:rPr>
          <w:sz w:val="20"/>
          <w:szCs w:val="20"/>
          <w:color w:val="auto"/>
        </w:rPr>
      </w:pPr>
      <w:r>
        <w:rPr>
          <w:rFonts w:ascii="Times New Roman" w:cs="Times New Roman" w:eastAsia="Times New Roman" w:hAnsi="Times New Roman"/>
          <w:sz w:val="19"/>
          <w:szCs w:val="19"/>
          <w:color w:val="auto"/>
        </w:rPr>
        <w:t xml:space="preserve">The Company's manufacturing division has provided meaningful operating cash flow over the Last few years, although revenues and operating results at Hoover and Dekko have been adversely impacted by lower product demand. Graham Healthcare Group (GHG) has grown substantially over the last few years and provided meaningful operating cash flow from internal growth and acquisitions. In recent years, GHG has expanded from its home health and hospice operations into new lines of business. The largest of these is CSl Pharmacy Holding Company, LLC (CST), which provides nursing care and prescription services for patients receiving in -home </w:t>
      </w:r>
      <w:r>
        <w:rPr>
          <w:rFonts w:ascii="Times New Roman" w:cs="Times New Roman" w:eastAsia="Times New Roman" w:hAnsi="Times New Roman"/>
          <w:sz w:val="21"/>
          <w:szCs w:val="21"/>
          <w:color w:val="auto"/>
        </w:rPr>
        <w:t xml:space="preserve">infusion treatments. </w:t>
      </w:r>
      <w:r>
        <w:rPr>
          <w:rFonts w:ascii="Times New Roman" w:cs="Times New Roman" w:eastAsia="Times New Roman" w:hAnsi="Times New Roman"/>
          <w:sz w:val="19"/>
          <w:szCs w:val="19"/>
          <w:color w:val="auto"/>
        </w:rPr>
        <w:t>CSI</w:t>
      </w:r>
      <w:r>
        <w:rPr>
          <w:rFonts w:ascii="Times New Roman" w:cs="Times New Roman" w:eastAsia="Times New Roman" w:hAnsi="Times New Roman"/>
          <w:sz w:val="21"/>
          <w:szCs w:val="21"/>
          <w:color w:val="auto"/>
        </w:rPr>
        <w:t xml:space="preserve"> reported significant revenue growth and substantially higher operating results in </w:t>
      </w:r>
      <w:r>
        <w:rPr>
          <w:rFonts w:ascii="Times New Roman" w:cs="Times New Roman" w:eastAsia="Times New Roman" w:hAnsi="Times New Roman"/>
          <w:sz w:val="19"/>
          <w:szCs w:val="19"/>
          <w:color w:val="auto"/>
        </w:rPr>
        <w:t>2024</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from an expansion of infusion treatment offerings and patient service areas in 2024. Automotive revenues grew in 2024 due largely to the Toyota of Richmond acquisition, while operating results declined modestly.</w:t>
      </w:r>
    </w:p>
    <w:p>
      <w:pPr>
        <w:spacing w:after="0" w:line="218"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The Company's other businesses include several investment stage businesses as well as investments into new lines of business over the last few years. In total, there are eleven operating business units that make up this</w:t>
      </w:r>
    </w:p>
    <w:p>
      <w:pPr>
        <w:sectPr>
          <w:pgSz w:w="12240" w:h="15850" w:orient="portrait"/>
          <w:cols w:equalWidth="0" w:num="1">
            <w:col w:w="9365"/>
          </w:cols>
          <w:pgMar w:left="1440" w:top="1365" w:right="1440" w:bottom="721" w:gutter="0" w:footer="0" w:header="0"/>
        </w:sectPr>
      </w:pPr>
    </w:p>
    <w:p>
      <w:pPr>
        <w:spacing w:after="0" w:line="200" w:lineRule="exact"/>
        <w:rPr>
          <w:sz w:val="20"/>
          <w:szCs w:val="20"/>
          <w:color w:val="auto"/>
        </w:rPr>
      </w:pPr>
    </w:p>
    <w:p>
      <w:pPr>
        <w:spacing w:after="0" w:line="28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63</w:t>
      </w:r>
    </w:p>
    <w:p>
      <w:pPr>
        <w:sectPr>
          <w:pgSz w:w="12240" w:h="15850" w:orient="portrait"/>
          <w:cols w:equalWidth="0" w:num="1">
            <w:col w:w="9365"/>
          </w:cols>
          <w:pgMar w:left="1440" w:top="1365" w:right="1440" w:bottom="721" w:gutter="0" w:footer="0" w:header="0"/>
          <w:type w:val="continuous"/>
        </w:sectPr>
      </w:pPr>
    </w:p>
    <w:bookmarkStart w:id="79" w:name="page80"/>
    <w:bookmarkEnd w:id="79"/>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group in three categories: retail, media and specialty. The largest of these businesses from a revenue standpoint is Clyde's Restaurant Group (CRG), followed by the combined three former Leaf businesses, and then Framebridge, a custom framing service company. In 2024, CRG and Slate each reported positive operating income, while the other businesses each reported operating losses, which were significant at the combined three former Leaf businesses and Framebridge.</w:t>
      </w:r>
    </w:p>
    <w:p>
      <w:pPr>
        <w:spacing w:after="0" w:line="261" w:lineRule="exact"/>
        <w:rPr>
          <w:sz w:val="20"/>
          <w:szCs w:val="20"/>
          <w:color w:val="auto"/>
        </w:rPr>
      </w:pPr>
    </w:p>
    <w:p>
      <w:pPr>
        <w:jc w:val="both"/>
        <w:ind w:left="120" w:right="125" w:hanging="11"/>
        <w:spacing w:after="0" w:line="252" w:lineRule="auto"/>
        <w:rPr>
          <w:sz w:val="20"/>
          <w:szCs w:val="20"/>
          <w:color w:val="auto"/>
        </w:rPr>
      </w:pPr>
      <w:r>
        <w:rPr>
          <w:rFonts w:ascii="Times New Roman" w:cs="Times New Roman" w:eastAsia="Times New Roman" w:hAnsi="Times New Roman"/>
          <w:sz w:val="19"/>
          <w:szCs w:val="19"/>
          <w:color w:val="auto"/>
        </w:rPr>
        <w:t>The Company generates a significant amount of cash from its businesses that is used to support its operations, pay down debt and fund capital expenditures, share repurchases, dividends, acquisitions and other investments.</w:t>
      </w:r>
    </w:p>
    <w:p>
      <w:pPr>
        <w:spacing w:after="0" w:line="3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RESULTS OF OPERATIONS</w:t>
      </w:r>
    </w:p>
    <w:p>
      <w:pPr>
        <w:spacing w:after="0" w:line="153" w:lineRule="exact"/>
        <w:rPr>
          <w:sz w:val="20"/>
          <w:szCs w:val="20"/>
          <w:color w:val="auto"/>
        </w:rPr>
      </w:pPr>
    </w:p>
    <w:p>
      <w:pPr>
        <w:jc w:val="both"/>
        <w:ind w:left="120" w:right="125" w:firstLine="2"/>
        <w:spacing w:after="0" w:line="262" w:lineRule="auto"/>
        <w:rPr>
          <w:sz w:val="20"/>
          <w:szCs w:val="20"/>
          <w:color w:val="auto"/>
        </w:rPr>
      </w:pPr>
      <w:r>
        <w:rPr>
          <w:rFonts w:ascii="Times New Roman" w:cs="Times New Roman" w:eastAsia="Times New Roman" w:hAnsi="Times New Roman"/>
          <w:sz w:val="19"/>
          <w:szCs w:val="19"/>
          <w:color w:val="auto"/>
        </w:rPr>
        <w:t>Net income attributable to common shares was $724.6 million ($163.40 per share) for the year ended December 3 1, 2024, compared to $205.3 million ($43.82 per share) for the year ended December 3 1, 2023.</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Items included in the Company's net income for 2024 are listed below:</w:t>
      </w:r>
    </w:p>
    <w:p>
      <w:pPr>
        <w:spacing w:after="0" w:line="152" w:lineRule="exact"/>
        <w:rPr>
          <w:sz w:val="20"/>
          <w:szCs w:val="20"/>
          <w:color w:val="auto"/>
        </w:rPr>
      </w:pPr>
    </w:p>
    <w:p>
      <w:pPr>
        <w:jc w:val="both"/>
        <w:ind w:left="920" w:right="105"/>
        <w:spacing w:after="0" w:line="252" w:lineRule="auto"/>
        <w:rPr>
          <w:sz w:val="20"/>
          <w:szCs w:val="20"/>
          <w:color w:val="auto"/>
        </w:rPr>
      </w:pPr>
      <w:r>
        <w:rPr>
          <w:rFonts w:ascii="Times New Roman" w:cs="Times New Roman" w:eastAsia="Times New Roman" w:hAnsi="Times New Roman"/>
          <w:sz w:val="19"/>
          <w:szCs w:val="19"/>
          <w:color w:val="auto"/>
        </w:rPr>
        <w:t>$49.8</w:t>
      </w:r>
      <w:r>
        <w:rPr>
          <w:sz w:val="20"/>
          <w:szCs w:val="20"/>
          <w:color w:val="auto"/>
        </w:rPr>
        <w:t xml:space="preserve"> </w:t>
      </w:r>
      <w:r>
        <w:rPr>
          <w:rFonts w:ascii="Times New Roman" w:cs="Times New Roman" w:eastAsia="Times New Roman" w:hAnsi="Times New Roman"/>
          <w:sz w:val="19"/>
          <w:szCs w:val="19"/>
          <w:color w:val="auto"/>
        </w:rPr>
        <w:t>million in goodwill and other long-lived asset impairment charges (after-tax impact of $39.4 million, or $8.89 per share);</w:t>
      </w:r>
    </w:p>
    <w:p>
      <w:pPr>
        <w:spacing w:after="0" w:line="142" w:lineRule="exact"/>
        <w:rPr>
          <w:sz w:val="20"/>
          <w:szCs w:val="20"/>
          <w:color w:val="auto"/>
        </w:rPr>
      </w:pPr>
    </w:p>
    <w:p>
      <w:pPr>
        <w:jc w:val="both"/>
        <w:ind w:left="940" w:right="125" w:hanging="9"/>
        <w:spacing w:after="0" w:line="252" w:lineRule="auto"/>
        <w:rPr>
          <w:sz w:val="20"/>
          <w:szCs w:val="20"/>
          <w:color w:val="auto"/>
        </w:rPr>
      </w:pPr>
      <w:r>
        <w:rPr>
          <w:rFonts w:ascii="Times New Roman" w:cs="Times New Roman" w:eastAsia="Times New Roman" w:hAnsi="Times New Roman"/>
          <w:sz w:val="19"/>
          <w:szCs w:val="19"/>
          <w:color w:val="auto"/>
        </w:rPr>
        <w:t>a $653.4 million fourth quarter settlement gain related to a retiree annuity pension purchase (after-tax impact of $486.1 million, or $109.62 per share);</w:t>
      </w:r>
    </w:p>
    <w:p>
      <w:pPr>
        <w:spacing w:after="0" w:line="152" w:lineRule="exact"/>
        <w:rPr>
          <w:sz w:val="20"/>
          <w:szCs w:val="20"/>
          <w:color w:val="auto"/>
        </w:rPr>
      </w:pPr>
    </w:p>
    <w:p>
      <w:pPr>
        <w:jc w:val="both"/>
        <w:ind w:left="920" w:right="125"/>
        <w:spacing w:after="0" w:line="261" w:lineRule="auto"/>
        <w:rPr>
          <w:sz w:val="20"/>
          <w:szCs w:val="20"/>
          <w:color w:val="auto"/>
        </w:rPr>
      </w:pPr>
      <w:r>
        <w:rPr>
          <w:rFonts w:ascii="Times New Roman" w:cs="Times New Roman" w:eastAsia="Times New Roman" w:hAnsi="Times New Roman"/>
          <w:sz w:val="19"/>
          <w:szCs w:val="19"/>
          <w:color w:val="auto"/>
        </w:rPr>
        <w:t>$21.0 million in non-operating expenses related to a Voluntary Retirement incentive Program (VRIP) at the television broadcasting division and the corpm.·ate office, and Separation Incentive Programs (SIPs) at Kaplan, manufacturing and other businesses (after-tax impact of $ 15.6 million, or $3.52 per share);</w:t>
      </w:r>
    </w:p>
    <w:p>
      <w:pPr>
        <w:spacing w:after="0" w:line="374" w:lineRule="exact"/>
        <w:rPr>
          <w:sz w:val="20"/>
          <w:szCs w:val="20"/>
          <w:color w:val="auto"/>
        </w:rPr>
      </w:pPr>
    </w:p>
    <w:p>
      <w:pPr>
        <w:jc w:val="both"/>
        <w:ind w:left="940" w:right="125" w:hanging="10"/>
        <w:spacing w:after="0" w:line="252" w:lineRule="auto"/>
        <w:rPr>
          <w:sz w:val="20"/>
          <w:szCs w:val="20"/>
          <w:color w:val="auto"/>
        </w:rPr>
      </w:pPr>
      <w:r>
        <w:rPr>
          <w:rFonts w:ascii="Times New Roman" w:cs="Times New Roman" w:eastAsia="Times New Roman" w:hAnsi="Times New Roman"/>
          <w:sz w:val="19"/>
          <w:szCs w:val="19"/>
          <w:color w:val="auto"/>
        </w:rPr>
        <w:t xml:space="preserve">$119.3 million in interest expense to adjust the fair value of the mandatorily redeemable noncontrolling interest (after-tax impact of </w:t>
      </w:r>
      <w:r>
        <w:rPr>
          <w:rFonts w:ascii="Arial" w:cs="Arial" w:eastAsia="Arial" w:hAnsi="Arial"/>
          <w:sz w:val="18"/>
          <w:szCs w:val="18"/>
          <w:b w:val="1"/>
          <w:bCs w:val="1"/>
          <w:color w:val="auto"/>
        </w:rPr>
        <w:t>$1</w:t>
      </w:r>
      <w:r>
        <w:rPr>
          <w:rFonts w:ascii="Times New Roman" w:cs="Times New Roman" w:eastAsia="Times New Roman" w:hAnsi="Times New Roman"/>
          <w:sz w:val="19"/>
          <w:szCs w:val="19"/>
          <w:color w:val="auto"/>
        </w:rPr>
        <w:t xml:space="preserve"> 13.7 million, or $25.65 per share);</w:t>
      </w:r>
    </w:p>
    <w:p>
      <w:pPr>
        <w:spacing w:after="0" w:line="142" w:lineRule="exact"/>
        <w:rPr>
          <w:sz w:val="20"/>
          <w:szCs w:val="20"/>
          <w:color w:val="auto"/>
        </w:rPr>
      </w:pPr>
    </w:p>
    <w:p>
      <w:pPr>
        <w:jc w:val="both"/>
        <w:ind w:left="920" w:right="125"/>
        <w:spacing w:after="0" w:line="241" w:lineRule="auto"/>
        <w:rPr>
          <w:sz w:val="20"/>
          <w:szCs w:val="20"/>
          <w:color w:val="auto"/>
        </w:rPr>
      </w:pPr>
      <w:r>
        <w:rPr>
          <w:rFonts w:ascii="Times New Roman" w:cs="Times New Roman" w:eastAsia="Times New Roman" w:hAnsi="Times New Roman"/>
          <w:sz w:val="19"/>
          <w:szCs w:val="19"/>
          <w:color w:val="auto"/>
        </w:rPr>
        <w:t>$18 1.3 million in net gains on marketable equity securities (af1er-tax impact of $134.9 million, or $30.41 per share);</w:t>
      </w:r>
    </w:p>
    <w:p>
      <w:pPr>
        <w:spacing w:after="0" w:line="171" w:lineRule="exact"/>
        <w:rPr>
          <w:sz w:val="20"/>
          <w:szCs w:val="20"/>
          <w:color w:val="auto"/>
        </w:rPr>
      </w:pPr>
    </w:p>
    <w:p>
      <w:pPr>
        <w:jc w:val="both"/>
        <w:ind w:left="920" w:right="125"/>
        <w:spacing w:after="0" w:line="252" w:lineRule="auto"/>
        <w:rPr>
          <w:sz w:val="20"/>
          <w:szCs w:val="20"/>
          <w:color w:val="auto"/>
        </w:rPr>
      </w:pPr>
      <w:r>
        <w:rPr>
          <w:rFonts w:ascii="Times New Roman" w:cs="Times New Roman" w:eastAsia="Times New Roman" w:hAnsi="Times New Roman"/>
          <w:sz w:val="19"/>
          <w:szCs w:val="19"/>
          <w:color w:val="auto"/>
        </w:rPr>
        <w:t>$3.5 million in net losses of affiliates whose operations are not managed by the Company (after-tax impact of $2.6 million, or $0.59 per share);</w:t>
      </w:r>
    </w:p>
    <w:p>
      <w:pPr>
        <w:spacing w:after="0" w:line="142" w:lineRule="exact"/>
        <w:rPr>
          <w:sz w:val="20"/>
          <w:szCs w:val="20"/>
          <w:color w:val="auto"/>
        </w:rPr>
      </w:pPr>
    </w:p>
    <w:p>
      <w:pPr>
        <w:ind w:left="920" w:right="125" w:firstLine="3"/>
        <w:spacing w:after="0" w:line="252" w:lineRule="auto"/>
        <w:tabs>
          <w:tab w:leader="none" w:pos="1074" w:val="left"/>
        </w:tabs>
        <w:numPr>
          <w:ilvl w:val="0"/>
          <w:numId w:val="6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non-operating gain of $7.2 million from the sale of certain businesses and websites (after-tax impact of $5.3 million, or $1. 19 per share); and</w:t>
      </w:r>
    </w:p>
    <w:p>
      <w:pPr>
        <w:spacing w:after="0" w:line="142" w:lineRule="exact"/>
        <w:rPr>
          <w:sz w:val="20"/>
          <w:szCs w:val="20"/>
          <w:color w:val="auto"/>
        </w:rPr>
      </w:pPr>
    </w:p>
    <w:p>
      <w:pPr>
        <w:ind w:left="920" w:right="125" w:firstLine="3"/>
        <w:spacing w:after="0" w:line="262" w:lineRule="auto"/>
        <w:tabs>
          <w:tab w:leader="none" w:pos="1065" w:val="left"/>
        </w:tabs>
        <w:numPr>
          <w:ilvl w:val="0"/>
          <w:numId w:val="6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net non-operating loss of $16.7 million from the impairments and valuation adjustments of equity and cost method investments (after-tax impact of $12.4 million, or $2.80 per share).</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Items included in the Company's net income for 2023 are listed below:</w:t>
      </w:r>
    </w:p>
    <w:p>
      <w:pPr>
        <w:spacing w:after="0" w:line="162" w:lineRule="exact"/>
        <w:rPr>
          <w:sz w:val="20"/>
          <w:szCs w:val="20"/>
          <w:color w:val="auto"/>
        </w:rPr>
      </w:pPr>
    </w:p>
    <w:p>
      <w:pPr>
        <w:ind w:left="920" w:right="125"/>
        <w:spacing w:after="0" w:line="241" w:lineRule="auto"/>
        <w:rPr>
          <w:sz w:val="20"/>
          <w:szCs w:val="20"/>
          <w:color w:val="auto"/>
        </w:rPr>
      </w:pPr>
      <w:r>
        <w:rPr>
          <w:rFonts w:ascii="Times New Roman" w:cs="Times New Roman" w:eastAsia="Times New Roman" w:hAnsi="Times New Roman"/>
          <w:sz w:val="19"/>
          <w:szCs w:val="19"/>
          <w:color w:val="auto"/>
        </w:rPr>
        <w:t>a $7.0 million net credit related to fair value changes in contingent consideration from prior acquisitions (after-tax impact of $6.5 million, or $1.38 per share);</w:t>
      </w:r>
    </w:p>
    <w:p>
      <w:pPr>
        <w:spacing w:after="0" w:line="162" w:lineRule="exact"/>
        <w:rPr>
          <w:sz w:val="20"/>
          <w:szCs w:val="20"/>
          <w:color w:val="auto"/>
        </w:rPr>
      </w:pPr>
    </w:p>
    <w:p>
      <w:pPr>
        <w:ind w:left="920" w:right="105"/>
        <w:spacing w:after="0" w:line="252" w:lineRule="auto"/>
        <w:rPr>
          <w:sz w:val="20"/>
          <w:szCs w:val="20"/>
          <w:color w:val="auto"/>
        </w:rPr>
      </w:pPr>
      <w:r>
        <w:rPr>
          <w:rFonts w:ascii="Times New Roman" w:cs="Times New Roman" w:eastAsia="Times New Roman" w:hAnsi="Times New Roman"/>
          <w:sz w:val="19"/>
          <w:szCs w:val="19"/>
          <w:color w:val="auto"/>
        </w:rPr>
        <w:t>$99.1 million in goodwill and other long-lived asset impairment charges (after-tax impact of $88.9 million, or $18.97 per share);</w:t>
      </w:r>
    </w:p>
    <w:p>
      <w:pPr>
        <w:spacing w:after="0" w:line="151" w:lineRule="exact"/>
        <w:rPr>
          <w:sz w:val="20"/>
          <w:szCs w:val="20"/>
          <w:color w:val="auto"/>
        </w:rPr>
      </w:pPr>
    </w:p>
    <w:p>
      <w:pPr>
        <w:ind w:left="920" w:right="125" w:hanging="2"/>
        <w:spacing w:after="0" w:line="252" w:lineRule="auto"/>
        <w:rPr>
          <w:sz w:val="20"/>
          <w:szCs w:val="20"/>
          <w:color w:val="auto"/>
        </w:rPr>
      </w:pPr>
      <w:r>
        <w:rPr>
          <w:rFonts w:ascii="Times New Roman" w:cs="Times New Roman" w:eastAsia="Times New Roman" w:hAnsi="Times New Roman"/>
          <w:sz w:val="19"/>
          <w:szCs w:val="19"/>
          <w:color w:val="auto"/>
        </w:rPr>
        <w:t>$9.9 million in expenses related to non-operating SIPs at other businesses and the education and television broadcasting divisions (after-tax impact of $7.3 million, or $ 1..57 per share);</w:t>
      </w:r>
    </w:p>
    <w:p>
      <w:pPr>
        <w:spacing w:after="0" w:line="142" w:lineRule="exact"/>
        <w:rPr>
          <w:sz w:val="20"/>
          <w:szCs w:val="20"/>
          <w:color w:val="auto"/>
        </w:rPr>
      </w:pPr>
    </w:p>
    <w:p>
      <w:pPr>
        <w:ind w:left="920" w:right="125"/>
        <w:spacing w:after="0" w:line="262" w:lineRule="auto"/>
        <w:rPr>
          <w:sz w:val="20"/>
          <w:szCs w:val="20"/>
          <w:color w:val="auto"/>
        </w:rPr>
      </w:pPr>
      <w:r>
        <w:rPr>
          <w:rFonts w:ascii="Times New Roman" w:cs="Times New Roman" w:eastAsia="Times New Roman" w:hAnsi="Times New Roman"/>
          <w:sz w:val="19"/>
          <w:szCs w:val="19"/>
          <w:color w:val="auto"/>
        </w:rPr>
        <w:t>$138.1 million in net gains on marketable equity securities (after-tax impact of $102.7 million, or $21.93 per share);</w:t>
      </w:r>
    </w:p>
    <w:p>
      <w:pPr>
        <w:spacing w:after="0" w:line="124" w:lineRule="exact"/>
        <w:rPr>
          <w:sz w:val="20"/>
          <w:szCs w:val="20"/>
          <w:color w:val="auto"/>
        </w:rPr>
      </w:pPr>
    </w:p>
    <w:p>
      <w:pPr>
        <w:ind w:left="940" w:right="125" w:hanging="10"/>
        <w:spacing w:after="0" w:line="252" w:lineRule="auto"/>
        <w:rPr>
          <w:sz w:val="20"/>
          <w:szCs w:val="20"/>
          <w:color w:val="auto"/>
        </w:rPr>
      </w:pPr>
      <w:r>
        <w:rPr>
          <w:rFonts w:ascii="Times New Roman" w:cs="Times New Roman" w:eastAsia="Times New Roman" w:hAnsi="Times New Roman"/>
          <w:sz w:val="19"/>
          <w:szCs w:val="19"/>
          <w:color w:val="auto"/>
        </w:rPr>
        <w:t>$ 16 .0 million in net losses of affiliates whose operations are not managed by the Company (after-tax impact of $ 1 1.9 million, or $2.53 per share);</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05"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64</w:t>
        <w:tab/>
        <w:t>2024 FORM 10-K</w:t>
      </w:r>
    </w:p>
    <w:p>
      <w:pPr>
        <w:sectPr>
          <w:pgSz w:w="12240" w:h="15850" w:orient="portrait"/>
          <w:cols w:equalWidth="0" w:num="1">
            <w:col w:w="9365"/>
          </w:cols>
          <w:pgMar w:left="1440" w:top="1394" w:right="1440" w:bottom="721" w:gutter="0" w:footer="0" w:header="0"/>
          <w:type w:val="continuous"/>
        </w:sectPr>
      </w:pPr>
    </w:p>
    <w:bookmarkStart w:id="80" w:name="page81"/>
    <w:bookmarkEnd w:id="80"/>
    <w:p>
      <w:pPr>
        <w:ind w:left="920" w:right="125" w:firstLine="3"/>
        <w:spacing w:after="0"/>
        <w:tabs>
          <w:tab w:leader="none" w:pos="1082" w:val="left"/>
        </w:tabs>
        <w:numPr>
          <w:ilvl w:val="0"/>
          <w:numId w:val="6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8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non -operating gain of $10.0 million on the sale of Pinna (after-tax impact of $7.4 million, or $1.59 per share);</w:t>
      </w:r>
    </w:p>
    <w:p>
      <w:pPr>
        <w:spacing w:after="0" w:line="145" w:lineRule="exact"/>
        <w:rPr>
          <w:sz w:val="20"/>
          <w:szCs w:val="20"/>
          <w:color w:val="auto"/>
        </w:rPr>
      </w:pPr>
    </w:p>
    <w:p>
      <w:pPr>
        <w:ind w:left="940" w:right="125" w:firstLine="2"/>
        <w:spacing w:after="0" w:line="250" w:lineRule="auto"/>
        <w:rPr>
          <w:sz w:val="20"/>
          <w:szCs w:val="20"/>
          <w:color w:val="auto"/>
        </w:rPr>
      </w:pPr>
      <w:r>
        <w:rPr>
          <w:rFonts w:ascii="Times New Roman" w:cs="Times New Roman" w:eastAsia="Times New Roman" w:hAnsi="Times New Roman"/>
          <w:sz w:val="19"/>
          <w:szCs w:val="19"/>
          <w:color w:val="auto"/>
        </w:rPr>
        <w:t>non-operating gains, net, of $3.4 million from write-ups, sales and impairments of cost method investments (after-tax impact of $2.5 million, or $0.54 per share);</w:t>
      </w:r>
    </w:p>
    <w:p>
      <w:pPr>
        <w:spacing w:after="0" w:line="136" w:lineRule="exact"/>
        <w:rPr>
          <w:sz w:val="20"/>
          <w:szCs w:val="20"/>
          <w:color w:val="auto"/>
        </w:rPr>
      </w:pPr>
    </w:p>
    <w:p>
      <w:pPr>
        <w:ind w:left="940" w:right="105" w:hanging="8"/>
        <w:spacing w:after="0" w:line="250" w:lineRule="auto"/>
        <w:rPr>
          <w:sz w:val="20"/>
          <w:szCs w:val="20"/>
          <w:color w:val="auto"/>
        </w:rPr>
      </w:pPr>
      <w:r>
        <w:rPr>
          <w:rFonts w:ascii="Times New Roman" w:cs="Times New Roman" w:eastAsia="Times New Roman" w:hAnsi="Times New Roman"/>
          <w:sz w:val="19"/>
          <w:szCs w:val="19"/>
          <w:color w:val="auto"/>
        </w:rPr>
        <w:t>a $4.6 million credit to interest expense resulting from gains realized related to the termination of interest rate swaps (after-tax impact of $3.3 million, or $0.72 per share); and</w:t>
      </w:r>
    </w:p>
    <w:p>
      <w:pPr>
        <w:spacing w:after="0" w:line="126" w:lineRule="exact"/>
        <w:rPr>
          <w:sz w:val="20"/>
          <w:szCs w:val="20"/>
          <w:color w:val="auto"/>
        </w:rPr>
      </w:pPr>
    </w:p>
    <w:p>
      <w:pPr>
        <w:ind w:left="940" w:right="145" w:hanging="10"/>
        <w:spacing w:after="0" w:line="250" w:lineRule="auto"/>
        <w:rPr>
          <w:sz w:val="20"/>
          <w:szCs w:val="20"/>
          <w:color w:val="auto"/>
        </w:rPr>
      </w:pPr>
      <w:r>
        <w:rPr>
          <w:rFonts w:ascii="Times New Roman" w:cs="Times New Roman" w:eastAsia="Times New Roman" w:hAnsi="Times New Roman"/>
          <w:sz w:val="19"/>
          <w:szCs w:val="19"/>
          <w:color w:val="auto"/>
        </w:rPr>
        <w:t>$10.1 million in interest expense to adjust the fair value of the mandatorily redeemable noncontrolling interest (after-tax impact of $9.6 million, or $2.05 per sh are).</w:t>
      </w:r>
    </w:p>
    <w:p>
      <w:pPr>
        <w:spacing w:after="0" w:line="251" w:lineRule="exact"/>
        <w:rPr>
          <w:sz w:val="20"/>
          <w:szCs w:val="20"/>
          <w:color w:val="auto"/>
        </w:rPr>
      </w:pPr>
    </w:p>
    <w:p>
      <w:pPr>
        <w:jc w:val="both"/>
        <w:ind w:left="120" w:right="125" w:firstLine="12"/>
        <w:spacing w:after="0" w:line="261" w:lineRule="auto"/>
        <w:rPr>
          <w:sz w:val="20"/>
          <w:szCs w:val="20"/>
          <w:color w:val="auto"/>
        </w:rPr>
      </w:pPr>
      <w:r>
        <w:rPr>
          <w:rFonts w:ascii="Times New Roman" w:cs="Times New Roman" w:eastAsia="Times New Roman" w:hAnsi="Times New Roman"/>
          <w:sz w:val="19"/>
          <w:szCs w:val="19"/>
          <w:color w:val="auto"/>
        </w:rPr>
        <w:t>Revenme for 2024 was $4,790.9 million, up 9% from $4,414.9 million in 2023. Revenues increased at education, television broadcasting, healthcare and automotive, partially offset by declines at manufacturing and other businesses. Operating costs and expenses for the year increased to $4,575.4 million in 2024, from $4,345.5 million in 2023. Expenses in 2024 increased at educatio n, healthcare and automotive, partially offset by a decrease at television broadcasting, manufacturing and other businesses. The Company reported operating income for 2024 of $215.5 million, compared to $69.4 million in 2023. Excluding goodwill and other long-lived asset impairment charges, the improvement in operating results is due to increases at education, television broadcasting and healthcare, partially offset by declines at manufacturing and automotive.</w:t>
      </w:r>
    </w:p>
    <w:p>
      <w:pPr>
        <w:spacing w:after="0" w:line="33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Division Results</w:t>
      </w:r>
    </w:p>
    <w:p>
      <w:pPr>
        <w:spacing w:after="0" w:line="1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Education</w:t>
      </w:r>
    </w:p>
    <w:p>
      <w:pPr>
        <w:spacing w:after="0" w:line="133"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Education division revenue in 2024 totaled $1,691.8 million, 1Up 7% from $ 1,587.6 million in 2023. Kaplan report·ed operating income of $ 100.8 million for 2024, a decrease from $104.5 million in 2023. Excluding long-lived asset impairment charges, operating results improved significantly in 2024.</w:t>
      </w: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Kaplan's operating results is as follows: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4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40" w:type="dxa"/>
            <w:vAlign w:val="bottom"/>
            <w:gridSpan w:val="7"/>
          </w:tcPr>
          <w:p>
            <w:pPr>
              <w:jc w:val="right"/>
              <w:ind w:right="340"/>
              <w:spacing w:after="0"/>
              <w:rPr>
                <w:sz w:val="20"/>
                <w:szCs w:val="20"/>
                <w:color w:val="auto"/>
              </w:rPr>
            </w:pPr>
            <w:r>
              <w:rPr>
                <w:rFonts w:ascii="Times New Roman" w:cs="Times New Roman" w:eastAsia="Times New Roman" w:hAnsi="Times New Roman"/>
                <w:sz w:val="16"/>
                <w:szCs w:val="16"/>
                <w:color w:val="auto"/>
              </w:rPr>
              <w:t>Year Ended December 31</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ind w:right="187"/>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ind w:right="207"/>
              <w:spacing w:after="0"/>
              <w:rPr>
                <w:sz w:val="20"/>
                <w:szCs w:val="20"/>
                <w:color w:val="auto"/>
              </w:rPr>
            </w:pPr>
            <w:r>
              <w:rPr>
                <w:rFonts w:ascii="Times New Roman" w:cs="Times New Roman" w:eastAsia="Times New Roman" w:hAnsi="Times New Roman"/>
                <w:sz w:val="15"/>
                <w:szCs w:val="15"/>
                <w:color w:val="auto"/>
              </w:rPr>
              <w:t>2023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Change</w:t>
            </w:r>
          </w:p>
        </w:tc>
        <w:tc>
          <w:tcPr>
            <w:tcW w:w="0" w:type="dxa"/>
            <w:vAlign w:val="bottom"/>
          </w:tcPr>
          <w:p>
            <w:pPr>
              <w:spacing w:after="0"/>
              <w:rPr>
                <w:sz w:val="1"/>
                <w:szCs w:val="1"/>
                <w:color w:val="auto"/>
              </w:rPr>
            </w:pPr>
          </w:p>
        </w:tc>
      </w:tr>
      <w:tr>
        <w:trPr>
          <w:trHeight w:val="33"/>
        </w:trPr>
        <w:tc>
          <w:tcPr>
            <w:tcW w:w="44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Revenue</w:t>
            </w:r>
          </w:p>
        </w:tc>
        <w:tc>
          <w:tcPr>
            <w:tcW w:w="100" w:type="dxa"/>
            <w:vAlign w:val="bottom"/>
            <w:tcBorders>
              <w:bottom w:val="single" w:sz="8" w:color="181414"/>
            </w:tcBorders>
          </w:tcPr>
          <w:p>
            <w:pPr>
              <w:spacing w:after="0"/>
              <w:rPr>
                <w:sz w:val="2"/>
                <w:szCs w:val="2"/>
                <w:color w:val="auto"/>
              </w:rPr>
            </w:pPr>
          </w:p>
        </w:tc>
        <w:tc>
          <w:tcPr>
            <w:tcW w:w="40" w:type="dxa"/>
            <w:vAlign w:val="bottom"/>
            <w:tcBorders>
              <w:bottom w:val="single" w:sz="8" w:color="181414"/>
            </w:tcBorders>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181414"/>
            </w:tcBorders>
          </w:tcPr>
          <w:p>
            <w:pPr>
              <w:spacing w:after="0"/>
              <w:rPr>
                <w:sz w:val="2"/>
                <w:szCs w:val="2"/>
                <w:color w:val="auto"/>
              </w:rPr>
            </w:pPr>
          </w:p>
        </w:tc>
        <w:tc>
          <w:tcPr>
            <w:tcW w:w="800" w:type="dxa"/>
            <w:vAlign w:val="bottom"/>
            <w:tcBorders>
              <w:bottom w:val="single" w:sz="8" w:color="181414"/>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46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4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Kaplan international .. . ..................... .</w:t>
            </w:r>
          </w:p>
        </w:tc>
        <w:tc>
          <w:tcPr>
            <w:tcW w:w="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1,074,207</w:t>
            </w:r>
          </w:p>
        </w:tc>
        <w:tc>
          <w:tcPr>
            <w:tcW w:w="180" w:type="dxa"/>
            <w:vAlign w:val="bottom"/>
          </w:tcPr>
          <w:p>
            <w:pPr>
              <w:spacing w:after="0"/>
              <w:rPr>
                <w:sz w:val="20"/>
                <w:szCs w:val="20"/>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966,879</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rPr>
              <w:t>11</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Higher education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324,815</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326,961</w:t>
            </w:r>
          </w:p>
        </w:tc>
        <w:tc>
          <w:tcPr>
            <w:tcW w:w="160" w:type="dxa"/>
            <w:vAlign w:val="bottom"/>
          </w:tcPr>
          <w:p>
            <w:pPr>
              <w:spacing w:after="0"/>
              <w:rPr>
                <w:sz w:val="20"/>
                <w:szCs w:val="20"/>
                <w:color w:val="auto"/>
              </w:rPr>
            </w:pPr>
          </w:p>
        </w:tc>
        <w:tc>
          <w:tcPr>
            <w:tcW w:w="780" w:type="dxa"/>
            <w:vAlign w:val="bottom"/>
          </w:tcPr>
          <w:p>
            <w:pPr>
              <w:jc w:val="right"/>
              <w:ind w:right="26"/>
              <w:spacing w:after="0"/>
              <w:rPr>
                <w:sz w:val="20"/>
                <w:szCs w:val="20"/>
                <w:color w:val="auto"/>
              </w:rPr>
            </w:pPr>
            <w:r>
              <w:rPr>
                <w:rFonts w:ascii="Arial" w:cs="Arial" w:eastAsia="Arial" w:hAnsi="Arial"/>
                <w:sz w:val="18"/>
                <w:szCs w:val="18"/>
                <w:color w:val="auto"/>
              </w:rPr>
              <w:t>( I)</w:t>
            </w:r>
          </w:p>
        </w:tc>
        <w:tc>
          <w:tcPr>
            <w:tcW w:w="0" w:type="dxa"/>
            <w:vAlign w:val="bottom"/>
          </w:tcPr>
          <w:p>
            <w:pPr>
              <w:spacing w:after="0"/>
              <w:rPr>
                <w:sz w:val="1"/>
                <w:szCs w:val="1"/>
                <w:color w:val="auto"/>
              </w:rPr>
            </w:pPr>
          </w:p>
        </w:tc>
      </w:tr>
      <w:tr>
        <w:trPr>
          <w:trHeight w:val="252"/>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Supplemental education . ...... ... ...........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291,630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292,776</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20"/>
                <w:szCs w:val="20"/>
                <w:color w:val="auto"/>
              </w:rPr>
              <w:t>0</w:t>
            </w:r>
          </w:p>
        </w:tc>
        <w:tc>
          <w:tcPr>
            <w:tcW w:w="0" w:type="dxa"/>
            <w:vAlign w:val="bottom"/>
          </w:tcPr>
          <w:p>
            <w:pPr>
              <w:spacing w:after="0"/>
              <w:rPr>
                <w:sz w:val="1"/>
                <w:szCs w:val="1"/>
                <w:color w:val="auto"/>
              </w:rPr>
            </w:pPr>
          </w:p>
        </w:tc>
      </w:tr>
      <w:tr>
        <w:trPr>
          <w:trHeight w:val="235"/>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Kaplan corporate and other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5,761</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11,012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(48)</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lntersegment elimination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(4,635)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(10,047)</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4460" w:type="dxa"/>
            <w:vAlign w:val="bottom"/>
          </w:tcPr>
          <w:p>
            <w:pPr>
              <w:spacing w:after="0"/>
              <w:rPr>
                <w:sz w:val="24"/>
                <w:szCs w:val="24"/>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b w:val="1"/>
                <w:bCs w:val="1"/>
                <w:color w:val="auto"/>
              </w:rPr>
              <w:t>1,691,778</w:t>
            </w:r>
          </w:p>
        </w:tc>
        <w:tc>
          <w:tcPr>
            <w:tcW w:w="180" w:type="dxa"/>
            <w:vAlign w:val="bottom"/>
          </w:tcPr>
          <w:p>
            <w:pPr>
              <w:spacing w:after="0"/>
              <w:rPr>
                <w:sz w:val="24"/>
                <w:szCs w:val="24"/>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96"/>
              </w:rPr>
              <w:t>1,587,58 1</w:t>
            </w:r>
          </w:p>
        </w:tc>
        <w:tc>
          <w:tcPr>
            <w:tcW w:w="160" w:type="dxa"/>
            <w:vAlign w:val="bottom"/>
          </w:tcPr>
          <w:p>
            <w:pPr>
              <w:spacing w:after="0"/>
              <w:rPr>
                <w:sz w:val="24"/>
                <w:szCs w:val="24"/>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rPr>
              <w:t>7</w:t>
            </w:r>
          </w:p>
        </w:tc>
        <w:tc>
          <w:tcPr>
            <w:tcW w:w="0" w:type="dxa"/>
            <w:vAlign w:val="bottom"/>
          </w:tcPr>
          <w:p>
            <w:pPr>
              <w:spacing w:after="0"/>
              <w:rPr>
                <w:sz w:val="1"/>
                <w:szCs w:val="1"/>
                <w:color w:val="auto"/>
              </w:rPr>
            </w:pPr>
          </w:p>
        </w:tc>
      </w:tr>
      <w:tr>
        <w:trPr>
          <w:trHeight w:val="355"/>
        </w:trPr>
        <w:tc>
          <w:tcPr>
            <w:tcW w:w="4460" w:type="dxa"/>
            <w:vAlign w:val="bottom"/>
          </w:tcPr>
          <w:p>
            <w:pPr>
              <w:spacing w:after="0"/>
              <w:rPr>
                <w:sz w:val="20"/>
                <w:szCs w:val="20"/>
                <w:color w:val="auto"/>
              </w:rPr>
            </w:pPr>
            <w:r>
              <w:rPr>
                <w:rFonts w:ascii="Times New Roman" w:cs="Times New Roman" w:eastAsia="Times New Roman" w:hAnsi="Times New Roman"/>
                <w:sz w:val="19"/>
                <w:szCs w:val="19"/>
                <w:b w:val="1"/>
                <w:bCs w:val="1"/>
                <w:color w:val="auto"/>
              </w:rPr>
              <w:t xml:space="preserve">Operating Income </w:t>
            </w:r>
            <w:r>
              <w:rPr>
                <w:rFonts w:ascii="Times New Roman" w:cs="Times New Roman" w:eastAsia="Times New Roman" w:hAnsi="Times New Roman"/>
                <w:sz w:val="19"/>
                <w:szCs w:val="19"/>
                <w:color w:val="auto"/>
              </w:rPr>
              <w:t>(Loss)</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Kaplan international ... . ...... ... ........... .</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101,699</w:t>
            </w:r>
          </w:p>
        </w:tc>
        <w:tc>
          <w:tcPr>
            <w:tcW w:w="180" w:type="dxa"/>
            <w:vAlign w:val="bottom"/>
          </w:tcPr>
          <w:p>
            <w:pPr>
              <w:spacing w:after="0"/>
              <w:rPr>
                <w:sz w:val="21"/>
                <w:szCs w:val="21"/>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87,530</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rPr>
              <w:t>16</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Higher education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40,750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38,942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19"/>
                <w:szCs w:val="19"/>
                <w:color w:val="auto"/>
              </w:rPr>
              <w:t>5</w:t>
            </w:r>
          </w:p>
        </w:tc>
        <w:tc>
          <w:tcPr>
            <w:tcW w:w="0" w:type="dxa"/>
            <w:vAlign w:val="bottom"/>
          </w:tcPr>
          <w:p>
            <w:pPr>
              <w:spacing w:after="0"/>
              <w:rPr>
                <w:sz w:val="1"/>
                <w:szCs w:val="1"/>
                <w:color w:val="auto"/>
              </w:rPr>
            </w:pPr>
          </w:p>
        </w:tc>
      </w:tr>
      <w:tr>
        <w:trPr>
          <w:trHeight w:val="238"/>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Supplemental education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26,934</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22,472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20</w:t>
            </w:r>
          </w:p>
        </w:tc>
        <w:tc>
          <w:tcPr>
            <w:tcW w:w="0" w:type="dxa"/>
            <w:vAlign w:val="bottom"/>
          </w:tcPr>
          <w:p>
            <w:pPr>
              <w:spacing w:after="0"/>
              <w:rPr>
                <w:sz w:val="1"/>
                <w:szCs w:val="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Kaplan corporate and other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(35,148)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(29,89 1)</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(18)</w:t>
            </w:r>
          </w:p>
        </w:tc>
        <w:tc>
          <w:tcPr>
            <w:tcW w:w="0" w:type="dxa"/>
            <w:vAlign w:val="bottom"/>
          </w:tcPr>
          <w:p>
            <w:pPr>
              <w:spacing w:after="0"/>
              <w:rPr>
                <w:sz w:val="1"/>
                <w:szCs w:val="1"/>
                <w:color w:val="auto"/>
              </w:rPr>
            </w:pPr>
          </w:p>
        </w:tc>
      </w:tr>
      <w:tr>
        <w:trPr>
          <w:trHeight w:val="240"/>
        </w:trPr>
        <w:tc>
          <w:tcPr>
            <w:tcW w:w="446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Amortization of intangible assets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(10,487)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(14,076)</w:t>
            </w:r>
          </w:p>
        </w:tc>
        <w:tc>
          <w:tcPr>
            <w:tcW w:w="780" w:type="dxa"/>
            <w:vAlign w:val="bottom"/>
          </w:tcPr>
          <w:p>
            <w:pPr>
              <w:jc w:val="right"/>
              <w:ind w:right="106"/>
              <w:spacing w:after="0"/>
              <w:rPr>
                <w:sz w:val="20"/>
                <w:szCs w:val="20"/>
                <w:color w:val="auto"/>
              </w:rPr>
            </w:pPr>
            <w:r>
              <w:rPr>
                <w:rFonts w:ascii="Times New Roman" w:cs="Times New Roman" w:eastAsia="Times New Roman" w:hAnsi="Times New Roman"/>
                <w:sz w:val="20"/>
                <w:szCs w:val="20"/>
                <w:color w:val="auto"/>
              </w:rPr>
              <w:t>25</w:t>
            </w:r>
          </w:p>
        </w:tc>
        <w:tc>
          <w:tcPr>
            <w:tcW w:w="0" w:type="dxa"/>
            <w:vAlign w:val="bottom"/>
          </w:tcPr>
          <w:p>
            <w:pPr>
              <w:spacing w:after="0"/>
              <w:rPr>
                <w:sz w:val="1"/>
                <w:szCs w:val="1"/>
                <w:color w:val="auto"/>
              </w:rPr>
            </w:pPr>
          </w:p>
        </w:tc>
      </w:tr>
      <w:tr>
        <w:trPr>
          <w:trHeight w:val="237"/>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Impairment of long-lived assets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(22,930)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(477)</w:t>
            </w: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460" w:type="dxa"/>
            <w:vAlign w:val="bottom"/>
          </w:tcPr>
          <w:p>
            <w:pPr>
              <w:spacing w:after="0"/>
              <w:rPr>
                <w:sz w:val="20"/>
                <w:szCs w:val="20"/>
                <w:color w:val="auto"/>
              </w:rPr>
            </w:pPr>
            <w:r>
              <w:rPr>
                <w:rFonts w:ascii="Times New Roman" w:cs="Times New Roman" w:eastAsia="Times New Roman" w:hAnsi="Times New Roman"/>
                <w:sz w:val="19"/>
                <w:szCs w:val="19"/>
                <w:color w:val="auto"/>
              </w:rPr>
              <w:t>Intersegment elimination  ... . ................ .</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(29)</w:t>
            </w:r>
          </w:p>
        </w:tc>
        <w:tc>
          <w:tcPr>
            <w:tcW w:w="7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460" w:type="dxa"/>
            <w:vAlign w:val="bottom"/>
          </w:tcPr>
          <w:p>
            <w:pPr>
              <w:spacing w:after="0"/>
              <w:rPr>
                <w:sz w:val="3"/>
                <w:szCs w:val="3"/>
                <w:color w:val="auto"/>
              </w:rPr>
            </w:pPr>
          </w:p>
        </w:tc>
        <w:tc>
          <w:tcPr>
            <w:tcW w:w="140" w:type="dxa"/>
            <w:vAlign w:val="bottom"/>
            <w:tcBorders>
              <w:bottom w:val="single" w:sz="8" w:color="0C080C"/>
            </w:tcBorders>
            <w:gridSpan w:val="2"/>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820" w:type="dxa"/>
            <w:vAlign w:val="bottom"/>
            <w:tcBorders>
              <w:bottom w:val="single" w:sz="8" w:color="0C0808"/>
            </w:tcBorders>
            <w:gridSpan w:val="2"/>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6"/>
        </w:trPr>
        <w:tc>
          <w:tcPr>
            <w:tcW w:w="4460" w:type="dxa"/>
            <w:vAlign w:val="bottom"/>
          </w:tcPr>
          <w:p>
            <w:pPr>
              <w:spacing w:after="0"/>
              <w:rPr>
                <w:sz w:val="23"/>
                <w:szCs w:val="23"/>
                <w:color w:val="auto"/>
              </w:rPr>
            </w:pPr>
          </w:p>
        </w:tc>
        <w:tc>
          <w:tcPr>
            <w:tcW w:w="1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100,829</w:t>
            </w:r>
          </w:p>
        </w:tc>
        <w:tc>
          <w:tcPr>
            <w:tcW w:w="180" w:type="dxa"/>
            <w:vAlign w:val="bottom"/>
          </w:tcPr>
          <w:p>
            <w:pPr>
              <w:spacing w:after="0"/>
              <w:rPr>
                <w:sz w:val="23"/>
                <w:szCs w:val="23"/>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gridSpan w:val="3"/>
          </w:tcPr>
          <w:p>
            <w:pPr>
              <w:jc w:val="right"/>
              <w:ind w:right="160"/>
              <w:spacing w:after="0"/>
              <w:rPr>
                <w:sz w:val="20"/>
                <w:szCs w:val="20"/>
                <w:color w:val="auto"/>
              </w:rPr>
            </w:pPr>
            <w:r>
              <w:rPr>
                <w:rFonts w:ascii="Times New Roman" w:cs="Times New Roman" w:eastAsia="Times New Roman" w:hAnsi="Times New Roman"/>
                <w:sz w:val="19"/>
                <w:szCs w:val="19"/>
                <w:color w:val="auto"/>
              </w:rPr>
              <w:t>I 04,47 1</w:t>
            </w:r>
          </w:p>
        </w:tc>
        <w:tc>
          <w:tcPr>
            <w:tcW w:w="780" w:type="dxa"/>
            <w:vAlign w:val="bottom"/>
          </w:tcPr>
          <w:p>
            <w:pPr>
              <w:jc w:val="right"/>
              <w:ind w:right="46"/>
              <w:spacing w:after="0"/>
              <w:rPr>
                <w:sz w:val="20"/>
                <w:szCs w:val="20"/>
                <w:color w:val="auto"/>
              </w:rPr>
            </w:pPr>
            <w:r>
              <w:rPr>
                <w:rFonts w:ascii="Times New Roman" w:cs="Times New Roman" w:eastAsia="Times New Roman" w:hAnsi="Times New Roman"/>
                <w:sz w:val="19"/>
                <w:szCs w:val="19"/>
                <w:color w:val="auto"/>
              </w:rPr>
              <w:t>(3)</w:t>
            </w:r>
          </w:p>
        </w:tc>
        <w:tc>
          <w:tcPr>
            <w:tcW w:w="0" w:type="dxa"/>
            <w:vAlign w:val="bottom"/>
          </w:tcPr>
          <w:p>
            <w:pPr>
              <w:spacing w:after="0"/>
              <w:rPr>
                <w:sz w:val="1"/>
                <w:szCs w:val="1"/>
                <w:color w:val="auto"/>
              </w:rPr>
            </w:pPr>
          </w:p>
        </w:tc>
      </w:tr>
      <w:tr>
        <w:trPr>
          <w:trHeight w:val="32"/>
        </w:trPr>
        <w:tc>
          <w:tcPr>
            <w:tcW w:w="446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40" w:type="dxa"/>
            <w:vAlign w:val="bottom"/>
            <w:tcBorders>
              <w:bottom w:val="single" w:sz="8" w:color="504C4C"/>
            </w:tcBorders>
          </w:tcPr>
          <w:p>
            <w:pPr>
              <w:spacing w:after="0"/>
              <w:rPr>
                <w:sz w:val="2"/>
                <w:szCs w:val="2"/>
                <w:color w:val="auto"/>
              </w:rPr>
            </w:pPr>
          </w:p>
        </w:tc>
        <w:tc>
          <w:tcPr>
            <w:tcW w:w="76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both"/>
        <w:ind w:left="120" w:right="125" w:firstLine="20"/>
        <w:spacing w:after="0" w:line="256" w:lineRule="auto"/>
        <w:rPr>
          <w:sz w:val="20"/>
          <w:szCs w:val="20"/>
          <w:color w:val="auto"/>
        </w:rPr>
      </w:pPr>
      <w:r>
        <w:rPr>
          <w:rFonts w:ascii="Times New Roman" w:cs="Times New Roman" w:eastAsia="Times New Roman" w:hAnsi="Times New Roman"/>
          <w:sz w:val="19"/>
          <w:szCs w:val="19"/>
          <w:color w:val="auto"/>
        </w:rPr>
        <w:t>Kaplan International includes postsecondary education, professional training and language training businesses largely o utside the United States. Kaplan International revenue increased 11% in 2024 (9% on a constant currerncy basis). The increase in 2024 is due largely to growth at Pathways, Australia, UK Professional and</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30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65</w:t>
      </w:r>
    </w:p>
    <w:p>
      <w:pPr>
        <w:sectPr>
          <w:pgSz w:w="12240" w:h="15850" w:orient="portrait"/>
          <w:cols w:equalWidth="0" w:num="1">
            <w:col w:w="9365"/>
          </w:cols>
          <w:pgMar w:left="1440" w:top="1395" w:right="1440" w:bottom="721" w:gutter="0" w:footer="0" w:header="0"/>
          <w:type w:val="continuous"/>
        </w:sectPr>
      </w:pPr>
    </w:p>
    <w:bookmarkStart w:id="81" w:name="page82"/>
    <w:bookmarkEnd w:id="81"/>
    <w:p>
      <w:pPr>
        <w:jc w:val="both"/>
        <w:ind w:left="120" w:right="125" w:hanging="1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Singapore. Kaplan International reported operating income of $ 101.7 million in 2024, compared to $87.5 million in 2023. The increase is due largely to improved results at Australia, UK Professional, Pathways and Singapore,</w:t>
      </w:r>
    </w:p>
    <w:p>
      <w:pPr>
        <w:spacing w:after="0" w:line="32"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color w:val="auto"/>
        </w:rPr>
        <w:t>partially offset by a decline at Languages and increased incemi ve compensation costs. In !he fourth quarter of</w:t>
      </w:r>
    </w:p>
    <w:p>
      <w:pPr>
        <w:spacing w:after="0" w:line="28" w:lineRule="exact"/>
        <w:rPr>
          <w:sz w:val="20"/>
          <w:szCs w:val="20"/>
          <w:color w:val="auto"/>
        </w:rPr>
      </w:pPr>
    </w:p>
    <w:p>
      <w:pPr>
        <w:ind w:left="140" w:right="125" w:hanging="18"/>
        <w:spacing w:after="0" w:line="250" w:lineRule="auto"/>
        <w:rPr>
          <w:sz w:val="20"/>
          <w:szCs w:val="20"/>
          <w:color w:val="auto"/>
        </w:rPr>
      </w:pPr>
      <w:r>
        <w:rPr>
          <w:rFonts w:ascii="Times New Roman" w:cs="Times New Roman" w:eastAsia="Times New Roman" w:hAnsi="Times New Roman"/>
          <w:sz w:val="19"/>
          <w:szCs w:val="19"/>
          <w:color w:val="auto"/>
        </w:rPr>
        <w:t>2024, revenue and operating results were down at Australia due to lower new student enrollments at Kaplan Business School resulting from changes in student visa policies.</w:t>
      </w:r>
    </w:p>
    <w:p>
      <w:pPr>
        <w:spacing w:after="0" w:line="231"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Higher Education includes the results of Kaplan as a service provider to higher education institutions. Higher Education revenue decreased 1% in 2024 due to reduced reimbursable expenses from Purdue Global, partially offset by an increase in the fees from Purdue Global and growth in other higher education programs. Enrollments at Purdue Global, the largest institutional client, increased 5% for 2024 compared with the end of 2023. In 2024 and 2023, Kaplan recorded a portion of the fee with Purdue Global. The Company will continue to assess the fee it records from Purdue Global on a quarterly basis to make a determination as to whether to record all or part of the fee in the future and whether to make adjustments to fee amounts recognized in earlier periods. During 2024 and 2023, Kaplan recorded $54.5 million and $50.3 million, respectively, in fees from Purdue Global in its Higher Education operating results. Higher Education results improved in 2024 due to an increase in the Purdue Global fee recorded, partially offset by an increase in higher education development costs.</w:t>
      </w:r>
    </w:p>
    <w:p>
      <w:pPr>
        <w:spacing w:after="0" w:line="219" w:lineRule="exact"/>
        <w:rPr>
          <w:sz w:val="20"/>
          <w:szCs w:val="20"/>
          <w:color w:val="auto"/>
        </w:rPr>
      </w:pPr>
    </w:p>
    <w:p>
      <w:pPr>
        <w:jc w:val="both"/>
        <w:ind w:left="120" w:right="125" w:firstLine="8"/>
        <w:spacing w:after="0" w:line="263" w:lineRule="auto"/>
        <w:rPr>
          <w:sz w:val="20"/>
          <w:szCs w:val="20"/>
          <w:color w:val="auto"/>
        </w:rPr>
      </w:pPr>
      <w:r>
        <w:rPr>
          <w:rFonts w:ascii="Times New Roman" w:cs="Times New Roman" w:eastAsia="Times New Roman" w:hAnsi="Times New Roman"/>
          <w:sz w:val="19"/>
          <w:szCs w:val="19"/>
          <w:color w:val="auto"/>
        </w:rPr>
        <w:t>Supplemental Education includes Kaplan's standardized test preparation programs and domestic professional and other continuing education businesses. Supplemental Education revenue declined sljgbtly in 2024, driven mostly by softness in Medical Licensure test preparation, wealth management and Real !Estate, offset in part by growth in Insurance, CFA, Legal assessment services, Architecture and Engineering and MCAT test preparation. Operating results improved in 2024 due largely to cost reductions from lower headcount, partially offset by increased employee healthcare and pension expense.</w:t>
      </w:r>
    </w:p>
    <w:p>
      <w:pPr>
        <w:spacing w:after="0" w:line="213"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In 2024, Kaplan offered SIPs to certain employees, primarily at Supplemental Education; $2.8 million in related non-otperating pension expense was recorded.</w:t>
      </w:r>
    </w:p>
    <w:p>
      <w:pPr>
        <w:spacing w:after="0" w:line="230" w:lineRule="exact"/>
        <w:rPr>
          <w:sz w:val="20"/>
          <w:szCs w:val="20"/>
          <w:color w:val="auto"/>
        </w:rPr>
      </w:pPr>
    </w:p>
    <w:p>
      <w:pPr>
        <w:jc w:val="both"/>
        <w:ind w:left="120" w:right="125" w:firstLine="1"/>
        <w:spacing w:after="0" w:line="251" w:lineRule="auto"/>
        <w:rPr>
          <w:sz w:val="20"/>
          <w:szCs w:val="20"/>
          <w:color w:val="auto"/>
        </w:rPr>
      </w:pPr>
      <w:r>
        <w:rPr>
          <w:rFonts w:ascii="Times New Roman" w:cs="Times New Roman" w:eastAsia="Times New Roman" w:hAnsi="Times New Roman"/>
          <w:sz w:val="19"/>
          <w:szCs w:val="19"/>
          <w:color w:val="auto"/>
        </w:rPr>
        <w:t>Kaplan corporate and other represents unallocated expenses of Kaplan, Inc.'s corporate office, other minor businesses and certain shared activities. Overall, Kaplan corporate and other expenses increased in 2024 due to increased e mployee benefit and incentive compensation costs.</w:t>
      </w:r>
    </w:p>
    <w:p>
      <w:pPr>
        <w:spacing w:after="0" w:line="240" w:lineRule="exact"/>
        <w:rPr>
          <w:sz w:val="20"/>
          <w:szCs w:val="20"/>
          <w:color w:val="auto"/>
        </w:rPr>
      </w:pPr>
    </w:p>
    <w:p>
      <w:pPr>
        <w:jc w:val="both"/>
        <w:ind w:left="120" w:right="125" w:firstLine="9"/>
        <w:spacing w:after="0" w:line="250" w:lineRule="auto"/>
        <w:rPr>
          <w:sz w:val="20"/>
          <w:szCs w:val="20"/>
          <w:color w:val="auto"/>
        </w:rPr>
      </w:pPr>
      <w:r>
        <w:rPr>
          <w:rFonts w:ascii="Times New Roman" w:cs="Times New Roman" w:eastAsia="Times New Roman" w:hAnsi="Times New Roman"/>
          <w:sz w:val="19"/>
          <w:szCs w:val="19"/>
          <w:color w:val="auto"/>
        </w:rPr>
        <w:t>In the fourth quarter o f 2024, Kaplan recorded an intangible asset impairment charge of $22.9 million related to Mander Portman Woodward (MPW), which is part of Kaplan International.</w:t>
      </w:r>
    </w:p>
    <w:p>
      <w:pPr>
        <w:spacing w:after="0" w:line="3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Television Broadcasting</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television broadcasting' s operating results is as follows: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2"/>
          </w:tcPr>
          <w:p>
            <w:pPr>
              <w:jc w:val="right"/>
              <w:ind w:right="71"/>
              <w:spacing w:after="0"/>
              <w:rPr>
                <w:sz w:val="20"/>
                <w:szCs w:val="20"/>
                <w:color w:val="auto"/>
              </w:rPr>
            </w:pPr>
            <w:r>
              <w:rPr>
                <w:rFonts w:ascii="Times New Roman" w:cs="Times New Roman" w:eastAsia="Times New Roman" w:hAnsi="Times New Roman"/>
                <w:sz w:val="16"/>
                <w:szCs w:val="16"/>
                <w:color w:val="auto"/>
              </w:rPr>
              <w:t>Year Ended December 31</w:t>
            </w:r>
          </w:p>
        </w:tc>
        <w:tc>
          <w:tcPr>
            <w:tcW w:w="820" w:type="dxa"/>
            <w:vAlign w:val="bottom"/>
          </w:tcPr>
          <w:p>
            <w:pPr>
              <w:spacing w:after="0"/>
              <w:rPr>
                <w:sz w:val="16"/>
                <w:szCs w:val="16"/>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5"/>
                <w:szCs w:val="15"/>
                <w:color w:val="auto"/>
              </w:rPr>
              <w:t>2024</w:t>
            </w:r>
          </w:p>
        </w:tc>
        <w:tc>
          <w:tcPr>
            <w:tcW w:w="1180" w:type="dxa"/>
            <w:vAlign w:val="bottom"/>
          </w:tcPr>
          <w:p>
            <w:pPr>
              <w:jc w:val="right"/>
              <w:ind w:right="271"/>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5"/>
                <w:szCs w:val="15"/>
                <w:color w:val="auto"/>
              </w:rPr>
              <w:t>Change</w:t>
            </w:r>
          </w:p>
        </w:tc>
      </w:tr>
      <w:tr>
        <w:trPr>
          <w:trHeight w:val="33"/>
        </w:trPr>
        <w:tc>
          <w:tcPr>
            <w:tcW w:w="46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118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68"/>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Revenue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$535,678</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9"/>
                <w:szCs w:val="19"/>
                <w:color w:val="auto"/>
              </w:rPr>
              <w:t>$472,436</w:t>
            </w:r>
          </w:p>
        </w:tc>
        <w:tc>
          <w:tcPr>
            <w:tcW w:w="820" w:type="dxa"/>
            <w:vAlign w:val="bottom"/>
          </w:tcPr>
          <w:p>
            <w:pPr>
              <w:jc w:val="right"/>
              <w:ind w:right="153"/>
              <w:spacing w:after="0"/>
              <w:rPr>
                <w:sz w:val="20"/>
                <w:szCs w:val="20"/>
                <w:color w:val="auto"/>
              </w:rPr>
            </w:pPr>
            <w:r>
              <w:rPr>
                <w:rFonts w:ascii="Times New Roman" w:cs="Times New Roman" w:eastAsia="Times New Roman" w:hAnsi="Times New Roman"/>
                <w:sz w:val="19"/>
                <w:szCs w:val="19"/>
                <w:color w:val="auto"/>
              </w:rPr>
              <w:t>13</w:t>
            </w:r>
          </w:p>
        </w:tc>
      </w:tr>
      <w:tr>
        <w:trPr>
          <w:trHeight w:val="252"/>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Operating Income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21"/>
                <w:szCs w:val="21"/>
                <w:b w:val="1"/>
                <w:bCs w:val="1"/>
                <w:color w:val="auto"/>
              </w:rPr>
              <w:t>201,165</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9"/>
                <w:szCs w:val="19"/>
                <w:color w:val="auto"/>
              </w:rPr>
              <w:t>133,938</w:t>
            </w:r>
          </w:p>
        </w:tc>
        <w:tc>
          <w:tcPr>
            <w:tcW w:w="820" w:type="dxa"/>
            <w:vAlign w:val="bottom"/>
          </w:tcPr>
          <w:p>
            <w:pPr>
              <w:jc w:val="right"/>
              <w:ind w:right="133"/>
              <w:spacing w:after="0"/>
              <w:rPr>
                <w:sz w:val="20"/>
                <w:szCs w:val="20"/>
                <w:color w:val="auto"/>
              </w:rPr>
            </w:pPr>
            <w:r>
              <w:rPr>
                <w:rFonts w:ascii="Times New Roman" w:cs="Times New Roman" w:eastAsia="Times New Roman" w:hAnsi="Times New Roman"/>
                <w:sz w:val="19"/>
                <w:szCs w:val="19"/>
                <w:i w:val="1"/>
                <w:iCs w:val="1"/>
                <w:color w:val="auto"/>
              </w:rPr>
              <w:t>50</w:t>
            </w:r>
          </w:p>
        </w:tc>
      </w:tr>
    </w:tbl>
    <w:p>
      <w:pPr>
        <w:spacing w:after="0" w:line="236"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Graham Media Group, Inc. (GMG) owns seven television stations located in Houston, TX; Detroit, Ml; Orlando, FL; San Antonio, TX; Jacksonville, FL; and Roanoke, VA, as well as SociaiNewsDesk, a provider of social media management tools designed to connect newsrooms with their users. Revenue at the television broadcasting division increased 13% to $535.7 million in 2024, from $472.4 million in 2023. The revenue increase is due to a $90.5 million increase in political advertising revenue, increases from summer Olympics-related advertising revenue at the Company's NBC stations and an increase in digital advertising revenue, partially offset by a decline in local advertising revenue due to lower demand and fewer available advertising spots, and an $8.0 million decrease in retransmission revenues. Operating income for 2024 was up 50% to $201.2 million, from $ 133.9 mil lion in 2023, due to higher revenues, cost reductions from lower headcount, and lower network fees; partially offset by increased pension expense. While per subscriber rates from cable, satellite and OTT</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30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66</w:t>
        <w:tab/>
        <w:t>2024 FORM 10-K</w:t>
      </w:r>
    </w:p>
    <w:p>
      <w:pPr>
        <w:sectPr>
          <w:pgSz w:w="12240" w:h="15850" w:orient="portrait"/>
          <w:cols w:equalWidth="0" w:num="1">
            <w:col w:w="9365"/>
          </w:cols>
          <w:pgMar w:left="1440" w:top="1395" w:right="1440" w:bottom="721" w:gutter="0" w:footer="0" w:header="0"/>
          <w:type w:val="continuous"/>
        </w:sectPr>
      </w:pPr>
    </w:p>
    <w:bookmarkStart w:id="82" w:name="page83"/>
    <w:bookmarkEnd w:id="82"/>
    <w:p>
      <w:pPr>
        <w:jc w:val="both"/>
        <w:ind w:left="120" w:right="125" w:firstLine="12"/>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providers have grown, overall cable and satellite subscribers are down due to cord cutting, resulting in retransmission revenue net of network fees in 2024 to decline modestly compared with 2023, and this trend is expected </w:t>
      </w:r>
      <w:r>
        <w:rPr>
          <w:rFonts w:ascii="Times New Roman" w:cs="Times New Roman" w:eastAsia="Times New Roman" w:hAnsi="Times New Roman"/>
          <w:sz w:val="18"/>
          <w:szCs w:val="18"/>
          <w:color w:val="auto"/>
        </w:rPr>
        <w:t>to</w:t>
      </w:r>
      <w:r>
        <w:rPr>
          <w:rFonts w:ascii="Times New Roman" w:cs="Times New Roman" w:eastAsia="Times New Roman" w:hAnsi="Times New Roman"/>
          <w:sz w:val="19"/>
          <w:szCs w:val="19"/>
          <w:color w:val="auto"/>
        </w:rPr>
        <w:t xml:space="preserve"> continue in the future. Operating margin at the television broadcasting division was 38% in 2024 and 28%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2023.</w:t>
      </w:r>
    </w:p>
    <w:p>
      <w:pPr>
        <w:spacing w:after="0" w:line="200" w:lineRule="exact"/>
        <w:rPr>
          <w:sz w:val="20"/>
          <w:szCs w:val="20"/>
          <w:color w:val="auto"/>
        </w:rPr>
      </w:pPr>
    </w:p>
    <w:p>
      <w:pPr>
        <w:spacing w:after="0" w:line="263" w:lineRule="exact"/>
        <w:rPr>
          <w:sz w:val="20"/>
          <w:szCs w:val="20"/>
          <w:color w:val="auto"/>
        </w:rPr>
      </w:pPr>
    </w:p>
    <w:p>
      <w:pPr>
        <w:jc w:val="both"/>
        <w:ind w:left="120" w:right="125" w:hanging="1"/>
        <w:spacing w:after="0" w:line="250" w:lineRule="auto"/>
        <w:rPr>
          <w:sz w:val="20"/>
          <w:szCs w:val="20"/>
          <w:color w:val="auto"/>
        </w:rPr>
      </w:pPr>
      <w:r>
        <w:rPr>
          <w:rFonts w:ascii="Times New Roman" w:cs="Times New Roman" w:eastAsia="Times New Roman" w:hAnsi="Times New Roman"/>
          <w:sz w:val="19"/>
          <w:szCs w:val="19"/>
          <w:color w:val="auto"/>
        </w:rPr>
        <w:t>In the second quarter of 2024, GMG offered a VRIP to certain employees; $14.3 million in related non-operating pension expense was recorded.</w:t>
      </w:r>
    </w:p>
    <w:p>
      <w:pPr>
        <w:spacing w:after="0" w:line="231"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 xml:space="preserve">GMG's media hubs continued to strengthen their position as top contenders for local news in their respective markets. In traditional broadcasting, KSAT in San Antonio and WJXT in Jacksonville led their respective markets with top-rated newscasts at 6 am, 6 pm, and late evening, particularly excelling in the important 25-54 audience segment. Throughout 2024, KPRC in Ho uston ranked solidly in second p lace for evening news, led late news broadcasts, and finished third in the mornings. WDIV in Detroit dominated the 6 pm and </w:t>
      </w:r>
      <w:r>
        <w:rPr>
          <w:rFonts w:ascii="Arial" w:cs="Arial" w:eastAsia="Arial" w:hAnsi="Arial"/>
          <w:sz w:val="17"/>
          <w:szCs w:val="17"/>
          <w:color w:val="auto"/>
        </w:rPr>
        <w:t>II</w:t>
      </w:r>
      <w:r>
        <w:rPr>
          <w:rFonts w:ascii="Times New Roman" w:cs="Times New Roman" w:eastAsia="Times New Roman" w:hAnsi="Times New Roman"/>
          <w:sz w:val="19"/>
          <w:szCs w:val="19"/>
          <w:color w:val="auto"/>
        </w:rPr>
        <w:t xml:space="preserve"> pm slots, while securing second place at 6 am . WKMG in Orlando posted strong results at 6 am, ranking second, while its 11 pm newscast placed third and its 6 pm broadcast came in fourth. In Roanoke, WSLS finished third in the 6 </w:t>
      </w:r>
      <w:r>
        <w:rPr>
          <w:rFonts w:ascii="Times New Roman" w:cs="Times New Roman" w:eastAsia="Times New Roman" w:hAnsi="Times New Roman"/>
          <w:sz w:val="20"/>
          <w:szCs w:val="20"/>
          <w:color w:val="auto"/>
        </w:rPr>
        <w:t>a.m,</w:t>
      </w:r>
      <w:r>
        <w:rPr>
          <w:rFonts w:ascii="Times New Roman" w:cs="Times New Roman" w:eastAsia="Times New Roman" w:hAnsi="Times New Roman"/>
          <w:sz w:val="19"/>
          <w:szCs w:val="19"/>
          <w:color w:val="auto"/>
        </w:rPr>
        <w:t xml:space="preserve"> 6 pm, and </w:t>
      </w:r>
      <w:r>
        <w:rPr>
          <w:rFonts w:ascii="Arial" w:cs="Arial" w:eastAsia="Arial" w:hAnsi="Arial"/>
          <w:sz w:val="18"/>
          <w:szCs w:val="18"/>
          <w:color w:val="auto"/>
        </w:rPr>
        <w:t>I I</w:t>
      </w:r>
      <w:r>
        <w:rPr>
          <w:rFonts w:ascii="Times New Roman" w:cs="Times New Roman" w:eastAsia="Times New Roman" w:hAnsi="Times New Roman"/>
          <w:sz w:val="19"/>
          <w:szCs w:val="19"/>
          <w:color w:val="auto"/>
        </w:rPr>
        <w:t xml:space="preserve"> pm timeslots. On the digital side, GMG's streaming platforms saw consistent growth in live stream viewership and total hours watched, while Ins ider membership registrations continued to climb. GMG 's local media websites also retained their positions as the leading digital platforms in their markets.</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Manufacturing</w:t>
      </w:r>
    </w:p>
    <w:p>
      <w:pPr>
        <w:spacing w:after="0" w:line="1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manufacturing's operating results is as follows:</w:t>
      </w:r>
    </w:p>
    <w:p>
      <w:pPr>
        <w:spacing w:after="0" w:line="182"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2140" w:type="dxa"/>
            <w:vAlign w:val="bottom"/>
            <w:gridSpan w:val="2"/>
          </w:tcPr>
          <w:p>
            <w:pPr>
              <w:jc w:val="right"/>
              <w:ind w:right="113"/>
              <w:spacing w:after="0"/>
              <w:rPr>
                <w:sz w:val="20"/>
                <w:szCs w:val="20"/>
                <w:color w:val="auto"/>
              </w:rPr>
            </w:pPr>
            <w:r>
              <w:rPr>
                <w:rFonts w:ascii="Times New Roman" w:cs="Times New Roman" w:eastAsia="Times New Roman" w:hAnsi="Times New Roman"/>
                <w:sz w:val="16"/>
                <w:szCs w:val="16"/>
                <w:color w:val="auto"/>
              </w:rPr>
              <w:t>Year E nded December 31</w:t>
            </w:r>
          </w:p>
        </w:tc>
        <w:tc>
          <w:tcPr>
            <w:tcW w:w="780" w:type="dxa"/>
            <w:vAlign w:val="bottom"/>
          </w:tcPr>
          <w:p>
            <w:pPr>
              <w:spacing w:after="0"/>
              <w:rPr>
                <w:sz w:val="16"/>
                <w:szCs w:val="16"/>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5"/>
                <w:szCs w:val="15"/>
                <w:color w:val="auto"/>
              </w:rPr>
              <w:t xml:space="preserve">(in </w:t>
            </w:r>
            <w:r>
              <w:rPr>
                <w:rFonts w:ascii="Times New Roman" w:cs="Times New Roman" w:eastAsia="Times New Roman" w:hAnsi="Times New Roman"/>
                <w:sz w:val="16"/>
                <w:szCs w:val="16"/>
                <w:color w:val="auto"/>
              </w:rPr>
              <w:t>thousands)</w:t>
            </w:r>
          </w:p>
        </w:tc>
        <w:tc>
          <w:tcPr>
            <w:tcW w:w="1060" w:type="dxa"/>
            <w:vAlign w:val="bottom"/>
          </w:tcPr>
          <w:p>
            <w:pPr>
              <w:jc w:val="right"/>
              <w:ind w:right="275"/>
              <w:spacing w:after="0"/>
              <w:rPr>
                <w:sz w:val="20"/>
                <w:szCs w:val="20"/>
                <w:color w:val="auto"/>
              </w:rPr>
            </w:pPr>
            <w:r>
              <w:rPr>
                <w:rFonts w:ascii="Arial" w:cs="Arial" w:eastAsia="Arial" w:hAnsi="Arial"/>
                <w:sz w:val="14"/>
                <w:szCs w:val="14"/>
                <w:color w:val="auto"/>
              </w:rPr>
              <w:t>2024</w:t>
            </w:r>
          </w:p>
        </w:tc>
        <w:tc>
          <w:tcPr>
            <w:tcW w:w="1080" w:type="dxa"/>
            <w:vAlign w:val="bottom"/>
          </w:tcPr>
          <w:p>
            <w:pPr>
              <w:jc w:val="right"/>
              <w:ind w:right="313"/>
              <w:spacing w:after="0"/>
              <w:rPr>
                <w:sz w:val="20"/>
                <w:szCs w:val="20"/>
                <w:color w:val="auto"/>
              </w:rPr>
            </w:pPr>
            <w:r>
              <w:rPr>
                <w:rFonts w:ascii="Arial" w:cs="Arial" w:eastAsia="Arial" w:hAnsi="Arial"/>
                <w:sz w:val="14"/>
                <w:szCs w:val="14"/>
                <w:color w:val="auto"/>
              </w:rPr>
              <w:t>2023</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Change</w:t>
            </w:r>
          </w:p>
        </w:tc>
      </w:tr>
      <w:tr>
        <w:trPr>
          <w:trHeight w:val="340"/>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Revenue  ..... . .............................. .</w:t>
            </w:r>
          </w:p>
        </w:tc>
        <w:tc>
          <w:tcPr>
            <w:tcW w:w="1060" w:type="dxa"/>
            <w:vAlign w:val="bottom"/>
          </w:tcPr>
          <w:p>
            <w:pPr>
              <w:jc w:val="right"/>
              <w:ind w:right="55"/>
              <w:spacing w:after="0"/>
              <w:rPr>
                <w:sz w:val="20"/>
                <w:szCs w:val="20"/>
                <w:color w:val="auto"/>
              </w:rPr>
            </w:pPr>
            <w:r>
              <w:rPr>
                <w:rFonts w:ascii="Times New Roman" w:cs="Times New Roman" w:eastAsia="Times New Roman" w:hAnsi="Times New Roman"/>
                <w:sz w:val="19"/>
                <w:szCs w:val="19"/>
                <w:color w:val="auto"/>
              </w:rPr>
              <w:t>$395,642</w:t>
            </w:r>
          </w:p>
        </w:tc>
        <w:tc>
          <w:tcPr>
            <w:tcW w:w="1080" w:type="dxa"/>
            <w:vAlign w:val="bottom"/>
          </w:tcPr>
          <w:p>
            <w:pPr>
              <w:jc w:val="right"/>
              <w:ind w:right="93"/>
              <w:spacing w:after="0"/>
              <w:rPr>
                <w:sz w:val="20"/>
                <w:szCs w:val="20"/>
                <w:color w:val="auto"/>
              </w:rPr>
            </w:pPr>
            <w:r>
              <w:rPr>
                <w:rFonts w:ascii="Times New Roman" w:cs="Times New Roman" w:eastAsia="Times New Roman" w:hAnsi="Times New Roman"/>
                <w:sz w:val="19"/>
                <w:szCs w:val="19"/>
                <w:color w:val="auto"/>
              </w:rPr>
              <w:t>$447,9 10</w:t>
            </w:r>
          </w:p>
        </w:tc>
        <w:tc>
          <w:tcPr>
            <w:tcW w:w="780" w:type="dxa"/>
            <w:vAlign w:val="bottom"/>
          </w:tcPr>
          <w:p>
            <w:pPr>
              <w:jc w:val="right"/>
              <w:ind w:right="56"/>
              <w:spacing w:after="0"/>
              <w:rPr>
                <w:sz w:val="20"/>
                <w:szCs w:val="20"/>
                <w:color w:val="auto"/>
              </w:rPr>
            </w:pPr>
            <w:r>
              <w:rPr>
                <w:rFonts w:ascii="Arial" w:cs="Arial" w:eastAsia="Arial" w:hAnsi="Arial"/>
                <w:sz w:val="18"/>
                <w:szCs w:val="18"/>
                <w:color w:val="auto"/>
              </w:rPr>
              <w:t>(12)</w:t>
            </w:r>
          </w:p>
        </w:tc>
      </w:tr>
      <w:tr>
        <w:trPr>
          <w:trHeight w:val="229"/>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Operating (Loss) Income  ....................... .</w:t>
            </w:r>
          </w:p>
        </w:tc>
        <w:tc>
          <w:tcPr>
            <w:tcW w:w="1060" w:type="dxa"/>
            <w:vAlign w:val="bottom"/>
          </w:tcPr>
          <w:p>
            <w:pPr>
              <w:jc w:val="right"/>
              <w:ind w:right="75"/>
              <w:spacing w:after="0"/>
              <w:rPr>
                <w:sz w:val="20"/>
                <w:szCs w:val="20"/>
                <w:color w:val="auto"/>
              </w:rPr>
            </w:pPr>
            <w:r>
              <w:rPr>
                <w:rFonts w:ascii="Times New Roman" w:cs="Times New Roman" w:eastAsia="Times New Roman" w:hAnsi="Times New Roman"/>
                <w:sz w:val="19"/>
                <w:szCs w:val="19"/>
                <w:color w:val="auto"/>
              </w:rPr>
              <w:t>18,370</w:t>
            </w:r>
          </w:p>
        </w:tc>
        <w:tc>
          <w:tcPr>
            <w:tcW w:w="1080" w:type="dxa"/>
            <w:vAlign w:val="bottom"/>
          </w:tcPr>
          <w:p>
            <w:pPr>
              <w:jc w:val="right"/>
              <w:ind w:right="33"/>
              <w:spacing w:after="0"/>
              <w:rPr>
                <w:sz w:val="20"/>
                <w:szCs w:val="20"/>
                <w:color w:val="auto"/>
              </w:rPr>
            </w:pPr>
            <w:r>
              <w:rPr>
                <w:rFonts w:ascii="Times New Roman" w:cs="Times New Roman" w:eastAsia="Times New Roman" w:hAnsi="Times New Roman"/>
                <w:sz w:val="19"/>
                <w:szCs w:val="19"/>
                <w:color w:val="auto"/>
              </w:rPr>
              <w:t>(16,793)</w:t>
            </w:r>
          </w:p>
        </w:tc>
        <w:tc>
          <w:tcPr>
            <w:tcW w:w="780" w:type="dxa"/>
            <w:vAlign w:val="bottom"/>
          </w:tcPr>
          <w:p>
            <w:pPr>
              <w:spacing w:after="0"/>
              <w:rPr>
                <w:sz w:val="19"/>
                <w:szCs w:val="19"/>
                <w:color w:val="auto"/>
              </w:rPr>
            </w:pPr>
          </w:p>
        </w:tc>
      </w:tr>
    </w:tbl>
    <w:p>
      <w:pPr>
        <w:spacing w:after="0" w:line="249" w:lineRule="exact"/>
        <w:rPr>
          <w:sz w:val="20"/>
          <w:szCs w:val="20"/>
          <w:color w:val="auto"/>
        </w:rPr>
      </w:pPr>
    </w:p>
    <w:p>
      <w:pPr>
        <w:jc w:val="both"/>
        <w:ind w:left="120" w:right="105" w:firstLine="12"/>
        <w:spacing w:after="0" w:line="259" w:lineRule="auto"/>
        <w:rPr>
          <w:sz w:val="20"/>
          <w:szCs w:val="20"/>
          <w:color w:val="auto"/>
        </w:rPr>
      </w:pPr>
      <w:r>
        <w:rPr>
          <w:rFonts w:ascii="Times New Roman" w:cs="Times New Roman" w:eastAsia="Times New Roman" w:hAnsi="Times New Roman"/>
          <w:sz w:val="19"/>
          <w:szCs w:val="19"/>
          <w:color w:val="auto"/>
        </w:rPr>
        <w:t>Manufacturing includes four businesses: Hoover, a supplier of pressure impregnated kiln-dried lumber and plywood products for fire retardant and preservative applications; Dekko, a manufacturer of electrical workspace solutions, architectural lighting and electrical components andl assemblies; Joyce/Dayton, a manufacturer of screw jacks and other linear motio n systems; and Fo mey, a g lobal supplier of products and systems that control and monito r combustio n processes in electric utility and industrial applications.</w:t>
      </w:r>
    </w:p>
    <w:p>
      <w:pPr>
        <w:spacing w:after="0" w:line="242" w:lineRule="exact"/>
        <w:rPr>
          <w:sz w:val="20"/>
          <w:szCs w:val="20"/>
          <w:color w:val="auto"/>
        </w:rPr>
      </w:pPr>
    </w:p>
    <w:p>
      <w:pPr>
        <w:jc w:val="both"/>
        <w:ind w:left="120" w:right="125" w:firstLine="10"/>
        <w:spacing w:after="0" w:line="261" w:lineRule="auto"/>
        <w:rPr>
          <w:sz w:val="20"/>
          <w:szCs w:val="20"/>
          <w:color w:val="auto"/>
        </w:rPr>
      </w:pPr>
      <w:r>
        <w:rPr>
          <w:rFonts w:ascii="Times New Roman" w:cs="Times New Roman" w:eastAsia="Times New Roman" w:hAnsi="Times New Roman"/>
          <w:sz w:val="19"/>
          <w:szCs w:val="19"/>
          <w:color w:val="auto"/>
        </w:rPr>
        <w:t>Manufacturing revenues decreased 12% in 2024 due to lower revenues at Hoover, Dekko and Joyce, partially offset by increased revenues at Forney. The revenue decline at Hoover is due largely to a decrease in overall product demand, particularly for multi-family housing. Revenues declined at Dekko due to lower product demand. Overall, Hoover results included wood gains on inventory sales in 2024 and 2023, with gains in 2024 much lower than the prior year. Manufacturing operating resl!llts improved in 2024 due to a $47.8 million goodwill impairment ciharge at Dekko in 2023. Excluding the impairment charge at Dekko, manufacturing results were down in 2024, due to significant declines at Hoover and Dekko, along with declines at Joyce and Forney.</w:t>
      </w:r>
    </w:p>
    <w:p>
      <w:pPr>
        <w:spacing w:after="0" w:line="225"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In the third and fourth quarters of 2024, Dekko offered SIPs to certain employees; $0.2 million in related non-o[perating pension expense was recorded.</w:t>
      </w:r>
    </w:p>
    <w:p>
      <w:pPr>
        <w:spacing w:after="0" w:line="3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Healtlhcare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healthcare's operating results is as follows:</w:t>
      </w:r>
    </w:p>
    <w:p>
      <w:pPr>
        <w:spacing w:after="0" w:line="201"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4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Year Ended December 31</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920" w:type="dxa"/>
            <w:vAlign w:val="bottom"/>
            <w:gridSpan w:val="2"/>
          </w:tcPr>
          <w:p>
            <w:pPr>
              <w:jc w:val="right"/>
              <w:ind w:right="139"/>
              <w:spacing w:after="0"/>
              <w:rPr>
                <w:sz w:val="20"/>
                <w:szCs w:val="20"/>
                <w:color w:val="auto"/>
              </w:rPr>
            </w:pPr>
            <w:r>
              <w:rPr>
                <w:rFonts w:ascii="Arial" w:cs="Arial" w:eastAsia="Arial" w:hAnsi="Arial"/>
                <w:sz w:val="14"/>
                <w:szCs w:val="14"/>
                <w:color w:val="auto"/>
              </w:rPr>
              <w:t>2024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20"/>
                <w:szCs w:val="20"/>
                <w:color w:val="auto"/>
              </w:rPr>
            </w:pPr>
          </w:p>
        </w:tc>
        <w:tc>
          <w:tcPr>
            <w:tcW w:w="820" w:type="dxa"/>
            <w:vAlign w:val="bottom"/>
          </w:tcPr>
          <w:p>
            <w:pPr>
              <w:jc w:val="center"/>
              <w:ind w:left="73"/>
              <w:spacing w:after="0"/>
              <w:rPr>
                <w:sz w:val="20"/>
                <w:szCs w:val="20"/>
                <w:color w:val="auto"/>
              </w:rPr>
            </w:pPr>
            <w:r>
              <w:rPr>
                <w:rFonts w:ascii="Times New Roman" w:cs="Times New Roman" w:eastAsia="Times New Roman" w:hAnsi="Times New Roman"/>
                <w:sz w:val="16"/>
                <w:szCs w:val="16"/>
                <w:color w:val="auto"/>
                <w:w w:val="99"/>
              </w:rPr>
              <w:t>% Change</w:t>
            </w:r>
          </w:p>
        </w:tc>
        <w:tc>
          <w:tcPr>
            <w:tcW w:w="0" w:type="dxa"/>
            <w:vAlign w:val="bottom"/>
          </w:tcPr>
          <w:p>
            <w:pPr>
              <w:spacing w:after="0"/>
              <w:rPr>
                <w:sz w:val="1"/>
                <w:szCs w:val="1"/>
                <w:color w:val="auto"/>
              </w:rPr>
            </w:pPr>
          </w:p>
        </w:tc>
      </w:tr>
      <w:tr>
        <w:trPr>
          <w:trHeight w:val="33"/>
        </w:trPr>
        <w:tc>
          <w:tcPr>
            <w:tcW w:w="46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Revenue  ...........</w:t>
            </w:r>
          </w:p>
        </w:tc>
        <w:tc>
          <w:tcPr>
            <w:tcW w:w="160" w:type="dxa"/>
            <w:vAlign w:val="bottom"/>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181414"/>
            </w:tcBorders>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vMerge w:val="restart"/>
          </w:tcPr>
          <w:p>
            <w:pPr>
              <w:jc w:val="right"/>
              <w:ind w:right="153"/>
              <w:spacing w:after="0"/>
              <w:rPr>
                <w:sz w:val="20"/>
                <w:szCs w:val="20"/>
                <w:color w:val="auto"/>
              </w:rPr>
            </w:pPr>
            <w:r>
              <w:rPr>
                <w:rFonts w:ascii="Times New Roman" w:cs="Times New Roman" w:eastAsia="Times New Roman" w:hAnsi="Times New Roman"/>
                <w:sz w:val="19"/>
                <w:szCs w:val="19"/>
                <w:color w:val="auto"/>
              </w:rPr>
              <w:t>33</w:t>
            </w:r>
          </w:p>
        </w:tc>
        <w:tc>
          <w:tcPr>
            <w:tcW w:w="0" w:type="dxa"/>
            <w:vAlign w:val="bottom"/>
          </w:tcPr>
          <w:p>
            <w:pPr>
              <w:spacing w:after="0"/>
              <w:rPr>
                <w:sz w:val="1"/>
                <w:szCs w:val="1"/>
                <w:color w:val="auto"/>
              </w:rPr>
            </w:pPr>
          </w:p>
        </w:tc>
      </w:tr>
      <w:tr>
        <w:trPr>
          <w:trHeight w:val="268"/>
        </w:trPr>
        <w:tc>
          <w:tcPr>
            <w:tcW w:w="4600" w:type="dxa"/>
            <w:vAlign w:val="bottom"/>
            <w:vMerge w:val="continue"/>
          </w:tcPr>
          <w:p>
            <w:pPr>
              <w:jc w:val="right"/>
              <w:ind w:right="50"/>
              <w:spacing w:after="0"/>
              <w:rPr>
                <w:sz w:val="20"/>
                <w:szCs w:val="20"/>
                <w:color w:val="auto"/>
              </w:rPr>
            </w:pPr>
            <w:r>
              <w:rPr>
                <w:rFonts w:ascii="Times New Roman" w:cs="Times New Roman" w:eastAsia="Times New Roman" w:hAnsi="Times New Roman"/>
                <w:sz w:val="19"/>
                <w:szCs w:val="19"/>
                <w:color w:val="auto"/>
              </w:rPr>
              <w:t>.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$611,109</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9"/>
                <w:szCs w:val="19"/>
                <w:color w:val="auto"/>
              </w:rPr>
              <w:t>$459,48 1</w:t>
            </w: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600" w:type="dxa"/>
            <w:vAlign w:val="bottom"/>
          </w:tcPr>
          <w:p>
            <w:pPr>
              <w:spacing w:after="0"/>
              <w:rPr>
                <w:sz w:val="20"/>
                <w:szCs w:val="20"/>
                <w:color w:val="auto"/>
              </w:rPr>
            </w:pPr>
            <w:r>
              <w:rPr>
                <w:rFonts w:ascii="Times New Roman" w:cs="Times New Roman" w:eastAsia="Times New Roman" w:hAnsi="Times New Roman"/>
                <w:sz w:val="19"/>
                <w:szCs w:val="19"/>
                <w:color w:val="auto"/>
              </w:rPr>
              <w:t>Operating Income .... . . . .... . . .. ...... . .......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50,885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23,845</w:t>
            </w: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5" w:right="1440" w:bottom="721" w:gutter="0" w:footer="0" w:header="0"/>
        </w:sectPr>
      </w:pPr>
    </w:p>
    <w:p>
      <w:pPr>
        <w:spacing w:after="0" w:line="30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67</w:t>
      </w:r>
    </w:p>
    <w:p>
      <w:pPr>
        <w:sectPr>
          <w:pgSz w:w="12240" w:h="15850" w:orient="portrait"/>
          <w:cols w:equalWidth="0" w:num="1">
            <w:col w:w="9365"/>
          </w:cols>
          <w:pgMar w:left="1440" w:top="1395" w:right="1440" w:bottom="721" w:gutter="0" w:footer="0" w:header="0"/>
          <w:type w:val="continuous"/>
        </w:sectPr>
      </w:pPr>
    </w:p>
    <w:bookmarkStart w:id="83" w:name="page84"/>
    <w:bookmarkEnd w:id="83"/>
    <w:p>
      <w:pPr>
        <w:jc w:val="both"/>
        <w:ind w:left="120" w:right="125"/>
        <w:spacing w:after="0" w:line="26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GHG provides home health and hospice services in seven states. GHG also provides nursing care and prescription services for patients receiving in-home infusion treatments through its 87.5% interest in CSI, and other heallhcare services through Clarus (provides call management SaaS-based solution for physician groups </w:t>
      </w:r>
      <w:r>
        <w:rPr>
          <w:rFonts w:ascii="Times New Roman" w:cs="Times New Roman" w:eastAsia="Times New Roman" w:hAnsi="Times New Roman"/>
          <w:sz w:val="18"/>
          <w:szCs w:val="18"/>
          <w:color w:val="auto"/>
        </w:rPr>
        <w:t>and hospitals), Impact Medical (an Allergy, Asthma and Immunology physician practice), Skin Clique (a concierge provider of aesthetics products and services) and Surpass Behavioral Health (provides therapy for autism patients). Healthcare revenues increased 33% in 2024, la rgely due to significant growth at CSl from an expansion of infusion treatment offerings and patient service areas; revenues also grew in home health and hospice services and at the other healthcare businesses.</w:t>
      </w:r>
    </w:p>
    <w:p>
      <w:pPr>
        <w:spacing w:after="0" w:line="200" w:lineRule="exact"/>
        <w:rPr>
          <w:sz w:val="20"/>
          <w:szCs w:val="20"/>
          <w:color w:val="auto"/>
        </w:rPr>
      </w:pPr>
    </w:p>
    <w:p>
      <w:pPr>
        <w:spacing w:after="0" w:line="293"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increase in GHG operating results in 2024 is due to substantially higher earnings at CSI from significant revenue growth, along with improved results in home health and at Surpass Behavioral Health, partly offset by increased pension expense.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January 2022, GHG implemented a pension credit retention program offering a pension credit up to $50,000 per employee, cliff vested after three years of continuous employment for certain existing employees and new employees. Effective April I, 2024, this program is no longer being offered to new employees.</w:t>
      </w:r>
    </w:p>
    <w:p>
      <w:pPr>
        <w:spacing w:after="0" w:line="200" w:lineRule="exact"/>
        <w:rPr>
          <w:sz w:val="20"/>
          <w:szCs w:val="20"/>
          <w:color w:val="auto"/>
        </w:rPr>
      </w:pPr>
    </w:p>
    <w:p>
      <w:pPr>
        <w:spacing w:after="0" w:line="286" w:lineRule="exact"/>
        <w:rPr>
          <w:sz w:val="20"/>
          <w:szCs w:val="20"/>
          <w:color w:val="auto"/>
        </w:rPr>
      </w:pPr>
    </w:p>
    <w:p>
      <w:pPr>
        <w:jc w:val="both"/>
        <w:ind w:left="120" w:right="125" w:hanging="9"/>
        <w:spacing w:after="0" w:line="253" w:lineRule="auto"/>
        <w:rPr>
          <w:sz w:val="20"/>
          <w:szCs w:val="20"/>
          <w:color w:val="auto"/>
        </w:rPr>
      </w:pPr>
      <w:r>
        <w:rPr>
          <w:rFonts w:ascii="Times New Roman" w:cs="Times New Roman" w:eastAsia="Times New Roman" w:hAnsi="Times New Roman"/>
          <w:sz w:val="19"/>
          <w:szCs w:val="19"/>
          <w:color w:val="auto"/>
        </w:rPr>
        <w:t xml:space="preserve">The Company also holds interests in four home health and hospice joint ventures managed by GHG, whose results are included in equity in earnings of affiliates in the Company's Consolidated Statements of Operations. In 2024 and 2023, the Company recorded equity in earnings of $13.7 million and </w:t>
      </w:r>
      <w:r>
        <w:rPr>
          <w:rFonts w:ascii="Times New Roman" w:cs="Times New Roman" w:eastAsia="Times New Roman" w:hAnsi="Times New Roman"/>
          <w:sz w:val="20"/>
          <w:szCs w:val="20"/>
          <w:color w:val="auto"/>
        </w:rPr>
        <w:t>$9.9</w:t>
      </w:r>
      <w:r>
        <w:rPr>
          <w:rFonts w:ascii="Times New Roman" w:cs="Times New Roman" w:eastAsia="Times New Roman" w:hAnsi="Times New Roman"/>
          <w:sz w:val="19"/>
          <w:szCs w:val="19"/>
          <w:color w:val="auto"/>
        </w:rPr>
        <w:t xml:space="preserve"> million, respectively, from these joint ventures.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Autom otive</w:t>
      </w:r>
    </w:p>
    <w:p>
      <w:pPr>
        <w:spacing w:after="0" w:line="1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automotive's operating results is as follows:</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4300" w:type="dxa"/>
            <w:vAlign w:val="bottom"/>
          </w:tcPr>
          <w:p>
            <w:pPr>
              <w:spacing w:after="0"/>
              <w:rPr>
                <w:sz w:val="15"/>
                <w:szCs w:val="15"/>
                <w:color w:val="auto"/>
              </w:rPr>
            </w:pPr>
          </w:p>
        </w:tc>
        <w:tc>
          <w:tcPr>
            <w:tcW w:w="2400" w:type="dxa"/>
            <w:vAlign w:val="bottom"/>
            <w:gridSpan w:val="2"/>
          </w:tcPr>
          <w:p>
            <w:pPr>
              <w:jc w:val="right"/>
              <w:ind w:right="211"/>
              <w:spacing w:after="0"/>
              <w:rPr>
                <w:sz w:val="20"/>
                <w:szCs w:val="20"/>
                <w:color w:val="auto"/>
              </w:rPr>
            </w:pPr>
            <w:r>
              <w:rPr>
                <w:rFonts w:ascii="Arial" w:cs="Arial" w:eastAsia="Arial" w:hAnsi="Arial"/>
                <w:sz w:val="15"/>
                <w:szCs w:val="15"/>
                <w:color w:val="auto"/>
              </w:rPr>
              <w:t>Year Ended December 31</w:t>
            </w:r>
          </w:p>
        </w:tc>
        <w:tc>
          <w:tcPr>
            <w:tcW w:w="820" w:type="dxa"/>
            <w:vAlign w:val="bottom"/>
          </w:tcPr>
          <w:p>
            <w:pPr>
              <w:spacing w:after="0"/>
              <w:rPr>
                <w:sz w:val="15"/>
                <w:szCs w:val="15"/>
                <w:color w:val="auto"/>
              </w:rPr>
            </w:pPr>
          </w:p>
        </w:tc>
      </w:tr>
      <w:tr>
        <w:trPr>
          <w:trHeight w:val="240"/>
        </w:trPr>
        <w:tc>
          <w:tcPr>
            <w:tcW w:w="4300" w:type="dxa"/>
            <w:vAlign w:val="bottom"/>
          </w:tcPr>
          <w:p>
            <w:pPr>
              <w:spacing w:after="0"/>
              <w:rPr>
                <w:sz w:val="20"/>
                <w:szCs w:val="20"/>
                <w:color w:val="auto"/>
              </w:rPr>
            </w:pPr>
            <w:r>
              <w:rPr>
                <w:rFonts w:ascii="Arial" w:cs="Arial" w:eastAsia="Arial" w:hAnsi="Arial"/>
                <w:sz w:val="15"/>
                <w:szCs w:val="15"/>
                <w:color w:val="auto"/>
              </w:rPr>
              <w:t>(in thousands)</w:t>
            </w:r>
          </w:p>
        </w:tc>
        <w:tc>
          <w:tcPr>
            <w:tcW w:w="1200" w:type="dxa"/>
            <w:vAlign w:val="bottom"/>
          </w:tcPr>
          <w:p>
            <w:pPr>
              <w:jc w:val="right"/>
              <w:ind w:right="333"/>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tcPr>
          <w:p>
            <w:pPr>
              <w:jc w:val="right"/>
              <w:ind w:right="351"/>
              <w:spacing w:after="0"/>
              <w:rPr>
                <w:sz w:val="20"/>
                <w:szCs w:val="20"/>
                <w:color w:val="auto"/>
              </w:rPr>
            </w:pPr>
            <w:r>
              <w:rPr>
                <w:rFonts w:ascii="Times New Roman" w:cs="Times New Roman" w:eastAsia="Times New Roman" w:hAnsi="Times New Roman"/>
                <w:sz w:val="16"/>
                <w:szCs w:val="16"/>
                <w:color w:val="auto"/>
              </w:rPr>
              <w:t>2023</w:t>
            </w:r>
          </w:p>
        </w:tc>
        <w:tc>
          <w:tcPr>
            <w:tcW w:w="8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 Change</w:t>
            </w:r>
          </w:p>
        </w:tc>
      </w:tr>
      <w:tr>
        <w:trPr>
          <w:trHeight w:val="340"/>
        </w:trPr>
        <w:tc>
          <w:tcPr>
            <w:tcW w:w="43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Revenue  ........... . ..................... .</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20"/>
                <w:szCs w:val="20"/>
                <w:color w:val="auto"/>
              </w:rPr>
              <w:t>$1,200,477</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9"/>
                <w:szCs w:val="19"/>
                <w:color w:val="auto"/>
              </w:rPr>
              <w:t>$1,079,893</w:t>
            </w:r>
          </w:p>
        </w:tc>
        <w:tc>
          <w:tcPr>
            <w:tcW w:w="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1.1</w:t>
            </w:r>
          </w:p>
        </w:tc>
      </w:tr>
      <w:tr>
        <w:trPr>
          <w:trHeight w:val="231"/>
        </w:trPr>
        <w:tc>
          <w:tcPr>
            <w:tcW w:w="4300" w:type="dxa"/>
            <w:vAlign w:val="bottom"/>
          </w:tcPr>
          <w:p>
            <w:pPr>
              <w:spacing w:after="0"/>
              <w:rPr>
                <w:sz w:val="20"/>
                <w:szCs w:val="20"/>
                <w:color w:val="auto"/>
              </w:rPr>
            </w:pPr>
            <w:r>
              <w:rPr>
                <w:rFonts w:ascii="Times New Roman" w:cs="Times New Roman" w:eastAsia="Times New Roman" w:hAnsi="Times New Roman"/>
                <w:sz w:val="19"/>
                <w:szCs w:val="19"/>
                <w:color w:val="auto"/>
              </w:rPr>
              <w:t>Operating Income .... . . . ................... .</w:t>
            </w:r>
          </w:p>
        </w:tc>
        <w:tc>
          <w:tcPr>
            <w:tcW w:w="1200" w:type="dxa"/>
            <w:vAlign w:val="bottom"/>
          </w:tcPr>
          <w:p>
            <w:pPr>
              <w:jc w:val="right"/>
              <w:ind w:right="53"/>
              <w:spacing w:after="0"/>
              <w:rPr>
                <w:sz w:val="20"/>
                <w:szCs w:val="20"/>
                <w:color w:val="auto"/>
              </w:rPr>
            </w:pPr>
            <w:r>
              <w:rPr>
                <w:rFonts w:ascii="Times New Roman" w:cs="Times New Roman" w:eastAsia="Times New Roman" w:hAnsi="Times New Roman"/>
                <w:sz w:val="20"/>
                <w:szCs w:val="20"/>
                <w:color w:val="auto"/>
              </w:rPr>
              <w:t>38,015</w:t>
            </w:r>
          </w:p>
        </w:tc>
        <w:tc>
          <w:tcPr>
            <w:tcW w:w="1200" w:type="dxa"/>
            <w:vAlign w:val="bottom"/>
          </w:tcPr>
          <w:p>
            <w:pPr>
              <w:jc w:val="right"/>
              <w:ind w:right="51"/>
              <w:spacing w:after="0"/>
              <w:rPr>
                <w:sz w:val="20"/>
                <w:szCs w:val="20"/>
                <w:color w:val="auto"/>
              </w:rPr>
            </w:pPr>
            <w:r>
              <w:rPr>
                <w:rFonts w:ascii="Times New Roman" w:cs="Times New Roman" w:eastAsia="Times New Roman" w:hAnsi="Times New Roman"/>
                <w:sz w:val="19"/>
                <w:szCs w:val="19"/>
                <w:color w:val="auto"/>
              </w:rPr>
              <w:t>39,258</w:t>
            </w:r>
          </w:p>
        </w:tc>
        <w:tc>
          <w:tcPr>
            <w:tcW w:w="8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(3)</w:t>
            </w:r>
          </w:p>
        </w:tc>
      </w:tr>
    </w:tbl>
    <w:p>
      <w:pPr>
        <w:spacing w:after="0" w:line="266"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Automotive includes eight automotive dealerships in the Washington, D.C. metropolitan area and Richmond, VA: Ourisman Lex us of Rockville, Ourisman Honda of Tysons Corner, Ourisman Jeep Bethesda, Ourisman Ford of Manassas, Toyota of Woodbridge, Ourisman Chrysler-Dodge-Jeep-Ram (CDJR) of Woodbridge and Ourisman Toyota of Richmond, which was acquired on September 27, 2023. The automotive group was awarded a Kia Open Point dealership in Bethesda, MD which commenced operations at the end of December 2023. Christopher J. Ourisman, a member of the Ourisman Automotive Group family of dealerships, and his team of industry professionals operates and manages the dealerships; the Company holds a 90% stake.</w:t>
      </w:r>
    </w:p>
    <w:p>
      <w:pPr>
        <w:spacing w:after="0" w:line="241"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Revermes for 2024 increased 11 % due to the Toyota of Richmond acquisition and the addition of the Kia dealership, as well as sales growth for services and parts, partially offset by a decline in new and used vehicle sales and a decline in sales of finance and insurance products offerings. Operating results for 2024 declined modes tl y due to lower sales and overall gross margins on new vehicles, a decline in finance and insurance product sales, and lower overall gross profit on used vehicles; partially offset by eamings from the Toyota of Richmond acquisition and higher overall gross profit on services and parts.</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68</w:t>
        <w:tab/>
        <w:t>2024 FORM 10-K</w:t>
      </w:r>
    </w:p>
    <w:p>
      <w:pPr>
        <w:sectPr>
          <w:pgSz w:w="12240" w:h="15850" w:orient="portrait"/>
          <w:cols w:equalWidth="0" w:num="1">
            <w:col w:w="9365"/>
          </w:cols>
          <w:pgMar w:left="1440" w:top="1395" w:right="1440" w:bottom="721" w:gutter="0" w:footer="0" w:header="0"/>
          <w:type w:val="continuous"/>
        </w:sectPr>
      </w:pPr>
    </w:p>
    <w:bookmarkStart w:id="84" w:name="page85"/>
    <w:bookmarkEnd w:id="84"/>
    <w:p>
      <w:pPr>
        <w:ind w:left="120"/>
        <w:spacing w:after="0"/>
        <w:rPr>
          <w:sz w:val="20"/>
          <w:szCs w:val="20"/>
          <w:color w:val="auto"/>
        </w:rPr>
      </w:pPr>
      <w:r>
        <w:rPr>
          <w:rFonts w:ascii="Times New Roman" w:cs="Times New Roman" w:eastAsia="Times New Roman" w:hAnsi="Times New Roman"/>
          <w:sz w:val="22"/>
          <w:szCs w:val="22"/>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2">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Other Businesses</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revenue by category for other businesses:</w:t>
      </w:r>
    </w:p>
    <w:p>
      <w:pPr>
        <w:spacing w:after="0" w:line="249" w:lineRule="exact"/>
        <w:rPr>
          <w:sz w:val="20"/>
          <w:szCs w:val="20"/>
          <w:color w:val="auto"/>
        </w:rPr>
      </w:pPr>
    </w:p>
    <w:tbl>
      <w:tblPr>
        <w:tblLayout w:type="fixed"/>
        <w:tblInd w:w="920" w:type="dxa"/>
        <w:tblCellMar>
          <w:top w:w="0" w:type="dxa"/>
          <w:left w:w="0" w:type="dxa"/>
          <w:bottom w:w="0" w:type="dxa"/>
          <w:right w:w="0" w:type="dxa"/>
        </w:tblCellMar>
      </w:tblPr>
      <w:tr>
        <w:trPr>
          <w:trHeight w:val="172"/>
        </w:trPr>
        <w:tc>
          <w:tcPr>
            <w:tcW w:w="4760" w:type="dxa"/>
            <w:vAlign w:val="bottom"/>
          </w:tcPr>
          <w:p>
            <w:pPr>
              <w:spacing w:after="0"/>
              <w:rPr>
                <w:sz w:val="15"/>
                <w:szCs w:val="15"/>
                <w:color w:val="auto"/>
              </w:rPr>
            </w:pPr>
          </w:p>
        </w:tc>
        <w:tc>
          <w:tcPr>
            <w:tcW w:w="160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Year Ended December</w:t>
            </w:r>
          </w:p>
        </w:tc>
        <w:tc>
          <w:tcPr>
            <w:tcW w:w="2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r>
      <w:tr>
        <w:trPr>
          <w:trHeight w:val="34"/>
        </w:trPr>
        <w:tc>
          <w:tcPr>
            <w:tcW w:w="4760" w:type="dxa"/>
            <w:vAlign w:val="bottom"/>
          </w:tcPr>
          <w:p>
            <w:pPr>
              <w:spacing w:after="0"/>
              <w:rPr>
                <w:sz w:val="2"/>
                <w:szCs w:val="2"/>
                <w:color w:val="auto"/>
              </w:rPr>
            </w:pPr>
          </w:p>
        </w:tc>
        <w:tc>
          <w:tcPr>
            <w:tcW w:w="760" w:type="dxa"/>
            <w:vAlign w:val="bottom"/>
            <w:tcBorders>
              <w:bottom w:val="single" w:sz="8" w:color="3C3C3C"/>
            </w:tcBorders>
          </w:tcPr>
          <w:p>
            <w:pPr>
              <w:spacing w:after="0"/>
              <w:rPr>
                <w:sz w:val="2"/>
                <w:szCs w:val="2"/>
                <w:color w:val="auto"/>
              </w:rPr>
            </w:pPr>
          </w:p>
        </w:tc>
        <w:tc>
          <w:tcPr>
            <w:tcW w:w="300" w:type="dxa"/>
            <w:vAlign w:val="bottom"/>
            <w:tcBorders>
              <w:bottom w:val="single" w:sz="8" w:color="3C3C3C"/>
            </w:tcBorders>
          </w:tcPr>
          <w:p>
            <w:pPr>
              <w:spacing w:after="0"/>
              <w:rPr>
                <w:sz w:val="2"/>
                <w:szCs w:val="2"/>
                <w:color w:val="auto"/>
              </w:rPr>
            </w:pPr>
          </w:p>
        </w:tc>
        <w:tc>
          <w:tcPr>
            <w:tcW w:w="540" w:type="dxa"/>
            <w:vAlign w:val="bottom"/>
            <w:tcBorders>
              <w:bottom w:val="single" w:sz="8" w:color="3C3C3C"/>
            </w:tcBorders>
          </w:tcPr>
          <w:p>
            <w:pPr>
              <w:spacing w:after="0"/>
              <w:rPr>
                <w:sz w:val="2"/>
                <w:szCs w:val="2"/>
                <w:color w:val="auto"/>
              </w:rPr>
            </w:pPr>
          </w:p>
        </w:tc>
        <w:tc>
          <w:tcPr>
            <w:tcW w:w="200" w:type="dxa"/>
            <w:vAlign w:val="bottom"/>
            <w:tcBorders>
              <w:bottom w:val="single" w:sz="8" w:color="3C3C3C"/>
            </w:tcBorders>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198"/>
        </w:trPr>
        <w:tc>
          <w:tcPr>
            <w:tcW w:w="4760" w:type="dxa"/>
            <w:vAlign w:val="bottom"/>
          </w:tcPr>
          <w:p>
            <w:pPr>
              <w:spacing w:after="0"/>
              <w:rPr>
                <w:sz w:val="20"/>
                <w:szCs w:val="20"/>
                <w:color w:val="auto"/>
              </w:rPr>
            </w:pPr>
            <w:r>
              <w:rPr>
                <w:rFonts w:ascii="Times New Roman" w:cs="Times New Roman" w:eastAsia="Times New Roman" w:hAnsi="Times New Roman"/>
                <w:sz w:val="15"/>
                <w:szCs w:val="15"/>
                <w:color w:val="auto"/>
              </w:rPr>
              <w:t>(in thousands)</w:t>
            </w:r>
          </w:p>
        </w:tc>
        <w:tc>
          <w:tcPr>
            <w:tcW w:w="760" w:type="dxa"/>
            <w:vAlign w:val="bottom"/>
          </w:tcPr>
          <w:p>
            <w:pPr>
              <w:jc w:val="right"/>
              <w:ind w:right="138"/>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2023</w:t>
            </w:r>
          </w:p>
        </w:tc>
        <w:tc>
          <w:tcPr>
            <w:tcW w:w="200" w:type="dxa"/>
            <w:vAlign w:val="bottom"/>
          </w:tcPr>
          <w:p>
            <w:pPr>
              <w:spacing w:after="0"/>
              <w:rPr>
                <w:sz w:val="17"/>
                <w:szCs w:val="17"/>
                <w:color w:val="auto"/>
              </w:rPr>
            </w:pPr>
          </w:p>
        </w:tc>
        <w:tc>
          <w:tcPr>
            <w:tcW w:w="960" w:type="dxa"/>
            <w:vAlign w:val="bottom"/>
            <w:gridSpan w:val="2"/>
          </w:tcPr>
          <w:p>
            <w:pPr>
              <w:ind w:left="300"/>
              <w:spacing w:after="0"/>
              <w:rPr>
                <w:sz w:val="20"/>
                <w:szCs w:val="20"/>
                <w:color w:val="auto"/>
              </w:rPr>
            </w:pPr>
            <w:r>
              <w:rPr>
                <w:rFonts w:ascii="Times New Roman" w:cs="Times New Roman" w:eastAsia="Times New Roman" w:hAnsi="Times New Roman"/>
                <w:sz w:val="15"/>
                <w:szCs w:val="15"/>
                <w:color w:val="auto"/>
              </w:rPr>
              <w:t>% Change</w:t>
            </w:r>
          </w:p>
        </w:tc>
      </w:tr>
      <w:tr>
        <w:trPr>
          <w:trHeight w:val="22"/>
        </w:trPr>
        <w:tc>
          <w:tcPr>
            <w:tcW w:w="4760" w:type="dxa"/>
            <w:vAlign w:val="bottom"/>
          </w:tcPr>
          <w:p>
            <w:pPr>
              <w:spacing w:after="0" w:line="20" w:lineRule="exact"/>
              <w:rPr>
                <w:sz w:val="1"/>
                <w:szCs w:val="1"/>
                <w:color w:val="auto"/>
              </w:rPr>
            </w:pPr>
          </w:p>
        </w:tc>
        <w:tc>
          <w:tcPr>
            <w:tcW w:w="760" w:type="dxa"/>
            <w:vAlign w:val="bottom"/>
            <w:tcBorders>
              <w:bottom w:val="single" w:sz="8" w:color="181818"/>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181818"/>
            </w:tcBorders>
          </w:tcPr>
          <w:p>
            <w:pPr>
              <w:spacing w:after="0" w:line="20" w:lineRule="exact"/>
              <w:rPr>
                <w:sz w:val="1"/>
                <w:szCs w:val="1"/>
                <w:color w:val="auto"/>
              </w:rPr>
            </w:pPr>
          </w:p>
        </w:tc>
        <w:tc>
          <w:tcPr>
            <w:tcW w:w="200" w:type="dxa"/>
            <w:vAlign w:val="bottom"/>
            <w:tcBorders>
              <w:bottom w:val="single" w:sz="8" w:color="181818"/>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141414"/>
            </w:tcBorders>
          </w:tcPr>
          <w:p>
            <w:pPr>
              <w:spacing w:after="0" w:line="20" w:lineRule="exact"/>
              <w:rPr>
                <w:sz w:val="1"/>
                <w:szCs w:val="1"/>
                <w:color w:val="auto"/>
              </w:rPr>
            </w:pPr>
          </w:p>
        </w:tc>
      </w:tr>
    </w:tbl>
    <w:p>
      <w:pPr>
        <w:spacing w:after="0" w:line="5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Operating Revenues</w:t>
      </w:r>
    </w:p>
    <w:p>
      <w:pPr>
        <w:spacing w:after="0" w:line="6" w:lineRule="exact"/>
        <w:rPr>
          <w:sz w:val="20"/>
          <w:szCs w:val="20"/>
          <w:color w:val="auto"/>
        </w:rPr>
      </w:pPr>
    </w:p>
    <w:tbl>
      <w:tblPr>
        <w:tblLayout w:type="fixed"/>
        <w:tblInd w:w="1320" w:type="dxa"/>
        <w:tblCellMar>
          <w:top w:w="0" w:type="dxa"/>
          <w:left w:w="0" w:type="dxa"/>
          <w:bottom w:w="0" w:type="dxa"/>
          <w:right w:w="0" w:type="dxa"/>
        </w:tblCellMar>
      </w:tblPr>
      <w:tr>
        <w:trPr>
          <w:trHeight w:val="218"/>
        </w:trPr>
        <w:tc>
          <w:tcPr>
            <w:tcW w:w="25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Retail </w:t>
            </w:r>
            <w:r>
              <w:rPr>
                <w:rFonts w:ascii="Arial" w:cs="Arial" w:eastAsia="Arial" w:hAnsi="Arial"/>
                <w:sz w:val="12"/>
                <w:szCs w:val="12"/>
                <w:color w:val="auto"/>
              </w:rPr>
              <w:t>(I )  ................................</w:t>
            </w:r>
          </w:p>
        </w:tc>
        <w:tc>
          <w:tcPr>
            <w:tcW w:w="720" w:type="dxa"/>
            <w:vAlign w:val="bottom"/>
          </w:tcPr>
          <w:p>
            <w:pPr>
              <w:spacing w:after="0"/>
              <w:rPr>
                <w:sz w:val="18"/>
                <w:szCs w:val="18"/>
                <w:color w:val="auto"/>
              </w:rPr>
            </w:pPr>
          </w:p>
        </w:tc>
        <w:tc>
          <w:tcPr>
            <w:tcW w:w="1100" w:type="dxa"/>
            <w:vAlign w:val="bottom"/>
          </w:tcPr>
          <w:p>
            <w:pPr>
              <w:jc w:val="right"/>
              <w:ind w:right="238"/>
              <w:spacing w:after="0"/>
              <w:rPr>
                <w:sz w:val="20"/>
                <w:szCs w:val="20"/>
                <w:color w:val="auto"/>
              </w:rPr>
            </w:pPr>
            <w:r>
              <w:rPr>
                <w:rFonts w:ascii="Arial" w:cs="Arial" w:eastAsia="Arial" w:hAnsi="Arial"/>
                <w:sz w:val="12"/>
                <w:szCs w:val="12"/>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$110,286</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$124,323</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68"/>
        </w:trPr>
        <w:tc>
          <w:tcPr>
            <w:tcW w:w="2520" w:type="dxa"/>
            <w:vAlign w:val="bottom"/>
            <w:gridSpan w:val="2"/>
          </w:tcPr>
          <w:p>
            <w:pPr>
              <w:spacing w:after="0" w:line="268" w:lineRule="exact"/>
              <w:rPr>
                <w:sz w:val="20"/>
                <w:szCs w:val="20"/>
                <w:color w:val="auto"/>
              </w:rPr>
            </w:pPr>
            <w:r>
              <w:rPr>
                <w:rFonts w:ascii="Times New Roman" w:cs="Times New Roman" w:eastAsia="Times New Roman" w:hAnsi="Times New Roman"/>
                <w:sz w:val="19"/>
                <w:szCs w:val="19"/>
                <w:color w:val="auto"/>
              </w:rPr>
              <w:t>Media (</w:t>
            </w:r>
            <w:r>
              <w:rPr>
                <w:rFonts w:ascii="Arial" w:cs="Arial" w:eastAsia="Arial" w:hAnsi="Arial"/>
                <w:sz w:val="24"/>
                <w:szCs w:val="24"/>
                <w:color w:val="auto"/>
                <w:vertAlign w:val="superscript"/>
              </w:rPr>
              <w:t>2</w:t>
            </w:r>
            <w:r>
              <w:rPr>
                <w:rFonts w:ascii="Arial" w:cs="Arial" w:eastAsia="Arial" w:hAnsi="Arial"/>
                <w:sz w:val="12"/>
                <w:szCs w:val="12"/>
                <w:color w:val="auto"/>
              </w:rPr>
              <w:t>)  • . • . •• . • . • .. • . • ....</w:t>
            </w:r>
          </w:p>
        </w:tc>
        <w:tc>
          <w:tcPr>
            <w:tcW w:w="720" w:type="dxa"/>
            <w:vAlign w:val="bottom"/>
          </w:tcPr>
          <w:p>
            <w:pPr>
              <w:jc w:val="right"/>
              <w:spacing w:after="0"/>
              <w:rPr>
                <w:sz w:val="20"/>
                <w:szCs w:val="20"/>
                <w:color w:val="auto"/>
              </w:rPr>
            </w:pPr>
            <w:r>
              <w:rPr>
                <w:rFonts w:ascii="Arial" w:cs="Arial" w:eastAsia="Arial" w:hAnsi="Arial"/>
                <w:sz w:val="12"/>
                <w:szCs w:val="12"/>
                <w:color w:val="auto"/>
              </w:rPr>
              <w:t>• . • .....</w:t>
            </w:r>
          </w:p>
        </w:tc>
        <w:tc>
          <w:tcPr>
            <w:tcW w:w="1100" w:type="dxa"/>
            <w:vAlign w:val="bottom"/>
          </w:tcPr>
          <w:p>
            <w:pPr>
              <w:jc w:val="right"/>
              <w:ind w:right="518"/>
              <w:spacing w:after="0"/>
              <w:rPr>
                <w:sz w:val="20"/>
                <w:szCs w:val="20"/>
                <w:color w:val="auto"/>
              </w:rPr>
            </w:pPr>
            <w:r>
              <w:rPr>
                <w:rFonts w:ascii="Arial" w:cs="Arial" w:eastAsia="Arial" w:hAnsi="Arial"/>
                <w:sz w:val="12"/>
                <w:szCs w:val="12"/>
                <w:color w:val="auto"/>
              </w:rPr>
              <w:t>•••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92,583</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106,236</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0"/>
        </w:trPr>
        <w:tc>
          <w:tcPr>
            <w:tcW w:w="150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 xml:space="preserve">Specialty </w:t>
            </w:r>
            <w:r>
              <w:rPr>
                <w:rFonts w:ascii="Times New Roman" w:cs="Times New Roman" w:eastAsia="Times New Roman" w:hAnsi="Times New Roman"/>
                <w:sz w:val="13"/>
                <w:szCs w:val="13"/>
                <w:color w:val="auto"/>
              </w:rPr>
              <w:t>(3l .....</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100" w:type="dxa"/>
            <w:vAlign w:val="bottom"/>
          </w:tcPr>
          <w:p>
            <w:pPr>
              <w:jc w:val="right"/>
              <w:ind w:right="218"/>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153,651</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139,094</w:t>
            </w:r>
          </w:p>
        </w:tc>
        <w:tc>
          <w:tcPr>
            <w:tcW w:w="820" w:type="dxa"/>
            <w:vAlign w:val="bottom"/>
          </w:tcPr>
          <w:p>
            <w:pPr>
              <w:jc w:val="right"/>
              <w:spacing w:after="0"/>
              <w:rPr>
                <w:sz w:val="20"/>
                <w:szCs w:val="20"/>
                <w:color w:val="auto"/>
              </w:rPr>
            </w:pPr>
            <w:r>
              <w:rPr>
                <w:rFonts w:ascii="Arial" w:cs="Arial" w:eastAsia="Arial" w:hAnsi="Arial"/>
                <w:sz w:val="19"/>
                <w:szCs w:val="19"/>
                <w:color w:val="auto"/>
              </w:rPr>
              <w:t>lO</w:t>
            </w:r>
          </w:p>
        </w:tc>
        <w:tc>
          <w:tcPr>
            <w:tcW w:w="0" w:type="dxa"/>
            <w:vAlign w:val="bottom"/>
          </w:tcPr>
          <w:p>
            <w:pPr>
              <w:spacing w:after="0"/>
              <w:rPr>
                <w:sz w:val="1"/>
                <w:szCs w:val="1"/>
                <w:color w:val="auto"/>
              </w:rPr>
            </w:pPr>
          </w:p>
        </w:tc>
      </w:tr>
      <w:tr>
        <w:trPr>
          <w:trHeight w:val="25"/>
        </w:trPr>
        <w:tc>
          <w:tcPr>
            <w:tcW w:w="15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0" w:type="dxa"/>
            <w:vAlign w:val="bottom"/>
          </w:tcPr>
          <w:p>
            <w:pPr>
              <w:spacing w:after="0"/>
              <w:rPr>
                <w:sz w:val="1"/>
                <w:szCs w:val="1"/>
                <w:color w:val="auto"/>
              </w:rPr>
            </w:pPr>
          </w:p>
        </w:tc>
      </w:tr>
      <w:tr>
        <w:trPr>
          <w:trHeight w:val="268"/>
        </w:trPr>
        <w:tc>
          <w:tcPr>
            <w:tcW w:w="15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$356,520</w:t>
            </w:r>
          </w:p>
        </w:tc>
        <w:tc>
          <w:tcPr>
            <w:tcW w:w="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$369,653</w:t>
            </w: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50"/>
        </w:trPr>
        <w:tc>
          <w:tcPr>
            <w:tcW w:w="15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7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0" w:type="dxa"/>
            <w:vAlign w:val="bottom"/>
            <w:tcBorders>
              <w:bottom w:val="single" w:sz="8" w:color="302C2C"/>
            </w:tcBorders>
          </w:tcPr>
          <w:p>
            <w:pPr>
              <w:spacing w:after="0"/>
              <w:rPr>
                <w:sz w:val="4"/>
                <w:szCs w:val="4"/>
                <w:color w:val="auto"/>
              </w:rPr>
            </w:pPr>
          </w:p>
        </w:tc>
        <w:tc>
          <w:tcPr>
            <w:tcW w:w="740" w:type="dxa"/>
            <w:vAlign w:val="bottom"/>
            <w:tcBorders>
              <w:bottom w:val="single" w:sz="8" w:color="302C2C"/>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bottom w:val="single" w:sz="8" w:color="302C2C"/>
            </w:tcBorders>
          </w:tcPr>
          <w:p>
            <w:pPr>
              <w:spacing w:after="0"/>
              <w:rPr>
                <w:sz w:val="4"/>
                <w:szCs w:val="4"/>
                <w:color w:val="auto"/>
              </w:rPr>
            </w:pPr>
          </w:p>
        </w:tc>
        <w:tc>
          <w:tcPr>
            <w:tcW w:w="740" w:type="dxa"/>
            <w:vAlign w:val="bottom"/>
            <w:tcBorders>
              <w:bottom w:val="single" w:sz="8" w:color="302C2C"/>
            </w:tcBorders>
          </w:tcPr>
          <w:p>
            <w:pPr>
              <w:spacing w:after="0"/>
              <w:rPr>
                <w:sz w:val="4"/>
                <w:szCs w:val="4"/>
                <w:color w:val="auto"/>
              </w:rPr>
            </w:pPr>
          </w:p>
        </w:tc>
        <w:tc>
          <w:tcPr>
            <w:tcW w:w="8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5"/>
          <w:szCs w:val="15"/>
          <w:color w:val="auto"/>
        </w:rPr>
        <w:t>( I)</w:t>
        <w:tab/>
        <w:t>Includes Socicty6 and Saatchi An (formerly Leaf Marketplace) and Framebridge</w:t>
      </w:r>
    </w:p>
    <w:p>
      <w:pPr>
        <w:spacing w:after="0" w:line="5" w:lineRule="exact"/>
        <w:rPr>
          <w:sz w:val="20"/>
          <w:szCs w:val="20"/>
          <w:color w:val="auto"/>
        </w:rPr>
      </w:pPr>
    </w:p>
    <w:p>
      <w:pPr>
        <w:ind w:left="440" w:hanging="327"/>
        <w:spacing w:after="0"/>
        <w:tabs>
          <w:tab w:leader="none" w:pos="440" w:val="left"/>
        </w:tabs>
        <w:numPr>
          <w:ilvl w:val="0"/>
          <w:numId w:val="68"/>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Includes World of Good Brands (WGB) (formerly Leaf Media), Code3, Slate, Foreign Policy, Pinna and City Cast</w:t>
      </w:r>
    </w:p>
    <w:p>
      <w:pPr>
        <w:spacing w:after="0" w:line="27" w:lineRule="exact"/>
        <w:rPr>
          <w:rFonts w:ascii="Times New Roman" w:cs="Times New Roman" w:eastAsia="Times New Roman" w:hAnsi="Times New Roman"/>
          <w:sz w:val="16"/>
          <w:szCs w:val="16"/>
          <w:color w:val="auto"/>
        </w:rPr>
      </w:pPr>
    </w:p>
    <w:p>
      <w:pPr>
        <w:ind w:left="440" w:hanging="327"/>
        <w:spacing w:after="0"/>
        <w:tabs>
          <w:tab w:leader="none" w:pos="440"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Includes CRO, Decile and Supporting Cast</w:t>
      </w:r>
    </w:p>
    <w:p>
      <w:pPr>
        <w:spacing w:after="0" w:line="296" w:lineRule="exact"/>
        <w:rPr>
          <w:sz w:val="20"/>
          <w:szCs w:val="20"/>
          <w:color w:val="auto"/>
        </w:rPr>
      </w:pPr>
    </w:p>
    <w:p>
      <w:pPr>
        <w:jc w:val="both"/>
        <w:ind w:left="120" w:right="125" w:firstLine="9"/>
        <w:spacing w:after="0" w:line="261" w:lineRule="auto"/>
        <w:rPr>
          <w:sz w:val="20"/>
          <w:szCs w:val="20"/>
          <w:color w:val="auto"/>
        </w:rPr>
      </w:pPr>
      <w:r>
        <w:rPr>
          <w:rFonts w:ascii="Times New Roman" w:cs="Times New Roman" w:eastAsia="Times New Roman" w:hAnsi="Times New Roman"/>
          <w:sz w:val="19"/>
          <w:szCs w:val="19"/>
          <w:color w:val="auto"/>
        </w:rPr>
        <w:t>Overall , revenue from other businesses declined 4% in 2024. Retail revenue declined largely due to significantly lower revenue at Society6, partially offset by revenue growth at Framebridge and Saatchi Art. Media revenue declined due to lower revenue at WGB, Code3 and Foreign Policy, partially offset by revenue growth at Slate and City Cast. Specialty revenue increased due to revenue growth at CRG, Decile and Supporting Cast. Excluding the former Leaf businesses, revenues from other businesses increased in 2024.</w:t>
      </w:r>
    </w:p>
    <w:p>
      <w:pPr>
        <w:spacing w:after="0" w:line="271" w:lineRule="exact"/>
        <w:rPr>
          <w:sz w:val="20"/>
          <w:szCs w:val="20"/>
          <w:color w:val="auto"/>
        </w:rPr>
      </w:pPr>
    </w:p>
    <w:p>
      <w:pPr>
        <w:jc w:val="both"/>
        <w:ind w:left="120" w:right="125" w:hanging="8"/>
        <w:spacing w:after="0" w:line="261" w:lineRule="auto"/>
        <w:rPr>
          <w:sz w:val="20"/>
          <w:szCs w:val="20"/>
          <w:color w:val="auto"/>
        </w:rPr>
      </w:pPr>
      <w:r>
        <w:rPr>
          <w:rFonts w:ascii="Times New Roman" w:cs="Times New Roman" w:eastAsia="Times New Roman" w:hAnsi="Times New Roman"/>
          <w:sz w:val="19"/>
          <w:szCs w:val="19"/>
          <w:color w:val="auto"/>
        </w:rPr>
        <w:t>Overall , operating results at other businesses improved in 2024 due largely to $26.3 million in goodwill and intangible asset impairment charges at WGB in 2024 compared to $50.2 million in goodwill impairment charges at WGB in 2023. Excluding these impairment charges and increased pension expense, operating losses in 2024 were modestly lower than the prior year.</w:t>
      </w:r>
    </w:p>
    <w:p>
      <w:pPr>
        <w:spacing w:after="0" w:line="3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Leaf Group</w:t>
      </w:r>
    </w:p>
    <w:p>
      <w:pPr>
        <w:spacing w:after="0" w:line="135"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On June 14, 202 1, the Company acquired Leaf Group Ltd. (Leaf), a consumer internet company, headquartered in Santa Monica, CA, that builds enduring, creator-driven brands that reach passionate audiences in large and growi111g lifestyle categories, including fitness and wellness (Well+Good and Livestrong.com), and home, art and design (Saatchi A.tt and Society6).</w:t>
      </w:r>
    </w:p>
    <w:p>
      <w:pPr>
        <w:spacing w:after="0" w:line="270"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In the second quarter of 2023, the Company restructured Leaf into three stand-alone businesses: Society6 (formerly included in Leaf Marketplace), Saatchi Art (formerly included in Leaf Marketplace) and WGB (formerly Leaf Media). The transition process for this restructuring has involved various cost reduction initiatives, including elimination of shared services costs and functions; transitioning financial and human resources systems; and rationalizing physical facilities and data centers. In the first and second quarters of 2023, Leaf offered a SIP to reduce the number of employees; $2.9 million and $3.9 million in related non-operating pension expense was recorded in the first and second quarters of 2023, respectively. Each of Society6, Saatchi Art and WGB has continued with the transition and cost reduction process, whi,ch was largely complete at the end of the second quarter of 2024. In the third quarter of 2024, the Company offered an additional SIP at Society6, Saatchi Art and WGB; $0.5 million in related non-operating pension expense was recorded . In the fourth quarter of 2024, the Company offered an additional SIP at WGB; $0.2 million in related non-operating pension expense was recorded.</w:t>
      </w:r>
    </w:p>
    <w:p>
      <w:pPr>
        <w:spacing w:after="0" w:line="200" w:lineRule="exact"/>
        <w:rPr>
          <w:sz w:val="20"/>
          <w:szCs w:val="20"/>
          <w:color w:val="auto"/>
        </w:rPr>
      </w:pPr>
    </w:p>
    <w:p>
      <w:pPr>
        <w:spacing w:after="0" w:line="304"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 xml:space="preserve">Revernues at Society6 and WGB declined substantially in 2024. Revenue declines at Society6 are due to declines in traffic, largely driven by a significant decrease in advertising spend, as well as softer demand in the home decor category. Revenue declines at WGB are due to reduced traffic and the soft digital advertising market for programmatic. Revenues at Saatchi </w:t>
      </w:r>
      <w:r>
        <w:rPr>
          <w:rFonts w:ascii="Arial" w:cs="Arial" w:eastAsia="Arial" w:hAnsi="Arial"/>
          <w:sz w:val="15"/>
          <w:szCs w:val="15"/>
          <w:color w:val="auto"/>
        </w:rPr>
        <w:t>A11</w:t>
      </w:r>
      <w:r>
        <w:rPr>
          <w:rFonts w:ascii="Times New Roman" w:cs="Times New Roman" w:eastAsia="Times New Roman" w:hAnsi="Times New Roman"/>
          <w:sz w:val="19"/>
          <w:szCs w:val="19"/>
          <w:color w:val="auto"/>
        </w:rPr>
        <w:t xml:space="preserve"> grew in 2024. Overall, the former Leaf businesses reported significant operating losses for 2024 and 2023.</w:t>
      </w:r>
    </w:p>
    <w:p>
      <w:pPr>
        <w:sectPr>
          <w:pgSz w:w="12240" w:h="15850" w:orient="portrait"/>
          <w:cols w:equalWidth="0" w:num="1">
            <w:col w:w="9365"/>
          </w:cols>
          <w:pgMar w:left="1440" w:top="1356" w:right="1440" w:bottom="721" w:gutter="0" w:footer="0" w:header="0"/>
        </w:sectPr>
      </w:pPr>
    </w:p>
    <w:p>
      <w:pPr>
        <w:spacing w:after="0" w:line="200" w:lineRule="exact"/>
        <w:rPr>
          <w:sz w:val="20"/>
          <w:szCs w:val="20"/>
          <w:color w:val="auto"/>
        </w:rPr>
      </w:pPr>
    </w:p>
    <w:p>
      <w:pPr>
        <w:spacing w:after="0" w:line="30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69</w:t>
      </w:r>
    </w:p>
    <w:p>
      <w:pPr>
        <w:sectPr>
          <w:pgSz w:w="12240" w:h="15850" w:orient="portrait"/>
          <w:cols w:equalWidth="0" w:num="1">
            <w:col w:w="9365"/>
          </w:cols>
          <w:pgMar w:left="1440" w:top="1356" w:right="1440" w:bottom="721" w:gutter="0" w:footer="0" w:header="0"/>
          <w:type w:val="continuous"/>
        </w:sectPr>
      </w:pPr>
    </w:p>
    <w:bookmarkStart w:id="85" w:name="page86"/>
    <w:bookmarkEnd w:id="85"/>
    <w:p>
      <w:pPr>
        <w:jc w:val="both"/>
        <w:ind w:left="120" w:right="125" w:firstLine="10"/>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As a result of the substantial digital advertising revenue declines and continued significant operating losses at WGB, the Company recorded a $50.2 million goodwi ll impairment charge in the third quarter of 2023. In the second quarter of 2024, the Cornpany recorded an additional $26.3 million in goodwill and intangible asset impairment charges at WGB. Excluding these impairment charges, losses were down modestly in 2024.</w:t>
      </w:r>
    </w:p>
    <w:p>
      <w:pPr>
        <w:spacing w:after="0" w:line="3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Clyde's Restaurant Group</w:t>
      </w:r>
    </w:p>
    <w:p>
      <w:pPr>
        <w:spacing w:after="0" w:line="140"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CRG owns and operates 14 restaurants and entertainment venues in the Washington, D.C. metropolitan area, including Old Ebbitt Grill and The Hamilton. In July 2024, CRG opened Rye Street Tavern, a new restaurant in Baltimore, MD. In November 2024, CRG opened Cordelia Fishbar, a new restaurant in Washington, D.C. Revernue increased in 2024 due to the new restaurant openings and modest price increases. CRG reported an operating profit in 2024 and 2023. Overall, operating results declined in 2024; excluding pre-opening expenses incurred for new restaurants, operating results improved.</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CRG plans to open a new restaurant in Reston, VA in 2026.</w:t>
      </w:r>
    </w:p>
    <w:p>
      <w:pPr>
        <w:spacing w:after="0" w:line="3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Framebridge</w:t>
      </w:r>
    </w:p>
    <w:p>
      <w:pPr>
        <w:spacing w:after="0" w:line="149"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 xml:space="preserve">Framebridge is a custom framing service company, headquartered in Washington, D.C., with 32 retail locations and two manufacturing facilities in Kentucky and Virginia. Framebridge opened I 0 new stores in 2024 and continues to actively explore opportunities for further store expansion. Revenues increased </w:t>
      </w:r>
      <w:r>
        <w:rPr>
          <w:rFonts w:ascii="Arial" w:cs="Arial" w:eastAsia="Arial" w:hAnsi="Arial"/>
          <w:sz w:val="19"/>
          <w:szCs w:val="19"/>
          <w:color w:val="auto"/>
        </w:rPr>
        <w:t>in</w:t>
      </w:r>
      <w:r>
        <w:rPr>
          <w:rFonts w:ascii="Times New Roman" w:cs="Times New Roman" w:eastAsia="Times New Roman" w:hAnsi="Times New Roman"/>
          <w:sz w:val="19"/>
          <w:szCs w:val="19"/>
          <w:color w:val="auto"/>
        </w:rPr>
        <w:t xml:space="preserve"> 2024 due to an increase in retail revenue from same-store sales growth and operating additional retail stores compared to 2023, as well as higher online revenues, particularly during the holidlay season. Framebridge is an investment stage business and reported significant operating losses in 2024 and 2023. Excluding increased pension expense, operating losses at Framebridge in 2024 were similar to losses in 2023.</w:t>
      </w:r>
    </w:p>
    <w:p>
      <w:pPr>
        <w:spacing w:after="0" w:line="250" w:lineRule="exact"/>
        <w:rPr>
          <w:sz w:val="20"/>
          <w:szCs w:val="20"/>
          <w:color w:val="auto"/>
        </w:rPr>
      </w:pPr>
    </w:p>
    <w:p>
      <w:pPr>
        <w:jc w:val="both"/>
        <w:ind w:left="120" w:right="125" w:firstLine="10"/>
        <w:spacing w:after="0" w:line="264" w:lineRule="auto"/>
        <w:rPr>
          <w:sz w:val="20"/>
          <w:szCs w:val="20"/>
          <w:color w:val="auto"/>
        </w:rPr>
      </w:pPr>
      <w:r>
        <w:rPr>
          <w:rFonts w:ascii="Times New Roman" w:cs="Times New Roman" w:eastAsia="Times New Roman" w:hAnsi="Times New Roman"/>
          <w:sz w:val="19"/>
          <w:szCs w:val="19"/>
          <w:color w:val="auto"/>
        </w:rPr>
        <w:t>In the first and second quarters of 2024, Framebridge offered a SIP; $1.4 million in related non-operating pension expense was recorded.</w:t>
      </w:r>
    </w:p>
    <w:p>
      <w:pPr>
        <w:spacing w:after="0" w:line="35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Other</w:t>
      </w:r>
    </w:p>
    <w:p>
      <w:pPr>
        <w:spacing w:after="0" w:line="140" w:lineRule="exact"/>
        <w:rPr>
          <w:sz w:val="20"/>
          <w:szCs w:val="20"/>
          <w:color w:val="auto"/>
        </w:rPr>
      </w:pPr>
    </w:p>
    <w:p>
      <w:pPr>
        <w:jc w:val="both"/>
        <w:ind w:left="120" w:right="125" w:firstLine="10"/>
        <w:spacing w:after="0" w:line="264" w:lineRule="auto"/>
        <w:rPr>
          <w:sz w:val="20"/>
          <w:szCs w:val="20"/>
          <w:color w:val="auto"/>
        </w:rPr>
      </w:pPr>
      <w:r>
        <w:rPr>
          <w:rFonts w:ascii="Times New Roman" w:cs="Times New Roman" w:eastAsia="Times New Roman" w:hAnsi="Times New Roman"/>
          <w:sz w:val="19"/>
          <w:szCs w:val="19"/>
          <w:color w:val="auto"/>
        </w:rPr>
        <w:t>Other businesses also include Code3, a performance marketing agency focused on driving performance for brands through three core elements of digital success: media, creative and commerce; Slate and Foreign Policy, which publish online and print magazines and websites; and three investment stage businesses, Decile, City Cast and Supporting Cast. Slate, City Cast, Supporting Cast and Decile reported revenue growth in 2024, while Code3 and Foreign Policy reported a revenue decline. Losses from City Cast, Decile, Code3, Supporting Cast and Foreign Policy in 2024 adversely affected operating results, while Slate reported an operating profit. Operating results in 2024 improved at Code3, with declines at Foreign Policy and increased losses at City Cast.</w:t>
      </w:r>
    </w:p>
    <w:p>
      <w:pPr>
        <w:spacing w:after="0" w:line="244"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 xml:space="preserve">Other businesses also included Pinna, which was sold in June 2023 when the Company entered into a merger agreement with Realm of Possibility, Inc. (Realm), a provider of audio entertainunent services, to merge Pinna with Realm in retum for a noncontrolling financial interest in the merged entity. In connection with the merger, the Company recorded a $10.0 million non-cash, non-operating gain related to the transaction. The Company's investment </w:t>
      </w:r>
      <w:r>
        <w:rPr>
          <w:rFonts w:ascii="Arial" w:cs="Arial" w:eastAsia="Arial" w:hAnsi="Arial"/>
          <w:sz w:val="19"/>
          <w:szCs w:val="19"/>
          <w:color w:val="auto"/>
        </w:rPr>
        <w:t>in</w:t>
      </w:r>
      <w:r>
        <w:rPr>
          <w:rFonts w:ascii="Times New Roman" w:cs="Times New Roman" w:eastAsia="Times New Roman" w:hAnsi="Times New Roman"/>
          <w:sz w:val="19"/>
          <w:szCs w:val="19"/>
          <w:color w:val="auto"/>
        </w:rPr>
        <w:t xml:space="preserve"> Realm is reported as an equity method investment.</w:t>
      </w:r>
    </w:p>
    <w:p>
      <w:pPr>
        <w:spacing w:after="0" w:line="246" w:lineRule="exact"/>
        <w:rPr>
          <w:sz w:val="20"/>
          <w:szCs w:val="20"/>
          <w:color w:val="auto"/>
        </w:rPr>
      </w:pPr>
    </w:p>
    <w:p>
      <w:pPr>
        <w:jc w:val="both"/>
        <w:ind w:left="120" w:right="105" w:firstLine="10"/>
        <w:spacing w:after="0" w:line="253" w:lineRule="auto"/>
        <w:rPr>
          <w:sz w:val="20"/>
          <w:szCs w:val="20"/>
          <w:color w:val="auto"/>
        </w:rPr>
      </w:pPr>
      <w:r>
        <w:rPr>
          <w:rFonts w:ascii="Times New Roman" w:cs="Times New Roman" w:eastAsia="Times New Roman" w:hAnsi="Times New Roman"/>
          <w:sz w:val="19"/>
          <w:szCs w:val="19"/>
          <w:color w:val="auto"/>
        </w:rPr>
        <w:t>In 2024, the Company offered SIPs to certain employees at Code3, Decile and Slate to reduce the number of employees; $1.1 million in related non-operating pension expense was recorded.</w:t>
      </w:r>
    </w:p>
    <w:p>
      <w:pPr>
        <w:spacing w:after="0" w:line="264" w:lineRule="exact"/>
        <w:rPr>
          <w:sz w:val="20"/>
          <w:szCs w:val="20"/>
          <w:color w:val="auto"/>
        </w:rPr>
      </w:pPr>
    </w:p>
    <w:p>
      <w:pPr>
        <w:jc w:val="both"/>
        <w:ind w:left="120" w:right="125"/>
        <w:spacing w:after="0" w:line="253" w:lineRule="auto"/>
        <w:rPr>
          <w:sz w:val="20"/>
          <w:szCs w:val="20"/>
          <w:color w:val="auto"/>
        </w:rPr>
      </w:pPr>
      <w:r>
        <w:rPr>
          <w:rFonts w:ascii="Times New Roman" w:cs="Times New Roman" w:eastAsia="Times New Roman" w:hAnsi="Times New Roman"/>
          <w:sz w:val="19"/>
          <w:szCs w:val="19"/>
          <w:color w:val="auto"/>
        </w:rPr>
        <w:t>In the first and second quarters of 2023, Code3 offered a SIP to reduce the number of employees; $ 1.9 million in related non-operating pension expense was recorded.</w:t>
      </w:r>
    </w:p>
    <w:p>
      <w:pPr>
        <w:sectPr>
          <w:pgSz w:w="12240" w:h="15850" w:orient="portrait"/>
          <w:cols w:equalWidth="0" w:num="1">
            <w:col w:w="9365"/>
          </w:cols>
          <w:pgMar w:left="1440" w:top="1392"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70</w:t>
        <w:tab/>
        <w:t>2024 FORM 10-</w:t>
      </w:r>
      <w:r>
        <w:rPr>
          <w:rFonts w:ascii="Arial" w:cs="Arial" w:eastAsia="Arial" w:hAnsi="Arial"/>
          <w:sz w:val="18"/>
          <w:szCs w:val="18"/>
          <w:color w:val="auto"/>
        </w:rPr>
        <w:t>K</w:t>
      </w:r>
    </w:p>
    <w:p>
      <w:pPr>
        <w:sectPr>
          <w:pgSz w:w="12240" w:h="15850" w:orient="portrait"/>
          <w:cols w:equalWidth="0" w:num="1">
            <w:col w:w="9365"/>
          </w:cols>
          <w:pgMar w:left="1440" w:top="1392" w:right="1440" w:bottom="719" w:gutter="0" w:footer="0" w:header="0"/>
          <w:type w:val="continuous"/>
        </w:sectPr>
      </w:pPr>
    </w:p>
    <w:bookmarkStart w:id="86" w:name="page87"/>
    <w:bookmarkEnd w:id="86"/>
    <w:p>
      <w:pPr>
        <w:ind w:left="120"/>
        <w:spacing w:after="0"/>
        <w:rPr>
          <w:sz w:val="20"/>
          <w:szCs w:val="20"/>
          <w:color w:val="auto"/>
        </w:rPr>
      </w:pPr>
      <w:r>
        <w:rPr>
          <w:rFonts w:ascii="Times New Roman" w:cs="Times New Roman" w:eastAsia="Times New Roman" w:hAnsi="Times New Roman"/>
          <w:sz w:val="21"/>
          <w:szCs w:val="21"/>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Corporate Office</w:t>
      </w:r>
    </w:p>
    <w:p>
      <w:pPr>
        <w:spacing w:after="0" w:line="106" w:lineRule="exact"/>
        <w:rPr>
          <w:sz w:val="20"/>
          <w:szCs w:val="20"/>
          <w:color w:val="auto"/>
        </w:rPr>
      </w:pPr>
    </w:p>
    <w:p>
      <w:pPr>
        <w:jc w:val="both"/>
        <w:ind w:left="120" w:right="125"/>
        <w:spacing w:after="0" w:line="264" w:lineRule="auto"/>
        <w:rPr>
          <w:sz w:val="20"/>
          <w:szCs w:val="20"/>
          <w:color w:val="auto"/>
        </w:rPr>
      </w:pPr>
      <w:r>
        <w:rPr>
          <w:rFonts w:ascii="Times New Roman" w:cs="Times New Roman" w:eastAsia="Times New Roman" w:hAnsi="Times New Roman"/>
          <w:sz w:val="19"/>
          <w:szCs w:val="19"/>
          <w:color w:val="auto"/>
        </w:rPr>
        <w:t>COiporate office includes the expenses of the Company's corporate office, certain continuing obligations related to prior business dispositions, and a net credit recorded in 2023 from fair value changes in contingent consideration related to the Framebridge acquisition.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 mployee Benefit Plan Changes</w:t>
      </w:r>
    </w:p>
    <w:p>
      <w:pPr>
        <w:spacing w:after="0" w:line="110"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Effective January l, 2024, the Company's defined benefit pension plan was amended to provide many of the current employees who are current plan participants with an increased pension benefit, and to provide certain curremt employees fro m several business units with a new pension benefit offering. The increased and new pension benefits are funded by the assets of the Company's pension plan. As a result of these changes, the Company's matching contribution to certain of its 401(k) Savings Plans was eliminated.</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Equity in Losses of Affiliates</w:t>
      </w:r>
    </w:p>
    <w:p>
      <w:pPr>
        <w:spacing w:after="0" w:line="129"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At December 31, 2024, the Company held an approximate 18% interest in Intersection Holdings, LLC (Intersection), a company that provides digital marketing and advertising services and products for cities, transit systems, airports, and other public and private spaces; and a 41.4% interest in Realm on a fully diluted basis. The Company also holds interests in several other affiliates, including a number of home health and hospice joint ventures managed by GHG and two joint ventures managed by Kaplan. Overall, the Company recorded equity in losses of affiliates of $3.3 million for 2024, compared to $5.2 million for 2023. These amounts include $3.5 million and $16.0 million in net losses for 2024 and 2023, respectively, from affiliates whose operations are not managed by the Company. The 2024 amount also includes a $14.4 million impairment loss on the Company's investment in N2K Networks.</w:t>
      </w:r>
    </w:p>
    <w:p>
      <w:pPr>
        <w:spacing w:after="0" w:line="200" w:lineRule="exact"/>
        <w:rPr>
          <w:sz w:val="20"/>
          <w:szCs w:val="20"/>
          <w:color w:val="auto"/>
        </w:rPr>
      </w:pP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Net Interest Expense and Related Balances</w:t>
      </w:r>
    </w:p>
    <w:p>
      <w:pPr>
        <w:spacing w:after="0" w:line="119" w:lineRule="exact"/>
        <w:rPr>
          <w:sz w:val="20"/>
          <w:szCs w:val="20"/>
          <w:color w:val="auto"/>
        </w:rPr>
      </w:pPr>
    </w:p>
    <w:p>
      <w:pPr>
        <w:jc w:val="both"/>
        <w:ind w:left="120" w:right="105"/>
        <w:spacing w:after="0" w:line="260" w:lineRule="auto"/>
        <w:rPr>
          <w:sz w:val="20"/>
          <w:szCs w:val="20"/>
          <w:color w:val="auto"/>
        </w:rPr>
      </w:pPr>
      <w:r>
        <w:rPr>
          <w:rFonts w:ascii="Times New Roman" w:cs="Times New Roman" w:eastAsia="Times New Roman" w:hAnsi="Times New Roman"/>
          <w:sz w:val="19"/>
          <w:szCs w:val="19"/>
          <w:color w:val="auto"/>
        </w:rPr>
        <w:t>The Company incurred net interest expense of $ 176.3 million in 2024, compared to $56.2 million in 2023. The Company recorded net interest expense of $ 11 9.3 million and $10. 1 million in 2024 and 2023, respectively, to adjust the fair value of the mandatorily redeemable noncontrolling interest at GHG. The significant adjustment recorded in 2024 is largely related to a substantial increase in the estimated fair value of CSI.</w:t>
      </w:r>
    </w:p>
    <w:p>
      <w:pPr>
        <w:spacing w:after="0" w:line="198"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In September 2023, the automotive subsidiary of the Company e ntered into a credit agreement with Truist Bank to finance the acquisition of the Toyota of Richmond dealership and to repay the outstanding balance of the automotive subsidiary commercial notes that were maturing in 2031 and 2032. The related interest rate swaps were a lso terminated, resulting in a rea.lized gain of $4.6 million recorded as a credit to interest expense during the third quarter of 2023.</w:t>
      </w:r>
    </w:p>
    <w:p>
      <w:pPr>
        <w:spacing w:after="0" w:line="205" w:lineRule="exact"/>
        <w:rPr>
          <w:sz w:val="20"/>
          <w:szCs w:val="20"/>
          <w:color w:val="auto"/>
        </w:rPr>
      </w:pPr>
    </w:p>
    <w:p>
      <w:pPr>
        <w:jc w:val="both"/>
        <w:ind w:left="120" w:right="125" w:hanging="10"/>
        <w:spacing w:after="0" w:line="247" w:lineRule="auto"/>
        <w:rPr>
          <w:sz w:val="20"/>
          <w:szCs w:val="20"/>
          <w:color w:val="auto"/>
        </w:rPr>
      </w:pPr>
      <w:r>
        <w:rPr>
          <w:rFonts w:ascii="Times New Roman" w:cs="Times New Roman" w:eastAsia="Times New Roman" w:hAnsi="Times New Roman"/>
          <w:sz w:val="19"/>
          <w:szCs w:val="19"/>
          <w:color w:val="auto"/>
        </w:rPr>
        <w:t>Excluding these adjustments, the increase in net interest expense relates primarily to higher average debt balances, higher interest rates on the Company's variable debt, and increased floor plan interest expense.</w:t>
      </w:r>
    </w:p>
    <w:p>
      <w:pPr>
        <w:spacing w:after="0" w:line="218" w:lineRule="exact"/>
        <w:rPr>
          <w:sz w:val="20"/>
          <w:szCs w:val="20"/>
          <w:color w:val="auto"/>
        </w:rPr>
      </w:pPr>
    </w:p>
    <w:p>
      <w:pPr>
        <w:jc w:val="both"/>
        <w:ind w:left="120" w:right="105" w:firstLine="2"/>
        <w:spacing w:after="0" w:line="263" w:lineRule="auto"/>
        <w:rPr>
          <w:sz w:val="20"/>
          <w:szCs w:val="20"/>
          <w:color w:val="auto"/>
        </w:rPr>
      </w:pPr>
      <w:r>
        <w:rPr>
          <w:rFonts w:ascii="Times New Roman" w:cs="Times New Roman" w:eastAsia="Times New Roman" w:hAnsi="Times New Roman"/>
          <w:sz w:val="19"/>
          <w:szCs w:val="19"/>
          <w:color w:val="auto"/>
        </w:rPr>
        <w:t>At December 31, 2024, the Company had $748.2 million in borrowings outstanding at an average interest rate of 6 .0%, and cash, marke table equity securities and other investments of $ 1, 156.6 million. At December 31,2024, the Company had $62.8 million outstanding on its $300 million revolving credit facility. At December 31, 2023, the Company had $811.8 million in borrowings outstanding at an average interest rate of 6.4%, and cash, marketable equity securities and other investments of $898.9 million.</w:t>
      </w:r>
    </w:p>
    <w:p>
      <w:pPr>
        <w:spacing w:after="0" w:line="2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Non-Operating Pension and Postretirement Benefit Income, Net</w:t>
      </w:r>
    </w:p>
    <w:p>
      <w:pPr>
        <w:spacing w:after="0" w:line="119" w:lineRule="exact"/>
        <w:rPr>
          <w:sz w:val="20"/>
          <w:szCs w:val="20"/>
          <w:color w:val="auto"/>
        </w:rPr>
      </w:pPr>
    </w:p>
    <w:p>
      <w:pPr>
        <w:jc w:val="both"/>
        <w:ind w:left="120" w:right="125"/>
        <w:spacing w:after="0" w:line="268" w:lineRule="auto"/>
        <w:rPr>
          <w:sz w:val="20"/>
          <w:szCs w:val="20"/>
          <w:color w:val="auto"/>
        </w:rPr>
      </w:pPr>
      <w:r>
        <w:rPr>
          <w:rFonts w:ascii="Times New Roman" w:cs="Times New Roman" w:eastAsia="Times New Roman" w:hAnsi="Times New Roman"/>
          <w:sz w:val="19"/>
          <w:szCs w:val="19"/>
          <w:color w:val="auto"/>
        </w:rPr>
        <w:t>The Company recorded net non-operating pension and postretirement benefit income of $794.9 million in 2024, compared to $133.8 million in 2023.</w:t>
      </w:r>
    </w:p>
    <w:p>
      <w:pPr>
        <w:spacing w:after="0" w:line="180" w:lineRule="exact"/>
        <w:rPr>
          <w:sz w:val="20"/>
          <w:szCs w:val="20"/>
          <w:color w:val="auto"/>
        </w:rPr>
      </w:pPr>
    </w:p>
    <w:p>
      <w:pPr>
        <w:jc w:val="both"/>
        <w:ind w:left="120" w:right="125" w:firstLine="10"/>
        <w:spacing w:after="0" w:line="268" w:lineRule="auto"/>
        <w:rPr>
          <w:sz w:val="20"/>
          <w:szCs w:val="20"/>
          <w:color w:val="auto"/>
        </w:rPr>
      </w:pPr>
      <w:r>
        <w:rPr>
          <w:rFonts w:ascii="Times New Roman" w:cs="Times New Roman" w:eastAsia="Times New Roman" w:hAnsi="Times New Roman"/>
          <w:sz w:val="19"/>
          <w:szCs w:val="19"/>
          <w:color w:val="auto"/>
        </w:rPr>
        <w:t>In the fourth quarter of 2024, the Company recorded a pre-tax, noncash settlement gain of $653.4 million in connection with the purchase of an irrevocable group annuity contract from an insurance company.</w:t>
      </w:r>
    </w:p>
    <w:p>
      <w:pPr>
        <w:sectPr>
          <w:pgSz w:w="12240" w:h="15850" w:orient="portrait"/>
          <w:cols w:equalWidth="0" w:num="1">
            <w:col w:w="9365"/>
          </w:cols>
          <w:pgMar w:left="1440" w:top="1368" w:right="1440" w:bottom="719" w:gutter="0" w:footer="0" w:header="0"/>
        </w:sectPr>
      </w:pPr>
    </w:p>
    <w:p>
      <w:pPr>
        <w:spacing w:after="0" w:line="200" w:lineRule="exact"/>
        <w:rPr>
          <w:sz w:val="20"/>
          <w:szCs w:val="20"/>
          <w:color w:val="auto"/>
        </w:rPr>
      </w:pPr>
    </w:p>
    <w:p>
      <w:pPr>
        <w:spacing w:after="0" w:line="28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71</w:t>
      </w:r>
    </w:p>
    <w:p>
      <w:pPr>
        <w:sectPr>
          <w:pgSz w:w="12240" w:h="15850" w:orient="portrait"/>
          <w:cols w:equalWidth="0" w:num="1">
            <w:col w:w="9365"/>
          </w:cols>
          <w:pgMar w:left="1440" w:top="1368" w:right="1440" w:bottom="719" w:gutter="0" w:footer="0" w:header="0"/>
          <w:type w:val="continuous"/>
        </w:sectPr>
      </w:pPr>
    </w:p>
    <w:bookmarkStart w:id="87" w:name="page88"/>
    <w:bookmarkEnd w:id="87"/>
    <w:p>
      <w:pPr>
        <w:jc w:val="both"/>
        <w:ind w:left="120" w:right="10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Also in the fourth quarter of2024, the Company recorded $0.5 million in expenses related to non-operating SIPs at Kaplan, manufacturing and other businesses. In the third quarter of 2024, the Company recorded $3.7 million in expenses related to non-operating SIPs at Kaplan, manufacturing and other businesses. In the second quarter of 2024, the Company recorded $14.8 million in expenses related to a VRlP at the television broadcasting division and the corporate office and $1.6 million in expenses related to non-operating SIPs at other bus)nesses. In the first quarter of 2024, the Company recorded $0.4 million in expenses related to a non-operating SIP at other businesses. The SIPs and VRIP were funded by the assets of the Company's pension plan.</w:t>
      </w:r>
    </w:p>
    <w:p>
      <w:pPr>
        <w:spacing w:after="0" w:line="250" w:lineRule="exact"/>
        <w:rPr>
          <w:sz w:val="20"/>
          <w:szCs w:val="20"/>
          <w:color w:val="auto"/>
        </w:rPr>
      </w:pPr>
    </w:p>
    <w:p>
      <w:pPr>
        <w:jc w:val="both"/>
        <w:ind w:left="120" w:right="125" w:firstLine="12"/>
        <w:spacing w:after="0" w:line="264" w:lineRule="auto"/>
        <w:rPr>
          <w:sz w:val="20"/>
          <w:szCs w:val="20"/>
          <w:color w:val="auto"/>
        </w:rPr>
      </w:pPr>
      <w:r>
        <w:rPr>
          <w:rFonts w:ascii="Times New Roman" w:cs="Times New Roman" w:eastAsia="Times New Roman" w:hAnsi="Times New Roman"/>
          <w:sz w:val="19"/>
          <w:szCs w:val="19"/>
          <w:color w:val="auto"/>
        </w:rPr>
        <w:t>In the fourth quarter of 2023, the Company recorded $0.2 million in expenses related to a non-operating SIP at the television broadcasting division. In the second quarter of 2023, the Company recorded $5.5 million in expenses related to non-operating SIPs at other businesses and the education and television broadcasting divisions. In the first quarter of 2023, the Company recorded $4.1 million in expenses related to non-operating SIPs at other businesses. The SIPs were funded by the assets of the Company's pension plan.</w:t>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Gain ,on Marketable Equity Securities, Net</w:t>
      </w:r>
    </w:p>
    <w:p>
      <w:pPr>
        <w:spacing w:after="0" w:line="151" w:lineRule="exact"/>
        <w:rPr>
          <w:sz w:val="20"/>
          <w:szCs w:val="20"/>
          <w:color w:val="auto"/>
        </w:rPr>
      </w:pPr>
    </w:p>
    <w:p>
      <w:pPr>
        <w:jc w:val="both"/>
        <w:ind w:left="120" w:right="125" w:firstLine="1"/>
        <w:spacing w:after="0" w:line="252" w:lineRule="auto"/>
        <w:rPr>
          <w:sz w:val="20"/>
          <w:szCs w:val="20"/>
          <w:color w:val="auto"/>
        </w:rPr>
      </w:pPr>
      <w:r>
        <w:rPr>
          <w:rFonts w:ascii="Times New Roman" w:cs="Times New Roman" w:eastAsia="Times New Roman" w:hAnsi="Times New Roman"/>
          <w:sz w:val="19"/>
          <w:szCs w:val="19"/>
          <w:color w:val="auto"/>
        </w:rPr>
        <w:t>The Company recognized $181.3 million in net gains on marketable equity securities in 2024 compared to $138.1 million in 2023.</w:t>
      </w:r>
    </w:p>
    <w:p>
      <w:pPr>
        <w:spacing w:after="0" w:line="3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Other Non-Operating Income</w:t>
      </w:r>
    </w:p>
    <w:p>
      <w:pPr>
        <w:spacing w:after="0" w:line="151"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The Company recorded total other non-operating income, net, of $12.5 million in 2024, compared to $ 19. 1 million in 2023. The 2024 amounts included gains of $7.2 million on the sales of certain businesses and websites; $5.4 million in foreign currency gai ns; $0.9 million in gains related to the sale of businesses and contingent consideration; and other items; partially off:;et by $1.5 million in net fair value decreases on cost method investments and $0.7 million impairment on cost method investments. The 2023 amounts included a non-cash gain of $ 10.0 million on the sale of Pinna; $5.6 mil]ion in gains related to sales of businesses and contingent consideration; a $3.1 million increase in the fair value of cost method investments; a $ 1.0 million gain on sales of cost method investments, and other items; partially offset by $1.1 million in foreign cunency losses and a $0.5 million impairment on a cost method investment.</w:t>
      </w: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Provision for Income Taxes</w:t>
      </w:r>
    </w:p>
    <w:p>
      <w:pPr>
        <w:spacing w:after="0" w:line="15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Company's effective tax rates for 2024 and 2023 were 28.5% and 29.2%, respectively. The Company's effective tax rates in 2024 and 2023 were unfavorably impacted !by permanent d ifferences related to the goodwill and intangible asset impairment charges and the interest expense recorded to adjust the fair value of the mandatorily redeemable noncontrolling interest at GHG. Excluding the impact of these items, the overall income tax rates for 2024 and 2023 were 25.8% and 24.0%, respectively.</w:t>
      </w:r>
    </w:p>
    <w:p>
      <w:pPr>
        <w:spacing w:after="0" w:line="34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Earni.ngs Per Share</w:t>
      </w:r>
    </w:p>
    <w:p>
      <w:pPr>
        <w:spacing w:after="0" w:line="15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calculation of dilu ted earnings per share for the 2024 was based on 4.404,807 weighted average shares outstanding, compared to 4,653,626 for 2023. At December 31, 2024, there were 4,332,307 shares outstanding.</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20" w:hanging="408"/>
        <w:spacing w:after="0"/>
        <w:tabs>
          <w:tab w:leader="none" w:pos="520"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2024 FORM 10-K</w:t>
      </w:r>
    </w:p>
    <w:p>
      <w:pPr>
        <w:sectPr>
          <w:pgSz w:w="12240" w:h="15850" w:orient="portrait"/>
          <w:cols w:equalWidth="0" w:num="1">
            <w:col w:w="9365"/>
          </w:cols>
          <w:pgMar w:left="1440" w:top="1394" w:right="1440" w:bottom="721" w:gutter="0" w:footer="0" w:header="0"/>
          <w:type w:val="continuous"/>
        </w:sectPr>
      </w:pPr>
    </w:p>
    <w:bookmarkStart w:id="88" w:name="page89"/>
    <w:bookmarkEnd w:id="88"/>
    <w:p>
      <w:pPr>
        <w:ind w:left="120"/>
        <w:spacing w:after="0"/>
        <w:rPr>
          <w:sz w:val="20"/>
          <w:szCs w:val="20"/>
          <w:color w:val="auto"/>
        </w:rPr>
      </w:pPr>
      <w:r>
        <w:rPr>
          <w:rFonts w:ascii="Times New Roman" w:cs="Times New Roman" w:eastAsia="Times New Roman" w:hAnsi="Times New Roman"/>
          <w:sz w:val="21"/>
          <w:szCs w:val="21"/>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6">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FINANCIAL CONDITION: LIQUIDITY AND CAPITAL RESOURCES</w:t>
      </w:r>
    </w:p>
    <w:p>
      <w:pPr>
        <w:spacing w:after="0" w:line="1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 considers the following when assessing its liquidity and capital resources:</w:t>
      </w:r>
    </w:p>
    <w:p>
      <w:pPr>
        <w:spacing w:after="0" w:line="27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5"/>
          <w:szCs w:val="15"/>
          <w:color w:val="auto"/>
        </w:rPr>
        <w:t>As &lt;&gt;f December 3 1</w:t>
      </w:r>
    </w:p>
    <w:p>
      <w:pPr>
        <w:spacing w:after="0" w:line="63"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478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(In </w:t>
            </w:r>
            <w:r>
              <w:rPr>
                <w:rFonts w:ascii="Arial" w:cs="Arial" w:eastAsia="Arial" w:hAnsi="Arial"/>
                <w:sz w:val="14"/>
                <w:szCs w:val="14"/>
                <w:color w:val="auto"/>
              </w:rPr>
              <w:t>thousands)</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2024</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5"/>
                <w:szCs w:val="15"/>
                <w:color w:val="auto"/>
              </w:rPr>
              <w:t>2023</w:t>
            </w:r>
          </w:p>
        </w:tc>
      </w:tr>
      <w:tr>
        <w:trPr>
          <w:trHeight w:val="44"/>
        </w:trPr>
        <w:tc>
          <w:tcPr>
            <w:tcW w:w="4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Borders>
              <w:bottom w:val="single" w:sz="8" w:color="2C282C"/>
            </w:tcBorders>
          </w:tcPr>
          <w:p>
            <w:pPr>
              <w:spacing w:after="0"/>
              <w:rPr>
                <w:sz w:val="3"/>
                <w:szCs w:val="3"/>
                <w:color w:val="auto"/>
              </w:rPr>
            </w:pPr>
          </w:p>
        </w:tc>
        <w:tc>
          <w:tcPr>
            <w:tcW w:w="300" w:type="dxa"/>
            <w:vAlign w:val="bottom"/>
          </w:tcPr>
          <w:p>
            <w:pPr>
              <w:spacing w:after="0"/>
              <w:rPr>
                <w:sz w:val="3"/>
                <w:szCs w:val="3"/>
                <w:color w:val="auto"/>
              </w:rPr>
            </w:pPr>
          </w:p>
        </w:tc>
        <w:tc>
          <w:tcPr>
            <w:tcW w:w="740" w:type="dxa"/>
            <w:vAlign w:val="bottom"/>
            <w:tcBorders>
              <w:bottom w:val="single" w:sz="8" w:color="2C282C"/>
            </w:tcBorders>
          </w:tcPr>
          <w:p>
            <w:pPr>
              <w:spacing w:after="0"/>
              <w:rPr>
                <w:sz w:val="3"/>
                <w:szCs w:val="3"/>
                <w:color w:val="auto"/>
              </w:rPr>
            </w:pPr>
          </w:p>
        </w:tc>
      </w:tr>
      <w:tr>
        <w:trPr>
          <w:trHeight w:val="261"/>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Cash and cash equivalents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$260,852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$169,897</w:t>
            </w: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Restricted cash ...... .. ......................... .</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b w:val="1"/>
                <w:bCs w:val="1"/>
                <w:color w:val="auto"/>
              </w:rPr>
              <w:t>37,001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31,994</w:t>
            </w:r>
          </w:p>
        </w:tc>
      </w:tr>
      <w:tr>
        <w:trPr>
          <w:trHeight w:val="237"/>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Investments in marketable equity securities and other</w:t>
            </w: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50"/>
        </w:trPr>
        <w:tc>
          <w:tcPr>
            <w:tcW w:w="478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investments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858,743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697,028</w:t>
            </w: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Total debt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b w:val="1"/>
                <w:bCs w:val="1"/>
                <w:color w:val="auto"/>
              </w:rPr>
              <w:t>748,192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811,833</w:t>
            </w:r>
          </w:p>
        </w:tc>
      </w:tr>
    </w:tbl>
    <w:p>
      <w:pPr>
        <w:spacing w:after="0" w:line="313" w:lineRule="exact"/>
        <w:rPr>
          <w:sz w:val="20"/>
          <w:szCs w:val="20"/>
          <w:color w:val="auto"/>
        </w:rPr>
      </w:pPr>
    </w:p>
    <w:p>
      <w:pPr>
        <w:jc w:val="both"/>
        <w:ind w:left="120" w:right="105"/>
        <w:spacing w:after="0" w:line="259" w:lineRule="auto"/>
        <w:rPr>
          <w:sz w:val="20"/>
          <w:szCs w:val="20"/>
          <w:color w:val="auto"/>
        </w:rPr>
      </w:pPr>
      <w:r>
        <w:rPr>
          <w:rFonts w:ascii="Times New Roman" w:cs="Times New Roman" w:eastAsia="Times New Roman" w:hAnsi="Times New Roman"/>
          <w:sz w:val="19"/>
          <w:szCs w:val="19"/>
          <w:color w:val="auto"/>
        </w:rPr>
        <w:t>Cash generated by operations is the Company's primary source o.f liquidity. The Company maintains investments in a portfolio of marketable equity securities, which is considered when assessing the Company's sources of liquidity. An additional source of liquidity includes the undrawn portion of the Company's $300 million revolving credit faci lity, amounting to $237.2 million at December 3 1, 2024 and the undrawn $50.0 million delayed draw term loan at the automotive subsidiary.</w:t>
      </w:r>
    </w:p>
    <w:p>
      <w:pPr>
        <w:spacing w:after="0" w:line="299"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During 2024, the Company's cash and cash equivalents increased by $9 1.0 million, due to cash generated from operations and the net proceeds from the sale and purchase of marketable equity securities, which were partially offset by share repurchases, payment of borrowings, capital expenditures and dividend payments. In 2024, the Company's borrowings decreased by $63.6 million, primarily due to repayments under the revolving credit fac ility, term loan and commercial notes at the automotive subsidiary.</w:t>
      </w:r>
    </w:p>
    <w:p>
      <w:pPr>
        <w:spacing w:after="0" w:line="2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As  of December 31,  2024  and  2023,  the  Company had  money  market investments  of $3.9  million  and</w:t>
      </w:r>
    </w:p>
    <w:p>
      <w:pPr>
        <w:spacing w:after="0" w:line="31" w:lineRule="exact"/>
        <w:rPr>
          <w:sz w:val="20"/>
          <w:szCs w:val="20"/>
          <w:color w:val="auto"/>
        </w:rPr>
      </w:pPr>
    </w:p>
    <w:p>
      <w:pPr>
        <w:jc w:val="both"/>
        <w:ind w:left="120" w:right="125"/>
        <w:spacing w:after="0" w:line="258" w:lineRule="auto"/>
        <w:rPr>
          <w:sz w:val="20"/>
          <w:szCs w:val="20"/>
          <w:color w:val="auto"/>
        </w:rPr>
      </w:pPr>
      <w:r>
        <w:rPr>
          <w:rFonts w:ascii="Times New Roman" w:cs="Times New Roman" w:eastAsia="Times New Roman" w:hAnsi="Times New Roman"/>
          <w:sz w:val="19"/>
          <w:szCs w:val="19"/>
          <w:color w:val="auto"/>
        </w:rPr>
        <w:t xml:space="preserve">$5.6 million, respectively, that were included in cash and cash equivalents. At December 31, 2024, the Company held approximately$ </w:t>
      </w:r>
      <w:r>
        <w:rPr>
          <w:rFonts w:ascii="Times New Roman" w:cs="Times New Roman" w:eastAsia="Times New Roman" w:hAnsi="Times New Roman"/>
          <w:sz w:val="18"/>
          <w:szCs w:val="18"/>
          <w:color w:val="auto"/>
        </w:rPr>
        <w:t>170</w:t>
      </w:r>
      <w:r>
        <w:rPr>
          <w:rFonts w:ascii="Times New Roman" w:cs="Times New Roman" w:eastAsia="Times New Roman" w:hAnsi="Times New Roman"/>
          <w:sz w:val="19"/>
          <w:szCs w:val="19"/>
          <w:color w:val="auto"/>
        </w:rPr>
        <w:t xml:space="preserve"> million in cash and cash equivalents in businesses domic iled outside the </w:t>
      </w:r>
      <w:r>
        <w:rPr>
          <w:rFonts w:ascii="Times New Roman" w:cs="Times New Roman" w:eastAsia="Times New Roman" w:hAnsi="Times New Roman"/>
          <w:sz w:val="18"/>
          <w:szCs w:val="18"/>
          <w:color w:val="auto"/>
        </w:rPr>
        <w:t>U.S. ,</w:t>
      </w:r>
      <w:r>
        <w:rPr>
          <w:rFonts w:ascii="Times New Roman" w:cs="Times New Roman" w:eastAsia="Times New Roman" w:hAnsi="Times New Roman"/>
          <w:sz w:val="19"/>
          <w:szCs w:val="19"/>
          <w:color w:val="auto"/>
        </w:rPr>
        <w:t xml:space="preserve"> of which approximately $8 million is not available for immediate use in operations or for distribution. Additionally, Kaplan's business operations outside the </w:t>
      </w:r>
      <w:r>
        <w:rPr>
          <w:rFonts w:ascii="Times New Roman" w:cs="Times New Roman" w:eastAsia="Times New Roman" w:hAnsi="Times New Roman"/>
          <w:sz w:val="18"/>
          <w:szCs w:val="18"/>
          <w:color w:val="auto"/>
        </w:rPr>
        <w:t>U.S.</w:t>
      </w:r>
      <w:r>
        <w:rPr>
          <w:rFonts w:ascii="Times New Roman" w:cs="Times New Roman" w:eastAsia="Times New Roman" w:hAnsi="Times New Roman"/>
          <w:sz w:val="19"/>
          <w:szCs w:val="19"/>
          <w:color w:val="auto"/>
        </w:rPr>
        <w:t xml:space="preserve"> retain cash balances to support ongoing working capital requirements, capital expenditures, and regulatory requirements. As a result, the Company considers a significant portion of the cash and cash equivalents balance held outside the </w:t>
      </w:r>
      <w:r>
        <w:rPr>
          <w:rFonts w:ascii="Times New Roman" w:cs="Times New Roman" w:eastAsia="Times New Roman" w:hAnsi="Times New Roman"/>
          <w:sz w:val="20"/>
          <w:szCs w:val="20"/>
          <w:color w:val="auto"/>
        </w:rPr>
        <w:t>U.S.</w:t>
      </w:r>
      <w:r>
        <w:rPr>
          <w:rFonts w:ascii="Times New Roman" w:cs="Times New Roman" w:eastAsia="Times New Roman" w:hAnsi="Times New Roman"/>
          <w:sz w:val="19"/>
          <w:szCs w:val="19"/>
          <w:color w:val="auto"/>
        </w:rPr>
        <w:t xml:space="preserve"> as not readily available for use in </w:t>
      </w:r>
      <w:r>
        <w:rPr>
          <w:rFonts w:ascii="Times New Roman" w:cs="Times New Roman" w:eastAsia="Times New Roman" w:hAnsi="Times New Roman"/>
          <w:sz w:val="20"/>
          <w:szCs w:val="20"/>
          <w:color w:val="auto"/>
        </w:rPr>
        <w:t>U.S.</w:t>
      </w:r>
      <w:r>
        <w:rPr>
          <w:rFonts w:ascii="Times New Roman" w:cs="Times New Roman" w:eastAsia="Times New Roman" w:hAnsi="Times New Roman"/>
          <w:sz w:val="19"/>
          <w:szCs w:val="19"/>
          <w:color w:val="auto"/>
        </w:rPr>
        <w:t xml:space="preserve"> operations.</w:t>
      </w:r>
    </w:p>
    <w:p>
      <w:pPr>
        <w:spacing w:after="0" w:line="200" w:lineRule="exact"/>
        <w:rPr>
          <w:sz w:val="20"/>
          <w:szCs w:val="20"/>
          <w:color w:val="auto"/>
        </w:rPr>
      </w:pPr>
    </w:p>
    <w:p>
      <w:pPr>
        <w:spacing w:after="0" w:line="333" w:lineRule="exact"/>
        <w:rPr>
          <w:sz w:val="20"/>
          <w:szCs w:val="20"/>
          <w:color w:val="auto"/>
        </w:rPr>
      </w:pPr>
    </w:p>
    <w:p>
      <w:pPr>
        <w:jc w:val="both"/>
        <w:ind w:left="120" w:right="125" w:firstLine="12"/>
        <w:spacing w:after="0" w:line="262" w:lineRule="auto"/>
        <w:rPr>
          <w:sz w:val="20"/>
          <w:szCs w:val="20"/>
          <w:color w:val="auto"/>
        </w:rPr>
      </w:pPr>
      <w:r>
        <w:rPr>
          <w:rFonts w:ascii="Times New Roman" w:cs="Times New Roman" w:eastAsia="Times New Roman" w:hAnsi="Times New Roman"/>
          <w:sz w:val="19"/>
          <w:szCs w:val="19"/>
          <w:color w:val="auto"/>
        </w:rPr>
        <w:t>At December 3 1, 2024, the fa ir value of the Company's investments in marketable equity secunt1es was $852.4 million, which includes investments in the common stock of four publicly traded companjes. The Company purchased $5.0 million of marketable equity securities during 2024 and sold marketable equity securities that generated proceeds of $23.5 million. At December 31, 2024, the net unrealized gain related to the Company's investments totaled $625.3 million.</w:t>
      </w:r>
    </w:p>
    <w:p>
      <w:pPr>
        <w:spacing w:after="0" w:line="295"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In May 2024, the Company entered into a convertible promissory note agreement to loan N2K Networks $2.0 million. The convertible promissory note bears interest at a rate of 12% per annum and, subject to conversion provisions, aU unpaid interes t and principal are due by May 2027.</w:t>
      </w:r>
    </w:p>
    <w:p>
      <w:pPr>
        <w:spacing w:after="0" w:line="286" w:lineRule="exact"/>
        <w:rPr>
          <w:sz w:val="20"/>
          <w:szCs w:val="20"/>
          <w:color w:val="auto"/>
        </w:rPr>
      </w:pPr>
    </w:p>
    <w:p>
      <w:pPr>
        <w:jc w:val="both"/>
        <w:ind w:left="120" w:right="105" w:firstLine="8"/>
        <w:spacing w:after="0" w:line="265" w:lineRule="auto"/>
        <w:rPr>
          <w:sz w:val="20"/>
          <w:szCs w:val="20"/>
          <w:color w:val="auto"/>
        </w:rPr>
      </w:pPr>
      <w:r>
        <w:rPr>
          <w:rFonts w:ascii="Times New Roman" w:cs="Times New Roman" w:eastAsia="Times New Roman" w:hAnsi="Times New Roman"/>
          <w:sz w:val="19"/>
          <w:szCs w:val="19"/>
          <w:color w:val="auto"/>
        </w:rPr>
        <w:t>In April 2023, the Company entered into a term note agreement to loan Intersection $30.0 million at an interest rate oif 9% per annum. The principal and interest on the note are payable in monthly installments over five years with the final payment due by May 2028. The outstanding balance on this loan was $25.7 million as of December 3 1, 2024.</w:t>
      </w:r>
    </w:p>
    <w:p>
      <w:pPr>
        <w:spacing w:after="0" w:line="200" w:lineRule="exact"/>
        <w:rPr>
          <w:sz w:val="20"/>
          <w:szCs w:val="20"/>
          <w:color w:val="auto"/>
        </w:rPr>
      </w:pPr>
    </w:p>
    <w:p>
      <w:pPr>
        <w:spacing w:after="0" w:line="326" w:lineRule="exact"/>
        <w:rPr>
          <w:sz w:val="20"/>
          <w:szCs w:val="20"/>
          <w:color w:val="auto"/>
        </w:rPr>
      </w:pPr>
    </w:p>
    <w:p>
      <w:pPr>
        <w:jc w:val="both"/>
        <w:ind w:left="120" w:right="125" w:hanging="8"/>
        <w:spacing w:after="0" w:line="251" w:lineRule="auto"/>
        <w:rPr>
          <w:sz w:val="20"/>
          <w:szCs w:val="20"/>
          <w:color w:val="auto"/>
        </w:rPr>
      </w:pPr>
      <w:r>
        <w:rPr>
          <w:rFonts w:ascii="Times New Roman" w:cs="Times New Roman" w:eastAsia="Times New Roman" w:hAnsi="Times New Roman"/>
          <w:sz w:val="19"/>
          <w:szCs w:val="19"/>
          <w:color w:val="auto"/>
        </w:rPr>
        <w:t>The Company had working capital of $898.8 million and $619.6 million at December 31, 2024 and 2023, respectively. The Company maintains working capital levels consistent with its underlying business requirements and consistently generates cash from operations in excess of required interest or principal payments.</w:t>
      </w:r>
    </w:p>
    <w:p>
      <w:pPr>
        <w:sectPr>
          <w:pgSz w:w="12240" w:h="15850" w:orient="portrait"/>
          <w:cols w:equalWidth="0" w:num="1">
            <w:col w:w="9365"/>
          </w:cols>
          <w:pgMar w:left="1440" w:top="1365" w:right="1440" w:bottom="721" w:gutter="0" w:footer="0" w:header="0"/>
        </w:sectPr>
      </w:pPr>
    </w:p>
    <w:p>
      <w:pPr>
        <w:spacing w:after="0" w:line="200" w:lineRule="exact"/>
        <w:rPr>
          <w:sz w:val="20"/>
          <w:szCs w:val="20"/>
          <w:color w:val="auto"/>
        </w:rPr>
      </w:pPr>
    </w:p>
    <w:p>
      <w:pPr>
        <w:spacing w:after="0" w:line="30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9"/>
          <w:szCs w:val="19"/>
          <w:color w:val="auto"/>
        </w:rPr>
        <w:t>73</w:t>
      </w:r>
    </w:p>
    <w:p>
      <w:pPr>
        <w:sectPr>
          <w:pgSz w:w="12240" w:h="15850" w:orient="portrait"/>
          <w:cols w:equalWidth="0" w:num="1">
            <w:col w:w="9365"/>
          </w:cols>
          <w:pgMar w:left="1440" w:top="1365" w:right="1440" w:bottom="721" w:gutter="0" w:footer="0" w:header="0"/>
          <w:type w:val="continuous"/>
        </w:sectPr>
      </w:pPr>
    </w:p>
    <w:bookmarkStart w:id="89" w:name="page90"/>
    <w:bookmarkEnd w:id="89"/>
    <w:p>
      <w:pPr>
        <w:jc w:val="both"/>
        <w:ind w:left="120" w:right="125" w:firstLine="12"/>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At December 31, 2024 and 2023, the Company had borrowings outstanding of $748.2 million and $811.8 million, respectively. The Company's borrowings at December 31, 2024 were mostly from $400.0 million of 5.75% unsecured notes due June 1, 2026, $62.8 million in outstanding borrowings under the Company's revolving credit facility, a term loan of $140.1 million, and real estate and capital term loans of $127.6 million at the automotive subsidiary. The Company's borrowings at December 3 1, 2023 were mostly from $400.0 million of 5.75% unsecured notes due June I , 2026, $97.9 million in outstanding borrowings under the Company's revolving credit facility, a term loan of $147.5 million, and real estate and capital term loans of $137.6 million at the automotive subsidiary. The interest on the $400.0 million of 5.75% unsecured notes is payable semi-annually on June 1 and December 1.</w:t>
      </w:r>
    </w:p>
    <w:p>
      <w:pPr>
        <w:spacing w:after="0" w:line="200" w:lineRule="exact"/>
        <w:rPr>
          <w:sz w:val="20"/>
          <w:szCs w:val="20"/>
          <w:color w:val="auto"/>
        </w:rPr>
      </w:pPr>
    </w:p>
    <w:p>
      <w:pPr>
        <w:spacing w:after="0" w:line="300" w:lineRule="exact"/>
        <w:rPr>
          <w:sz w:val="20"/>
          <w:szCs w:val="20"/>
          <w:color w:val="auto"/>
        </w:rPr>
      </w:pPr>
    </w:p>
    <w:p>
      <w:pPr>
        <w:jc w:val="both"/>
        <w:ind w:left="120" w:right="125" w:firstLine="12"/>
        <w:spacing w:after="0" w:line="261" w:lineRule="auto"/>
        <w:rPr>
          <w:sz w:val="20"/>
          <w:szCs w:val="20"/>
          <w:color w:val="auto"/>
        </w:rPr>
      </w:pPr>
      <w:r>
        <w:rPr>
          <w:rFonts w:ascii="Times New Roman" w:cs="Times New Roman" w:eastAsia="Times New Roman" w:hAnsi="Times New Roman"/>
          <w:sz w:val="19"/>
          <w:szCs w:val="19"/>
          <w:color w:val="auto"/>
        </w:rPr>
        <w:t xml:space="preserve">During 2024 and 2023, the Company had average borrowings outstanding of approximately $804.7 million and $745.0 million, respectively, at average annual interest rates of approximately 6.3% and 6.1 %, respectively. The Company incurred net interest expense of $176.3 million and $56.2 million, respectively, during 2024 and 2023. Included in the 2024 and 2023 interest expense is $ 119.3 millio n and $ 10.1 million, respectively, to adjust the fair value of the mandatorily redeemable noncontrolling interest (see Note </w:t>
      </w:r>
      <w:r>
        <w:rPr>
          <w:rFonts w:ascii="Arial" w:cs="Arial" w:eastAsia="Arial" w:hAnsi="Arial"/>
          <w:sz w:val="17"/>
          <w:szCs w:val="17"/>
          <w:color w:val="auto"/>
        </w:rPr>
        <w:t>11).</w:t>
      </w:r>
    </w:p>
    <w:p>
      <w:pPr>
        <w:spacing w:after="0" w:line="252"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On September 26, 2023, the Company's automotive subsidiary entered into a credit agreement with Truist Bank to finance the acquisition of the Toyota of Richmond dealership and to repay the outstanding balances of the comme rcial notes maturing in 2031 and 2032. The related interest rate swap agreements maturing in 2031 and 2032 were also te1minated resulting in realized gains of $4.6 million that reduced interest expense during the third quarter of 2023.</w:t>
      </w:r>
    </w:p>
    <w:p>
      <w:pPr>
        <w:spacing w:after="0" w:line="200" w:lineRule="exact"/>
        <w:rPr>
          <w:sz w:val="20"/>
          <w:szCs w:val="20"/>
          <w:color w:val="auto"/>
        </w:rPr>
      </w:pPr>
    </w:p>
    <w:p>
      <w:pPr>
        <w:spacing w:after="0" w:line="282" w:lineRule="exact"/>
        <w:rPr>
          <w:sz w:val="20"/>
          <w:szCs w:val="20"/>
          <w:color w:val="auto"/>
        </w:rPr>
      </w:pPr>
    </w:p>
    <w:p>
      <w:pPr>
        <w:jc w:val="both"/>
        <w:ind w:left="120" w:right="125" w:hanging="10"/>
        <w:spacing w:after="0" w:line="252" w:lineRule="auto"/>
        <w:rPr>
          <w:sz w:val="20"/>
          <w:szCs w:val="20"/>
          <w:color w:val="auto"/>
        </w:rPr>
      </w:pPr>
      <w:r>
        <w:rPr>
          <w:rFonts w:ascii="Times New Roman" w:cs="Times New Roman" w:eastAsia="Times New Roman" w:hAnsi="Times New Roman"/>
          <w:sz w:val="19"/>
          <w:szCs w:val="19"/>
          <w:color w:val="auto"/>
        </w:rPr>
        <w:t xml:space="preserve">On December 20, 2024, Moody's affirmed the Company's credit rating and maintained the outlook as Stable. On April 2, 2024, Standard </w:t>
      </w:r>
      <w:r>
        <w:rPr>
          <w:rFonts w:ascii="Arial" w:cs="Arial" w:eastAsia="Arial" w:hAnsi="Arial"/>
          <w:sz w:val="19"/>
          <w:szCs w:val="19"/>
          <w:color w:val="auto"/>
        </w:rPr>
        <w:t>&amp;</w:t>
      </w:r>
      <w:r>
        <w:rPr>
          <w:rFonts w:ascii="Times New Roman" w:cs="Times New Roman" w:eastAsia="Times New Roman" w:hAnsi="Times New Roman"/>
          <w:sz w:val="19"/>
          <w:szCs w:val="19"/>
          <w:color w:val="auto"/>
        </w:rPr>
        <w:t xml:space="preserve"> Poor's affirmed the Company's credit rating and maintained the outlook as Stable.</w:t>
      </w:r>
    </w:p>
    <w:p>
      <w:pPr>
        <w:spacing w:after="0" w:line="25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current credit ratings are as follows :</w:t>
      </w:r>
    </w:p>
    <w:p>
      <w:pPr>
        <w:spacing w:after="0" w:line="210" w:lineRule="exact"/>
        <w:rPr>
          <w:sz w:val="20"/>
          <w:szCs w:val="20"/>
          <w:color w:val="auto"/>
        </w:rPr>
      </w:pPr>
    </w:p>
    <w:p>
      <w:pPr>
        <w:ind w:left="5860"/>
        <w:spacing w:after="0"/>
        <w:tabs>
          <w:tab w:leader="none" w:pos="6720" w:val="left"/>
        </w:tabs>
        <w:rPr>
          <w:sz w:val="20"/>
          <w:szCs w:val="20"/>
          <w:color w:val="auto"/>
        </w:rPr>
      </w:pPr>
      <w:r>
        <w:rPr>
          <w:rFonts w:ascii="Times New Roman" w:cs="Times New Roman" w:eastAsia="Times New Roman" w:hAnsi="Times New Roman"/>
          <w:sz w:val="16"/>
          <w:szCs w:val="16"/>
          <w:color w:val="auto"/>
        </w:rPr>
        <w:t>Moody's</w:t>
      </w:r>
      <w:r>
        <w:rPr>
          <w:sz w:val="20"/>
          <w:szCs w:val="20"/>
          <w:color w:val="auto"/>
        </w:rPr>
        <w:tab/>
      </w:r>
      <w:r>
        <w:rPr>
          <w:rFonts w:ascii="Times New Roman" w:cs="Times New Roman" w:eastAsia="Times New Roman" w:hAnsi="Times New Roman"/>
          <w:sz w:val="16"/>
          <w:szCs w:val="16"/>
          <w:color w:val="auto"/>
        </w:rPr>
        <w:t xml:space="preserve">Standard </w:t>
      </w:r>
      <w:r>
        <w:rPr>
          <w:rFonts w:ascii="Arial" w:cs="Arial" w:eastAsia="Arial" w:hAnsi="Arial"/>
          <w:sz w:val="15"/>
          <w:szCs w:val="15"/>
          <w:color w:val="auto"/>
        </w:rPr>
        <w:t>&amp;</w:t>
      </w:r>
      <w:r>
        <w:rPr>
          <w:rFonts w:ascii="Times New Roman" w:cs="Times New Roman" w:eastAsia="Times New Roman" w:hAnsi="Times New Roman"/>
          <w:sz w:val="16"/>
          <w:szCs w:val="16"/>
          <w:color w:val="auto"/>
        </w:rPr>
        <w:t xml:space="preserve"> Poor's</w:t>
      </w:r>
    </w:p>
    <w:p>
      <w:pPr>
        <w:spacing w:after="0" w:line="102" w:lineRule="exact"/>
        <w:rPr>
          <w:sz w:val="20"/>
          <w:szCs w:val="20"/>
          <w:color w:val="auto"/>
        </w:rPr>
      </w:pPr>
    </w:p>
    <w:p>
      <w:pPr>
        <w:ind w:left="1320"/>
        <w:spacing w:after="0"/>
        <w:tabs>
          <w:tab w:leader="none" w:pos="2280" w:val="left"/>
          <w:tab w:leader="none" w:pos="6060" w:val="left"/>
          <w:tab w:leader="none" w:pos="7360" w:val="left"/>
        </w:tabs>
        <w:rPr>
          <w:sz w:val="20"/>
          <w:szCs w:val="20"/>
          <w:color w:val="auto"/>
        </w:rPr>
      </w:pPr>
      <w:r>
        <w:rPr>
          <w:rFonts w:ascii="Times New Roman" w:cs="Times New Roman" w:eastAsia="Times New Roman" w:hAnsi="Times New Roman"/>
          <w:sz w:val="19"/>
          <w:szCs w:val="19"/>
          <w:color w:val="auto"/>
        </w:rPr>
        <w:t>Long-term</w:t>
        <w:tab/>
        <w:t>..... . . . .. . ..................... .</w:t>
      </w:r>
      <w:r>
        <w:rPr>
          <w:sz w:val="20"/>
          <w:szCs w:val="20"/>
          <w:color w:val="auto"/>
        </w:rPr>
        <w:tab/>
      </w:r>
      <w:r>
        <w:rPr>
          <w:rFonts w:ascii="Times New Roman" w:cs="Times New Roman" w:eastAsia="Times New Roman" w:hAnsi="Times New Roman"/>
          <w:sz w:val="19"/>
          <w:szCs w:val="19"/>
          <w:color w:val="auto"/>
        </w:rPr>
        <w:t>Bal</w:t>
      </w:r>
      <w:r>
        <w:rPr>
          <w:sz w:val="20"/>
          <w:szCs w:val="20"/>
          <w:color w:val="auto"/>
        </w:rPr>
        <w:tab/>
      </w:r>
      <w:r>
        <w:rPr>
          <w:rFonts w:ascii="Times New Roman" w:cs="Times New Roman" w:eastAsia="Times New Roman" w:hAnsi="Times New Roman"/>
          <w:sz w:val="19"/>
          <w:szCs w:val="19"/>
          <w:color w:val="auto"/>
        </w:rPr>
        <w:t>BB</w:t>
      </w:r>
    </w:p>
    <w:p>
      <w:pPr>
        <w:spacing w:after="0" w:line="20" w:lineRule="exact"/>
        <w:rPr>
          <w:sz w:val="20"/>
          <w:szCs w:val="20"/>
          <w:color w:val="auto"/>
        </w:rPr>
      </w:pPr>
    </w:p>
    <w:p>
      <w:pPr>
        <w:ind w:left="1320"/>
        <w:spacing w:after="0"/>
        <w:tabs>
          <w:tab w:leader="none" w:pos="2080" w:val="left"/>
          <w:tab w:leader="none" w:pos="5880" w:val="left"/>
          <w:tab w:leader="none" w:pos="7120" w:val="left"/>
        </w:tabs>
        <w:rPr>
          <w:sz w:val="20"/>
          <w:szCs w:val="20"/>
          <w:color w:val="auto"/>
        </w:rPr>
      </w:pPr>
      <w:r>
        <w:rPr>
          <w:rFonts w:ascii="Times New Roman" w:cs="Times New Roman" w:eastAsia="Times New Roman" w:hAnsi="Times New Roman"/>
          <w:sz w:val="19"/>
          <w:szCs w:val="19"/>
          <w:color w:val="auto"/>
        </w:rPr>
        <w:t>Outlook</w:t>
        <w:tab/>
        <w:t>. .... . . . .... . ...... . .............. .</w:t>
      </w:r>
      <w:r>
        <w:rPr>
          <w:sz w:val="20"/>
          <w:szCs w:val="20"/>
          <w:color w:val="auto"/>
        </w:rPr>
        <w:tab/>
      </w:r>
      <w:r>
        <w:rPr>
          <w:rFonts w:ascii="Times New Roman" w:cs="Times New Roman" w:eastAsia="Times New Roman" w:hAnsi="Times New Roman"/>
          <w:sz w:val="19"/>
          <w:szCs w:val="19"/>
          <w:color w:val="auto"/>
        </w:rPr>
        <w:t>Stable</w:t>
      </w:r>
      <w:r>
        <w:rPr>
          <w:sz w:val="20"/>
          <w:szCs w:val="20"/>
          <w:color w:val="auto"/>
        </w:rPr>
        <w:tab/>
      </w:r>
      <w:r>
        <w:rPr>
          <w:rFonts w:ascii="Times New Roman" w:cs="Times New Roman" w:eastAsia="Times New Roman" w:hAnsi="Times New Roman"/>
          <w:sz w:val="19"/>
          <w:szCs w:val="19"/>
          <w:color w:val="auto"/>
        </w:rPr>
        <w:t>Stable</w:t>
      </w:r>
    </w:p>
    <w:p>
      <w:pPr>
        <w:spacing w:after="0" w:line="268"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The Company expects to fund its estimated capital needs primarily through existing cash balances and internally generated funds, and, as needed, from borrowings under its revolving credit facility. As of December 31, 2024, the Company had $62.8 million outstanding under the $300 million revolving credit facility. ln management's opinion, the Company will have sufficjent financial resources to meet its business requirements in the next 12 months, inc luding working capital requirements, capita l expenditures, interest payments, potential acquisitions and strategic investments, dividends and stock repurchases.</w:t>
      </w:r>
    </w:p>
    <w:p>
      <w:pPr>
        <w:spacing w:after="0" w:line="23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summary, the Company's cash flows for each period were as follows: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2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33"/>
        </w:trPr>
        <w:tc>
          <w:tcPr>
            <w:tcW w:w="48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900" w:type="dxa"/>
            <w:vAlign w:val="bottom"/>
            <w:tcBorders>
              <w:bottom w:val="single" w:sz="8" w:color="181414"/>
            </w:tcBorders>
          </w:tcPr>
          <w:p>
            <w:pPr>
              <w:spacing w:after="0"/>
              <w:rPr>
                <w:sz w:val="2"/>
                <w:szCs w:val="2"/>
                <w:color w:val="auto"/>
              </w:rPr>
            </w:pPr>
          </w:p>
        </w:tc>
        <w:tc>
          <w:tcPr>
            <w:tcW w:w="240" w:type="dxa"/>
            <w:vAlign w:val="bottom"/>
            <w:tcBorders>
              <w:bottom w:val="single" w:sz="8" w:color="181414"/>
            </w:tcBorders>
          </w:tcPr>
          <w:p>
            <w:pPr>
              <w:spacing w:after="0"/>
              <w:rPr>
                <w:sz w:val="2"/>
                <w:szCs w:val="2"/>
                <w:color w:val="auto"/>
              </w:rPr>
            </w:pPr>
          </w:p>
        </w:tc>
        <w:tc>
          <w:tcPr>
            <w:tcW w:w="880" w:type="dxa"/>
            <w:vAlign w:val="bottom"/>
            <w:tcBorders>
              <w:bottom w:val="single" w:sz="8" w:color="181414"/>
            </w:tcBorders>
          </w:tcPr>
          <w:p>
            <w:pPr>
              <w:spacing w:after="0"/>
              <w:rPr>
                <w:sz w:val="2"/>
                <w:szCs w:val="2"/>
                <w:color w:val="auto"/>
              </w:rPr>
            </w:pPr>
          </w:p>
        </w:tc>
        <w:tc>
          <w:tcPr>
            <w:tcW w:w="220" w:type="dxa"/>
            <w:vAlign w:val="bottom"/>
            <w:tcBorders>
              <w:bottom w:val="single" w:sz="8" w:color="181414"/>
            </w:tcBorders>
          </w:tcPr>
          <w:p>
            <w:pPr>
              <w:spacing w:after="0"/>
              <w:rPr>
                <w:sz w:val="2"/>
                <w:szCs w:val="2"/>
                <w:color w:val="auto"/>
              </w:rPr>
            </w:pPr>
          </w:p>
        </w:tc>
        <w:tc>
          <w:tcPr>
            <w:tcW w:w="720" w:type="dxa"/>
            <w:vAlign w:val="bottom"/>
            <w:tcBorders>
              <w:bottom w:val="single" w:sz="8" w:color="18141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482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right"/>
              <w:ind w:right="329"/>
              <w:spacing w:after="0" w:line="197" w:lineRule="exact"/>
              <w:rPr>
                <w:sz w:val="20"/>
                <w:szCs w:val="20"/>
                <w:color w:val="auto"/>
              </w:rPr>
            </w:pPr>
            <w:r>
              <w:rPr>
                <w:rFonts w:ascii="Times New Roman" w:cs="Times New Roman" w:eastAsia="Times New Roman" w:hAnsi="Times New Roman"/>
                <w:sz w:val="18"/>
                <w:szCs w:val="18"/>
                <w:color w:val="auto"/>
              </w:rPr>
              <w:t>2024</w:t>
            </w:r>
          </w:p>
        </w:tc>
        <w:tc>
          <w:tcPr>
            <w:tcW w:w="240" w:type="dxa"/>
            <w:vAlign w:val="bottom"/>
          </w:tcPr>
          <w:p>
            <w:pPr>
              <w:spacing w:after="0"/>
              <w:rPr>
                <w:sz w:val="17"/>
                <w:szCs w:val="17"/>
                <w:color w:val="auto"/>
              </w:rPr>
            </w:pPr>
          </w:p>
        </w:tc>
        <w:tc>
          <w:tcPr>
            <w:tcW w:w="880" w:type="dxa"/>
            <w:vAlign w:val="bottom"/>
          </w:tcPr>
          <w:p>
            <w:pPr>
              <w:jc w:val="right"/>
              <w:ind w:right="347"/>
              <w:spacing w:after="0" w:line="197" w:lineRule="exact"/>
              <w:rPr>
                <w:sz w:val="20"/>
                <w:szCs w:val="20"/>
                <w:color w:val="auto"/>
              </w:rPr>
            </w:pPr>
            <w:r>
              <w:rPr>
                <w:rFonts w:ascii="Times New Roman" w:cs="Times New Roman" w:eastAsia="Times New Roman" w:hAnsi="Times New Roman"/>
                <w:sz w:val="18"/>
                <w:szCs w:val="18"/>
                <w:color w:val="auto"/>
              </w:rPr>
              <w:t>2023</w:t>
            </w:r>
          </w:p>
        </w:tc>
        <w:tc>
          <w:tcPr>
            <w:tcW w:w="220" w:type="dxa"/>
            <w:vAlign w:val="bottom"/>
          </w:tcPr>
          <w:p>
            <w:pPr>
              <w:spacing w:after="0"/>
              <w:rPr>
                <w:sz w:val="17"/>
                <w:szCs w:val="17"/>
                <w:color w:val="auto"/>
              </w:rPr>
            </w:pPr>
          </w:p>
        </w:tc>
        <w:tc>
          <w:tcPr>
            <w:tcW w:w="720" w:type="dxa"/>
            <w:vAlign w:val="bottom"/>
          </w:tcPr>
          <w:p>
            <w:pPr>
              <w:jc w:val="right"/>
              <w:ind w:right="147"/>
              <w:spacing w:after="0" w:line="197" w:lineRule="exact"/>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5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cash provided by operating activities  ............... .</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9"/>
                <w:szCs w:val="19"/>
                <w:color w:val="auto"/>
              </w:rPr>
              <w:t>406,988</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259,875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235,604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cash used in investing activities  .. . ................ .</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(62,330)</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w w:val="99"/>
              </w:rPr>
              <w:t>(152,975)</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(184,066)</w:t>
            </w:r>
          </w:p>
        </w:tc>
        <w:tc>
          <w:tcPr>
            <w:tcW w:w="0" w:type="dxa"/>
            <w:vAlign w:val="bottom"/>
          </w:tcPr>
          <w:p>
            <w:pPr>
              <w:spacing w:after="0"/>
              <w:rPr>
                <w:sz w:val="1"/>
                <w:szCs w:val="1"/>
                <w:color w:val="auto"/>
              </w:rPr>
            </w:pPr>
          </w:p>
        </w:tc>
      </w:t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Net cash used in financing activities  ................... .</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(240,967)</w:t>
            </w:r>
          </w:p>
        </w:tc>
        <w:tc>
          <w:tcPr>
            <w:tcW w:w="240" w:type="dxa"/>
            <w:vAlign w:val="bottom"/>
          </w:tcPr>
          <w:p>
            <w:pPr>
              <w:spacing w:after="0"/>
              <w:rPr>
                <w:sz w:val="20"/>
                <w:szCs w:val="20"/>
                <w:color w:val="auto"/>
              </w:rPr>
            </w:pPr>
          </w:p>
        </w:tc>
        <w:tc>
          <w:tcPr>
            <w:tcW w:w="880" w:type="dxa"/>
            <w:vAlign w:val="bottom"/>
          </w:tcPr>
          <w:p>
            <w:pPr>
              <w:jc w:val="right"/>
              <w:ind w:right="27"/>
              <w:spacing w:after="0"/>
              <w:rPr>
                <w:sz w:val="20"/>
                <w:szCs w:val="20"/>
                <w:color w:val="auto"/>
              </w:rPr>
            </w:pPr>
            <w:r>
              <w:rPr>
                <w:rFonts w:ascii="Times New Roman" w:cs="Times New Roman" w:eastAsia="Times New Roman" w:hAnsi="Times New Roman"/>
                <w:sz w:val="19"/>
                <w:szCs w:val="19"/>
                <w:color w:val="auto"/>
              </w:rPr>
              <w:t>(99,835)</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(18,107)</w:t>
            </w:r>
          </w:p>
        </w:tc>
        <w:tc>
          <w:tcPr>
            <w:tcW w:w="0" w:type="dxa"/>
            <w:vAlign w:val="bottom"/>
          </w:tcPr>
          <w:p>
            <w:pPr>
              <w:spacing w:after="0"/>
              <w:rPr>
                <w:sz w:val="1"/>
                <w:szCs w:val="1"/>
                <w:color w:val="auto"/>
              </w:rPr>
            </w:pPr>
          </w:p>
        </w:tc>
      </w:tr>
      <w:tr>
        <w:trPr>
          <w:trHeight w:val="238"/>
        </w:trPr>
        <w:tc>
          <w:tcPr>
            <w:tcW w:w="512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Effect of currency exchange rate change ................ .</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tcPr>
          <w:p>
            <w:pPr>
              <w:jc w:val="right"/>
              <w:ind w:right="29"/>
              <w:spacing w:after="0"/>
              <w:rPr>
                <w:sz w:val="20"/>
                <w:szCs w:val="20"/>
                <w:color w:val="auto"/>
              </w:rPr>
            </w:pPr>
            <w:r>
              <w:rPr>
                <w:rFonts w:ascii="Times New Roman" w:cs="Times New Roman" w:eastAsia="Times New Roman" w:hAnsi="Times New Roman"/>
                <w:sz w:val="19"/>
                <w:szCs w:val="19"/>
                <w:color w:val="auto"/>
              </w:rPr>
              <w:t>(7,729)</w:t>
            </w:r>
          </w:p>
        </w:tc>
        <w:tc>
          <w:tcPr>
            <w:tcW w:w="240" w:type="dxa"/>
            <w:vAlign w:val="bottom"/>
          </w:tcPr>
          <w:p>
            <w:pPr>
              <w:spacing w:after="0"/>
              <w:rPr>
                <w:sz w:val="20"/>
                <w:szCs w:val="20"/>
                <w:color w:val="auto"/>
              </w:rPr>
            </w:pPr>
          </w:p>
        </w:tc>
        <w:tc>
          <w:tcPr>
            <w:tcW w:w="88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4,394</w:t>
            </w:r>
          </w:p>
        </w:tc>
        <w:tc>
          <w:tcPr>
            <w:tcW w:w="22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I ,842)</w:t>
            </w:r>
          </w:p>
        </w:tc>
        <w:tc>
          <w:tcPr>
            <w:tcW w:w="0" w:type="dxa"/>
            <w:vAlign w:val="bottom"/>
          </w:tcPr>
          <w:p>
            <w:pPr>
              <w:spacing w:after="0"/>
              <w:rPr>
                <w:sz w:val="1"/>
                <w:szCs w:val="1"/>
                <w:color w:val="auto"/>
              </w:rPr>
            </w:pPr>
          </w:p>
        </w:tc>
      </w:tr>
      <w:tr>
        <w:trPr>
          <w:trHeight w:val="328"/>
        </w:trPr>
        <w:tc>
          <w:tcPr>
            <w:tcW w:w="4820" w:type="dxa"/>
            <w:vAlign w:val="bottom"/>
          </w:tcPr>
          <w:p>
            <w:pPr>
              <w:spacing w:after="0"/>
              <w:rPr>
                <w:sz w:val="20"/>
                <w:szCs w:val="20"/>
                <w:color w:val="auto"/>
              </w:rPr>
            </w:pPr>
            <w:r>
              <w:rPr>
                <w:rFonts w:ascii="Times New Roman" w:cs="Times New Roman" w:eastAsia="Times New Roman" w:hAnsi="Times New Roman"/>
                <w:sz w:val="20"/>
                <w:szCs w:val="20"/>
                <w:color w:val="auto"/>
              </w:rPr>
              <w:t>Net increase in cash and cash equivalents and restricted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6"/>
        </w:trPr>
        <w:tc>
          <w:tcPr>
            <w:tcW w:w="482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cash  .... ...... . ...... . ...... . ................</w:t>
            </w:r>
          </w:p>
        </w:tc>
        <w:tc>
          <w:tcPr>
            <w:tcW w:w="30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w w:val="83"/>
              </w:rPr>
              <w:t>_.</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ind w:right="89"/>
              <w:spacing w:after="0"/>
              <w:rPr>
                <w:sz w:val="20"/>
                <w:szCs w:val="20"/>
                <w:color w:val="auto"/>
              </w:rPr>
            </w:pPr>
            <w:r>
              <w:rPr>
                <w:rFonts w:ascii="Times New Roman" w:cs="Times New Roman" w:eastAsia="Times New Roman" w:hAnsi="Times New Roman"/>
                <w:sz w:val="19"/>
                <w:szCs w:val="19"/>
                <w:color w:val="auto"/>
              </w:rPr>
              <w:t>95,962</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8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11,459</w:t>
            </w: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3 1,589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7 4</w:t>
        <w:tab/>
        <w:t>2024 FORM 10-K</w:t>
      </w:r>
    </w:p>
    <w:p>
      <w:pPr>
        <w:sectPr>
          <w:pgSz w:w="12240" w:h="15850" w:orient="portrait"/>
          <w:cols w:equalWidth="0" w:num="1">
            <w:col w:w="9365"/>
          </w:cols>
          <w:pgMar w:left="1440" w:top="1395" w:right="1440" w:bottom="721" w:gutter="0" w:footer="0" w:header="0"/>
          <w:type w:val="continuous"/>
        </w:sectPr>
      </w:pPr>
    </w:p>
    <w:bookmarkStart w:id="90" w:name="page91"/>
    <w:bookmarkEnd w:id="90"/>
    <w:p>
      <w:pPr>
        <w:jc w:val="both"/>
        <w:ind w:left="120" w:right="125" w:hanging="8"/>
        <w:spacing w:after="0" w:line="26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98">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Operating Activities.</w:t>
      </w:r>
      <w:r>
        <w:rPr>
          <w:sz w:val="20"/>
          <w:szCs w:val="20"/>
          <w:color w:val="auto"/>
        </w:rPr>
        <w:t xml:space="preserve"> </w:t>
      </w:r>
      <w:r>
        <w:rPr>
          <w:rFonts w:ascii="Times New Roman" w:cs="Times New Roman" w:eastAsia="Times New Roman" w:hAnsi="Times New Roman"/>
          <w:sz w:val="19"/>
          <w:szCs w:val="19"/>
          <w:color w:val="auto"/>
        </w:rPr>
        <w:t>Cash provided by operating activities is net income adjusted for certain non-cash items and changes in assets and liabilities. The Company's net cash flow provided by operating activities were as follows:</w:t>
      </w:r>
    </w:p>
    <w:p>
      <w:pPr>
        <w:spacing w:after="0" w:line="392"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26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Pr>
          <w:p>
            <w:pPr>
              <w:spacing w:after="0"/>
              <w:rPr>
                <w:sz w:val="16"/>
                <w:szCs w:val="16"/>
                <w:color w:val="auto"/>
              </w:rPr>
            </w:pPr>
          </w:p>
        </w:tc>
        <w:tc>
          <w:tcPr>
            <w:tcW w:w="82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6"/>
                <w:szCs w:val="16"/>
                <w:color w:val="auto"/>
              </w:rPr>
            </w:pPr>
          </w:p>
        </w:tc>
      </w:tr>
      <w:tr>
        <w:trPr>
          <w:trHeight w:val="330"/>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Net Income . . . . . . . . . . . . . . . . . . . . . . . . . . . . . . . . . . . . . . . .</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732,610</w:t>
            </w:r>
          </w:p>
        </w:tc>
        <w:tc>
          <w:tcPr>
            <w:tcW w:w="3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3"/>
              </w:rPr>
              <w:t>$ 2 11 ,704</w:t>
            </w:r>
          </w:p>
        </w:tc>
        <w:tc>
          <w:tcPr>
            <w:tcW w:w="28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70,434</w:t>
            </w:r>
          </w:p>
        </w:tc>
        <w:tc>
          <w:tcPr>
            <w:tcW w:w="80" w:type="dxa"/>
            <w:vAlign w:val="bottom"/>
          </w:tcPr>
          <w:p>
            <w:pPr>
              <w:spacing w:after="0"/>
              <w:rPr>
                <w:sz w:val="24"/>
                <w:szCs w:val="24"/>
                <w:color w:val="auto"/>
              </w:rPr>
            </w:pPr>
          </w:p>
        </w:tc>
      </w:tr>
      <w:tr>
        <w:trPr>
          <w:trHeight w:val="229"/>
        </w:trPr>
        <w:tc>
          <w:tcPr>
            <w:tcW w:w="5260" w:type="dxa"/>
            <w:vAlign w:val="bottom"/>
          </w:tcPr>
          <w:p>
            <w:pPr>
              <w:spacing w:after="0"/>
              <w:rPr>
                <w:sz w:val="20"/>
                <w:szCs w:val="20"/>
                <w:color w:val="auto"/>
              </w:rPr>
            </w:pPr>
            <w:r>
              <w:rPr>
                <w:rFonts w:ascii="Times New Roman" w:cs="Times New Roman" w:eastAsia="Times New Roman" w:hAnsi="Times New Roman"/>
                <w:sz w:val="19"/>
                <w:szCs w:val="19"/>
                <w:color w:val="auto"/>
              </w:rPr>
              <w:t>Adjustments to reconcile net income to net cash provided by</w:t>
            </w: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48"/>
        </w:trPr>
        <w:tc>
          <w:tcPr>
            <w:tcW w:w="5260" w:type="dxa"/>
            <w:vAlign w:val="bottom"/>
          </w:tcPr>
          <w:p>
            <w:pPr>
              <w:jc w:val="right"/>
              <w:ind w:right="3387"/>
              <w:spacing w:after="0"/>
              <w:rPr>
                <w:sz w:val="20"/>
                <w:szCs w:val="20"/>
                <w:color w:val="auto"/>
              </w:rPr>
            </w:pPr>
            <w:r>
              <w:rPr>
                <w:rFonts w:ascii="Times New Roman" w:cs="Times New Roman" w:eastAsia="Times New Roman" w:hAnsi="Times New Roman"/>
                <w:sz w:val="19"/>
                <w:szCs w:val="19"/>
                <w:color w:val="auto"/>
              </w:rPr>
              <w:t>operating activities:</w:t>
            </w: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8"/>
        </w:trPr>
        <w:tc>
          <w:tcPr>
            <w:tcW w:w="5260" w:type="dxa"/>
            <w:vAlign w:val="bottom"/>
          </w:tcPr>
          <w:p>
            <w:pPr>
              <w:jc w:val="right"/>
              <w:ind w:right="247"/>
              <w:spacing w:after="0"/>
              <w:rPr>
                <w:sz w:val="20"/>
                <w:szCs w:val="20"/>
                <w:color w:val="auto"/>
              </w:rPr>
            </w:pPr>
            <w:r>
              <w:rPr>
                <w:rFonts w:ascii="Times New Roman" w:cs="Times New Roman" w:eastAsia="Times New Roman" w:hAnsi="Times New Roman"/>
                <w:sz w:val="19"/>
                <w:szCs w:val="19"/>
                <w:color w:val="auto"/>
              </w:rPr>
              <w:t>Depreciation, amortization and goodwill and other long-</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lived asset impairments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173,987</w:t>
            </w:r>
          </w:p>
        </w:tc>
        <w:tc>
          <w:tcPr>
            <w:tcW w:w="300" w:type="dxa"/>
            <w:vAlign w:val="bottom"/>
          </w:tcPr>
          <w:p>
            <w:pPr>
              <w:spacing w:after="0"/>
              <w:rPr>
                <w:sz w:val="21"/>
                <w:szCs w:val="21"/>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235,169</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261,138</w:t>
            </w:r>
          </w:p>
        </w:tc>
        <w:tc>
          <w:tcPr>
            <w:tcW w:w="80" w:type="dxa"/>
            <w:vAlign w:val="bottom"/>
          </w:tcPr>
          <w:p>
            <w:pPr>
              <w:spacing w:after="0"/>
              <w:rPr>
                <w:sz w:val="21"/>
                <w:szCs w:val="21"/>
                <w:color w:val="auto"/>
              </w:rPr>
            </w:pPr>
          </w:p>
        </w:tc>
      </w:tr>
      <w:tr>
        <w:trPr>
          <w:trHeight w:val="238"/>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Amortization of lease right-of-use asset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63,253</w:t>
            </w:r>
          </w:p>
        </w:tc>
        <w:tc>
          <w:tcPr>
            <w:tcW w:w="300" w:type="dxa"/>
            <w:vAlign w:val="bottom"/>
          </w:tcPr>
          <w:p>
            <w:pPr>
              <w:spacing w:after="0"/>
              <w:rPr>
                <w:sz w:val="20"/>
                <w:szCs w:val="20"/>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9"/>
                <w:szCs w:val="19"/>
                <w:color w:val="auto"/>
              </w:rPr>
              <w:t>67,734</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67,568</w:t>
            </w:r>
          </w:p>
        </w:tc>
        <w:tc>
          <w:tcPr>
            <w:tcW w:w="80" w:type="dxa"/>
            <w:vAlign w:val="bottom"/>
          </w:tcPr>
          <w:p>
            <w:pPr>
              <w:spacing w:after="0"/>
              <w:rPr>
                <w:sz w:val="20"/>
                <w:szCs w:val="20"/>
                <w:color w:val="auto"/>
              </w:rPr>
            </w:pPr>
          </w:p>
        </w:tc>
      </w:tr>
      <w:tr>
        <w:trPr>
          <w:trHeight w:val="238"/>
        </w:trPr>
        <w:tc>
          <w:tcPr>
            <w:tcW w:w="5260" w:type="dxa"/>
            <w:vAlign w:val="bottom"/>
          </w:tcPr>
          <w:p>
            <w:pPr>
              <w:jc w:val="right"/>
              <w:ind w:right="207"/>
              <w:spacing w:after="0"/>
              <w:rPr>
                <w:sz w:val="20"/>
                <w:szCs w:val="20"/>
                <w:color w:val="auto"/>
              </w:rPr>
            </w:pPr>
            <w:r>
              <w:rPr>
                <w:rFonts w:ascii="Times New Roman" w:cs="Times New Roman" w:eastAsia="Times New Roman" w:hAnsi="Times New Roman"/>
                <w:sz w:val="19"/>
                <w:szCs w:val="19"/>
                <w:color w:val="auto"/>
              </w:rPr>
              <w:t>Net pension benefit, settlement gain and early retirement</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and separation program costs ...................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(740,152)</w:t>
            </w: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(10 1,398)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(166,611)</w:t>
            </w:r>
          </w:p>
        </w:tc>
      </w:tr>
      <w:tr>
        <w:trPr>
          <w:trHeight w:val="238"/>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Other non-cash activities  .....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65,949</w:t>
            </w:r>
          </w:p>
        </w:tc>
        <w:tc>
          <w:tcPr>
            <w:tcW w:w="300" w:type="dxa"/>
            <w:vAlign w:val="bottom"/>
          </w:tcPr>
          <w:p>
            <w:pPr>
              <w:spacing w:after="0"/>
              <w:rPr>
                <w:sz w:val="20"/>
                <w:szCs w:val="20"/>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(84,399)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130,230</w:t>
            </w:r>
          </w:p>
        </w:tc>
        <w:tc>
          <w:tcPr>
            <w:tcW w:w="80" w:type="dxa"/>
            <w:vAlign w:val="bottom"/>
          </w:tcPr>
          <w:p>
            <w:pPr>
              <w:spacing w:after="0"/>
              <w:rPr>
                <w:sz w:val="20"/>
                <w:szCs w:val="20"/>
                <w:color w:val="auto"/>
              </w:rPr>
            </w:pPr>
          </w:p>
        </w:tc>
      </w:tr>
      <w:tr>
        <w:trPr>
          <w:trHeight w:val="248"/>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Change in operating assets and liabilities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111,341</w:t>
            </w:r>
          </w:p>
        </w:tc>
        <w:tc>
          <w:tcPr>
            <w:tcW w:w="300" w:type="dxa"/>
            <w:vAlign w:val="bottom"/>
          </w:tcPr>
          <w:p>
            <w:pPr>
              <w:spacing w:after="0"/>
              <w:rPr>
                <w:sz w:val="21"/>
                <w:szCs w:val="21"/>
                <w:color w:val="auto"/>
              </w:rPr>
            </w:pPr>
          </w:p>
        </w:tc>
        <w:tc>
          <w:tcPr>
            <w:tcW w:w="110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(68,935)</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( 127,155)</w:t>
            </w:r>
          </w:p>
        </w:tc>
      </w:tr>
      <w:tr>
        <w:trPr>
          <w:trHeight w:val="27"/>
        </w:trPr>
        <w:tc>
          <w:tcPr>
            <w:tcW w:w="52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80" w:type="dxa"/>
            <w:vAlign w:val="bottom"/>
          </w:tcPr>
          <w:p>
            <w:pPr>
              <w:spacing w:after="0"/>
              <w:rPr>
                <w:sz w:val="2"/>
                <w:szCs w:val="2"/>
                <w:color w:val="auto"/>
              </w:rPr>
            </w:pPr>
          </w:p>
        </w:tc>
      </w:tr>
      <w:tr>
        <w:trPr>
          <w:trHeight w:val="272"/>
        </w:trPr>
        <w:tc>
          <w:tcPr>
            <w:tcW w:w="5260" w:type="dxa"/>
            <w:vAlign w:val="bottom"/>
          </w:tcPr>
          <w:p>
            <w:pPr>
              <w:jc w:val="right"/>
              <w:ind w:right="187"/>
              <w:spacing w:after="0"/>
              <w:rPr>
                <w:sz w:val="20"/>
                <w:szCs w:val="20"/>
                <w:color w:val="auto"/>
              </w:rPr>
            </w:pPr>
            <w:r>
              <w:rPr>
                <w:rFonts w:ascii="Times New Roman" w:cs="Times New Roman" w:eastAsia="Times New Roman" w:hAnsi="Times New Roman"/>
                <w:sz w:val="19"/>
                <w:szCs w:val="19"/>
                <w:color w:val="auto"/>
              </w:rPr>
              <w:t>Net Cash Provided b y Operating Activities . ........... .</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8"/>
                <w:szCs w:val="18"/>
                <w:color w:val="auto"/>
              </w:rPr>
              <w:t>406,988</w:t>
            </w:r>
          </w:p>
        </w:tc>
        <w:tc>
          <w:tcPr>
            <w:tcW w:w="300" w:type="dxa"/>
            <w:vAlign w:val="bottom"/>
          </w:tcPr>
          <w:p>
            <w:pPr>
              <w:spacing w:after="0"/>
              <w:rPr>
                <w:sz w:val="23"/>
                <w:szCs w:val="23"/>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$ 259,875</w:t>
            </w:r>
          </w:p>
        </w:tc>
        <w:tc>
          <w:tcPr>
            <w:tcW w:w="28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235,604</w:t>
            </w:r>
          </w:p>
        </w:tc>
        <w:tc>
          <w:tcPr>
            <w:tcW w:w="80" w:type="dxa"/>
            <w:vAlign w:val="bottom"/>
          </w:tcPr>
          <w:p>
            <w:pPr>
              <w:spacing w:after="0"/>
              <w:rPr>
                <w:sz w:val="23"/>
                <w:szCs w:val="23"/>
                <w:color w:val="auto"/>
              </w:rPr>
            </w:pPr>
          </w:p>
        </w:tc>
      </w:tr>
      <w:tr>
        <w:trPr>
          <w:trHeight w:val="32"/>
        </w:trPr>
        <w:tc>
          <w:tcPr>
            <w:tcW w:w="5260" w:type="dxa"/>
            <w:vAlign w:val="bottom"/>
          </w:tcPr>
          <w:p>
            <w:pPr>
              <w:spacing w:after="0"/>
              <w:rPr>
                <w:sz w:val="2"/>
                <w:szCs w:val="2"/>
                <w:color w:val="auto"/>
              </w:rPr>
            </w:pPr>
          </w:p>
        </w:tc>
        <w:tc>
          <w:tcPr>
            <w:tcW w:w="20" w:type="dxa"/>
            <w:vAlign w:val="bottom"/>
            <w:tcBorders>
              <w:bottom w:val="single" w:sz="8" w:color="0C0808"/>
            </w:tcBorders>
          </w:tcPr>
          <w:p>
            <w:pPr>
              <w:spacing w:after="0"/>
              <w:rPr>
                <w:sz w:val="2"/>
                <w:szCs w:val="2"/>
                <w:color w:val="auto"/>
              </w:rPr>
            </w:pPr>
          </w:p>
        </w:tc>
        <w:tc>
          <w:tcPr>
            <w:tcW w:w="800" w:type="dxa"/>
            <w:vAlign w:val="bottom"/>
            <w:tcBorders>
              <w:bottom w:val="single" w:sz="8" w:color="0C0808"/>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Borders>
              <w:bottom w:val="single" w:sz="8" w:color="0C0808"/>
            </w:tcBorders>
          </w:tcPr>
          <w:p>
            <w:pPr>
              <w:spacing w:after="0"/>
              <w:rPr>
                <w:sz w:val="2"/>
                <w:szCs w:val="2"/>
                <w:color w:val="auto"/>
              </w:rPr>
            </w:pPr>
          </w:p>
        </w:tc>
        <w:tc>
          <w:tcPr>
            <w:tcW w:w="800" w:type="dxa"/>
            <w:vAlign w:val="bottom"/>
            <w:tcBorders>
              <w:bottom w:val="single" w:sz="8" w:color="0C0808"/>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00" w:type="dxa"/>
            <w:vAlign w:val="bottom"/>
            <w:tcBorders>
              <w:bottom w:val="single" w:sz="8" w:color="0C080C"/>
            </w:tcBorders>
          </w:tcPr>
          <w:p>
            <w:pPr>
              <w:spacing w:after="0"/>
              <w:rPr>
                <w:sz w:val="2"/>
                <w:szCs w:val="2"/>
                <w:color w:val="auto"/>
              </w:rPr>
            </w:pPr>
          </w:p>
        </w:tc>
        <w:tc>
          <w:tcPr>
            <w:tcW w:w="720" w:type="dxa"/>
            <w:vAlign w:val="bottom"/>
            <w:tcBorders>
              <w:bottom w:val="single" w:sz="8" w:color="0C080C"/>
            </w:tcBorders>
          </w:tcPr>
          <w:p>
            <w:pPr>
              <w:spacing w:after="0"/>
              <w:rPr>
                <w:sz w:val="2"/>
                <w:szCs w:val="2"/>
                <w:color w:val="auto"/>
              </w:rPr>
            </w:pPr>
          </w:p>
        </w:tc>
        <w:tc>
          <w:tcPr>
            <w:tcW w:w="80" w:type="dxa"/>
            <w:vAlign w:val="bottom"/>
          </w:tcPr>
          <w:p>
            <w:pPr>
              <w:spacing w:after="0"/>
              <w:rPr>
                <w:sz w:val="2"/>
                <w:szCs w:val="2"/>
                <w:color w:val="auto"/>
              </w:rPr>
            </w:pPr>
          </w:p>
        </w:tc>
      </w:tr>
    </w:tbl>
    <w:p>
      <w:pPr>
        <w:spacing w:after="0" w:line="308" w:lineRule="exact"/>
        <w:rPr>
          <w:sz w:val="20"/>
          <w:szCs w:val="20"/>
          <w:color w:val="auto"/>
        </w:rPr>
      </w:pPr>
    </w:p>
    <w:p>
      <w:pPr>
        <w:jc w:val="both"/>
        <w:ind w:left="120" w:right="125" w:firstLine="12"/>
        <w:spacing w:after="0" w:line="261" w:lineRule="auto"/>
        <w:rPr>
          <w:sz w:val="20"/>
          <w:szCs w:val="20"/>
          <w:color w:val="auto"/>
        </w:rPr>
      </w:pPr>
      <w:r>
        <w:rPr>
          <w:rFonts w:ascii="Times New Roman" w:cs="Times New Roman" w:eastAsia="Times New Roman" w:hAnsi="Times New Roman"/>
          <w:sz w:val="19"/>
          <w:szCs w:val="19"/>
          <w:color w:val="auto"/>
        </w:rPr>
        <w:t>Net cash provided by operating activities consists primari ly of cash receipts from customers, less disbursements for costs, benefits, income taxes, interest and other expenses.</w:t>
      </w:r>
    </w:p>
    <w:p>
      <w:pPr>
        <w:spacing w:after="0" w:line="221"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For 2024 compared to 2023, the increase in net cash provided by operating activities is primarily due to changes in operating assets and liabilities, partially offset by lower net income, net of non-cash adjustments. Changes in operating assets and liabilities were driven by a significant increase in the value of the mandatorily redeemable noncontrolling interest and lower purchases of inventory. T he change in non-cash activities is largely the result of a significant increase in the provision for deferred income taxes, partially offset by fluctuations in the share prices of the Company's investments in marketable equity securities with larger gains in 2024 compared to 2023.</w:t>
      </w:r>
    </w:p>
    <w:p>
      <w:pPr>
        <w:spacing w:after="0" w:line="223" w:lineRule="exact"/>
        <w:rPr>
          <w:sz w:val="20"/>
          <w:szCs w:val="20"/>
          <w:color w:val="auto"/>
        </w:rPr>
      </w:pPr>
    </w:p>
    <w:p>
      <w:pPr>
        <w:jc w:val="both"/>
        <w:ind w:left="120" w:right="125" w:firstLine="1"/>
        <w:spacing w:after="0" w:line="259" w:lineRule="auto"/>
        <w:rPr>
          <w:sz w:val="20"/>
          <w:szCs w:val="20"/>
          <w:color w:val="auto"/>
        </w:rPr>
      </w:pPr>
      <w:r>
        <w:rPr>
          <w:rFonts w:ascii="Times New Roman" w:cs="Times New Roman" w:eastAsia="Times New Roman" w:hAnsi="Times New Roman"/>
          <w:sz w:val="19"/>
          <w:szCs w:val="19"/>
          <w:color w:val="auto"/>
        </w:rPr>
        <w:t>For 2023 compared to 2022, the increase in net cash provided by operating activities is primarily due to changes in operating assets and liabilities, partially offset by lower net income, net of non-cash adjustments. Changes in operating assets and liabilities were primarily driven by increases in accounts payable and accrued liabilities. The change in non-cash activities is largely the result of fluctuations in the share prices of the Company's investments in marketable equity securities with gains in 2023 compared to losses in 2022.</w:t>
      </w:r>
    </w:p>
    <w:p>
      <w:pPr>
        <w:spacing w:after="0" w:line="232" w:lineRule="exact"/>
        <w:rPr>
          <w:sz w:val="20"/>
          <w:szCs w:val="20"/>
          <w:color w:val="auto"/>
        </w:rPr>
      </w:pPr>
    </w:p>
    <w:p>
      <w:pPr>
        <w:ind w:left="120"/>
        <w:spacing w:after="0"/>
        <w:tabs>
          <w:tab w:leader="none" w:pos="2000" w:val="left"/>
        </w:tabs>
        <w:rPr>
          <w:sz w:val="20"/>
          <w:szCs w:val="20"/>
          <w:color w:val="auto"/>
        </w:rPr>
      </w:pPr>
      <w:r>
        <w:rPr>
          <w:rFonts w:ascii="Times New Roman" w:cs="Times New Roman" w:eastAsia="Times New Roman" w:hAnsi="Times New Roman"/>
          <w:sz w:val="19"/>
          <w:szCs w:val="19"/>
          <w:color w:val="auto"/>
        </w:rPr>
        <w:t>Investing Activities.</w:t>
        <w:tab/>
        <w:t>The Company's net cash flow used in investing activities were as follows:</w:t>
      </w:r>
    </w:p>
    <w:p>
      <w:pPr>
        <w:spacing w:after="0" w:line="191" w:lineRule="exact"/>
        <w:rPr>
          <w:sz w:val="20"/>
          <w:szCs w:val="20"/>
          <w:color w:val="auto"/>
        </w:rPr>
      </w:pPr>
    </w:p>
    <w:p>
      <w:pPr>
        <w:ind w:left="648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54"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5360" w:type="dxa"/>
            <w:vAlign w:val="bottom"/>
          </w:tcPr>
          <w:p>
            <w:pPr>
              <w:spacing w:after="0"/>
              <w:rPr>
                <w:sz w:val="20"/>
                <w:szCs w:val="20"/>
                <w:color w:val="auto"/>
              </w:rPr>
            </w:pPr>
            <w:r>
              <w:rPr>
                <w:rFonts w:ascii="Arial" w:cs="Arial" w:eastAsia="Arial" w:hAnsi="Arial"/>
                <w:sz w:val="14"/>
                <w:szCs w:val="14"/>
                <w:color w:val="auto"/>
              </w:rPr>
              <w:t xml:space="preserve">(In </w:t>
            </w:r>
            <w:r>
              <w:rPr>
                <w:rFonts w:ascii="Times New Roman" w:cs="Times New Roman" w:eastAsia="Times New Roman" w:hAnsi="Times New Roman"/>
                <w:sz w:val="16"/>
                <w:szCs w:val="16"/>
                <w:color w:val="auto"/>
              </w:rPr>
              <w:t>thousands)</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right"/>
              <w:ind w:right="168"/>
              <w:spacing w:after="0"/>
              <w:rPr>
                <w:sz w:val="20"/>
                <w:szCs w:val="20"/>
                <w:color w:val="auto"/>
              </w:rPr>
            </w:pPr>
            <w:r>
              <w:rPr>
                <w:rFonts w:ascii="Times New Roman" w:cs="Times New Roman" w:eastAsia="Times New Roman" w:hAnsi="Times New Roman"/>
                <w:sz w:val="16"/>
                <w:szCs w:val="16"/>
                <w:color w:val="auto"/>
              </w:rPr>
              <w:t>2023</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6"/>
                <w:szCs w:val="16"/>
                <w:color w:val="auto"/>
              </w:rPr>
              <w:t>2022</w:t>
            </w:r>
          </w:p>
        </w:tc>
        <w:tc>
          <w:tcPr>
            <w:tcW w:w="80" w:type="dxa"/>
            <w:vAlign w:val="bottom"/>
          </w:tcPr>
          <w:p>
            <w:pPr>
              <w:spacing w:after="0"/>
              <w:rPr>
                <w:sz w:val="16"/>
                <w:szCs w:val="16"/>
                <w:color w:val="auto"/>
              </w:rPr>
            </w:pPr>
          </w:p>
        </w:tc>
      </w:tr>
      <w:tr>
        <w:trPr>
          <w:trHeight w:val="33"/>
        </w:trPr>
        <w:tc>
          <w:tcPr>
            <w:tcW w:w="536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181414"/>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720" w:type="dxa"/>
            <w:vAlign w:val="bottom"/>
            <w:tcBorders>
              <w:bottom w:val="single" w:sz="8" w:color="181414"/>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181414"/>
            </w:tcBorders>
          </w:tcPr>
          <w:p>
            <w:pPr>
              <w:spacing w:after="0"/>
              <w:rPr>
                <w:sz w:val="2"/>
                <w:szCs w:val="2"/>
                <w:color w:val="auto"/>
              </w:rPr>
            </w:pPr>
          </w:p>
        </w:tc>
        <w:tc>
          <w:tcPr>
            <w:tcW w:w="720" w:type="dxa"/>
            <w:vAlign w:val="bottom"/>
            <w:tcBorders>
              <w:bottom w:val="single" w:sz="8" w:color="181414"/>
            </w:tcBorders>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Purchases of property, plant and equipment  .............. .</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$(82,912)</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(93,447)</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(82,684)</w:t>
            </w:r>
          </w:p>
        </w:tc>
      </w:tr>
      <w:tr>
        <w:trPr>
          <w:trHeight w:val="236"/>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Net proceeds from sales of marketable equity securities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18,524</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55,8 17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6 1,522</w:t>
            </w:r>
          </w:p>
        </w:tc>
        <w:tc>
          <w:tcPr>
            <w:tcW w:w="80" w:type="dxa"/>
            <w:vAlign w:val="bottom"/>
          </w:tcPr>
          <w:p>
            <w:pPr>
              <w:spacing w:after="0"/>
              <w:rPr>
                <w:sz w:val="20"/>
                <w:szCs w:val="20"/>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Investments in equity affiliates, cost method and other</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8"/>
        </w:trPr>
        <w:tc>
          <w:tcPr>
            <w:tcW w:w="53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investments ...................................... .</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(4,554)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(14,050)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(38,894)</w:t>
            </w: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Investments in certain businesses, net of cash acquired  ..... .</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(4,118)</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(78, 149)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(130,106)</w:t>
            </w: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Loan to related party  ................................ .</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(2,000)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(30,000)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Other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12,730</w:t>
            </w:r>
          </w:p>
        </w:tc>
        <w:tc>
          <w:tcPr>
            <w:tcW w:w="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6,854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6,096</w:t>
            </w:r>
          </w:p>
        </w:tc>
        <w:tc>
          <w:tcPr>
            <w:tcW w:w="80" w:type="dxa"/>
            <w:vAlign w:val="bottom"/>
          </w:tcPr>
          <w:p>
            <w:pPr>
              <w:spacing w:after="0"/>
              <w:rPr>
                <w:sz w:val="21"/>
                <w:szCs w:val="21"/>
                <w:color w:val="auto"/>
              </w:rPr>
            </w:pPr>
          </w:p>
        </w:tc>
      </w:tr>
      <w:tr>
        <w:trPr>
          <w:trHeight w:val="36"/>
        </w:trPr>
        <w:tc>
          <w:tcPr>
            <w:tcW w:w="5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0C0808"/>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720" w:type="dxa"/>
            <w:vAlign w:val="bottom"/>
            <w:tcBorders>
              <w:bottom w:val="single" w:sz="8" w:color="0C080C"/>
            </w:tcBorders>
          </w:tcPr>
          <w:p>
            <w:pPr>
              <w:spacing w:after="0"/>
              <w:rPr>
                <w:sz w:val="3"/>
                <w:szCs w:val="3"/>
                <w:color w:val="auto"/>
              </w:rPr>
            </w:pPr>
          </w:p>
        </w:tc>
        <w:tc>
          <w:tcPr>
            <w:tcW w:w="80" w:type="dxa"/>
            <w:vAlign w:val="bottom"/>
          </w:tcPr>
          <w:p>
            <w:pPr>
              <w:spacing w:after="0"/>
              <w:rPr>
                <w:sz w:val="3"/>
                <w:szCs w:val="3"/>
                <w:color w:val="auto"/>
              </w:rPr>
            </w:pPr>
          </w:p>
        </w:tc>
      </w:tr>
      <w:tr>
        <w:trPr>
          <w:trHeight w:val="25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Net Cash Used in Investing Activ ities .................. .</w:t>
            </w:r>
          </w:p>
        </w:tc>
        <w:tc>
          <w:tcPr>
            <w:tcW w:w="10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$(62,330)</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(152,975)</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8"/>
              </w:rPr>
              <w:t>( 184,066)</w:t>
            </w:r>
          </w:p>
        </w:tc>
      </w:tr>
      <w:tr>
        <w:trPr>
          <w:trHeight w:val="40"/>
        </w:trPr>
        <w:tc>
          <w:tcPr>
            <w:tcW w:w="536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00" w:type="dxa"/>
            <w:vAlign w:val="bottom"/>
            <w:tcBorders>
              <w:bottom w:val="single" w:sz="8" w:color="0C0808"/>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720" w:type="dxa"/>
            <w:vAlign w:val="bottom"/>
            <w:tcBorders>
              <w:bottom w:val="single" w:sz="8" w:color="0C080C"/>
            </w:tcBorders>
          </w:tcPr>
          <w:p>
            <w:pPr>
              <w:spacing w:after="0"/>
              <w:rPr>
                <w:sz w:val="3"/>
                <w:szCs w:val="3"/>
                <w:color w:val="auto"/>
              </w:rPr>
            </w:pPr>
          </w:p>
        </w:tc>
        <w:tc>
          <w:tcPr>
            <w:tcW w:w="80" w:type="dxa"/>
            <w:vAlign w:val="bottom"/>
          </w:tcPr>
          <w:p>
            <w:pPr>
              <w:spacing w:after="0"/>
              <w:rPr>
                <w:sz w:val="3"/>
                <w:szCs w:val="3"/>
                <w:color w:val="auto"/>
              </w:rPr>
            </w:pPr>
          </w:p>
        </w:tc>
      </w:tr>
    </w:tbl>
    <w:p>
      <w:pPr>
        <w:spacing w:after="0" w:line="311" w:lineRule="exact"/>
        <w:rPr>
          <w:sz w:val="20"/>
          <w:szCs w:val="20"/>
          <w:color w:val="auto"/>
        </w:rPr>
      </w:pPr>
    </w:p>
    <w:p>
      <w:pPr>
        <w:jc w:val="both"/>
        <w:ind w:left="120" w:right="125" w:firstLine="8"/>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Capital Expenditures. </w:t>
      </w:r>
      <w:r>
        <w:rPr>
          <w:rFonts w:ascii="Times New Roman" w:cs="Times New Roman" w:eastAsia="Times New Roman" w:hAnsi="Times New Roman"/>
          <w:sz w:val="18"/>
          <w:szCs w:val="18"/>
          <w:color w:val="auto"/>
        </w:rPr>
        <w:t>The amounts reflected in the Company's Statements of Cash Flows are based on cash</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payments made during the relevant periods, whereas the Company's capital expenditures for 2024, 2023 and 2022 disclosed in Note 19 to the Consolidated Financial Statements include assets acquired during the year. The Company estimates that its capital expenditures will be in the range of $90 million to $100 million in 2025.</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79"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 xml:space="preserve">GRAHAM HOLDINGS </w:t>
      </w: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9"/>
          <w:szCs w:val="19"/>
          <w:color w:val="auto"/>
        </w:rPr>
        <w:t>75</w:t>
      </w:r>
    </w:p>
    <w:p>
      <w:pPr>
        <w:sectPr>
          <w:pgSz w:w="12240" w:h="15850" w:orient="portrait"/>
          <w:cols w:equalWidth="0" w:num="1">
            <w:col w:w="9365"/>
          </w:cols>
          <w:pgMar w:left="1440" w:top="1395" w:right="1440" w:bottom="721" w:gutter="0" w:footer="0" w:header="0"/>
          <w:type w:val="continuous"/>
        </w:sectPr>
      </w:pPr>
    </w:p>
    <w:bookmarkStart w:id="91" w:name="page92"/>
    <w:bookmarkEnd w:id="91"/>
    <w:p>
      <w:pPr>
        <w:jc w:val="both"/>
        <w:ind w:left="120" w:right="125" w:firstLine="3"/>
        <w:spacing w:after="0" w:line="272" w:lineRule="auto"/>
        <w:rPr>
          <w:sz w:val="20"/>
          <w:szCs w:val="20"/>
          <w:color w:val="auto"/>
        </w:rPr>
      </w:pPr>
      <w:r>
        <w:rPr>
          <w:rFonts w:ascii="Times New Roman" w:cs="Times New Roman" w:eastAsia="Times New Roman" w:hAnsi="Times New Roman"/>
          <w:sz w:val="19"/>
          <w:szCs w:val="19"/>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Net Proceeds from Sales of Marketable Equity Securities. </w:t>
      </w:r>
      <w:r>
        <w:rPr>
          <w:rFonts w:ascii="Times New Roman" w:cs="Times New Roman" w:eastAsia="Times New Roman" w:hAnsi="Times New Roman"/>
          <w:sz w:val="18"/>
          <w:szCs w:val="18"/>
          <w:color w:val="auto"/>
        </w:rPr>
        <w:t>Du ring 2024, 2023 and 2022, the Company sold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marketable securities that generated proceeds of $23.5 million, $62.0 million and $ 102.0 million, respectively. The Company purchased $5.0 rnillion, $4.6 million, and $42.1 million, of which $ 1.5 million was sellletl in Januar y 2023, of marketable equity securities during 2024, 2023 and 2022, respectively.</w:t>
      </w:r>
    </w:p>
    <w:p>
      <w:pPr>
        <w:spacing w:after="0" w:line="249" w:lineRule="exact"/>
        <w:rPr>
          <w:sz w:val="20"/>
          <w:szCs w:val="20"/>
          <w:color w:val="auto"/>
        </w:rPr>
      </w:pPr>
    </w:p>
    <w:p>
      <w:pPr>
        <w:jc w:val="both"/>
        <w:ind w:left="120" w:right="125" w:firstLine="1"/>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Investment in Equity Affiliates. </w:t>
      </w:r>
      <w:r>
        <w:rPr>
          <w:rFonts w:ascii="Times New Roman" w:cs="Times New Roman" w:eastAsia="Times New Roman" w:hAnsi="Times New Roman"/>
          <w:sz w:val="18"/>
          <w:szCs w:val="18"/>
          <w:color w:val="auto"/>
        </w:rPr>
        <w:t>During 2023, the Company made additional investments in Intersection and</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Realm. During 2022, G HG invested an additional $18.5 million in two affiliates to fund their acquisition of an interest in a health system in Il linois a nd the Company also made an additional investment of $5.0 million in N2K Networks, the new parent entity formed through the CyberVista transaction.</w:t>
      </w:r>
    </w:p>
    <w:p>
      <w:pPr>
        <w:spacing w:after="0" w:line="250" w:lineRule="exact"/>
        <w:rPr>
          <w:sz w:val="20"/>
          <w:szCs w:val="20"/>
          <w:color w:val="auto"/>
        </w:rPr>
      </w:pPr>
    </w:p>
    <w:p>
      <w:pPr>
        <w:jc w:val="both"/>
        <w:ind w:left="120" w:right="125" w:hanging="3"/>
        <w:spacing w:after="0" w:line="262" w:lineRule="auto"/>
        <w:rPr>
          <w:sz w:val="20"/>
          <w:szCs w:val="20"/>
          <w:color w:val="auto"/>
        </w:rPr>
      </w:pPr>
      <w:r>
        <w:rPr>
          <w:rFonts w:ascii="Times New Roman" w:cs="Times New Roman" w:eastAsia="Times New Roman" w:hAnsi="Times New Roman"/>
          <w:sz w:val="19"/>
          <w:szCs w:val="19"/>
          <w:i w:val="1"/>
          <w:iCs w:val="1"/>
          <w:color w:val="auto"/>
        </w:rPr>
        <w:t>Acquisitions.</w:t>
      </w:r>
      <w:r>
        <w:rPr>
          <w:sz w:val="20"/>
          <w:szCs w:val="20"/>
          <w:color w:val="auto"/>
        </w:rPr>
        <w:t xml:space="preserve"> </w:t>
      </w:r>
      <w:r>
        <w:rPr>
          <w:rFonts w:ascii="Times New Roman" w:cs="Times New Roman" w:eastAsia="Times New Roman" w:hAnsi="Times New Roman"/>
          <w:sz w:val="19"/>
          <w:szCs w:val="19"/>
          <w:color w:val="auto"/>
        </w:rPr>
        <w:t>During 2024, the Company acquired two small businesses. During 2023, the Company acquired five businesses: one in automotive, three small businesses in healthcare and one in other businesses for $83.3 million in cash and contingent consideration and the assumption of floor plan payables. In September 2023, the Company's a utomotive subsidiary acquired a Toyota automotive dealership, including the real property for the dealership operations. In addition to a cash payment an d the assumption of $2.2 million in floor plan payables, the automotive subsidiary borrowed $37.0 million to finance the acquisition. During 2022, the Company acquired seven businesses: five in healthcare and two in automotive, for $143.2 million in cash and contingent consideration and the assumption of floor plan payables. GHG acquired two small businesses in August 2022, a 100% interest in a multi-state provider of Applied Behavioral Analysis clinics (Surpass Behavioral Health) in July 2022, and two small businesses in May 2022. In July 2022, the Company's automotive subsidiary acquired two automotive dealerships, including the real property for the dealership operations. In addition to a cash payment and the assumption of $10.9 million in floor plan payables, the automotive subsid iary borrowed $77.4 million to fi nance the acquisition.</w:t>
      </w:r>
    </w:p>
    <w:p>
      <w:pPr>
        <w:spacing w:after="0" w:line="200" w:lineRule="exact"/>
        <w:rPr>
          <w:sz w:val="20"/>
          <w:szCs w:val="20"/>
          <w:color w:val="auto"/>
        </w:rPr>
      </w:pPr>
    </w:p>
    <w:p>
      <w:pPr>
        <w:spacing w:after="0" w:line="314" w:lineRule="exact"/>
        <w:rPr>
          <w:sz w:val="20"/>
          <w:szCs w:val="20"/>
          <w:color w:val="auto"/>
        </w:rPr>
      </w:pPr>
    </w:p>
    <w:p>
      <w:pPr>
        <w:jc w:val="both"/>
        <w:ind w:left="120" w:right="125" w:firstLine="4"/>
        <w:spacing w:after="0" w:line="272" w:lineRule="auto"/>
        <w:rPr>
          <w:sz w:val="20"/>
          <w:szCs w:val="20"/>
          <w:color w:val="auto"/>
        </w:rPr>
      </w:pPr>
      <w:r>
        <w:rPr>
          <w:rFonts w:ascii="Times New Roman" w:cs="Times New Roman" w:eastAsia="Times New Roman" w:hAnsi="Times New Roman"/>
          <w:sz w:val="19"/>
          <w:szCs w:val="19"/>
          <w:i w:val="1"/>
          <w:iCs w:val="1"/>
          <w:color w:val="auto"/>
        </w:rPr>
        <w:t xml:space="preserve">Loan to Related Party. </w:t>
      </w:r>
      <w:r>
        <w:rPr>
          <w:rFonts w:ascii="Times New Roman" w:cs="Times New Roman" w:eastAsia="Times New Roman" w:hAnsi="Times New Roman"/>
          <w:sz w:val="18"/>
          <w:szCs w:val="18"/>
          <w:color w:val="auto"/>
        </w:rPr>
        <w:t>In May 2024, the Company entered into a convertible promissory note agreement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loan N2K Networks $2.0 million. T he convertible promissory note bears interest at a rate of 12% per annum and, subject to conversion provisions, all u npaid interest and principal are due by May 2027. In April 2023, the Company entered into a term note agreement to loan Intersection $30.0 million at an interest rate of 9% per annunn. The principal and interest on the note are payable in monthly installments over five years with the final payment due by May 2028. The outstanding balance on this loan was $25.7 million as of December 31, 2024.</w:t>
      </w:r>
    </w:p>
    <w:p>
      <w:pPr>
        <w:spacing w:after="0" w:line="250" w:lineRule="exact"/>
        <w:rPr>
          <w:sz w:val="20"/>
          <w:szCs w:val="20"/>
          <w:color w:val="auto"/>
        </w:rPr>
      </w:pPr>
    </w:p>
    <w:p>
      <w:pPr>
        <w:ind w:left="120"/>
        <w:spacing w:after="0"/>
        <w:tabs>
          <w:tab w:leader="none" w:pos="2060" w:val="left"/>
        </w:tabs>
        <w:rPr>
          <w:sz w:val="20"/>
          <w:szCs w:val="20"/>
          <w:color w:val="auto"/>
        </w:rPr>
      </w:pPr>
      <w:r>
        <w:rPr>
          <w:rFonts w:ascii="Times New Roman" w:cs="Times New Roman" w:eastAsia="Times New Roman" w:hAnsi="Times New Roman"/>
          <w:sz w:val="19"/>
          <w:szCs w:val="19"/>
          <w:color w:val="auto"/>
        </w:rPr>
        <w:t>F inan cing Activities.</w:t>
        <w:tab/>
        <w:t>The Company's net cash flow used in financing activities were as follows:</w:t>
      </w:r>
    </w:p>
    <w:p>
      <w:pPr>
        <w:spacing w:after="0" w:line="220"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20" w:type="dxa"/>
            <w:vAlign w:val="bottom"/>
            <w:gridSpan w:val="8"/>
          </w:tcPr>
          <w:p>
            <w:pPr>
              <w:jc w:val="right"/>
              <w:ind w:right="68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33"/>
        </w:trPr>
        <w:tc>
          <w:tcPr>
            <w:tcW w:w="53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2"/>
                <w:szCs w:val="2"/>
                <w:color w:val="auto"/>
              </w:rPr>
            </w:pPr>
          </w:p>
        </w:tc>
        <w:tc>
          <w:tcPr>
            <w:tcW w:w="820" w:type="dxa"/>
            <w:vAlign w:val="bottom"/>
            <w:tcBorders>
              <w:bottom w:val="single" w:sz="8" w:color="141414"/>
            </w:tcBorders>
          </w:tcPr>
          <w:p>
            <w:pPr>
              <w:spacing w:after="0"/>
              <w:rPr>
                <w:sz w:val="2"/>
                <w:szCs w:val="2"/>
                <w:color w:val="auto"/>
              </w:rPr>
            </w:pPr>
          </w:p>
        </w:tc>
        <w:tc>
          <w:tcPr>
            <w:tcW w:w="280" w:type="dxa"/>
            <w:vAlign w:val="bottom"/>
            <w:tcBorders>
              <w:bottom w:val="single" w:sz="8" w:color="141414"/>
            </w:tcBorders>
          </w:tcPr>
          <w:p>
            <w:pPr>
              <w:spacing w:after="0"/>
              <w:rPr>
                <w:sz w:val="2"/>
                <w:szCs w:val="2"/>
                <w:color w:val="auto"/>
              </w:rPr>
            </w:pPr>
          </w:p>
        </w:tc>
        <w:tc>
          <w:tcPr>
            <w:tcW w:w="100" w:type="dxa"/>
            <w:vAlign w:val="bottom"/>
            <w:tcBorders>
              <w:bottom w:val="single" w:sz="8" w:color="141414"/>
            </w:tcBorders>
          </w:tcPr>
          <w:p>
            <w:pPr>
              <w:spacing w:after="0"/>
              <w:rPr>
                <w:sz w:val="2"/>
                <w:szCs w:val="2"/>
                <w:color w:val="auto"/>
              </w:rPr>
            </w:pPr>
          </w:p>
        </w:tc>
        <w:tc>
          <w:tcPr>
            <w:tcW w:w="720" w:type="dxa"/>
            <w:vAlign w:val="bottom"/>
            <w:tcBorders>
              <w:bottom w:val="single" w:sz="8" w:color="141414"/>
            </w:tcBorders>
          </w:tcPr>
          <w:p>
            <w:pPr>
              <w:spacing w:after="0"/>
              <w:rPr>
                <w:sz w:val="2"/>
                <w:szCs w:val="2"/>
                <w:color w:val="auto"/>
              </w:rPr>
            </w:pPr>
          </w:p>
        </w:tc>
        <w:tc>
          <w:tcPr>
            <w:tcW w:w="30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700" w:type="dxa"/>
            <w:vAlign w:val="bottom"/>
            <w:tcBorders>
              <w:bottom w:val="single" w:sz="8" w:color="141414"/>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5360" w:type="dxa"/>
            <w:vAlign w:val="bottom"/>
            <w:vMerge w:val="continue"/>
          </w:tcPr>
          <w:p>
            <w:pPr>
              <w:spacing w:after="0"/>
              <w:rPr>
                <w:sz w:val="16"/>
                <w:szCs w:val="16"/>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148"/>
              <w:spacing w:after="0"/>
              <w:rPr>
                <w:sz w:val="20"/>
                <w:szCs w:val="20"/>
                <w:color w:val="auto"/>
              </w:rPr>
            </w:pPr>
            <w:r>
              <w:rPr>
                <w:rFonts w:ascii="Times New Roman" w:cs="Times New Roman" w:eastAsia="Times New Roman" w:hAnsi="Times New Roman"/>
                <w:sz w:val="15"/>
                <w:szCs w:val="15"/>
                <w:color w:val="auto"/>
              </w:rPr>
              <w:t>2023</w:t>
            </w:r>
          </w:p>
        </w:tc>
        <w:tc>
          <w:tcPr>
            <w:tcW w:w="3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2022</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5360" w:type="dxa"/>
            <w:vAlign w:val="bottom"/>
          </w:tcPr>
          <w:p>
            <w:pPr>
              <w:spacing w:after="0"/>
              <w:rPr>
                <w:sz w:val="3"/>
                <w:szCs w:val="3"/>
                <w:color w:val="auto"/>
              </w:rPr>
            </w:pPr>
          </w:p>
        </w:tc>
        <w:tc>
          <w:tcPr>
            <w:tcW w:w="840" w:type="dxa"/>
            <w:vAlign w:val="bottom"/>
            <w:tcBorders>
              <w:bottom w:val="single" w:sz="8" w:color="404040"/>
            </w:tcBorders>
            <w:gridSpan w:val="2"/>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404040"/>
            </w:tcBorders>
          </w:tcPr>
          <w:p>
            <w:pPr>
              <w:spacing w:after="0"/>
              <w:rPr>
                <w:sz w:val="3"/>
                <w:szCs w:val="3"/>
                <w:color w:val="auto"/>
              </w:rPr>
            </w:pPr>
          </w:p>
        </w:tc>
        <w:tc>
          <w:tcPr>
            <w:tcW w:w="720" w:type="dxa"/>
            <w:vAlign w:val="bottom"/>
            <w:tcBorders>
              <w:bottom w:val="single" w:sz="8" w:color="404040"/>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404040"/>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Common shares repurchased  ........ .. ...... ... . .... . .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$(114,101)</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w w:val="90"/>
              </w:rPr>
              <w:t>( 193, 160)</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98"/>
              </w:rPr>
              <w:t>$(7 1,386)</w:t>
            </w:r>
          </w:p>
        </w:tc>
        <w:tc>
          <w:tcPr>
            <w:tcW w:w="0" w:type="dxa"/>
            <w:vAlign w:val="bottom"/>
          </w:tcPr>
          <w:p>
            <w:pPr>
              <w:spacing w:after="0"/>
              <w:rPr>
                <w:sz w:val="1"/>
                <w:szCs w:val="1"/>
                <w:color w:val="auto"/>
              </w:rPr>
            </w:pPr>
          </w:p>
        </w:tc>
      </w:tr>
      <w:tr>
        <w:trPr>
          <w:trHeight w:val="24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Net (payments) borrowing under revolving credit facilities  . . .</w:t>
            </w:r>
          </w:p>
        </w:tc>
        <w:tc>
          <w:tcPr>
            <w:tcW w:w="112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(35,756)</w:t>
            </w:r>
          </w:p>
        </w:tc>
        <w:tc>
          <w:tcPr>
            <w:tcW w:w="100" w:type="dxa"/>
            <w:vAlign w:val="bottom"/>
          </w:tcPr>
          <w:p>
            <w:pPr>
              <w:spacing w:after="0"/>
              <w:rPr>
                <w:sz w:val="21"/>
                <w:szCs w:val="21"/>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(104,244)</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(Repayments) issuance of borrowings, net  . ... . .. . . . . . . .. .</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(27,637)</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171,643</w:t>
            </w:r>
          </w:p>
        </w:tc>
        <w:tc>
          <w:tcPr>
            <w:tcW w:w="3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62,815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Net (repayments of) proceeds from vehicle floor plan</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36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payable  . .. ...... . . . .. . . . . . .. . .... . . . . . .... . . ... . .</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(416)</w:t>
            </w: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73,732</w:t>
            </w:r>
          </w:p>
        </w:tc>
        <w:tc>
          <w:tcPr>
            <w:tcW w:w="30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26,230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Dividends paid  . . ... . . . . . . .. . . . . .. .. .. . . ...... . ..... .</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(30,347)</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(30,953)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(30,7 12)</w:t>
            </w:r>
          </w:p>
        </w:tc>
        <w:tc>
          <w:tcPr>
            <w:tcW w:w="0" w:type="dxa"/>
            <w:vAlign w:val="bottom"/>
          </w:tcPr>
          <w:p>
            <w:pPr>
              <w:spacing w:after="0"/>
              <w:rPr>
                <w:sz w:val="1"/>
                <w:szCs w:val="1"/>
                <w:color w:val="auto"/>
              </w:rPr>
            </w:pPr>
          </w:p>
        </w:tc>
      </w:tr>
      <w:tr>
        <w:trPr>
          <w:trHeight w:val="238"/>
        </w:trPr>
        <w:tc>
          <w:tcPr>
            <w:tcW w:w="5360" w:type="dxa"/>
            <w:vAlign w:val="bottom"/>
          </w:tcPr>
          <w:p>
            <w:pPr>
              <w:spacing w:after="0"/>
              <w:rPr>
                <w:sz w:val="20"/>
                <w:szCs w:val="20"/>
                <w:color w:val="auto"/>
              </w:rPr>
            </w:pPr>
            <w:r>
              <w:rPr>
                <w:rFonts w:ascii="Times New Roman" w:cs="Times New Roman" w:eastAsia="Times New Roman" w:hAnsi="Times New Roman"/>
                <w:sz w:val="19"/>
                <w:szCs w:val="19"/>
                <w:color w:val="auto"/>
              </w:rPr>
              <w:t>Other . ... . .. . ... . .... . ......... . ...... . . .. . .. ..... .</w:t>
            </w: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(32,710)</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( 16,853)</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(8,054)</w:t>
            </w:r>
          </w:p>
        </w:tc>
        <w:tc>
          <w:tcPr>
            <w:tcW w:w="0" w:type="dxa"/>
            <w:vAlign w:val="bottom"/>
          </w:tcPr>
          <w:p>
            <w:pPr>
              <w:spacing w:after="0"/>
              <w:rPr>
                <w:sz w:val="1"/>
                <w:szCs w:val="1"/>
                <w:color w:val="auto"/>
              </w:rPr>
            </w:pPr>
          </w:p>
        </w:tc>
      </w:tr>
      <w:tr>
        <w:trPr>
          <w:trHeight w:val="36"/>
        </w:trPr>
        <w:tc>
          <w:tcPr>
            <w:tcW w:w="53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Net Cash Used in F inancing Activ ities  .. .. . .. .. ...... . . .</w:t>
            </w:r>
          </w:p>
        </w:tc>
        <w:tc>
          <w:tcPr>
            <w:tcW w:w="20" w:type="dxa"/>
            <w:vAlign w:val="bottom"/>
          </w:tcPr>
          <w:p>
            <w:pPr>
              <w:spacing w:after="0"/>
              <w:rPr>
                <w:sz w:val="3"/>
                <w:szCs w:val="3"/>
                <w:color w:val="auto"/>
              </w:rPr>
            </w:pPr>
          </w:p>
        </w:tc>
        <w:tc>
          <w:tcPr>
            <w:tcW w:w="82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Pr>
          <w:p>
            <w:pPr>
              <w:spacing w:after="0"/>
              <w:rPr>
                <w:sz w:val="3"/>
                <w:szCs w:val="3"/>
                <w:color w:val="auto"/>
              </w:rPr>
            </w:pPr>
          </w:p>
        </w:tc>
        <w:tc>
          <w:tcPr>
            <w:tcW w:w="70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5360" w:type="dxa"/>
            <w:vAlign w:val="bottom"/>
            <w:vMerge w:val="continue"/>
          </w:tcPr>
          <w:p>
            <w:pPr>
              <w:spacing w:after="0"/>
              <w:rPr>
                <w:sz w:val="23"/>
                <w:szCs w:val="23"/>
                <w:color w:val="auto"/>
              </w:rPr>
            </w:pPr>
          </w:p>
        </w:tc>
        <w:tc>
          <w:tcPr>
            <w:tcW w:w="112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$(240,967)</w:t>
            </w: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9"/>
                <w:szCs w:val="19"/>
                <w:color w:val="auto"/>
              </w:rPr>
              <w:t>(99,835)</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$(18,107)</w:t>
            </w:r>
          </w:p>
        </w:tc>
        <w:tc>
          <w:tcPr>
            <w:tcW w:w="0" w:type="dxa"/>
            <w:vAlign w:val="bottom"/>
          </w:tcPr>
          <w:p>
            <w:pPr>
              <w:spacing w:after="0"/>
              <w:rPr>
                <w:sz w:val="1"/>
                <w:szCs w:val="1"/>
                <w:color w:val="auto"/>
              </w:rPr>
            </w:pPr>
          </w:p>
        </w:tc>
      </w:tr>
      <w:tr>
        <w:trPr>
          <w:trHeight w:val="40"/>
        </w:trPr>
        <w:tc>
          <w:tcPr>
            <w:tcW w:w="53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2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0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40" w:lineRule="exact"/>
        <w:rPr>
          <w:sz w:val="20"/>
          <w:szCs w:val="20"/>
          <w:color w:val="auto"/>
        </w:rPr>
      </w:pPr>
    </w:p>
    <w:p>
      <w:pPr>
        <w:jc w:val="both"/>
        <w:ind w:left="120" w:right="105" w:firstLine="9"/>
        <w:spacing w:after="0" w:line="274" w:lineRule="auto"/>
        <w:rPr>
          <w:sz w:val="20"/>
          <w:szCs w:val="20"/>
          <w:color w:val="auto"/>
        </w:rPr>
      </w:pPr>
      <w:r>
        <w:rPr>
          <w:rFonts w:ascii="Times New Roman" w:cs="Times New Roman" w:eastAsia="Times New Roman" w:hAnsi="Times New Roman"/>
          <w:sz w:val="19"/>
          <w:szCs w:val="19"/>
          <w:i w:val="1"/>
          <w:iCs w:val="1"/>
          <w:color w:val="auto"/>
        </w:rPr>
        <w:t xml:space="preserve">Common Stock Repurchases. </w:t>
      </w:r>
      <w:r>
        <w:rPr>
          <w:rFonts w:ascii="Times New Roman" w:cs="Times New Roman" w:eastAsia="Times New Roman" w:hAnsi="Times New Roman"/>
          <w:sz w:val="18"/>
          <w:szCs w:val="18"/>
          <w:color w:val="auto"/>
        </w:rPr>
        <w:t>During 2024, 2023, and 2022, the Company purchased a total of 152,948,</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325,134, and 121,761 shares, respectively, of its Class B common stock at a cost of approxi mately $ 115.2 million, $ 195.0 million, and $71.4 million, respectively, inc luding commissions and accrued excise tax of $1.1 million and $1.8 million for 2024 and 2023 purchases, respectively. On September 12, 2024, the Board of Directors authorized the Company to acquire up to 500,000 shares of its Class B common stock. The Company d id not announce a ceiling price or time limit for the purchases. At December 31, 2024, the Company had remaining authorization from the Board of Directors to purchase ·up to 466,460 shares of Class B common stock.</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90"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76</w:t>
        <w:tab/>
        <w:t>2024 FORM 10-K</w:t>
      </w:r>
    </w:p>
    <w:p>
      <w:pPr>
        <w:sectPr>
          <w:pgSz w:w="12240" w:h="15850" w:orient="portrait"/>
          <w:cols w:equalWidth="0" w:num="1">
            <w:col w:w="9365"/>
          </w:cols>
          <w:pgMar w:left="1440" w:top="1394" w:right="1440" w:bottom="721" w:gutter="0" w:footer="0" w:header="0"/>
          <w:type w:val="continuous"/>
        </w:sectPr>
      </w:pPr>
    </w:p>
    <w:bookmarkStart w:id="92" w:name="page93"/>
    <w:bookmarkEnd w:id="92"/>
    <w:p>
      <w:pPr>
        <w:jc w:val="both"/>
        <w:ind w:left="120" w:right="125" w:firstLine="14"/>
        <w:spacing w:after="0" w:line="277" w:lineRule="auto"/>
        <w:rPr>
          <w:sz w:val="20"/>
          <w:szCs w:val="20"/>
          <w:color w:val="auto"/>
        </w:rPr>
      </w:pPr>
      <w:r>
        <w:rPr>
          <w:rFonts w:ascii="Times New Roman" w:cs="Times New Roman" w:eastAsia="Times New Roman" w:hAnsi="Times New Roman"/>
          <w:sz w:val="19"/>
          <w:szCs w:val="19"/>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Borrowings and Vehicle Floor Plan Payable. </w:t>
      </w:r>
      <w:r>
        <w:rPr>
          <w:rFonts w:ascii="Times New Roman" w:cs="Times New Roman" w:eastAsia="Times New Roman" w:hAnsi="Times New Roman"/>
          <w:sz w:val="18"/>
          <w:szCs w:val="18"/>
          <w:color w:val="auto"/>
        </w:rPr>
        <w:t>In 2024, the Company repaid amounts borrowed under the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$300 million revolving credit facility, term loan and commercial notes at the automotive subsidiary. In September 2023, the Cornpany's automotive subsidiary entered into a credit agreement with Truist Bank which includes (i) a $75.2 million real estate term loan, (ii) a $65.0 million capital term loan, (iii) a $50.0 million delayed draw term loan, and (iv) establishment of a revolvEng floor plan credit facility. The automotive subsid iary used the net proceeds from the real estate and capital term loans to acquire an automotive dealership, including the real property for the dealership operations, and to repay the outstanding balances of the commercial notes maturing in 2031 and 2032. On July 28, 2023, the Company entered into a $ 150 million term loan and used the proceeds to repay the U.S. dollar borrowings of the $300 million revolving credit facility. In July 2022, the Company's automotive subsidiary amended its commercial note to, among other things, increase the aggregate loan amount to $7 1.6 million and entered into three commercial notes in an aggregate amount of $27.2 million. The additional borrowings were used to acquire two automotive dealerships, inducting the real property for the dealership operations. In 2024, 2023, and 2022, the Company used vehicle floor pla n financing to fund the purchase of new, used and service loaner vehicles at its automoti ve subsidiary. The (repayments of) proceeds from the vehicle floor plan payable fluctuates with changes in the amount of vehicle inventory held by the automotive dealerships.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120" w:right="125" w:firstLine="2"/>
        <w:spacing w:after="0" w:line="275" w:lineRule="auto"/>
        <w:rPr>
          <w:sz w:val="20"/>
          <w:szCs w:val="20"/>
          <w:color w:val="auto"/>
        </w:rPr>
      </w:pPr>
      <w:r>
        <w:rPr>
          <w:rFonts w:ascii="Times New Roman" w:cs="Times New Roman" w:eastAsia="Times New Roman" w:hAnsi="Times New Roman"/>
          <w:sz w:val="19"/>
          <w:szCs w:val="19"/>
          <w:i w:val="1"/>
          <w:iCs w:val="1"/>
          <w:color w:val="auto"/>
        </w:rPr>
        <w:t xml:space="preserve">Dividends. </w:t>
      </w:r>
      <w:r>
        <w:rPr>
          <w:rFonts w:ascii="Times New Roman" w:cs="Times New Roman" w:eastAsia="Times New Roman" w:hAnsi="Times New Roman"/>
          <w:sz w:val="18"/>
          <w:szCs w:val="18"/>
          <w:color w:val="auto"/>
        </w:rPr>
        <w:t>T he ann ual dividend rate per share was $6.88, $6.60 and $6.32 m 2024, 2023 and 2022,</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respectively. The Company expects to pay a dividend of $7.20 per share in 2025.</w:t>
      </w:r>
    </w:p>
    <w:p>
      <w:pPr>
        <w:spacing w:after="0" w:line="256" w:lineRule="exact"/>
        <w:rPr>
          <w:sz w:val="20"/>
          <w:szCs w:val="20"/>
          <w:color w:val="auto"/>
        </w:rPr>
      </w:pPr>
    </w:p>
    <w:p>
      <w:pPr>
        <w:jc w:val="both"/>
        <w:ind w:left="120" w:right="125" w:firstLine="9"/>
        <w:spacing w:after="0" w:line="277" w:lineRule="auto"/>
        <w:rPr>
          <w:sz w:val="20"/>
          <w:szCs w:val="20"/>
          <w:color w:val="auto"/>
        </w:rPr>
      </w:pPr>
      <w:r>
        <w:rPr>
          <w:rFonts w:ascii="Times New Roman" w:cs="Times New Roman" w:eastAsia="Times New Roman" w:hAnsi="Times New Roman"/>
          <w:sz w:val="19"/>
          <w:szCs w:val="19"/>
          <w:i w:val="1"/>
          <w:iCs w:val="1"/>
          <w:color w:val="auto"/>
        </w:rPr>
        <w:t xml:space="preserve">Other. </w:t>
      </w:r>
      <w:r>
        <w:rPr>
          <w:rFonts w:ascii="Times New Roman" w:cs="Times New Roman" w:eastAsia="Times New Roman" w:hAnsi="Times New Roman"/>
          <w:sz w:val="18"/>
          <w:szCs w:val="18"/>
          <w:color w:val="auto"/>
        </w:rPr>
        <w:t>In 2024, 2023 and 2022, the Company paid $5.4 million, $5.3 million and $5.7 million, respectively,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8"/>
          <w:szCs w:val="18"/>
          <w:color w:val="auto"/>
        </w:rPr>
        <w:t>related to contingent consideration and deferred payments from prior acquisitions. In December 2023, the Company acquired some of the minority-owned shares of CSI fo r a total amount of $20.0 million. The Company paid cash of $5.0 million and entered into a promissory note with the minority owners fo r the remaining $ 15.0 million.</w:t>
      </w:r>
    </w:p>
    <w:p>
      <w:pPr>
        <w:spacing w:after="0" w:line="200" w:lineRule="exact"/>
        <w:rPr>
          <w:sz w:val="20"/>
          <w:szCs w:val="20"/>
          <w:color w:val="auto"/>
        </w:rPr>
      </w:pPr>
    </w:p>
    <w:p>
      <w:pPr>
        <w:spacing w:after="0" w:line="257" w:lineRule="exact"/>
        <w:rPr>
          <w:sz w:val="20"/>
          <w:szCs w:val="20"/>
          <w:color w:val="auto"/>
        </w:rPr>
      </w:pPr>
    </w:p>
    <w:p>
      <w:pPr>
        <w:ind w:left="120"/>
        <w:spacing w:after="0"/>
        <w:tabs>
          <w:tab w:leader="none" w:pos="2440" w:val="left"/>
        </w:tabs>
        <w:rPr>
          <w:sz w:val="20"/>
          <w:szCs w:val="20"/>
          <w:color w:val="auto"/>
        </w:rPr>
      </w:pPr>
      <w:r>
        <w:rPr>
          <w:rFonts w:ascii="Times New Roman" w:cs="Times New Roman" w:eastAsia="Times New Roman" w:hAnsi="Times New Roman"/>
          <w:sz w:val="20"/>
          <w:szCs w:val="20"/>
          <w:b w:val="1"/>
          <w:bCs w:val="1"/>
          <w:color w:val="auto"/>
        </w:rPr>
        <w:t>Contractual Obligations.</w:t>
      </w:r>
      <w:r>
        <w:rPr>
          <w:sz w:val="20"/>
          <w:szCs w:val="20"/>
          <w:color w:val="auto"/>
        </w:rPr>
        <w:tab/>
      </w:r>
      <w:r>
        <w:rPr>
          <w:rFonts w:ascii="Times New Roman" w:cs="Times New Roman" w:eastAsia="Times New Roman" w:hAnsi="Times New Roman"/>
          <w:sz w:val="19"/>
          <w:szCs w:val="19"/>
          <w:color w:val="auto"/>
        </w:rPr>
        <w:t>The following reflects a summary of the Company's contractual obligations as of</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December 31,2024:</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95"/>
        </w:trPr>
        <w:tc>
          <w:tcPr>
            <w:tcW w:w="260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 t 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2025</w:t>
            </w:r>
          </w:p>
        </w:tc>
        <w:tc>
          <w:tcPr>
            <w:tcW w:w="1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2026</w:t>
            </w:r>
          </w:p>
        </w:tc>
        <w:tc>
          <w:tcPr>
            <w:tcW w:w="9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2027</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2028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Thcreal'ter</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Times New Roman" w:cs="Times New Roman" w:eastAsia="Times New Roman" w:hAnsi="Times New Roman"/>
                <w:sz w:val="15"/>
                <w:szCs w:val="15"/>
                <w:color w:val="auto"/>
              </w:rPr>
              <w:t>Total</w:t>
            </w:r>
          </w:p>
        </w:tc>
      </w:tr>
      <w:tr>
        <w:trPr>
          <w:trHeight w:val="39"/>
        </w:trPr>
        <w:tc>
          <w:tcPr>
            <w:tcW w:w="980" w:type="dxa"/>
            <w:vAlign w:val="bottom"/>
            <w:tcBorders>
              <w:bottom w:val="single" w:sz="8" w:color="404040"/>
            </w:tcBorders>
            <w:gridSpan w:val="2"/>
          </w:tcPr>
          <w:p>
            <w:pPr>
              <w:spacing w:after="0"/>
              <w:rPr>
                <w:sz w:val="3"/>
                <w:szCs w:val="3"/>
                <w:color w:val="auto"/>
              </w:rPr>
            </w:pPr>
          </w:p>
        </w:tc>
        <w:tc>
          <w:tcPr>
            <w:tcW w:w="1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404040"/>
            </w:tcBorders>
          </w:tcPr>
          <w:p>
            <w:pPr>
              <w:spacing w:after="0"/>
              <w:rPr>
                <w:sz w:val="3"/>
                <w:szCs w:val="3"/>
                <w:color w:val="auto"/>
              </w:rPr>
            </w:pPr>
          </w:p>
        </w:tc>
        <w:tc>
          <w:tcPr>
            <w:tcW w:w="660" w:type="dxa"/>
            <w:vAlign w:val="bottom"/>
            <w:tcBorders>
              <w:bottom w:val="single" w:sz="8" w:color="404040"/>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404040"/>
            </w:tcBorders>
          </w:tcPr>
          <w:p>
            <w:pPr>
              <w:spacing w:after="0"/>
              <w:rPr>
                <w:sz w:val="3"/>
                <w:szCs w:val="3"/>
                <w:color w:val="auto"/>
              </w:rPr>
            </w:pPr>
          </w:p>
        </w:tc>
        <w:tc>
          <w:tcPr>
            <w:tcW w:w="200" w:type="dxa"/>
            <w:vAlign w:val="bottom"/>
            <w:gridSpan w:val="2"/>
          </w:tcPr>
          <w:p>
            <w:pPr>
              <w:spacing w:after="0"/>
              <w:rPr>
                <w:sz w:val="3"/>
                <w:szCs w:val="3"/>
                <w:color w:val="auto"/>
              </w:rPr>
            </w:pPr>
          </w:p>
        </w:tc>
        <w:tc>
          <w:tcPr>
            <w:tcW w:w="20" w:type="dxa"/>
            <w:vAlign w:val="bottom"/>
            <w:tcBorders>
              <w:bottom w:val="single" w:sz="8" w:color="404040"/>
            </w:tcBorders>
          </w:tcPr>
          <w:p>
            <w:pPr>
              <w:spacing w:after="0"/>
              <w:rPr>
                <w:sz w:val="3"/>
                <w:szCs w:val="3"/>
                <w:color w:val="auto"/>
              </w:rPr>
            </w:pPr>
          </w:p>
        </w:tc>
        <w:tc>
          <w:tcPr>
            <w:tcW w:w="720" w:type="dxa"/>
            <w:vAlign w:val="bottom"/>
            <w:tcBorders>
              <w:bottom w:val="single" w:sz="8" w:color="404040"/>
            </w:tcBorders>
          </w:tcPr>
          <w:p>
            <w:pPr>
              <w:spacing w:after="0"/>
              <w:rPr>
                <w:sz w:val="3"/>
                <w:szCs w:val="3"/>
                <w:color w:val="auto"/>
              </w:rPr>
            </w:pPr>
          </w:p>
        </w:tc>
        <w:tc>
          <w:tcPr>
            <w:tcW w:w="20" w:type="dxa"/>
            <w:vAlign w:val="bottom"/>
            <w:tcBorders>
              <w:bottom w:val="single" w:sz="8" w:color="404040"/>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404040"/>
            </w:tcBorders>
          </w:tcPr>
          <w:p>
            <w:pPr>
              <w:spacing w:after="0"/>
              <w:rPr>
                <w:sz w:val="3"/>
                <w:szCs w:val="3"/>
                <w:color w:val="auto"/>
              </w:rPr>
            </w:pPr>
          </w:p>
        </w:tc>
        <w:tc>
          <w:tcPr>
            <w:tcW w:w="640" w:type="dxa"/>
            <w:vAlign w:val="bottom"/>
            <w:tcBorders>
              <w:bottom w:val="single" w:sz="8" w:color="404040"/>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404040"/>
            </w:tcBorders>
          </w:tcPr>
          <w:p>
            <w:pPr>
              <w:spacing w:after="0"/>
              <w:rPr>
                <w:sz w:val="3"/>
                <w:szCs w:val="3"/>
                <w:color w:val="auto"/>
              </w:rPr>
            </w:pPr>
          </w:p>
        </w:tc>
        <w:tc>
          <w:tcPr>
            <w:tcW w:w="660" w:type="dxa"/>
            <w:vAlign w:val="bottom"/>
            <w:tcBorders>
              <w:bottom w:val="single" w:sz="8" w:color="404040"/>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404040"/>
            </w:tcBorders>
          </w:tcPr>
          <w:p>
            <w:pPr>
              <w:spacing w:after="0"/>
              <w:rPr>
                <w:sz w:val="3"/>
                <w:szCs w:val="3"/>
                <w:color w:val="auto"/>
              </w:rPr>
            </w:pPr>
          </w:p>
        </w:tc>
        <w:tc>
          <w:tcPr>
            <w:tcW w:w="680" w:type="dxa"/>
            <w:vAlign w:val="bottom"/>
            <w:tcBorders>
              <w:bottom w:val="single" w:sz="8" w:color="404040"/>
            </w:tcBorders>
          </w:tcPr>
          <w:p>
            <w:pPr>
              <w:spacing w:after="0"/>
              <w:rPr>
                <w:sz w:val="3"/>
                <w:szCs w:val="3"/>
                <w:color w:val="auto"/>
              </w:rPr>
            </w:pPr>
          </w:p>
        </w:tc>
        <w:tc>
          <w:tcPr>
            <w:tcW w:w="200" w:type="dxa"/>
            <w:vAlign w:val="bottom"/>
            <w:gridSpan w:val="2"/>
          </w:tcPr>
          <w:p>
            <w:pPr>
              <w:spacing w:after="0"/>
              <w:rPr>
                <w:sz w:val="3"/>
                <w:szCs w:val="3"/>
                <w:color w:val="auto"/>
              </w:rPr>
            </w:pPr>
          </w:p>
        </w:tc>
        <w:tc>
          <w:tcPr>
            <w:tcW w:w="80" w:type="dxa"/>
            <w:vAlign w:val="bottom"/>
            <w:tcBorders>
              <w:bottom w:val="single" w:sz="8" w:color="404040"/>
            </w:tcBorders>
          </w:tcPr>
          <w:p>
            <w:pPr>
              <w:spacing w:after="0"/>
              <w:rPr>
                <w:sz w:val="3"/>
                <w:szCs w:val="3"/>
                <w:color w:val="auto"/>
              </w:rPr>
            </w:pPr>
          </w:p>
        </w:tc>
        <w:tc>
          <w:tcPr>
            <w:tcW w:w="800" w:type="dxa"/>
            <w:vAlign w:val="bottom"/>
            <w:tcBorders>
              <w:bottom w:val="single" w:sz="8" w:color="404040"/>
            </w:tcBorders>
          </w:tcPr>
          <w:p>
            <w:pPr>
              <w:spacing w:after="0"/>
              <w:rPr>
                <w:sz w:val="3"/>
                <w:szCs w:val="3"/>
                <w:color w:val="auto"/>
              </w:rPr>
            </w:pPr>
          </w:p>
        </w:tc>
        <w:tc>
          <w:tcPr>
            <w:tcW w:w="20" w:type="dxa"/>
            <w:vAlign w:val="bottom"/>
          </w:tcPr>
          <w:p>
            <w:pPr>
              <w:spacing w:after="0"/>
              <w:rPr>
                <w:sz w:val="3"/>
                <w:szCs w:val="3"/>
                <w:color w:val="auto"/>
              </w:rPr>
            </w:pPr>
          </w:p>
        </w:tc>
      </w:tr>
      <w:tr>
        <w:trPr>
          <w:trHeight w:val="278"/>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Debt and interest  </w:t>
            </w:r>
            <w:r>
              <w:rPr>
                <w:rFonts w:ascii="Arial" w:cs="Arial" w:eastAsia="Arial" w:hAnsi="Arial"/>
                <w:sz w:val="18"/>
                <w:szCs w:val="18"/>
                <w:color w:val="auto"/>
              </w:rPr>
              <w:t>..... ..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70,829</w:t>
            </w:r>
          </w:p>
        </w:tc>
        <w:tc>
          <w:tcPr>
            <w:tcW w:w="1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$456,265</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$212,05 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$16,445</w:t>
            </w:r>
          </w:p>
        </w:tc>
        <w:tc>
          <w:tcPr>
            <w:tcW w:w="180" w:type="dxa"/>
            <w:vAlign w:val="bottom"/>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91 ,447</w:t>
            </w:r>
          </w:p>
        </w:tc>
        <w:tc>
          <w:tcPr>
            <w:tcW w:w="180" w:type="dxa"/>
            <w:vAlign w:val="bottom"/>
          </w:tcPr>
          <w:p>
            <w:pPr>
              <w:spacing w:after="0"/>
              <w:rPr>
                <w:sz w:val="24"/>
                <w:szCs w:val="24"/>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254</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847,29 1</w:t>
            </w:r>
          </w:p>
        </w:tc>
      </w:tr>
      <w:tr>
        <w:trPr>
          <w:trHeight w:val="238"/>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Finance leases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9"/>
                <w:szCs w:val="19"/>
                <w:color w:val="auto"/>
                <w:w w:val="91"/>
              </w:rPr>
              <w:t>18,5 11</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3.966</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1,242</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23,740</w:t>
            </w:r>
          </w:p>
        </w:tc>
      </w:tr>
      <w:tr>
        <w:trPr>
          <w:trHeight w:val="238"/>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Operating leases  </w:t>
            </w:r>
            <w:r>
              <w:rPr>
                <w:rFonts w:ascii="Arial" w:cs="Arial" w:eastAsia="Arial" w:hAnsi="Arial"/>
                <w:sz w:val="18"/>
                <w:szCs w:val="18"/>
                <w:color w:val="auto"/>
              </w:rPr>
              <w:t>.........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102,977</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72,629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64,432</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53,599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47,27 1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256,558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597,466</w:t>
            </w:r>
          </w:p>
        </w:tc>
      </w:tr>
      <w:tr>
        <w:trPr>
          <w:trHeight w:val="238"/>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Television broadcasting</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38"/>
        </w:trPr>
        <w:tc>
          <w:tcPr>
            <w:tcW w:w="26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 xml:space="preserve">commitments </w:t>
            </w:r>
            <w:r>
              <w:rPr>
                <w:rFonts w:ascii="Times New Roman" w:cs="Times New Roman" w:eastAsia="Times New Roman" w:hAnsi="Times New Roman"/>
                <w:sz w:val="16"/>
                <w:szCs w:val="16"/>
                <w:color w:val="auto"/>
              </w:rPr>
              <w:t>Ol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ind w:left="100"/>
              <w:spacing w:after="0"/>
              <w:rPr>
                <w:sz w:val="20"/>
                <w:szCs w:val="20"/>
                <w:color w:val="auto"/>
              </w:rPr>
            </w:pPr>
            <w:r>
              <w:rPr>
                <w:rFonts w:ascii="Times New Roman" w:cs="Times New Roman" w:eastAsia="Times New Roman" w:hAnsi="Times New Roman"/>
                <w:sz w:val="19"/>
                <w:szCs w:val="19"/>
                <w:color w:val="auto"/>
              </w:rPr>
              <w:t>78,451</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43,796</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12,280</w:t>
            </w:r>
          </w:p>
        </w:tc>
        <w:tc>
          <w:tcPr>
            <w:tcW w:w="18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5,014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139,541</w:t>
            </w:r>
          </w:p>
        </w:tc>
      </w:tr>
      <w:tr>
        <w:trPr>
          <w:trHeight w:val="238"/>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IT software and services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37,95 1</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32,009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20,840</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4,754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95,638</w:t>
            </w:r>
          </w:p>
        </w:tc>
        <w:tc>
          <w:tcPr>
            <w:tcW w:w="20" w:type="dxa"/>
            <w:vAlign w:val="bottom"/>
          </w:tcPr>
          <w:p>
            <w:pPr>
              <w:spacing w:after="0"/>
              <w:rPr>
                <w:sz w:val="20"/>
                <w:szCs w:val="20"/>
                <w:color w:val="auto"/>
              </w:rPr>
            </w:pPr>
          </w:p>
        </w:tc>
      </w:tr>
      <w:tr>
        <w:trPr>
          <w:trHeight w:val="248"/>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Other purchase</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0"/>
        </w:trPr>
        <w:tc>
          <w:tcPr>
            <w:tcW w:w="26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 xml:space="preserve">obligations </w:t>
            </w:r>
            <w:r>
              <w:rPr>
                <w:rFonts w:ascii="Times New Roman" w:cs="Times New Roman" w:eastAsia="Times New Roman" w:hAnsi="Times New Roman"/>
                <w:sz w:val="12"/>
                <w:szCs w:val="12"/>
                <w:color w:val="auto"/>
              </w:rPr>
              <w:t>(2)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25,816</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7,617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229</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33,715</w:t>
            </w:r>
          </w:p>
        </w:tc>
        <w:tc>
          <w:tcPr>
            <w:tcW w:w="20" w:type="dxa"/>
            <w:vAlign w:val="bottom"/>
          </w:tcPr>
          <w:p>
            <w:pPr>
              <w:spacing w:after="0"/>
              <w:rPr>
                <w:sz w:val="20"/>
                <w:szCs w:val="20"/>
                <w:color w:val="auto"/>
              </w:rPr>
            </w:pPr>
          </w:p>
        </w:tc>
      </w:tr>
      <w:tr>
        <w:trPr>
          <w:trHeight w:val="236"/>
        </w:trPr>
        <w:tc>
          <w:tcPr>
            <w:tcW w:w="2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Long-term liabilities </w:t>
            </w:r>
            <w:r>
              <w:rPr>
                <w:rFonts w:ascii="Times New Roman" w:cs="Times New Roman" w:eastAsia="Times New Roman" w:hAnsi="Times New Roman"/>
                <w:sz w:val="12"/>
                <w:szCs w:val="12"/>
                <w:color w:val="auto"/>
              </w:rPr>
              <w:t>(3)</w:t>
            </w:r>
            <w:r>
              <w:rPr>
                <w:rFonts w:ascii="Times New Roman" w:cs="Times New Roman" w:eastAsia="Times New Roman" w:hAnsi="Times New Roman"/>
                <w:sz w:val="19"/>
                <w:szCs w:val="19"/>
                <w:color w:val="auto"/>
              </w:rPr>
              <w:t xml:space="preserve">   </w:t>
            </w: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2,267</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2,247</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2,238</w:t>
            </w:r>
          </w:p>
        </w:tc>
        <w:tc>
          <w:tcPr>
            <w:tcW w:w="180" w:type="dxa"/>
            <w:vAlign w:val="bottom"/>
          </w:tcPr>
          <w:p>
            <w:pPr>
              <w:spacing w:after="0"/>
              <w:rPr>
                <w:sz w:val="20"/>
                <w:szCs w:val="20"/>
                <w:color w:val="auto"/>
              </w:rPr>
            </w:pPr>
          </w:p>
        </w:tc>
        <w:tc>
          <w:tcPr>
            <w:tcW w:w="84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2,22 1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2,211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13,943</w:t>
            </w:r>
          </w:p>
        </w:tc>
        <w:tc>
          <w:tcPr>
            <w:tcW w:w="20" w:type="dxa"/>
            <w:vAlign w:val="bottom"/>
          </w:tcPr>
          <w:p>
            <w:pPr>
              <w:spacing w:after="0"/>
              <w:rPr>
                <w:sz w:val="20"/>
                <w:szCs w:val="20"/>
                <w:color w:val="auto"/>
              </w:rPr>
            </w:pPr>
          </w:p>
        </w:tc>
      </w:tr>
      <w:tr>
        <w:trPr>
          <w:trHeight w:val="36"/>
        </w:trPr>
        <w:tc>
          <w:tcPr>
            <w:tcW w:w="26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220" w:type="dxa"/>
            <w:vAlign w:val="bottom"/>
            <w:gridSpan w:val="3"/>
          </w:tcPr>
          <w:p>
            <w:pPr>
              <w:spacing w:after="0"/>
              <w:rPr>
                <w:sz w:val="3"/>
                <w:szCs w:val="3"/>
                <w:color w:val="auto"/>
              </w:rPr>
            </w:pPr>
          </w:p>
        </w:tc>
        <w:tc>
          <w:tcPr>
            <w:tcW w:w="740" w:type="dxa"/>
            <w:vAlign w:val="bottom"/>
            <w:tcBorders>
              <w:bottom w:val="single" w:sz="8" w:color="0C0808"/>
            </w:tcBorders>
            <w:gridSpan w:val="2"/>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680" w:type="dxa"/>
            <w:vAlign w:val="bottom"/>
            <w:tcBorders>
              <w:bottom w:val="single" w:sz="8" w:color="0C080C"/>
            </w:tcBorders>
          </w:tcPr>
          <w:p>
            <w:pPr>
              <w:spacing w:after="0"/>
              <w:rPr>
                <w:sz w:val="3"/>
                <w:szCs w:val="3"/>
                <w:color w:val="auto"/>
              </w:rPr>
            </w:pPr>
          </w:p>
        </w:tc>
        <w:tc>
          <w:tcPr>
            <w:tcW w:w="200" w:type="dxa"/>
            <w:vAlign w:val="bottom"/>
            <w:gridSpan w:val="2"/>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80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r>
      <w:tr>
        <w:trPr>
          <w:trHeight w:val="258"/>
        </w:trPr>
        <w:tc>
          <w:tcPr>
            <w:tcW w:w="260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 xml:space="preserve">T otal  </w:t>
            </w:r>
            <w:r>
              <w:rPr>
                <w:rFonts w:ascii="Arial" w:cs="Arial" w:eastAsia="Arial" w:hAnsi="Arial"/>
                <w:sz w:val="18"/>
                <w:szCs w:val="18"/>
                <w:color w:val="auto"/>
              </w:rPr>
              <w:t>.......... . ....</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336,802</w:t>
            </w:r>
          </w:p>
        </w:tc>
        <w:tc>
          <w:tcPr>
            <w:tcW w:w="1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$618,529</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$3 13,312</w:t>
            </w:r>
          </w:p>
        </w:tc>
        <w:tc>
          <w:tcPr>
            <w:tcW w:w="180" w:type="dxa"/>
            <w:vAlign w:val="bottom"/>
          </w:tcPr>
          <w:p>
            <w:pPr>
              <w:spacing w:after="0"/>
              <w:rPr>
                <w:sz w:val="22"/>
                <w:szCs w:val="22"/>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$82,086</w:t>
            </w:r>
          </w:p>
        </w:tc>
        <w:tc>
          <w:tcPr>
            <w:tcW w:w="180" w:type="dxa"/>
            <w:vAlign w:val="bottom"/>
          </w:tcPr>
          <w:p>
            <w:pPr>
              <w:spacing w:after="0"/>
              <w:rPr>
                <w:sz w:val="22"/>
                <w:szCs w:val="22"/>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141,034</w:t>
            </w:r>
          </w:p>
        </w:tc>
        <w:tc>
          <w:tcPr>
            <w:tcW w:w="180" w:type="dxa"/>
            <w:vAlign w:val="bottom"/>
          </w:tcPr>
          <w:p>
            <w:pPr>
              <w:spacing w:after="0"/>
              <w:rPr>
                <w:sz w:val="22"/>
                <w:szCs w:val="22"/>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7"/>
              </w:rPr>
              <w:t>259,57 [</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1,751,334</w:t>
            </w:r>
          </w:p>
        </w:tc>
      </w:tr>
      <w:tr>
        <w:trPr>
          <w:trHeight w:val="40"/>
        </w:trPr>
        <w:tc>
          <w:tcPr>
            <w:tcW w:w="9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4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68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80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r>
      <w:tr>
        <w:trPr>
          <w:trHeight w:val="176"/>
        </w:trPr>
        <w:tc>
          <w:tcPr>
            <w:tcW w:w="960" w:type="dxa"/>
            <w:vAlign w:val="bottom"/>
            <w:tcBorders>
              <w:bottom w:val="single" w:sz="8" w:color="504C4C"/>
            </w:tcBorders>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bl>
    <w:p>
      <w:pPr>
        <w:spacing w:after="0" w:line="179" w:lineRule="exact"/>
        <w:rPr>
          <w:sz w:val="20"/>
          <w:szCs w:val="20"/>
          <w:color w:val="auto"/>
        </w:rPr>
      </w:pPr>
    </w:p>
    <w:p>
      <w:pPr>
        <w:jc w:val="both"/>
        <w:ind w:left="440" w:right="125" w:hanging="325"/>
        <w:spacing w:after="0" w:line="256" w:lineRule="auto"/>
        <w:tabs>
          <w:tab w:leader="none" w:pos="420" w:val="left"/>
        </w:tabs>
        <w:rPr>
          <w:sz w:val="20"/>
          <w:szCs w:val="20"/>
          <w:color w:val="auto"/>
        </w:rPr>
      </w:pPr>
      <w:r>
        <w:rPr>
          <w:rFonts w:ascii="Times New Roman" w:cs="Times New Roman" w:eastAsia="Times New Roman" w:hAnsi="Times New Roman"/>
          <w:sz w:val="15"/>
          <w:szCs w:val="15"/>
          <w:color w:val="auto"/>
        </w:rPr>
        <w:t>( I)</w:t>
        <w:tab/>
        <w:t>Inc ludes network fees, employment agreements and programming purchase commitments for the Company's television broadcasting business.</w:t>
      </w:r>
    </w:p>
    <w:p>
      <w:pPr>
        <w:spacing w:after="0" w:line="217" w:lineRule="exact"/>
        <w:rPr>
          <w:sz w:val="20"/>
          <w:szCs w:val="20"/>
          <w:color w:val="auto"/>
        </w:rPr>
      </w:pPr>
    </w:p>
    <w:p>
      <w:pPr>
        <w:jc w:val="both"/>
        <w:ind w:left="440" w:right="125" w:hanging="324"/>
        <w:spacing w:after="0" w:line="275" w:lineRule="auto"/>
        <w:tabs>
          <w:tab w:leader="none" w:pos="420" w:val="left"/>
        </w:tabs>
        <w:rPr>
          <w:sz w:val="20"/>
          <w:szCs w:val="20"/>
          <w:color w:val="auto"/>
        </w:rPr>
      </w:pPr>
      <w:r>
        <w:rPr>
          <w:rFonts w:ascii="Times New Roman" w:cs="Times New Roman" w:eastAsia="Times New Roman" w:hAnsi="Times New Roman"/>
          <w:sz w:val="15"/>
          <w:szCs w:val="15"/>
          <w:color w:val="auto"/>
        </w:rPr>
        <w:t>(2}</w:t>
        <w:tab/>
        <w:t>Inc ludes purchase obligations related to capital projects and other legally binding commitments. Other purchase orders made in the ordinary course of business are excluded fro m the table above. Any amounts for which the Company is liable under purchase orders are reflected in the Company's Consolidated Balance Sheets as accounts payable and accrued liabilities.</w:t>
      </w:r>
    </w:p>
    <w:p>
      <w:pPr>
        <w:spacing w:after="0" w:line="8" w:lineRule="exact"/>
        <w:rPr>
          <w:sz w:val="20"/>
          <w:szCs w:val="20"/>
          <w:color w:val="auto"/>
        </w:rPr>
      </w:pPr>
    </w:p>
    <w:p>
      <w:pPr>
        <w:jc w:val="both"/>
        <w:ind w:left="440" w:right="125" w:hanging="327"/>
        <w:spacing w:after="0" w:line="275" w:lineRule="auto"/>
        <w:tabs>
          <w:tab w:leader="none" w:pos="441"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Primarily made up of mulliemployer pension plan withdrawal obligations and postretirement benefit obligations other than pensions. The Company has other long-tenn liabilities excluded from the table above, including obligations for deferred compensation, long-term incentive plans, long-term deferred revenue a nd mandatorily redeemable non.controll ing interest.</w:t>
      </w:r>
    </w:p>
    <w:p>
      <w:pPr>
        <w:spacing w:after="0" w:line="248" w:lineRule="exact"/>
        <w:rPr>
          <w:sz w:val="20"/>
          <w:szCs w:val="20"/>
          <w:color w:val="auto"/>
        </w:rPr>
      </w:pPr>
    </w:p>
    <w:p>
      <w:pPr>
        <w:ind w:left="120" w:right="125" w:hanging="1"/>
        <w:spacing w:after="0" w:line="245" w:lineRule="auto"/>
        <w:rPr>
          <w:sz w:val="20"/>
          <w:szCs w:val="20"/>
          <w:color w:val="auto"/>
        </w:rPr>
      </w:pPr>
      <w:r>
        <w:rPr>
          <w:rFonts w:ascii="Times New Roman" w:cs="Times New Roman" w:eastAsia="Times New Roman" w:hAnsi="Times New Roman"/>
          <w:sz w:val="20"/>
          <w:szCs w:val="20"/>
          <w:b w:val="1"/>
          <w:bCs w:val="1"/>
          <w:color w:val="auto"/>
        </w:rPr>
        <w:t>Other.</w:t>
      </w:r>
      <w:r>
        <w:rPr>
          <w:sz w:val="20"/>
          <w:szCs w:val="20"/>
          <w:color w:val="auto"/>
        </w:rPr>
        <w:t xml:space="preserve"> </w:t>
      </w:r>
      <w:r>
        <w:rPr>
          <w:rFonts w:ascii="Times New Roman" w:cs="Times New Roman" w:eastAsia="Times New Roman" w:hAnsi="Times New Roman"/>
          <w:sz w:val="19"/>
          <w:szCs w:val="19"/>
          <w:color w:val="auto"/>
        </w:rPr>
        <w:t>The Company does not have any off-balance-sheet arrangements or financing activities with special-purpose entities.</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77</w:t>
      </w:r>
    </w:p>
    <w:p>
      <w:pPr>
        <w:sectPr>
          <w:pgSz w:w="12240" w:h="15850" w:orient="portrait"/>
          <w:cols w:equalWidth="0" w:num="1">
            <w:col w:w="9365"/>
          </w:cols>
          <w:pgMar w:left="1440" w:top="1395" w:right="1440" w:bottom="721" w:gutter="0" w:footer="0" w:header="0"/>
          <w:type w:val="continuous"/>
        </w:sectPr>
      </w:pPr>
    </w:p>
    <w:bookmarkStart w:id="93" w:name="page94"/>
    <w:bookmarkEnd w:id="93"/>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CRITICAL ACCOUNTING POLICffiS AND ESTIMATES</w:t>
      </w:r>
    </w:p>
    <w:p>
      <w:pPr>
        <w:spacing w:after="0" w:line="150" w:lineRule="exact"/>
        <w:rPr>
          <w:sz w:val="20"/>
          <w:szCs w:val="20"/>
          <w:color w:val="auto"/>
        </w:rPr>
      </w:pPr>
    </w:p>
    <w:p>
      <w:pPr>
        <w:jc w:val="both"/>
        <w:ind w:left="120" w:right="105"/>
        <w:spacing w:after="0" w:line="259" w:lineRule="auto"/>
        <w:rPr>
          <w:sz w:val="20"/>
          <w:szCs w:val="20"/>
          <w:color w:val="auto"/>
        </w:rPr>
      </w:pPr>
      <w:r>
        <w:rPr>
          <w:rFonts w:ascii="Times New Roman" w:cs="Times New Roman" w:eastAsia="Times New Roman" w:hAnsi="Times New Roman"/>
          <w:sz w:val="19"/>
          <w:szCs w:val="19"/>
          <w:color w:val="auto"/>
        </w:rPr>
        <w:t>The preparation of financial statements in confonnity with generally accepted accounting principles requires management to make estimates and judgments that affect the amounts reported in the financial statements. On an ongoing basis, the Company evaluates its estimates and assumptions. The Company bases its estimates on historical experience and other assumptions believed to be reasonable under the circumstances, the results of which form the basis for making judgments about the carrying value of assets and liabilities that are not readily apparent from other so urces. Actual results could differ from these estimates.</w:t>
      </w:r>
    </w:p>
    <w:p>
      <w:pPr>
        <w:spacing w:after="0" w:line="283" w:lineRule="exact"/>
        <w:rPr>
          <w:sz w:val="20"/>
          <w:szCs w:val="20"/>
          <w:color w:val="auto"/>
        </w:rPr>
      </w:pPr>
    </w:p>
    <w:p>
      <w:pPr>
        <w:jc w:val="both"/>
        <w:ind w:left="120" w:right="125" w:firstLine="13"/>
        <w:spacing w:after="0" w:line="264" w:lineRule="auto"/>
        <w:rPr>
          <w:sz w:val="20"/>
          <w:szCs w:val="20"/>
          <w:color w:val="auto"/>
        </w:rPr>
      </w:pPr>
      <w:r>
        <w:rPr>
          <w:rFonts w:ascii="Times New Roman" w:cs="Times New Roman" w:eastAsia="Times New Roman" w:hAnsi="Times New Roman"/>
          <w:sz w:val="19"/>
          <w:szCs w:val="19"/>
          <w:color w:val="auto"/>
        </w:rPr>
        <w:t>An accounting policy is considered critical if it is important to the Company's financial condition and results and if it requires management's most difficult, subjective and compLex judgments in its application. For a summary of all of the Company's significant accounting policies, see Note 2 to the Company's Consolidated Financial Statements.</w:t>
      </w:r>
    </w:p>
    <w:p>
      <w:pPr>
        <w:spacing w:after="0" w:line="200" w:lineRule="exact"/>
        <w:rPr>
          <w:sz w:val="20"/>
          <w:szCs w:val="20"/>
          <w:color w:val="auto"/>
        </w:rPr>
      </w:pPr>
    </w:p>
    <w:p>
      <w:pPr>
        <w:spacing w:after="0" w:line="290"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Revenue Recognition, Trade Accounts Receivable and Allowance for C r edit Losses.</w:t>
      </w:r>
      <w:r>
        <w:rPr>
          <w:sz w:val="20"/>
          <w:szCs w:val="20"/>
          <w:color w:val="auto"/>
        </w:rPr>
        <w:t xml:space="preserve"> </w:t>
      </w:r>
      <w:r>
        <w:rPr>
          <w:rFonts w:ascii="Times New Roman" w:cs="Times New Roman" w:eastAsia="Times New Roman" w:hAnsi="Times New Roman"/>
          <w:sz w:val="19"/>
          <w:szCs w:val="19"/>
          <w:color w:val="auto"/>
        </w:rPr>
        <w:t>Education revenue is primarily derived from postsecondary education services, professional education and test preparation services. Revernue, net of any refunds, corporate discounts, scholarships and employee tuition discounts, is recognized ratably over the instruction period or access period for higher education and supplemental education services.</w:t>
      </w:r>
    </w:p>
    <w:p>
      <w:pPr>
        <w:spacing w:after="0" w:line="270"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 xml:space="preserve">At Kaplan International and Kaplan Supplemental Education, estimates of average student course length are developed for each course, </w:t>
      </w:r>
      <w:r>
        <w:rPr>
          <w:rFonts w:ascii="Arial" w:cs="Arial" w:eastAsia="Arial" w:hAnsi="Arial"/>
          <w:sz w:val="19"/>
          <w:szCs w:val="19"/>
          <w:i w:val="1"/>
          <w:iCs w:val="1"/>
          <w:color w:val="auto"/>
        </w:rPr>
        <w:t>along</w:t>
      </w:r>
      <w:r>
        <w:rPr>
          <w:rFonts w:ascii="Times New Roman" w:cs="Times New Roman" w:eastAsia="Times New Roman" w:hAnsi="Times New Roman"/>
          <w:sz w:val="19"/>
          <w:szCs w:val="19"/>
          <w:color w:val="auto"/>
        </w:rPr>
        <w:t xml:space="preserve"> with estimates for the anticipated level of student drops and refunds from test performance guarantees, and these estimates are evaluated on a n ongoing basis and adjusted as necessary. As Kaplan's businesses and related course offerings have changed, including more online programs, the complexity and significance of management's estimates have increased.</w:t>
      </w:r>
    </w:p>
    <w:p>
      <w:pPr>
        <w:spacing w:after="0" w:line="280" w:lineRule="exact"/>
        <w:rPr>
          <w:sz w:val="20"/>
          <w:szCs w:val="20"/>
          <w:color w:val="auto"/>
        </w:rPr>
      </w:pPr>
    </w:p>
    <w:p>
      <w:pPr>
        <w:jc w:val="both"/>
        <w:ind w:left="120" w:right="125" w:firstLine="10"/>
        <w:spacing w:after="0" w:line="261" w:lineRule="auto"/>
        <w:rPr>
          <w:sz w:val="20"/>
          <w:szCs w:val="20"/>
          <w:color w:val="auto"/>
        </w:rPr>
      </w:pPr>
      <w:r>
        <w:rPr>
          <w:rFonts w:ascii="Times New Roman" w:cs="Times New Roman" w:eastAsia="Times New Roman" w:hAnsi="Times New Roman"/>
          <w:sz w:val="19"/>
          <w:szCs w:val="19"/>
          <w:color w:val="auto"/>
        </w:rPr>
        <w:t xml:space="preserve">KHE provides non-academjc operations supp01t services to Purdue Global pursuant to a TOSA, which includes technology support, helpdesk functions, human resources support for faculty and employees, admissions support, financial aid administration, advertising, back-office business functions, and certain student recruitment services. KHE is not entitled to receive any reimbursement of costs incurred in providing support services, or any fee, unless and until Purdue Global has first covered all of its academjc costs (subject to a cap) and,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applicable, received payment for cost efficiencies. KHE will receive reimbursement for its operating costs of providing the support services after payment of Purdue Global's operating costs and cost efficiency payments. If there are sufficient revenues, KHE may be entitled to a cost efficiency payment,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any, and an additional fee equal to 12.5% of Purdue Global's revenue. Subject to certain limitations, a portion of the fee that is earned by KHE in one year may be carried over to subsequent years for payment to Kaplan.</w:t>
      </w:r>
    </w:p>
    <w:p>
      <w:pPr>
        <w:spacing w:after="0" w:line="283"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The support fee and reimbursement for KHE support costs are entirely dependent on the availability of cash at the end of Purdue Global's fiscal year (June 30), and therefore, all consideration in the contract is variable. The Company uses significant judgment to forecast the operating results of Purdue GEobal, the availability of cash at the end of each fiscal year, and the consideration it expects to receive from Purdue Global annually. Key assumptions used in the forecast model include student census and degree enrollment data, Purdue Global and KHE expenses, changes to working capital, contractually stipulated minimum payments, and lead conversion rates. The forecast is updated as uncertainties are resolved. The Company reviews and updates the assumptions regularly, as a significant change in one or more of these estimates could affect the revenue recognized. Changes to the estimated variable consideration were not material for the year ended December 3 1, 2024.</w:t>
      </w:r>
    </w:p>
    <w:p>
      <w:pPr>
        <w:spacing w:after="0" w:line="274" w:lineRule="exact"/>
        <w:rPr>
          <w:sz w:val="20"/>
          <w:szCs w:val="20"/>
          <w:color w:val="auto"/>
        </w:rPr>
      </w:pPr>
    </w:p>
    <w:p>
      <w:pPr>
        <w:jc w:val="both"/>
        <w:ind w:left="120" w:right="125" w:firstLine="11"/>
        <w:spacing w:after="0" w:line="259" w:lineRule="auto"/>
        <w:rPr>
          <w:sz w:val="20"/>
          <w:szCs w:val="20"/>
          <w:color w:val="auto"/>
        </w:rPr>
      </w:pPr>
      <w:r>
        <w:rPr>
          <w:rFonts w:ascii="Times New Roman" w:cs="Times New Roman" w:eastAsia="Times New Roman" w:hAnsi="Times New Roman"/>
          <w:sz w:val="19"/>
          <w:szCs w:val="19"/>
          <w:color w:val="auto"/>
        </w:rPr>
        <w:t>A Kaplan International business has a contract with an examination body through August 2029 comprised of two performance obligations, one to build a nd create a professional exam and another to manage the delivery of that exam to qualified candidates. The first obligation was completed in 2021. The second obligation began after the flrst obligation was completed and is expected to continue through the end of the contract term. Revenues are recognized for both of these obligations by allocating the transaction price based on forecasted financial results and the use of a market-based profit margin applied to costs incurred during the financial reporting period. This</w:t>
      </w:r>
    </w:p>
    <w:p>
      <w:pPr>
        <w:sectPr>
          <w:pgSz w:w="12240" w:h="15850" w:orient="portrait"/>
          <w:cols w:equalWidth="0" w:num="1">
            <w:col w:w="9365"/>
          </w:cols>
          <w:pgMar w:left="1440" w:top="1377" w:right="1440" w:bottom="721" w:gutter="0" w:footer="0" w:header="0"/>
        </w:sectPr>
      </w:pPr>
    </w:p>
    <w:p>
      <w:pPr>
        <w:spacing w:after="0" w:line="200" w:lineRule="exact"/>
        <w:rPr>
          <w:sz w:val="20"/>
          <w:szCs w:val="20"/>
          <w:color w:val="auto"/>
        </w:rPr>
      </w:pPr>
    </w:p>
    <w:p>
      <w:pPr>
        <w:spacing w:after="0" w:line="290" w:lineRule="exact"/>
        <w:rPr>
          <w:sz w:val="20"/>
          <w:szCs w:val="20"/>
          <w:color w:val="auto"/>
        </w:rPr>
      </w:pPr>
    </w:p>
    <w:p>
      <w:pPr>
        <w:ind w:left="520" w:hanging="408"/>
        <w:spacing w:after="0"/>
        <w:tabs>
          <w:tab w:leader="none" w:pos="520" w:val="left"/>
        </w:tabs>
        <w:numPr>
          <w:ilvl w:val="0"/>
          <w:numId w:val="71"/>
        </w:numPr>
        <w:rPr>
          <w:rFonts w:ascii="Arial" w:cs="Arial" w:eastAsia="Arial" w:hAnsi="Arial"/>
          <w:sz w:val="20"/>
          <w:szCs w:val="20"/>
          <w:color w:val="auto"/>
        </w:rPr>
      </w:pPr>
      <w:r>
        <w:rPr>
          <w:rFonts w:ascii="Times New Roman" w:cs="Times New Roman" w:eastAsia="Times New Roman" w:hAnsi="Times New Roman"/>
          <w:sz w:val="19"/>
          <w:szCs w:val="19"/>
          <w:color w:val="auto"/>
        </w:rPr>
        <w:t>2024 FORM 10-K</w:t>
      </w:r>
    </w:p>
    <w:p>
      <w:pPr>
        <w:sectPr>
          <w:pgSz w:w="12240" w:h="15850" w:orient="portrait"/>
          <w:cols w:equalWidth="0" w:num="1">
            <w:col w:w="9365"/>
          </w:cols>
          <w:pgMar w:left="1440" w:top="1377" w:right="1440" w:bottom="721" w:gutter="0" w:footer="0" w:header="0"/>
          <w:type w:val="continuous"/>
        </w:sectPr>
      </w:pPr>
    </w:p>
    <w:bookmarkStart w:id="94" w:name="page95"/>
    <w:bookmarkEnd w:id="94"/>
    <w:p>
      <w:pPr>
        <w:jc w:val="both"/>
        <w:ind w:left="120" w:right="125" w:firstLine="12"/>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profit margin, determined at contract inception, is different for each obligation as a result of the different value created by each distinct obligation. The forecast, including key assumptions such as expected candidate volumes and related exam-management expenses, is updated as future uncertainties are resolved, which may resull in changes to the transaction price. The Company reviews and updates the assumptions regularly, as a significant change in one or more of these estimates could affect revenue recognized. Changes to the estimated variable consideration were not material for the year ended December 31, 2024.</w:t>
      </w:r>
    </w:p>
    <w:p>
      <w:pPr>
        <w:spacing w:after="0" w:line="249"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The determination of whether revenue should be reported on a gross or net basis is based on an assessment of whether the Company acts as a principal or an agent in the transaction. In certain cases, the Company is considered the agent, and the Company records revenue equal to the net amount retained when the fee is earned. ln these cases, costs incurred with third-party suppliers are excluded from the Company's revenue. The Company assesses whether it obtained control of the specified goods or services before they are transferred to the customer as part of this assessment. In addition, the Company considers other indicators such as the party primarily responsible for fulfill ment, invento•y risk and discretion in establishing price.</w:t>
      </w:r>
    </w:p>
    <w:p>
      <w:pPr>
        <w:spacing w:after="0" w:line="257" w:lineRule="exact"/>
        <w:rPr>
          <w:sz w:val="20"/>
          <w:szCs w:val="20"/>
          <w:color w:val="auto"/>
        </w:rPr>
      </w:pPr>
    </w:p>
    <w:p>
      <w:pPr>
        <w:jc w:val="both"/>
        <w:ind w:left="120" w:right="105" w:firstLine="12"/>
        <w:spacing w:after="0" w:line="262" w:lineRule="auto"/>
        <w:rPr>
          <w:sz w:val="20"/>
          <w:szCs w:val="20"/>
          <w:color w:val="auto"/>
        </w:rPr>
      </w:pPr>
      <w:r>
        <w:rPr>
          <w:rFonts w:ascii="Times New Roman" w:cs="Times New Roman" w:eastAsia="Times New Roman" w:hAnsi="Times New Roman"/>
          <w:sz w:val="19"/>
          <w:szCs w:val="19"/>
          <w:color w:val="auto"/>
        </w:rPr>
        <w:t>Accounts receivable have been reduced by an allowance that reflects the cun·ent expected credit losses associated with the receivables. This estimated allowance is based on historical write-offs, current macroeconomic conditions, reasonable and supportable forecasts of future economic conditions and management's evaluation of the financial condition of the customer. The Company generaHy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47" w:lineRule="exact"/>
        <w:rPr>
          <w:sz w:val="20"/>
          <w:szCs w:val="20"/>
          <w:color w:val="auto"/>
        </w:rPr>
      </w:pPr>
    </w:p>
    <w:p>
      <w:pPr>
        <w:jc w:val="both"/>
        <w:ind w:left="120" w:right="125" w:hanging="9"/>
        <w:spacing w:after="0" w:line="264" w:lineRule="auto"/>
        <w:rPr>
          <w:sz w:val="20"/>
          <w:szCs w:val="20"/>
          <w:color w:val="auto"/>
        </w:rPr>
      </w:pPr>
      <w:r>
        <w:rPr>
          <w:rFonts w:ascii="Times New Roman" w:cs="Times New Roman" w:eastAsia="Times New Roman" w:hAnsi="Times New Roman"/>
          <w:sz w:val="19"/>
          <w:szCs w:val="19"/>
          <w:color w:val="auto"/>
        </w:rPr>
        <w:t>Goodwill and Other Intangible Assets.</w:t>
      </w:r>
      <w:r>
        <w:rPr>
          <w:sz w:val="20"/>
          <w:szCs w:val="20"/>
          <w:color w:val="auto"/>
        </w:rPr>
        <w:t xml:space="preserve"> </w:t>
      </w:r>
      <w:r>
        <w:rPr>
          <w:rFonts w:ascii="Times New Roman" w:cs="Times New Roman" w:eastAsia="Times New Roman" w:hAnsi="Times New Roman"/>
          <w:sz w:val="19"/>
          <w:szCs w:val="19"/>
          <w:color w:val="auto"/>
        </w:rPr>
        <w:t xml:space="preserve">The Company has a significant amount of goodwill and indefinite-lived intangible assets that are reviewed </w:t>
      </w:r>
      <w:r>
        <w:rPr>
          <w:rFonts w:ascii="Times New Roman" w:cs="Times New Roman" w:eastAsia="Times New Roman" w:hAnsi="Times New Roman"/>
          <w:sz w:val="18"/>
          <w:szCs w:val="18"/>
          <w:color w:val="auto"/>
        </w:rPr>
        <w:t>at</w:t>
      </w:r>
      <w:r>
        <w:rPr>
          <w:rFonts w:ascii="Times New Roman" w:cs="Times New Roman" w:eastAsia="Times New Roman" w:hAnsi="Times New Roman"/>
          <w:sz w:val="19"/>
          <w:szCs w:val="19"/>
          <w:color w:val="auto"/>
        </w:rPr>
        <w:t xml:space="preserve"> least annually for possible impainnent.</w:t>
      </w:r>
    </w:p>
    <w:p>
      <w:pPr>
        <w:spacing w:after="0" w:line="189" w:lineRule="exact"/>
        <w:rPr>
          <w:sz w:val="20"/>
          <w:szCs w:val="20"/>
          <w:color w:val="auto"/>
        </w:rPr>
      </w:pPr>
    </w:p>
    <w:tbl>
      <w:tblPr>
        <w:tblLayout w:type="fixed"/>
        <w:tblInd w:w="520" w:type="dxa"/>
        <w:tblCellMar>
          <w:top w:w="0" w:type="dxa"/>
          <w:left w:w="0" w:type="dxa"/>
          <w:bottom w:w="0" w:type="dxa"/>
          <w:right w:w="0" w:type="dxa"/>
        </w:tblCellMar>
      </w:tblPr>
      <w:tr>
        <w:trPr>
          <w:trHeight w:val="172"/>
        </w:trPr>
        <w:tc>
          <w:tcPr>
            <w:tcW w:w="6620" w:type="dxa"/>
            <w:vAlign w:val="bottom"/>
          </w:tcPr>
          <w:p>
            <w:pPr>
              <w:spacing w:after="0"/>
              <w:rPr>
                <w:sz w:val="15"/>
                <w:szCs w:val="15"/>
                <w:color w:val="auto"/>
              </w:rPr>
            </w:pPr>
          </w:p>
        </w:tc>
        <w:tc>
          <w:tcPr>
            <w:tcW w:w="170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As of December 31</w:t>
            </w:r>
          </w:p>
        </w:tc>
        <w:tc>
          <w:tcPr>
            <w:tcW w:w="0" w:type="dxa"/>
            <w:vAlign w:val="bottom"/>
          </w:tcPr>
          <w:p>
            <w:pPr>
              <w:spacing w:after="0"/>
              <w:rPr>
                <w:sz w:val="1"/>
                <w:szCs w:val="1"/>
                <w:color w:val="auto"/>
              </w:rPr>
            </w:pPr>
          </w:p>
        </w:tc>
      </w:tr>
      <w:tr>
        <w:trPr>
          <w:trHeight w:val="44"/>
        </w:trPr>
        <w:tc>
          <w:tcPr>
            <w:tcW w:w="6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millions)</w:t>
            </w:r>
          </w:p>
        </w:tc>
        <w:tc>
          <w:tcPr>
            <w:tcW w:w="700" w:type="dxa"/>
            <w:vAlign w:val="bottom"/>
            <w:tcBorders>
              <w:bottom w:val="single" w:sz="8" w:color="181414"/>
            </w:tcBorders>
          </w:tcPr>
          <w:p>
            <w:pPr>
              <w:spacing w:after="0"/>
              <w:rPr>
                <w:sz w:val="3"/>
                <w:szCs w:val="3"/>
                <w:color w:val="auto"/>
              </w:rPr>
            </w:pPr>
          </w:p>
        </w:tc>
        <w:tc>
          <w:tcPr>
            <w:tcW w:w="1000" w:type="dxa"/>
            <w:vAlign w:val="bottom"/>
            <w:tcBorders>
              <w:bottom w:val="single" w:sz="8" w:color="181414"/>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6620" w:type="dxa"/>
            <w:vAlign w:val="bottom"/>
            <w:vMerge w:val="continue"/>
          </w:tcPr>
          <w:p>
            <w:pPr>
              <w:spacing w:after="0"/>
              <w:rPr>
                <w:sz w:val="16"/>
                <w:szCs w:val="16"/>
                <w:color w:val="auto"/>
              </w:rPr>
            </w:pPr>
          </w:p>
        </w:tc>
        <w:tc>
          <w:tcPr>
            <w:tcW w:w="700" w:type="dxa"/>
            <w:vAlign w:val="bottom"/>
          </w:tcPr>
          <w:p>
            <w:pPr>
              <w:ind w:left="200"/>
              <w:spacing w:after="0"/>
              <w:rPr>
                <w:sz w:val="20"/>
                <w:szCs w:val="20"/>
                <w:color w:val="auto"/>
              </w:rPr>
            </w:pPr>
            <w:r>
              <w:rPr>
                <w:rFonts w:ascii="Times New Roman" w:cs="Times New Roman" w:eastAsia="Times New Roman" w:hAnsi="Times New Roman"/>
                <w:sz w:val="15"/>
                <w:szCs w:val="15"/>
                <w:color w:val="auto"/>
              </w:rPr>
              <w:t>2024</w:t>
            </w:r>
          </w:p>
        </w:tc>
        <w:tc>
          <w:tcPr>
            <w:tcW w:w="10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700" w:type="dxa"/>
            <w:vAlign w:val="bottom"/>
            <w:tcBorders>
              <w:bottom w:val="single" w:sz="8" w:color="181414"/>
            </w:tcBorders>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tbl>
      <w:tblPr>
        <w:tblLayout w:type="fixed"/>
        <w:tblInd w:w="500" w:type="dxa"/>
        <w:tblCellMar>
          <w:top w:w="0" w:type="dxa"/>
          <w:left w:w="0" w:type="dxa"/>
          <w:bottom w:w="0" w:type="dxa"/>
          <w:right w:w="0" w:type="dxa"/>
        </w:tblCellMar>
      </w:tblPr>
      <w:tr>
        <w:trPr>
          <w:trHeight w:val="218"/>
        </w:trPr>
        <w:tc>
          <w:tcPr>
            <w:tcW w:w="61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Goodwill and indefinite-lived intangible assets  .......................</w:t>
            </w:r>
          </w:p>
        </w:tc>
        <w:tc>
          <w:tcPr>
            <w:tcW w:w="100" w:type="dxa"/>
            <w:vAlign w:val="bottom"/>
          </w:tcPr>
          <w:p>
            <w:pPr>
              <w:jc w:val="right"/>
              <w:ind w:right="24"/>
              <w:spacing w:after="0"/>
              <w:rPr>
                <w:sz w:val="20"/>
                <w:szCs w:val="20"/>
                <w:color w:val="auto"/>
              </w:rPr>
            </w:pPr>
            <w:r>
              <w:rPr>
                <w:rFonts w:ascii="Times New Roman" w:cs="Times New Roman" w:eastAsia="Times New Roman" w:hAnsi="Times New Roman"/>
                <w:sz w:val="3"/>
                <w:szCs w:val="3"/>
                <w:color w:val="auto"/>
              </w:rPr>
              <w:t>0</w:t>
            </w:r>
          </w:p>
        </w:tc>
        <w:tc>
          <w:tcPr>
            <w:tcW w:w="220" w:type="dxa"/>
            <w:vAlign w:val="bottom"/>
          </w:tcPr>
          <w:p>
            <w:pPr>
              <w:ind w:left="40"/>
              <w:spacing w:after="0"/>
              <w:rPr>
                <w:sz w:val="20"/>
                <w:szCs w:val="20"/>
                <w:color w:val="auto"/>
              </w:rPr>
            </w:pPr>
            <w:r>
              <w:rPr>
                <w:rFonts w:ascii="Times New Roman" w:cs="Times New Roman" w:eastAsia="Times New Roman" w:hAnsi="Times New Roman"/>
                <w:sz w:val="3"/>
                <w:szCs w:val="3"/>
                <w:color w:val="auto"/>
              </w:rPr>
              <w:t>•</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$1,664.4</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$ 1,713.1</w:t>
            </w:r>
          </w:p>
        </w:tc>
      </w:tr>
      <w:tr>
        <w:trPr>
          <w:trHeight w:val="238"/>
        </w:trPr>
        <w:tc>
          <w:tcPr>
            <w:tcW w:w="2760" w:type="dxa"/>
            <w:vAlign w:val="bottom"/>
          </w:tcPr>
          <w:p>
            <w:pPr>
              <w:spacing w:after="0"/>
              <w:rPr>
                <w:sz w:val="20"/>
                <w:szCs w:val="20"/>
                <w:color w:val="auto"/>
              </w:rPr>
            </w:pPr>
            <w:r>
              <w:rPr>
                <w:rFonts w:ascii="Times New Roman" w:cs="Times New Roman" w:eastAsia="Times New Roman" w:hAnsi="Times New Roman"/>
                <w:sz w:val="19"/>
                <w:szCs w:val="19"/>
                <w:color w:val="auto"/>
              </w:rPr>
              <w:t>Total assets  .................</w:t>
            </w:r>
          </w:p>
        </w:tc>
        <w:tc>
          <w:tcPr>
            <w:tcW w:w="3500" w:type="dxa"/>
            <w:vAlign w:val="bottom"/>
            <w:gridSpan w:val="2"/>
          </w:tcPr>
          <w:p>
            <w:pPr>
              <w:jc w:val="right"/>
              <w:ind w:right="24"/>
              <w:spacing w:after="0"/>
              <w:rPr>
                <w:sz w:val="20"/>
                <w:szCs w:val="20"/>
                <w:color w:val="auto"/>
              </w:rPr>
            </w:pPr>
            <w:r>
              <w:rPr>
                <w:rFonts w:ascii="Times New Roman" w:cs="Times New Roman" w:eastAsia="Times New Roman" w:hAnsi="Times New Roman"/>
                <w:sz w:val="3"/>
                <w:szCs w:val="3"/>
                <w:color w:val="auto"/>
              </w:rPr>
              <w:t>0•••••••••••••••••••••••••••••••••0</w:t>
            </w:r>
          </w:p>
        </w:tc>
        <w:tc>
          <w:tcPr>
            <w:tcW w:w="220" w:type="dxa"/>
            <w:vAlign w:val="bottom"/>
          </w:tcPr>
          <w:p>
            <w:pPr>
              <w:ind w:left="40"/>
              <w:spacing w:after="0"/>
              <w:rPr>
                <w:sz w:val="20"/>
                <w:szCs w:val="20"/>
                <w:color w:val="auto"/>
              </w:rPr>
            </w:pPr>
            <w:r>
              <w:rPr>
                <w:rFonts w:ascii="Times New Roman" w:cs="Times New Roman" w:eastAsia="Times New Roman" w:hAnsi="Times New Roman"/>
                <w:sz w:val="3"/>
                <w:szCs w:val="3"/>
                <w:color w:val="auto"/>
              </w:rPr>
              <w:t>•</w:t>
            </w:r>
          </w:p>
        </w:tc>
        <w:tc>
          <w:tcPr>
            <w:tcW w:w="10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7,677.2</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7,187.7</w:t>
            </w:r>
          </w:p>
        </w:tc>
      </w:tr>
      <w:tr>
        <w:trPr>
          <w:trHeight w:val="238"/>
        </w:trPr>
        <w:tc>
          <w:tcPr>
            <w:tcW w:w="6260" w:type="dxa"/>
            <w:vAlign w:val="bottom"/>
            <w:gridSpan w:val="3"/>
          </w:tcPr>
          <w:p>
            <w:pPr>
              <w:ind w:left="20"/>
              <w:spacing w:after="0"/>
              <w:rPr>
                <w:sz w:val="20"/>
                <w:szCs w:val="20"/>
                <w:color w:val="auto"/>
              </w:rPr>
            </w:pPr>
            <w:r>
              <w:rPr>
                <w:rFonts w:ascii="Times New Roman" w:cs="Times New Roman" w:eastAsia="Times New Roman" w:hAnsi="Times New Roman"/>
                <w:sz w:val="19"/>
                <w:szCs w:val="19"/>
                <w:color w:val="auto"/>
              </w:rPr>
              <w:t xml:space="preserve">Percentage of goodwill and indefinite-lived intangible assets to total assets . </w:t>
            </w:r>
            <w:r>
              <w:rPr>
                <w:rFonts w:ascii="Times New Roman" w:cs="Times New Roman" w:eastAsia="Times New Roman" w:hAnsi="Times New Roman"/>
                <w:sz w:val="3"/>
                <w:szCs w:val="3"/>
                <w:color w:val="auto"/>
              </w:rPr>
              <w:t>0</w:t>
            </w:r>
          </w:p>
        </w:tc>
        <w:tc>
          <w:tcPr>
            <w:tcW w:w="220" w:type="dxa"/>
            <w:vAlign w:val="bottom"/>
          </w:tcPr>
          <w:p>
            <w:pPr>
              <w:ind w:left="40"/>
              <w:spacing w:after="0"/>
              <w:rPr>
                <w:sz w:val="20"/>
                <w:szCs w:val="20"/>
                <w:color w:val="auto"/>
              </w:rPr>
            </w:pPr>
            <w:r>
              <w:rPr>
                <w:rFonts w:ascii="Times New Roman" w:cs="Times New Roman" w:eastAsia="Times New Roman" w:hAnsi="Times New Roman"/>
                <w:sz w:val="3"/>
                <w:szCs w:val="3"/>
                <w:color w:val="auto"/>
              </w:rPr>
              <w:t>•</w:t>
            </w:r>
          </w:p>
        </w:tc>
        <w:tc>
          <w:tcPr>
            <w:tcW w:w="10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22%</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w:t>
            </w:r>
          </w:p>
        </w:tc>
      </w:tr>
    </w:tbl>
    <w:p>
      <w:pPr>
        <w:spacing w:after="0" w:line="266"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performs its annual goodwill and intangible assets impairment test as of November 30. Goodwill and other intangible assets are reviewed for possible impairment between annual tests if an event occurred or circumstances changed that would more likely than not reduce the fair value of the reporting unit or other intangible assets below its carrying value.</w:t>
      </w:r>
    </w:p>
    <w:p>
      <w:pPr>
        <w:spacing w:after="0" w:line="382" w:lineRule="exact"/>
        <w:rPr>
          <w:sz w:val="20"/>
          <w:szCs w:val="20"/>
          <w:color w:val="auto"/>
        </w:rPr>
      </w:pPr>
    </w:p>
    <w:p>
      <w:pPr>
        <w:ind w:left="120"/>
        <w:spacing w:after="0"/>
        <w:rPr>
          <w:sz w:val="20"/>
          <w:szCs w:val="20"/>
          <w:color w:val="auto"/>
        </w:rPr>
      </w:pPr>
      <w:r>
        <w:rPr>
          <w:rFonts w:ascii="Arial" w:cs="Arial" w:eastAsia="Arial" w:hAnsi="Arial"/>
          <w:sz w:val="17"/>
          <w:szCs w:val="17"/>
          <w:i w:val="1"/>
          <w:iCs w:val="1"/>
          <w:color w:val="auto"/>
        </w:rPr>
        <w:t>GoodwilL</w:t>
      </w:r>
    </w:p>
    <w:p>
      <w:pPr>
        <w:spacing w:after="0" w:line="157"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tests its goodwill at the reporting unit level, which is an operating segment or one level below an operating segment. The Company initially performs an assessment of qualitative factors to determine if it is necessary to perform a quantitative goodwill impairment test. The Company quantitatively tests goodwill for impairment if, based on its assessment of the qualitative factors, it determines that it is more likely than not that the fair value of a reporting unit is less than its carrying amount, or if it decides to bypass the qualitative assessment. The quantitative goodwill impairment test compares the estimated fair value of a reporting unit with its canying amount, including goodwill. An impairment charge is recognized for the amount by which the carrying amount exceeds the reporting unit's fair value.</w:t>
      </w:r>
    </w:p>
    <w:p>
      <w:pPr>
        <w:spacing w:after="0" w:line="200" w:lineRule="exact"/>
        <w:rPr>
          <w:sz w:val="20"/>
          <w:szCs w:val="20"/>
          <w:color w:val="auto"/>
        </w:rPr>
      </w:pPr>
    </w:p>
    <w:p>
      <w:pPr>
        <w:spacing w:after="0" w:line="295" w:lineRule="exact"/>
        <w:rPr>
          <w:sz w:val="20"/>
          <w:szCs w:val="20"/>
          <w:color w:val="auto"/>
        </w:rPr>
      </w:pPr>
    </w:p>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t>The Company performed an interim impairment review of goodwill at the WGB reporting unit in the second quarter of 2024 due to substantial digital advertising revenue declines and continued significant operating losses. The Company recorded a $7.5 million goodwill impairment charge at the WGB reporting unit as a result of the interim impairment review. The Company estimated the fair value of the reporting unit by utilizing a discounted</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9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79</w:t>
      </w:r>
    </w:p>
    <w:p>
      <w:pPr>
        <w:sectPr>
          <w:pgSz w:w="12240" w:h="15850" w:orient="portrait"/>
          <w:cols w:equalWidth="0" w:num="1">
            <w:col w:w="9365"/>
          </w:cols>
          <w:pgMar w:left="1440" w:top="1392" w:right="1440" w:bottom="721" w:gutter="0" w:footer="0" w:header="0"/>
          <w:type w:val="continuous"/>
        </w:sectPr>
      </w:pPr>
    </w:p>
    <w:bookmarkStart w:id="95" w:name="page96"/>
    <w:bookmarkEnd w:id="95"/>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cash flow model. The carrying value of the reporting unit exceeded its indicated fair value by more than the goodwill balance, which resulted in a goodwill impairment charge for the remaining goodwill at the reporting unit. As a result of the irnpairment charge, no goodwill remains allhe WGB reporting unil, which is included in other businesses.</w:t>
      </w:r>
    </w:p>
    <w:p>
      <w:pPr>
        <w:spacing w:after="0" w:line="200" w:lineRule="exact"/>
        <w:rPr>
          <w:sz w:val="20"/>
          <w:szCs w:val="20"/>
          <w:color w:val="auto"/>
        </w:rPr>
      </w:pPr>
    </w:p>
    <w:p>
      <w:pPr>
        <w:spacing w:after="0" w:line="270" w:lineRule="exact"/>
        <w:rPr>
          <w:sz w:val="20"/>
          <w:szCs w:val="20"/>
          <w:color w:val="auto"/>
        </w:rPr>
      </w:pPr>
    </w:p>
    <w:p>
      <w:pPr>
        <w:jc w:val="both"/>
        <w:ind w:left="120" w:right="145" w:hanging="10"/>
        <w:spacing w:after="0" w:line="252" w:lineRule="auto"/>
        <w:rPr>
          <w:sz w:val="20"/>
          <w:szCs w:val="20"/>
          <w:color w:val="auto"/>
        </w:rPr>
      </w:pPr>
      <w:r>
        <w:rPr>
          <w:rFonts w:ascii="Times New Roman" w:cs="Times New Roman" w:eastAsia="Times New Roman" w:hAnsi="Times New Roman"/>
          <w:sz w:val="19"/>
          <w:szCs w:val="19"/>
          <w:color w:val="auto"/>
        </w:rPr>
        <w:t>The Company had 21</w:t>
      </w:r>
      <w:r>
        <w:rPr>
          <w:sz w:val="20"/>
          <w:szCs w:val="20"/>
          <w:color w:val="auto"/>
        </w:rPr>
        <w:t xml:space="preserve"> </w:t>
      </w:r>
      <w:r>
        <w:rPr>
          <w:rFonts w:ascii="Times New Roman" w:cs="Times New Roman" w:eastAsia="Times New Roman" w:hAnsi="Times New Roman"/>
          <w:sz w:val="19"/>
          <w:szCs w:val="19"/>
          <w:color w:val="auto"/>
        </w:rPr>
        <w:t>reporting units as of December 31, 2024. The reporting units with significant goodwill balances as of December 31, 2024, were as follows, representing 95% of the total goodwill of the Company:</w:t>
      </w:r>
    </w:p>
    <w:p>
      <w:pPr>
        <w:spacing w:after="0" w:line="181" w:lineRule="exact"/>
        <w:rPr>
          <w:sz w:val="20"/>
          <w:szCs w:val="20"/>
          <w:color w:val="auto"/>
        </w:rPr>
      </w:pPr>
    </w:p>
    <w:tbl>
      <w:tblPr>
        <w:tblLayout w:type="fixed"/>
        <w:tblInd w:w="1700" w:type="dxa"/>
        <w:tblCellMar>
          <w:top w:w="0" w:type="dxa"/>
          <w:left w:w="0" w:type="dxa"/>
          <w:bottom w:w="0" w:type="dxa"/>
          <w:right w:w="0" w:type="dxa"/>
        </w:tblCellMar>
      </w:tblPr>
      <w:tr>
        <w:trPr>
          <w:trHeight w:val="193"/>
        </w:trPr>
        <w:tc>
          <w:tcPr>
            <w:tcW w:w="5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 millions)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Goodwill</w:t>
            </w:r>
          </w:p>
        </w:tc>
      </w:tr>
      <w:tr>
        <w:trPr>
          <w:trHeight w:val="321"/>
        </w:trPr>
        <w:tc>
          <w:tcPr>
            <w:tcW w:w="510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Education</w:t>
            </w: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250"/>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Kaplan international  ..... .. .................... .</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580.5</w:t>
            </w:r>
          </w:p>
        </w:tc>
      </w:tr>
      <w:tr>
        <w:trPr>
          <w:trHeight w:val="227"/>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Higher education .............................. .</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63.2</w:t>
            </w:r>
          </w:p>
        </w:tc>
      </w:tr>
      <w:tr>
        <w:trPr>
          <w:trHeight w:val="248"/>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Supplemental education  ..... .. ..... ............ .</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171.4</w:t>
            </w:r>
          </w:p>
        </w:tc>
      </w:tr>
      <w:tr>
        <w:trPr>
          <w:trHeight w:val="238"/>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Television broadcasting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190.8</w:t>
            </w:r>
          </w:p>
        </w:tc>
      </w:tr>
      <w:tr>
        <w:trPr>
          <w:trHeight w:val="238"/>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Healthcare  ... .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135.0</w:t>
            </w:r>
          </w:p>
        </w:tc>
      </w:tr>
      <w:tr>
        <w:trPr>
          <w:trHeight w:val="248"/>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Automotive  ...................................... .</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129.3</w:t>
            </w:r>
          </w:p>
        </w:tc>
      </w:tr>
      <w:tr>
        <w:trPr>
          <w:trHeight w:val="239"/>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Hoover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91.3</w:t>
            </w:r>
          </w:p>
        </w:tc>
      </w:tr>
      <w:tr>
        <w:trPr>
          <w:trHeight w:val="229"/>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Framebridge  ..................................... .</w:t>
            </w:r>
          </w:p>
        </w:tc>
        <w:tc>
          <w:tcPr>
            <w:tcW w:w="2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60.9</w:t>
            </w:r>
          </w:p>
        </w:tc>
      </w:tr>
      <w:tr>
        <w:trPr>
          <w:trHeight w:val="324"/>
        </w:trPr>
        <w:tc>
          <w:tcPr>
            <w:tcW w:w="510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Total  ........ . ...... .. ...... .................... .</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1,422.4</w:t>
            </w:r>
          </w:p>
        </w:tc>
      </w:tr>
    </w:tbl>
    <w:p>
      <w:pPr>
        <w:spacing w:after="0" w:line="381"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As of November 30, 2024, in connection with the Company's annuaJ impairment testing, the Company decided to perform the quantitative goodwill impairment process at aU of the reporting unjts. The Company's policy requires the performance of a quantitative impairment review of the goodwill at least once every three years. Tbe Company used a discounted cash flow model, and, where appropriate, a market value approach was also utilized to supplement the discounted cash flow model to determine the estimated fair value of its reporting units. The Company made estimates and assumptions regarding future cash flows, discount rates, long-term growth rates and market values to determine each reporting unit's estimated fair value. The methodology used to estimate the fair value of the Company's reporting units on November 30, 2024, was consistent with the one used during the 2023 annual goodwil l impairment test.</w:t>
      </w:r>
    </w:p>
    <w:p>
      <w:pPr>
        <w:spacing w:after="0" w:line="200" w:lineRule="exact"/>
        <w:rPr>
          <w:sz w:val="20"/>
          <w:szCs w:val="20"/>
          <w:color w:val="auto"/>
        </w:rPr>
      </w:pPr>
    </w:p>
    <w:p>
      <w:pPr>
        <w:spacing w:after="0" w:line="276"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made changes to certain of its assumptions utilized in the discounted cash flow models for 2024 compared with the prior year to take into account changes in the economic environment, regulat ions and their impact on the Company's businesses. The key assumptions used by the Company were as follows:</w:t>
      </w:r>
    </w:p>
    <w:p>
      <w:pPr>
        <w:spacing w:after="0" w:line="124" w:lineRule="exact"/>
        <w:rPr>
          <w:sz w:val="20"/>
          <w:szCs w:val="20"/>
          <w:color w:val="auto"/>
        </w:rPr>
      </w:pPr>
    </w:p>
    <w:p>
      <w:pPr>
        <w:jc w:val="both"/>
        <w:ind w:left="920" w:right="125" w:firstLine="1"/>
        <w:spacing w:after="0" w:line="259" w:lineRule="auto"/>
        <w:rPr>
          <w:sz w:val="20"/>
          <w:szCs w:val="20"/>
          <w:color w:val="auto"/>
        </w:rPr>
      </w:pPr>
      <w:r>
        <w:rPr>
          <w:rFonts w:ascii="Times New Roman" w:cs="Times New Roman" w:eastAsia="Times New Roman" w:hAnsi="Times New Roman"/>
          <w:sz w:val="19"/>
          <w:szCs w:val="19"/>
          <w:color w:val="auto"/>
        </w:rPr>
        <w:t>Expected cash flows underlying the Company's business plans for the periods 2025 through 2029 were used. The Company used expected cash flows for the periods 2025 through 2031 and 2025 through 2034 for the Framebridge and Hoover reporting units, respectively. The expected cash flows took into account historical growth rates, the effect of the changed economic outlook at the Company's businesses, industry challenges and an estimate for the possible impact of any applicable regulations.</w:t>
      </w:r>
    </w:p>
    <w:p>
      <w:pPr>
        <w:spacing w:after="0" w:line="137" w:lineRule="exact"/>
        <w:rPr>
          <w:sz w:val="20"/>
          <w:szCs w:val="20"/>
          <w:color w:val="auto"/>
        </w:rPr>
      </w:pPr>
    </w:p>
    <w:p>
      <w:pPr>
        <w:jc w:val="both"/>
        <w:ind w:left="920" w:right="125"/>
        <w:spacing w:after="0" w:line="252" w:lineRule="auto"/>
        <w:rPr>
          <w:sz w:val="20"/>
          <w:szCs w:val="20"/>
          <w:color w:val="auto"/>
        </w:rPr>
      </w:pPr>
      <w:r>
        <w:rPr>
          <w:rFonts w:ascii="Times New Roman" w:cs="Times New Roman" w:eastAsia="Times New Roman" w:hAnsi="Times New Roman"/>
          <w:sz w:val="19"/>
          <w:szCs w:val="19"/>
          <w:color w:val="auto"/>
        </w:rPr>
        <w:t>Cash flows beyond the forecasted years, where applicable, were projected to grow at a long-term growth rate, which the Company estimated between 1.5% and 3% for each reporting unit.</w:t>
      </w:r>
    </w:p>
    <w:p>
      <w:pPr>
        <w:spacing w:after="0" w:line="142" w:lineRule="exact"/>
        <w:rPr>
          <w:sz w:val="20"/>
          <w:szCs w:val="20"/>
          <w:color w:val="auto"/>
        </w:rPr>
      </w:pPr>
    </w:p>
    <w:p>
      <w:pPr>
        <w:jc w:val="both"/>
        <w:ind w:left="920" w:right="125" w:hanging="8"/>
        <w:spacing w:after="0"/>
        <w:rPr>
          <w:sz w:val="20"/>
          <w:szCs w:val="20"/>
          <w:color w:val="auto"/>
        </w:rPr>
      </w:pPr>
      <w:r>
        <w:rPr>
          <w:rFonts w:ascii="Times New Roman" w:cs="Times New Roman" w:eastAsia="Times New Roman" w:hAnsi="Times New Roman"/>
          <w:sz w:val="19"/>
          <w:szCs w:val="19"/>
          <w:color w:val="auto"/>
        </w:rPr>
        <w:t>The Company used a discount rate of 8.5% to 20.5% to risk adjuslt the cash flow</w:t>
      </w:r>
      <w:r>
        <w:rPr>
          <w:sz w:val="20"/>
          <w:szCs w:val="20"/>
          <w:color w:val="auto"/>
        </w:rPr>
        <w:t xml:space="preserve"> </w:t>
      </w:r>
      <w:r>
        <w:rPr>
          <w:rFonts w:ascii="Times New Roman" w:cs="Times New Roman" w:eastAsia="Times New Roman" w:hAnsi="Times New Roman"/>
          <w:sz w:val="19"/>
          <w:szCs w:val="19"/>
          <w:color w:val="auto"/>
        </w:rPr>
        <w:t xml:space="preserve">projections </w:t>
      </w:r>
      <w:r>
        <w:rPr>
          <w:rFonts w:ascii="Arial" w:cs="Arial" w:eastAsia="Arial" w:hAnsi="Arial"/>
          <w:sz w:val="13"/>
          <w:szCs w:val="13"/>
          <w:color w:val="auto"/>
        </w:rPr>
        <w:t>tn</w:t>
      </w:r>
      <w:r>
        <w:rPr>
          <w:rFonts w:ascii="Times New Roman" w:cs="Times New Roman" w:eastAsia="Times New Roman" w:hAnsi="Times New Roman"/>
          <w:sz w:val="19"/>
          <w:szCs w:val="19"/>
          <w:color w:val="auto"/>
        </w:rPr>
        <w:t xml:space="preserve"> determining the estimated fair value.</w:t>
      </w:r>
    </w:p>
    <w:p>
      <w:pPr>
        <w:spacing w:after="0" w:line="200" w:lineRule="exact"/>
        <w:rPr>
          <w:sz w:val="20"/>
          <w:szCs w:val="20"/>
          <w:color w:val="auto"/>
        </w:rPr>
      </w:pP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fair vaJue of each of the reporting units exceeded its respective carrying value as of November 30, 2024.</w:t>
      </w:r>
    </w:p>
    <w:p>
      <w:pPr>
        <w:spacing w:after="0" w:line="257" w:lineRule="exact"/>
        <w:rPr>
          <w:sz w:val="20"/>
          <w:szCs w:val="20"/>
          <w:color w:val="auto"/>
        </w:rPr>
      </w:pPr>
    </w:p>
    <w:p>
      <w:pPr>
        <w:jc w:val="both"/>
        <w:ind w:left="120" w:right="105" w:firstLine="1"/>
        <w:spacing w:after="0" w:line="259" w:lineRule="auto"/>
        <w:rPr>
          <w:sz w:val="20"/>
          <w:szCs w:val="20"/>
          <w:color w:val="auto"/>
        </w:rPr>
      </w:pPr>
      <w:r>
        <w:rPr>
          <w:rFonts w:ascii="Times New Roman" w:cs="Times New Roman" w:eastAsia="Times New Roman" w:hAnsi="Times New Roman"/>
          <w:sz w:val="19"/>
          <w:szCs w:val="19"/>
          <w:color w:val="auto"/>
        </w:rPr>
        <w:t>The estimated fa ir value of the Framebridge reporting unit exceeded its carrying values by a margin of less than 35%. The total goodwill at the Framebridge rep01ting unit was $60.9 million as of December 31, 2024, or 4% of tbe totaJ goodwill of the Company. There exjsts a reasonable possibiljty that a decrease in the assumed projected cash flows or long-term growth rate, or an increase in the discount rate assumption used in the discounted cash flow model of this reporting unit, could result in a possible impairment charge.</w:t>
      </w:r>
    </w:p>
    <w:p>
      <w:pPr>
        <w:sectPr>
          <w:pgSz w:w="12240" w:h="15850" w:orient="portrait"/>
          <w:cols w:equalWidth="0" w:num="1">
            <w:col w:w="9365"/>
          </w:cols>
          <w:pgMar w:left="1440" w:top="1394" w:right="1440" w:bottom="719" w:gutter="0" w:footer="0" w:header="0"/>
        </w:sectPr>
      </w:pPr>
    </w:p>
    <w:p>
      <w:pPr>
        <w:spacing w:after="0" w:line="200" w:lineRule="exact"/>
        <w:rPr>
          <w:sz w:val="20"/>
          <w:szCs w:val="20"/>
          <w:color w:val="auto"/>
        </w:rPr>
      </w:pPr>
    </w:p>
    <w:p>
      <w:pPr>
        <w:spacing w:after="0" w:line="30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80</w:t>
        <w:tab/>
        <w:t>2024 FORM 10-K</w:t>
      </w:r>
    </w:p>
    <w:p>
      <w:pPr>
        <w:sectPr>
          <w:pgSz w:w="12240" w:h="15850" w:orient="portrait"/>
          <w:cols w:equalWidth="0" w:num="1">
            <w:col w:w="9365"/>
          </w:cols>
          <w:pgMar w:left="1440" w:top="1394" w:right="1440" w:bottom="719" w:gutter="0" w:footer="0" w:header="0"/>
          <w:type w:val="continuous"/>
        </w:sectPr>
      </w:pPr>
    </w:p>
    <w:bookmarkStart w:id="96" w:name="page97"/>
    <w:bookmarkEnd w:id="96"/>
    <w:p>
      <w:pPr>
        <w:jc w:val="both"/>
        <w:ind w:left="120" w:right="125" w:hanging="8"/>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The estimated fair value of the Company's other reporting units with significant goodwill balances exceeded their respective carryi ng values by a margin in excess of 35%. </w:t>
      </w:r>
      <w:r>
        <w:rPr>
          <w:rFonts w:ascii="Arial" w:cs="Arial" w:eastAsia="Arial" w:hAnsi="Arial"/>
          <w:sz w:val="19"/>
          <w:szCs w:val="19"/>
          <w:color w:val="auto"/>
        </w:rPr>
        <w:t>It</w:t>
      </w:r>
      <w:r>
        <w:rPr>
          <w:rFonts w:ascii="Times New Roman" w:cs="Times New Roman" w:eastAsia="Times New Roman" w:hAnsi="Times New Roman"/>
          <w:sz w:val="19"/>
          <w:szCs w:val="19"/>
          <w:color w:val="auto"/>
        </w:rPr>
        <w:t xml:space="preserve"> is possible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additional future impairments, which could be material.</w:t>
      </w:r>
    </w:p>
    <w:p>
      <w:pPr>
        <w:spacing w:after="0" w:line="3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Indefinite-Lived Intangible Assets</w:t>
      </w:r>
    </w:p>
    <w:p>
      <w:pPr>
        <w:spacing w:after="0" w:line="154"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The Company's intangible assets with an indefinite life are principally from franchise rights, trade nan1es and FCC licenses. The Company initially assesses qualitative factors to determine if it is more likely than not that the fair value of its indefinite-lived intangible assets is less than its carrying value. The Company compares the fair value of the indefinite-lived intangible asset with its carrying value if the qualitative factors indicate it is more likely than not that the fair value of the asset is less than its carrying value or if it decides to bypass the qualitative assessment. The Company records an impairment loss if the carrying value of the indefinite-lived intangible assets exceeds the fair value of the assets for the difference in the values. The Company uses a discounted cash flow model, and, in certain cases, a market value approach is also utilized to supplement the discounted cash flow model to determine the estimated fair value of the indefinite-lived intangible assets. The Company makes esti mates and assumptions regarding future cash flows, discournt rates, long-term growth rates and other market values to detennine the estimated fair value of the indefinite-lived intangible assets. The Company's policy requires the performance of a quantitative impairment review of the indefinite-lived intangible assets at least once every three years.</w:t>
      </w:r>
    </w:p>
    <w:p>
      <w:pPr>
        <w:spacing w:after="0" w:line="200" w:lineRule="exact"/>
        <w:rPr>
          <w:sz w:val="20"/>
          <w:szCs w:val="20"/>
          <w:color w:val="auto"/>
        </w:rPr>
      </w:pPr>
    </w:p>
    <w:p>
      <w:pPr>
        <w:spacing w:after="0" w:line="293" w:lineRule="exact"/>
        <w:rPr>
          <w:sz w:val="20"/>
          <w:szCs w:val="20"/>
          <w:color w:val="auto"/>
        </w:rPr>
      </w:pPr>
    </w:p>
    <w:p>
      <w:pPr>
        <w:jc w:val="both"/>
        <w:ind w:left="120" w:right="105" w:firstLine="11"/>
        <w:spacing w:after="0" w:line="266" w:lineRule="auto"/>
        <w:rPr>
          <w:sz w:val="20"/>
          <w:szCs w:val="20"/>
          <w:color w:val="auto"/>
        </w:rPr>
      </w:pPr>
      <w:r>
        <w:rPr>
          <w:rFonts w:ascii="Times New Roman" w:cs="Times New Roman" w:eastAsia="Times New Roman" w:hAnsi="Times New Roman"/>
          <w:sz w:val="19"/>
          <w:szCs w:val="19"/>
          <w:color w:val="auto"/>
        </w:rPr>
        <w:t xml:space="preserve">In conjunction with the Company's annual impairment review, as a result of reduced enrollments at MPW and the recelll U.K. government elimination of the Value Added Tax (VAT) exemption on private school tuition coupled with an overall downward trend in enrollments at sixth-form colleges leading to uncertainty regarding future enrollments, the Company recorded an indefinite-li.ved intangible asset impairment charge of $22.9 </w:t>
      </w:r>
      <w:r>
        <w:rPr>
          <w:rFonts w:ascii="Times New Roman" w:cs="Times New Roman" w:eastAsia="Times New Roman" w:hAnsi="Times New Roman"/>
          <w:sz w:val="18"/>
          <w:szCs w:val="18"/>
          <w:color w:val="auto"/>
        </w:rPr>
        <w:t>million at MPW. The Company estimated the fai r value of the trade name by utilizing the relief from</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8"/>
          <w:szCs w:val="18"/>
          <w:color w:val="auto"/>
        </w:rPr>
        <w:t>royalty method under a discounted cash flow model. The carrying value of the MPW trademark indefinite-lived intangible asset exceeded its estimated fair value, resulting in an indefinite-lived intangible asset impairment charge for the excess amount. MPW is included in Kaplan International.</w:t>
      </w:r>
    </w:p>
    <w:p>
      <w:pPr>
        <w:spacing w:after="0" w:line="200" w:lineRule="exact"/>
        <w:rPr>
          <w:sz w:val="20"/>
          <w:szCs w:val="20"/>
          <w:color w:val="auto"/>
        </w:rPr>
      </w:pPr>
    </w:p>
    <w:p>
      <w:pPr>
        <w:spacing w:after="0" w:line="286"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With the exception of the MPW trademark indefinite-lived intangible asset, the fair value of all the indefinite-lived intangible assets exceeded their respective carrying values as of November 30, 2024. The estimated fair values of indefinite-lived intangible assets with a total carrying value of $17.0 m illion exceeded their carrying value by a margin of less than I 0%. There exists a reasonable possibility that impairment charges could occur in the future, as changes in market conditions and the inherent variability in projecting future operating performance could result in adverse changes in projections for future operating results or other key assumptions, such as projected revenue, profit margin, capital expenditures or cash flows associated with fair value estimates and could lead to future impairments, which could be material.</w:t>
      </w:r>
    </w:p>
    <w:p>
      <w:pPr>
        <w:spacing w:after="0" w:line="237" w:lineRule="exact"/>
        <w:rPr>
          <w:sz w:val="20"/>
          <w:szCs w:val="20"/>
          <w:color w:val="auto"/>
        </w:rPr>
      </w:pPr>
    </w:p>
    <w:p>
      <w:pPr>
        <w:jc w:val="both"/>
        <w:ind w:left="120" w:right="125" w:firstLine="10"/>
        <w:spacing w:after="0" w:line="275" w:lineRule="auto"/>
        <w:rPr>
          <w:sz w:val="20"/>
          <w:szCs w:val="20"/>
          <w:color w:val="auto"/>
        </w:rPr>
      </w:pPr>
      <w:r>
        <w:rPr>
          <w:rFonts w:ascii="Times New Roman" w:cs="Times New Roman" w:eastAsia="Times New Roman" w:hAnsi="Times New Roman"/>
          <w:sz w:val="19"/>
          <w:szCs w:val="19"/>
          <w:b w:val="1"/>
          <w:bCs w:val="1"/>
          <w:color w:val="auto"/>
        </w:rPr>
        <w:t xml:space="preserve">Pension </w:t>
      </w:r>
      <w:r>
        <w:rPr>
          <w:rFonts w:ascii="Times New Roman" w:cs="Times New Roman" w:eastAsia="Times New Roman" w:hAnsi="Times New Roman"/>
          <w:sz w:val="18"/>
          <w:szCs w:val="18"/>
          <w:color w:val="auto"/>
        </w:rPr>
        <w:t>Costs. The Company sponsors a defined benefit pension plan for e ligible employees in the U.S.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8"/>
          <w:szCs w:val="18"/>
          <w:color w:val="auto"/>
        </w:rPr>
        <w:t xml:space="preserve">Excluding curtailment gains, settlement gains and special termination benefits, the Company's net pension credit was </w:t>
      </w:r>
      <w:r>
        <w:rPr>
          <w:rFonts w:ascii="Times New Roman" w:cs="Times New Roman" w:eastAsia="Times New Roman" w:hAnsi="Times New Roman"/>
          <w:sz w:val="19"/>
          <w:szCs w:val="19"/>
          <w:color w:val="auto"/>
        </w:rPr>
        <w:t>$107.7</w:t>
      </w:r>
      <w:r>
        <w:rPr>
          <w:rFonts w:ascii="Times New Roman" w:cs="Times New Roman" w:eastAsia="Times New Roman" w:hAnsi="Times New Roman"/>
          <w:sz w:val="18"/>
          <w:szCs w:val="18"/>
          <w:color w:val="auto"/>
        </w:rPr>
        <w:t xml:space="preserve"> million, </w:t>
      </w:r>
      <w:r>
        <w:rPr>
          <w:rFonts w:ascii="Times New Roman" w:cs="Times New Roman" w:eastAsia="Times New Roman" w:hAnsi="Times New Roman"/>
          <w:sz w:val="19"/>
          <w:szCs w:val="19"/>
          <w:color w:val="auto"/>
        </w:rPr>
        <w:t>$111.3</w:t>
      </w:r>
      <w:r>
        <w:rPr>
          <w:rFonts w:ascii="Times New Roman" w:cs="Times New Roman" w:eastAsia="Times New Roman" w:hAnsi="Times New Roman"/>
          <w:sz w:val="18"/>
          <w:szCs w:val="18"/>
          <w:color w:val="auto"/>
        </w:rPr>
        <w:t xml:space="preserve"> million and </w:t>
      </w:r>
      <w:r>
        <w:rPr>
          <w:rFonts w:ascii="Times New Roman" w:cs="Times New Roman" w:eastAsia="Times New Roman" w:hAnsi="Times New Roman"/>
          <w:sz w:val="19"/>
          <w:szCs w:val="19"/>
          <w:color w:val="auto"/>
        </w:rPr>
        <w:t>$170.2</w:t>
      </w:r>
      <w:r>
        <w:rPr>
          <w:rFonts w:ascii="Times New Roman" w:cs="Times New Roman" w:eastAsia="Times New Roman" w:hAnsi="Times New Roman"/>
          <w:sz w:val="18"/>
          <w:szCs w:val="18"/>
          <w:color w:val="auto"/>
        </w:rPr>
        <w:t xml:space="preserve"> million for </w:t>
      </w:r>
      <w:r>
        <w:rPr>
          <w:rFonts w:ascii="Times New Roman" w:cs="Times New Roman" w:eastAsia="Times New Roman" w:hAnsi="Times New Roman"/>
          <w:sz w:val="19"/>
          <w:szCs w:val="19"/>
          <w:color w:val="auto"/>
        </w:rPr>
        <w:t>2024, 2023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9"/>
          <w:szCs w:val="19"/>
          <w:color w:val="auto"/>
        </w:rPr>
        <w:t>2022,</w:t>
      </w:r>
      <w:r>
        <w:rPr>
          <w:rFonts w:ascii="Times New Roman" w:cs="Times New Roman" w:eastAsia="Times New Roman" w:hAnsi="Times New Roman"/>
          <w:sz w:val="18"/>
          <w:szCs w:val="18"/>
          <w:color w:val="auto"/>
        </w:rPr>
        <w:t xml:space="preserve"> respectively. The Company's pension benefit obligation and related credits are actuarially detennined and are significantly impacted by the Company's assumptions related to future events, including the discount rate, expected return on plan assets and rate of compensation increases. The Company evaluates these critical assumptions at least annually and, periodically, evaluates other assumptions involving demographic factors, such as retirement age, mortality and turnover, and updates them to reflect its experience and expectations for the future. Actual results in any given year wi ll often differ from actuarial assumptions because of economic and other factors.</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81</w:t>
      </w:r>
    </w:p>
    <w:p>
      <w:pPr>
        <w:sectPr>
          <w:pgSz w:w="12240" w:h="15850" w:orient="portrait"/>
          <w:cols w:equalWidth="0" w:num="1">
            <w:col w:w="9365"/>
          </w:cols>
          <w:pgMar w:left="1440" w:top="1395" w:right="1440" w:bottom="721" w:gutter="0" w:footer="0" w:header="0"/>
          <w:type w:val="continuous"/>
        </w:sectPr>
      </w:pPr>
    </w:p>
    <w:bookmarkStart w:id="97" w:name="page98"/>
    <w:bookmarkEnd w:id="97"/>
    <w:p>
      <w:pPr>
        <w:jc w:val="both"/>
        <w:ind w:left="120" w:right="125" w:hanging="8"/>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assumed a 6.25% expected return on plan assets for 2024, 2023 and 2022. The Company's actual return (loss) on plan assets was 19.1 % in 2024,23.2% in 2023 and (23.4%) in 2022. The 10-year and 20-year actual rewrns on plan assets on an annual basis were 8.8% and 9.6%, respectively.</w:t>
      </w:r>
    </w:p>
    <w:p>
      <w:pPr>
        <w:spacing w:after="0" w:line="252"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Accumulated and projected benefit obligations are measured as the present value of future cash payments. The Company discounts those cash payments using the weighted average of market-observed yields for high-quality fixed-income securities with maturities that correspond to the payment of benefits. Lower discount rates increase present values and generally increase subsequent-year pension costs; higher discount rates decrease present values and decrease subsequent -year pension costs. The Company's discount rate at December 31, 2024, 2023 and 2022, was 5.8%, 5.2% and 5.5%, respectively, reflecting market interest rates.</w:t>
      </w:r>
    </w:p>
    <w:p>
      <w:pPr>
        <w:spacing w:after="0" w:line="247" w:lineRule="exact"/>
        <w:rPr>
          <w:sz w:val="20"/>
          <w:szCs w:val="20"/>
          <w:color w:val="auto"/>
        </w:rPr>
      </w:pPr>
    </w:p>
    <w:p>
      <w:pPr>
        <w:jc w:val="both"/>
        <w:ind w:left="120" w:right="125" w:hanging="11"/>
        <w:spacing w:after="0" w:line="253" w:lineRule="auto"/>
        <w:rPr>
          <w:sz w:val="20"/>
          <w:szCs w:val="20"/>
          <w:color w:val="auto"/>
        </w:rPr>
      </w:pPr>
      <w:r>
        <w:rPr>
          <w:rFonts w:ascii="Times New Roman" w:cs="Times New Roman" w:eastAsia="Times New Roman" w:hAnsi="Times New Roman"/>
          <w:sz w:val="19"/>
          <w:szCs w:val="19"/>
          <w:color w:val="auto"/>
        </w:rPr>
        <w:t xml:space="preserve">Changes in key assumptions for the Company' s pension plan </w:t>
      </w:r>
      <w:r>
        <w:rPr>
          <w:rFonts w:ascii="Arial" w:cs="Arial" w:eastAsia="Arial" w:hAnsi="Arial"/>
          <w:sz w:val="18"/>
          <w:szCs w:val="18"/>
          <w:i w:val="1"/>
          <w:iCs w:val="1"/>
          <w:color w:val="auto"/>
        </w:rPr>
        <w:t>would</w:t>
      </w:r>
      <w:r>
        <w:rPr>
          <w:rFonts w:ascii="Times New Roman" w:cs="Times New Roman" w:eastAsia="Times New Roman" w:hAnsi="Times New Roman"/>
          <w:sz w:val="19"/>
          <w:szCs w:val="19"/>
          <w:color w:val="auto"/>
        </w:rPr>
        <w:t xml:space="preserve"> have had the following effects on the 2024 pension credit, excluding curtailment gains, settlement gains and special termination benefits:</w:t>
      </w:r>
    </w:p>
    <w:p>
      <w:pPr>
        <w:spacing w:after="0" w:line="140" w:lineRule="exact"/>
        <w:rPr>
          <w:sz w:val="20"/>
          <w:szCs w:val="20"/>
          <w:color w:val="auto"/>
        </w:rPr>
      </w:pPr>
    </w:p>
    <w:p>
      <w:pPr>
        <w:jc w:val="both"/>
        <w:ind w:left="920" w:right="125"/>
        <w:spacing w:after="0" w:line="263" w:lineRule="auto"/>
        <w:rPr>
          <w:sz w:val="20"/>
          <w:szCs w:val="20"/>
          <w:color w:val="auto"/>
        </w:rPr>
      </w:pPr>
      <w:r>
        <w:rPr>
          <w:rFonts w:ascii="Times New Roman" w:cs="Times New Roman" w:eastAsia="Times New Roman" w:hAnsi="Times New Roman"/>
          <w:sz w:val="19"/>
          <w:szCs w:val="19"/>
          <w:color w:val="auto"/>
        </w:rPr>
        <w:t xml:space="preserve">Expected return on assets </w:t>
      </w:r>
      <w:r>
        <w:rPr>
          <w:rFonts w:ascii="Arial" w:cs="Arial" w:eastAsia="Arial" w:hAnsi="Arial"/>
          <w:sz w:val="17"/>
          <w:szCs w:val="17"/>
          <w:color w:val="auto"/>
        </w:rPr>
        <w:t>-</w:t>
      </w:r>
      <w:r>
        <w:rPr>
          <w:sz w:val="20"/>
          <w:szCs w:val="20"/>
          <w:color w:val="auto"/>
        </w:rPr>
        <w:t xml:space="preserve"> </w:t>
      </w:r>
      <w:r>
        <w:rPr>
          <w:rFonts w:ascii="Arial" w:cs="Arial" w:eastAsia="Arial" w:hAnsi="Arial"/>
          <w:sz w:val="18"/>
          <w:szCs w:val="18"/>
          <w:color w:val="auto"/>
        </w:rPr>
        <w:t xml:space="preserve">A </w:t>
      </w:r>
      <w:r>
        <w:rPr>
          <w:rFonts w:ascii="Times New Roman" w:cs="Times New Roman" w:eastAsia="Times New Roman" w:hAnsi="Times New Roman"/>
          <w:sz w:val="19"/>
          <w:szCs w:val="19"/>
          <w:color w:val="auto"/>
        </w:rPr>
        <w:t>1% increase or decrease to the Company's assumed expected return on</w:t>
      </w:r>
      <w:r>
        <w:rPr>
          <w:rFonts w:ascii="Arial" w:cs="Arial" w:eastAsia="Arial" w:hAnsi="Arial"/>
          <w:sz w:val="18"/>
          <w:szCs w:val="18"/>
          <w:color w:val="auto"/>
        </w:rPr>
        <w:t xml:space="preserve"> </w:t>
      </w:r>
      <w:r>
        <w:rPr>
          <w:rFonts w:ascii="Times New Roman" w:cs="Times New Roman" w:eastAsia="Times New Roman" w:hAnsi="Times New Roman"/>
          <w:sz w:val="19"/>
          <w:szCs w:val="19"/>
          <w:color w:val="auto"/>
        </w:rPr>
        <w:t>plan assets would have increased or decreased the pension credit by approximately $26.5 million.</w:t>
      </w:r>
    </w:p>
    <w:p>
      <w:pPr>
        <w:spacing w:after="0" w:line="121" w:lineRule="exact"/>
        <w:rPr>
          <w:sz w:val="20"/>
          <w:szCs w:val="20"/>
          <w:color w:val="auto"/>
        </w:rPr>
      </w:pPr>
    </w:p>
    <w:p>
      <w:pPr>
        <w:jc w:val="both"/>
        <w:ind w:left="920" w:right="125"/>
        <w:spacing w:after="0" w:line="257" w:lineRule="auto"/>
        <w:rPr>
          <w:sz w:val="20"/>
          <w:szCs w:val="20"/>
          <w:color w:val="auto"/>
        </w:rPr>
      </w:pPr>
      <w:r>
        <w:rPr>
          <w:rFonts w:ascii="Times New Roman" w:cs="Times New Roman" w:eastAsia="Times New Roman" w:hAnsi="Times New Roman"/>
          <w:sz w:val="19"/>
          <w:szCs w:val="19"/>
          <w:color w:val="auto"/>
        </w:rPr>
        <w:t>Discount rate -</w:t>
      </w:r>
      <w:r>
        <w:rPr>
          <w:sz w:val="20"/>
          <w:szCs w:val="20"/>
          <w:color w:val="auto"/>
        </w:rPr>
        <w:t xml:space="preserve"> </w:t>
      </w:r>
      <w:r>
        <w:rPr>
          <w:rFonts w:ascii="Times New Roman" w:cs="Times New Roman" w:eastAsia="Times New Roman" w:hAnsi="Times New Roman"/>
          <w:sz w:val="19"/>
          <w:szCs w:val="19"/>
          <w:color w:val="auto"/>
        </w:rPr>
        <w:t>A 1% decrease to the Company's assumed discount rate would have decreased the pension credit by approximately $7.2 million. A 1% increase to the Company's assumed discount rate would have increased the pension c redit by approximately $5.7 million.</w:t>
      </w:r>
    </w:p>
    <w:p>
      <w:pPr>
        <w:spacing w:after="0" w:line="261"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Company's net pension credit includes an expected return on plan assets component, calculated using the expected return on plan assets assumption applied to a market-related value of plan assets. The market-related value of plan assets is determined using a five-year average market value method, which recognizes realized and unrealized appreciation and depreciation in market values over a five-year period. The value resulting from applying this method is adjusted; if necessary; such that it cannot be less than 80% or more than 120% of the market value of plan assets as of the relevant measurement date. As a result, year-to-year increases or decreases in the market-related value of plan assets impact the return on plan assets component of pension credit for the year.</w:t>
      </w:r>
    </w:p>
    <w:p>
      <w:pPr>
        <w:spacing w:after="0" w:line="200" w:lineRule="exact"/>
        <w:rPr>
          <w:sz w:val="20"/>
          <w:szCs w:val="20"/>
          <w:color w:val="auto"/>
        </w:rPr>
      </w:pPr>
    </w:p>
    <w:p>
      <w:pPr>
        <w:spacing w:after="0" w:line="276" w:lineRule="exact"/>
        <w:rPr>
          <w:sz w:val="20"/>
          <w:szCs w:val="20"/>
          <w:color w:val="auto"/>
        </w:rPr>
      </w:pPr>
    </w:p>
    <w:p>
      <w:pPr>
        <w:jc w:val="both"/>
        <w:ind w:left="120" w:right="125" w:firstLine="11"/>
        <w:spacing w:after="0" w:line="266" w:lineRule="auto"/>
        <w:rPr>
          <w:sz w:val="20"/>
          <w:szCs w:val="20"/>
          <w:color w:val="auto"/>
        </w:rPr>
      </w:pPr>
      <w:r>
        <w:rPr>
          <w:rFonts w:ascii="Times New Roman" w:cs="Times New Roman" w:eastAsia="Times New Roman" w:hAnsi="Times New Roman"/>
          <w:sz w:val="19"/>
          <w:szCs w:val="19"/>
          <w:color w:val="auto"/>
        </w:rPr>
        <w:t>At the end of each year, differences between the actual return on plan assets and the expected return on plan assets are combined with other differences in actual versus expected experience to form a net unamortized actuaria l gain or loss in accumulated other comprehensive income. Only those net actuarial gains or losses in excess of the defetTed realized and unrealized appreciation and depreciation are potentiaUy subject to amortization.</w:t>
      </w:r>
    </w:p>
    <w:p>
      <w:pPr>
        <w:spacing w:after="0" w:line="200" w:lineRule="exact"/>
        <w:rPr>
          <w:sz w:val="20"/>
          <w:szCs w:val="20"/>
          <w:color w:val="auto"/>
        </w:rPr>
      </w:pPr>
    </w:p>
    <w:p>
      <w:pPr>
        <w:spacing w:after="0" w:line="281" w:lineRule="exact"/>
        <w:rPr>
          <w:sz w:val="20"/>
          <w:szCs w:val="20"/>
          <w:color w:val="auto"/>
        </w:rPr>
      </w:pPr>
    </w:p>
    <w:p>
      <w:pPr>
        <w:jc w:val="both"/>
        <w:ind w:left="120" w:right="125" w:hanging="10"/>
        <w:spacing w:after="0" w:line="264" w:lineRule="auto"/>
        <w:rPr>
          <w:sz w:val="20"/>
          <w:szCs w:val="20"/>
          <w:color w:val="auto"/>
        </w:rPr>
      </w:pPr>
      <w:r>
        <w:rPr>
          <w:rFonts w:ascii="Times New Roman" w:cs="Times New Roman" w:eastAsia="Times New Roman" w:hAnsi="Times New Roman"/>
          <w:sz w:val="19"/>
          <w:szCs w:val="19"/>
          <w:color w:val="auto"/>
        </w:rPr>
        <w:t>The types of items that generate actuarial gains and losses that may be subject to amortization in net periodic pension (credit) cost include the following:</w:t>
      </w:r>
    </w:p>
    <w:p>
      <w:pPr>
        <w:spacing w:after="0" w:line="11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9"/>
          <w:szCs w:val="19"/>
          <w:color w:val="auto"/>
        </w:rPr>
        <w:t>Asset retums that are more or less than the expected retu rn o n plan assets for the year;</w:t>
      </w:r>
    </w:p>
    <w:p>
      <w:pPr>
        <w:spacing w:after="0" w:line="151" w:lineRule="exact"/>
        <w:rPr>
          <w:sz w:val="20"/>
          <w:szCs w:val="20"/>
          <w:color w:val="auto"/>
        </w:rPr>
      </w:pPr>
    </w:p>
    <w:p>
      <w:pPr>
        <w:ind w:left="920" w:right="125" w:firstLine="2"/>
        <w:spacing w:after="0" w:line="253" w:lineRule="auto"/>
        <w:rPr>
          <w:sz w:val="20"/>
          <w:szCs w:val="20"/>
          <w:color w:val="auto"/>
        </w:rPr>
      </w:pPr>
      <w:r>
        <w:rPr>
          <w:rFonts w:ascii="Times New Roman" w:cs="Times New Roman" w:eastAsia="Times New Roman" w:hAnsi="Times New Roman"/>
          <w:sz w:val="19"/>
          <w:szCs w:val="19"/>
          <w:color w:val="auto"/>
        </w:rPr>
        <w:t>Actual participant demographic experience different from assumed (retirements, terminations and deaths during the year);</w:t>
      </w:r>
    </w:p>
    <w:p>
      <w:pPr>
        <w:spacing w:after="0" w:line="1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9"/>
          <w:szCs w:val="19"/>
          <w:color w:val="auto"/>
        </w:rPr>
        <w:t>Actual salary increases different from assumed; and</w:t>
      </w:r>
    </w:p>
    <w:p>
      <w:pPr>
        <w:spacing w:after="0" w:line="151" w:lineRule="exact"/>
        <w:rPr>
          <w:sz w:val="20"/>
          <w:szCs w:val="20"/>
          <w:color w:val="auto"/>
        </w:rPr>
      </w:pPr>
    </w:p>
    <w:p>
      <w:pPr>
        <w:jc w:val="both"/>
        <w:ind w:left="920" w:right="125" w:hanging="303"/>
        <w:spacing w:after="0" w:line="257" w:lineRule="auto"/>
        <w:tabs>
          <w:tab w:leader="none" w:pos="9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changes in assumptions that are made to better reflect the anticipated experience of the plan or to reflect current market conditions on the measurement date (discount rate, longevity increases, changes in expected participant behavior and expected return on plan assets).</w:t>
      </w:r>
    </w:p>
    <w:p>
      <w:pPr>
        <w:spacing w:after="0" w:line="252"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Amortization of the umecognized actuarial gain or Joss is included as a component of pension credit for a year if the magnitude of the net unamortized gain or loss in accumulated other comprehensive income exceeds 10% of the greater of the benefit obligation or the market-related value of assets ( 10% corridor). The amortization component is equal to that excess divided by the average remaining service period of active employees expected to receive benefits under the plan. At the end of 2021, the Company had net unamortized actuarial gains in</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8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82</w:t>
        <w:tab/>
        <w:t>2024 FORM 10-K</w:t>
      </w:r>
    </w:p>
    <w:p>
      <w:pPr>
        <w:sectPr>
          <w:pgSz w:w="12240" w:h="15850" w:orient="portrait"/>
          <w:cols w:equalWidth="0" w:num="1">
            <w:col w:w="9365"/>
          </w:cols>
          <w:pgMar w:left="1440" w:top="1392" w:right="1440" w:bottom="721" w:gutter="0" w:footer="0" w:header="0"/>
          <w:type w:val="continuous"/>
        </w:sectPr>
      </w:pPr>
    </w:p>
    <w:bookmarkStart w:id="98" w:name="page99"/>
    <w:bookmarkEnd w:id="98"/>
    <w:p>
      <w:pPr>
        <w:jc w:val="both"/>
        <w:ind w:left="120" w:right="125"/>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accumulated other comprehensive income subject to amortization outside the 10% corridor, and therefore, an amortized gain of $68.7 million was included in the pension credit for 2022.</w:t>
      </w:r>
    </w:p>
    <w:p>
      <w:pPr>
        <w:spacing w:after="0" w:line="269" w:lineRule="exact"/>
        <w:rPr>
          <w:sz w:val="20"/>
          <w:szCs w:val="20"/>
          <w:color w:val="auto"/>
        </w:rPr>
      </w:pPr>
    </w:p>
    <w:p>
      <w:pPr>
        <w:jc w:val="both"/>
        <w:ind w:left="120" w:right="125" w:firstLine="20"/>
        <w:spacing w:after="0" w:line="260" w:lineRule="auto"/>
        <w:rPr>
          <w:sz w:val="20"/>
          <w:szCs w:val="20"/>
          <w:color w:val="auto"/>
        </w:rPr>
      </w:pPr>
      <w:r>
        <w:rPr>
          <w:rFonts w:ascii="Times New Roman" w:cs="Times New Roman" w:eastAsia="Times New Roman" w:hAnsi="Times New Roman"/>
          <w:sz w:val="19"/>
          <w:szCs w:val="19"/>
          <w:color w:val="auto"/>
        </w:rPr>
        <w:t>During 2022, there were significant pension asset losses pa.tially offset by an increase in the discount rate that resulted in net unamortized actuarial gains in accumulated other comprehensive income subject to amortization outside the 10% corridor, and therefore, an amortized gain of $39.8 million was included in the pension credit for 2023.</w:t>
      </w:r>
    </w:p>
    <w:p>
      <w:pPr>
        <w:spacing w:after="0" w:line="200" w:lineRule="exact"/>
        <w:rPr>
          <w:sz w:val="20"/>
          <w:szCs w:val="20"/>
          <w:color w:val="auto"/>
        </w:rPr>
      </w:pPr>
    </w:p>
    <w:p>
      <w:pPr>
        <w:spacing w:after="0" w:line="263"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 xml:space="preserve">During 2023, there were significant pension asset gains partially offset by a decrease in the discount rate that resulted in net unamortized actuarial gains in accumulated other comprehensive income subject to amo1tization outside the 10% corridor, and therefore. </w:t>
      </w:r>
      <w:r>
        <w:rPr>
          <w:rFonts w:ascii="Times New Roman" w:cs="Times New Roman" w:eastAsia="Times New Roman" w:hAnsi="Times New Roman"/>
          <w:sz w:val="14"/>
          <w:szCs w:val="14"/>
          <w:color w:val="auto"/>
        </w:rPr>
        <w:t>aJl</w:t>
      </w:r>
      <w:r>
        <w:rPr>
          <w:rFonts w:ascii="Times New Roman" w:cs="Times New Roman" w:eastAsia="Times New Roman" w:hAnsi="Times New Roman"/>
          <w:sz w:val="19"/>
          <w:szCs w:val="19"/>
          <w:color w:val="auto"/>
        </w:rPr>
        <w:t xml:space="preserve"> amortized gain of $37.9 million was included in the pension credit for the first nine and a half months of 2024.</w:t>
      </w:r>
    </w:p>
    <w:p>
      <w:pPr>
        <w:spacing w:after="0" w:line="242"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As a result of the irrevocable group annuity purchase, the Company remeasured the accumulated and projected benefit obligations as of October 17, 2024, and recorded a settlement gain. During the flrst nine and a half months, there were significant pension asset gains offset by the $653.4 million settlement gain following the purchase of the irrevocable group annuity contract that resulted in no net unamortized actua.·ial gains in accumulated other comprehensive income subject to amortization outside the I 0 % corridor, and therefore, no amortized gain amount was included in the pension credit for the last two and a half months of 2024. During the last two and a half months of 2024, there was an increase in the discount rate; however, the Company currently estimates that there will be no net unamortized actuarial gains in accumulated other comprehensive income subject to amortization outside the I 0% corridor, a nd therefore, no amortized gain amount is included in the estimated pension credit for 2025.</w:t>
      </w: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Overall , the Company estimates that it will record a net pension credit of approximately $95. 1 million in 2025.</w:t>
      </w:r>
    </w:p>
    <w:p>
      <w:pPr>
        <w:spacing w:after="0" w:line="259" w:lineRule="exact"/>
        <w:rPr>
          <w:sz w:val="20"/>
          <w:szCs w:val="20"/>
          <w:color w:val="auto"/>
        </w:rPr>
      </w:pPr>
    </w:p>
    <w:p>
      <w:pPr>
        <w:jc w:val="both"/>
        <w:ind w:left="120" w:right="125" w:firstLine="3"/>
        <w:spacing w:after="0" w:line="261" w:lineRule="auto"/>
        <w:rPr>
          <w:sz w:val="20"/>
          <w:szCs w:val="20"/>
          <w:color w:val="auto"/>
        </w:rPr>
      </w:pPr>
      <w:r>
        <w:rPr>
          <w:rFonts w:ascii="Times New Roman" w:cs="Times New Roman" w:eastAsia="Times New Roman" w:hAnsi="Times New Roman"/>
          <w:sz w:val="19"/>
          <w:szCs w:val="19"/>
          <w:color w:val="auto"/>
        </w:rPr>
        <w:t>Note 15 to the Company's Consolidated Financial Statements provides additiornal details surrounding pension costs and related assumptions.</w:t>
      </w:r>
    </w:p>
    <w:p>
      <w:pPr>
        <w:spacing w:after="0" w:line="3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b w:val="1"/>
          <w:bCs w:val="1"/>
          <w:color w:val="auto"/>
        </w:rPr>
        <w:t xml:space="preserve">Accounting for Income </w:t>
      </w:r>
      <w:r>
        <w:rPr>
          <w:rFonts w:ascii="Times New Roman" w:cs="Times New Roman" w:eastAsia="Times New Roman" w:hAnsi="Times New Roman"/>
          <w:sz w:val="20"/>
          <w:szCs w:val="20"/>
          <w:color w:val="auto"/>
        </w:rPr>
        <w:t>Taxes.</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Valuation Allowances</w:t>
      </w:r>
    </w:p>
    <w:p>
      <w:pPr>
        <w:spacing w:after="0" w:line="133" w:lineRule="exact"/>
        <w:rPr>
          <w:sz w:val="20"/>
          <w:szCs w:val="20"/>
          <w:color w:val="auto"/>
        </w:rPr>
      </w:pPr>
    </w:p>
    <w:p>
      <w:pPr>
        <w:jc w:val="both"/>
        <w:ind w:left="120" w:right="105" w:firstLine="11"/>
        <w:spacing w:after="0" w:line="261" w:lineRule="auto"/>
        <w:rPr>
          <w:sz w:val="20"/>
          <w:szCs w:val="20"/>
          <w:color w:val="auto"/>
        </w:rPr>
      </w:pPr>
      <w:r>
        <w:rPr>
          <w:rFonts w:ascii="Times New Roman" w:cs="Times New Roman" w:eastAsia="Times New Roman" w:hAnsi="Times New Roman"/>
          <w:sz w:val="19"/>
          <w:szCs w:val="19"/>
          <w:color w:val="auto"/>
        </w:rPr>
        <w:t>Deferred income taxes arise from temporary differences between the tax and financial statement recognition of assets and liabilities. In evaluating its ability to recover deferred tax assets within the j urisdiction from which they arise, the Company considers all available positive and negative evidence, including scheduled reversals of deferred tax liabilities, projected future taxable income, tax planning strategies and recent financ ial operations. These assumptions require significant j udgment about forecasts of future taxable income.</w:t>
      </w:r>
    </w:p>
    <w:p>
      <w:pPr>
        <w:spacing w:after="0" w:line="233" w:lineRule="exact"/>
        <w:rPr>
          <w:sz w:val="20"/>
          <w:szCs w:val="20"/>
          <w:color w:val="auto"/>
        </w:rPr>
      </w:pPr>
    </w:p>
    <w:p>
      <w:pPr>
        <w:jc w:val="both"/>
        <w:ind w:left="120" w:right="105" w:firstLine="12"/>
        <w:spacing w:after="0" w:line="263" w:lineRule="auto"/>
        <w:rPr>
          <w:sz w:val="20"/>
          <w:szCs w:val="20"/>
          <w:color w:val="auto"/>
        </w:rPr>
      </w:pPr>
      <w:r>
        <w:rPr>
          <w:rFonts w:ascii="Times New Roman" w:cs="Times New Roman" w:eastAsia="Times New Roman" w:hAnsi="Times New Roman"/>
          <w:sz w:val="19"/>
          <w:szCs w:val="19"/>
          <w:color w:val="auto"/>
        </w:rPr>
        <w:t>As of December 3 1, 2024, the Company had state income tax net operating Joss carryforwards of $1,163.4 million, which will expire at various future dates. Also at December 31, 2024, the Company had $84.1 million of non- U.S . income tax loss carryforwards, of whic h $36.2 million may be carried forward indefi!llitely; $41.7 million of losses that, if unutilized, will expire in varying amounts through 2029; and $6.2 million of losses that, ifunutilized, will start to expire after 2029. At December 31,2024, the Company has established approximately $74.8 million in total valuation allowances, primarily against deferred state tax assets, net of U.S. Federal income taxes, and non -U.S. deferred tax assets, as the Comparny believes that it is more likely than not that the benefit from certain state and non-U .S. net operating loss carryforwards and other deferred tax assets will not be realized. In most instances, the Company has established valuation allowances against state income tax benefits recognized, without considering potentially offsetting deferred tax liabilities established with respect to prepaid pension cost and goodwill. Prepaid pension cost and goodwill have not been considered a source of future taxable income for realizing deferred tax benefits recognized since these temporary differences a.·c not likely to reverse in the foreseeable future. However, certain deferred staitc tax assets have an indefinite life. As a result, the Company has considered deferred tax liabilities for prepaid pension cost and goodwill as a</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30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83</w:t>
      </w:r>
    </w:p>
    <w:p>
      <w:pPr>
        <w:sectPr>
          <w:pgSz w:w="12240" w:h="15850" w:orient="portrait"/>
          <w:cols w:equalWidth="0" w:num="1">
            <w:col w:w="9365"/>
          </w:cols>
          <w:pgMar w:left="1440" w:top="1395" w:right="1440" w:bottom="721" w:gutter="0" w:footer="0" w:header="0"/>
          <w:type w:val="continuous"/>
        </w:sectPr>
      </w:pPr>
    </w:p>
    <w:bookmarkStart w:id="99" w:name="page100"/>
    <w:bookmarkEnd w:id="99"/>
    <w:p>
      <w:pPr>
        <w:jc w:val="both"/>
        <w:ind w:left="120" w:right="125" w:firstLine="9"/>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source of future taxable income for realizing those deferred state tax assets with indefinite lives. The valuation allowances established against state and non-U.S. income tax benefits recorded may increase or decrease within the next 12 months, based on operating results or the market value of investment holdings; as a result, the Company is unable to estimate the potential tax impact, given the uncertain operating and market environment. The Company will be monitoring future operating results and projected future operating results on a quarterly basis to determine whether the valuation allowances provided against state and non-U.S. defened tax assets should be increased or decreased, as future circumstances warrant .</w:t>
      </w:r>
    </w:p>
    <w:p>
      <w:pPr>
        <w:spacing w:after="0" w:line="240" w:lineRule="exact"/>
        <w:rPr>
          <w:sz w:val="20"/>
          <w:szCs w:val="20"/>
          <w:color w:val="auto"/>
        </w:rPr>
      </w:pPr>
    </w:p>
    <w:p>
      <w:pPr>
        <w:jc w:val="both"/>
        <w:ind w:left="120" w:right="145" w:firstLine="1"/>
        <w:spacing w:after="0" w:line="274" w:lineRule="auto"/>
        <w:rPr>
          <w:sz w:val="20"/>
          <w:szCs w:val="20"/>
          <w:color w:val="auto"/>
        </w:rPr>
      </w:pPr>
      <w:r>
        <w:rPr>
          <w:rFonts w:ascii="Times New Roman" w:cs="Times New Roman" w:eastAsia="Times New Roman" w:hAnsi="Times New Roman"/>
          <w:sz w:val="19"/>
          <w:szCs w:val="19"/>
          <w:b w:val="1"/>
          <w:bCs w:val="1"/>
          <w:color w:val="auto"/>
        </w:rPr>
        <w:t xml:space="preserve">Recent Accounting Pronouncements. </w:t>
      </w:r>
      <w:r>
        <w:rPr>
          <w:rFonts w:ascii="Times New Roman" w:cs="Times New Roman" w:eastAsia="Times New Roman" w:hAnsi="Times New Roman"/>
          <w:sz w:val="19"/>
          <w:szCs w:val="19"/>
          <w:color w:val="auto"/>
        </w:rPr>
        <w:t>See Note 2 to the Company's Consolidated Financial Statements for a</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discussion of recent accounting pronouncements.</w:t>
      </w:r>
    </w:p>
    <w:p>
      <w:pPr>
        <w:sectPr>
          <w:pgSz w:w="12240" w:h="15850" w:orient="portrait"/>
          <w:cols w:equalWidth="0" w:num="1">
            <w:col w:w="9365"/>
          </w:cols>
          <w:pgMar w:left="1440" w:top="1394"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84</w:t>
        <w:tab/>
        <w:t>2024 FORM 10-K</w:t>
      </w:r>
    </w:p>
    <w:p>
      <w:pPr>
        <w:sectPr>
          <w:pgSz w:w="12240" w:h="15850" w:orient="portrait"/>
          <w:cols w:equalWidth="0" w:num="1">
            <w:col w:w="9365"/>
          </w:cols>
          <w:pgMar w:left="1440" w:top="1394" w:right="1440" w:bottom="717" w:gutter="0" w:footer="0" w:header="0"/>
          <w:type w:val="continuous"/>
        </w:sectPr>
      </w:pPr>
    </w:p>
    <w:bookmarkStart w:id="100" w:name="page101"/>
    <w:bookmarkEnd w:id="100"/>
    <w:p>
      <w:pPr>
        <w:jc w:val="center"/>
        <w:ind w:right="-14"/>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0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Report of Independent Registered Public Accounting Firm</w:t>
      </w:r>
    </w:p>
    <w:p>
      <w:pPr>
        <w:spacing w:after="0" w:line="1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To the Board of Directors and</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Stockholders of Graham Holdings Company</w:t>
      </w:r>
    </w:p>
    <w:p>
      <w:pPr>
        <w:spacing w:after="0" w:line="29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Opinions on the Financial Statements and Internal Control over Financial Reporting</w:t>
      </w:r>
    </w:p>
    <w:p>
      <w:pPr>
        <w:spacing w:after="0" w:line="122" w:lineRule="exact"/>
        <w:rPr>
          <w:sz w:val="20"/>
          <w:szCs w:val="20"/>
          <w:color w:val="auto"/>
        </w:rPr>
      </w:pPr>
    </w:p>
    <w:p>
      <w:pPr>
        <w:jc w:val="both"/>
        <w:ind w:left="120" w:right="105" w:firstLine="12"/>
        <w:spacing w:after="0" w:line="262" w:lineRule="auto"/>
        <w:rPr>
          <w:sz w:val="20"/>
          <w:szCs w:val="20"/>
          <w:color w:val="auto"/>
        </w:rPr>
      </w:pPr>
      <w:r>
        <w:rPr>
          <w:rFonts w:ascii="Times New Roman" w:cs="Times New Roman" w:eastAsia="Times New Roman" w:hAnsi="Times New Roman"/>
          <w:sz w:val="19"/>
          <w:szCs w:val="19"/>
          <w:color w:val="auto"/>
        </w:rPr>
        <w:t xml:space="preserve">We have audited the accompanying consolidated balance sheets of Graham Holdings Company and its subsidiaries (the "Company") as of December 31, 2024 and 2023, and the related consolidated statements of operations, of comprehensive income (loss), of changes in common stockholders' equity and of cash flows for each of the three years in the period ended December 31, 2024, including the related notes (collectively referred to as the "consolidated financial statements"). We also have audited the Company's internal control over fmancial reporting as of December 31, 2024, based on criteria established in </w:t>
      </w:r>
      <w:r>
        <w:rPr>
          <w:rFonts w:ascii="Times New Roman" w:cs="Times New Roman" w:eastAsia="Times New Roman" w:hAnsi="Times New Roman"/>
          <w:sz w:val="19"/>
          <w:szCs w:val="19"/>
          <w:i w:val="1"/>
          <w:iCs w:val="1"/>
          <w:color w:val="auto"/>
        </w:rPr>
        <w:t>Internal Control- Integrated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i w:val="1"/>
          <w:iCs w:val="1"/>
          <w:color w:val="auto"/>
        </w:rPr>
        <w:t xml:space="preserve">Framework </w:t>
      </w:r>
      <w:r>
        <w:rPr>
          <w:rFonts w:ascii="Times New Roman" w:cs="Times New Roman" w:eastAsia="Times New Roman" w:hAnsi="Times New Roman"/>
          <w:sz w:val="19"/>
          <w:szCs w:val="19"/>
          <w:color w:val="auto"/>
        </w:rPr>
        <w:t>(2013) issued by the Committee of Sponsoring Organizations of the Treadway Commission (COSO).</w:t>
      </w:r>
    </w:p>
    <w:p>
      <w:pPr>
        <w:spacing w:after="0" w:line="209" w:lineRule="exact"/>
        <w:rPr>
          <w:sz w:val="20"/>
          <w:szCs w:val="20"/>
          <w:color w:val="auto"/>
        </w:rPr>
      </w:pPr>
    </w:p>
    <w:p>
      <w:pPr>
        <w:jc w:val="both"/>
        <w:ind w:left="120" w:right="125" w:firstLine="10"/>
        <w:spacing w:after="0" w:line="260" w:lineRule="auto"/>
        <w:rPr>
          <w:sz w:val="20"/>
          <w:szCs w:val="20"/>
          <w:color w:val="auto"/>
        </w:rPr>
      </w:pPr>
      <w:r>
        <w:rPr>
          <w:rFonts w:ascii="Times New Roman" w:cs="Times New Roman" w:eastAsia="Times New Roman" w:hAnsi="Times New Roman"/>
          <w:sz w:val="19"/>
          <w:szCs w:val="19"/>
          <w:color w:val="auto"/>
        </w:rPr>
        <w:t xml:space="preserve">In our opinion, the consolidated financial statements referred to above present fairly, in all material respects, the financial position of the Company as of December 31, 2024 and 2023, and the results of its operations and its cash flows for each of the three years in the period ended December 31, 2024 in conformity with accounting princii()les generally accepted in the Unjted States of America. Also in our opinion, the Company maintained, in all material respects, effective internal control over financial report ing as of December 3 1, 2024, based on criteria established in </w:t>
      </w:r>
      <w:r>
        <w:rPr>
          <w:rFonts w:ascii="Times New Roman" w:cs="Times New Roman" w:eastAsia="Times New Roman" w:hAnsi="Times New Roman"/>
          <w:sz w:val="19"/>
          <w:szCs w:val="19"/>
          <w:i w:val="1"/>
          <w:iCs w:val="1"/>
          <w:color w:val="auto"/>
        </w:rPr>
        <w:t>Internal Control-Integrated Framework</w:t>
      </w:r>
      <w:r>
        <w:rPr>
          <w:rFonts w:ascii="Times New Roman" w:cs="Times New Roman" w:eastAsia="Times New Roman" w:hAnsi="Times New Roman"/>
          <w:sz w:val="19"/>
          <w:szCs w:val="19"/>
          <w:color w:val="auto"/>
        </w:rPr>
        <w:t xml:space="preserve"> (20 13) iss ued by the COSO.</w:t>
      </w:r>
    </w:p>
    <w:p>
      <w:pPr>
        <w:spacing w:after="0" w:line="2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i w:val="1"/>
          <w:iCs w:val="1"/>
          <w:color w:val="auto"/>
        </w:rPr>
        <w:t>Basis for Opinions</w:t>
      </w:r>
    </w:p>
    <w:p>
      <w:pPr>
        <w:spacing w:after="0" w:line="12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9" w:lineRule="exact"/>
        <w:rPr>
          <w:sz w:val="20"/>
          <w:szCs w:val="20"/>
          <w:color w:val="auto"/>
        </w:rPr>
      </w:pPr>
    </w:p>
    <w:p>
      <w:pPr>
        <w:jc w:val="both"/>
        <w:ind w:left="120" w:right="125" w:hanging="7"/>
        <w:spacing w:after="0" w:line="262" w:lineRule="auto"/>
        <w:rPr>
          <w:sz w:val="20"/>
          <w:szCs w:val="20"/>
          <w:color w:val="auto"/>
        </w:rPr>
      </w:pPr>
      <w:r>
        <w:rPr>
          <w:rFonts w:ascii="Times New Roman" w:cs="Times New Roman" w:eastAsia="Times New Roman" w:hAnsi="Times New Roman"/>
          <w:sz w:val="19"/>
          <w:szCs w:val="19"/>
          <w:color w:val="auto"/>
        </w:rPr>
        <w:t>We conducted our audits in accordance with the standards of the PCAOB. Those standards require that we plan and perform the audits to obtain reasonable assurance about wlhether the consolidated financial statements are free of material misstatement, whether due to error or fraud, and whether effective internal control over financial reporting was maintained in all material respects.</w:t>
      </w:r>
    </w:p>
    <w:p>
      <w:pPr>
        <w:spacing w:after="0" w:line="210" w:lineRule="exact"/>
        <w:rPr>
          <w:sz w:val="20"/>
          <w:szCs w:val="20"/>
          <w:color w:val="auto"/>
        </w:rPr>
      </w:pPr>
    </w:p>
    <w:p>
      <w:pPr>
        <w:jc w:val="both"/>
        <w:ind w:left="120" w:right="105" w:hanging="8"/>
        <w:spacing w:after="0" w:line="261" w:lineRule="auto"/>
        <w:rPr>
          <w:sz w:val="20"/>
          <w:szCs w:val="20"/>
          <w:color w:val="auto"/>
        </w:rPr>
      </w:pPr>
      <w:r>
        <w:rPr>
          <w:rFonts w:ascii="Times New Roman" w:cs="Times New Roman" w:eastAsia="Times New Roman" w:hAnsi="Times New Roman"/>
          <w:sz w:val="19"/>
          <w:szCs w:val="19"/>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 lso included performing such other procedures as we considered necessary in the circu mstances. We believe that our audits provide a reasonable basis for our opinions .</w:t>
      </w:r>
    </w:p>
    <w:p>
      <w:pPr>
        <w:spacing w:after="0" w:line="29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i w:val="1"/>
          <w:iCs w:val="1"/>
          <w:color w:val="auto"/>
        </w:rPr>
        <w:t>Definition and Limitations of Internal Control over Financial R eporting</w:t>
      </w:r>
    </w:p>
    <w:p>
      <w:pPr>
        <w:spacing w:after="0" w:line="122" w:lineRule="exact"/>
        <w:rPr>
          <w:sz w:val="20"/>
          <w:szCs w:val="20"/>
          <w:color w:val="auto"/>
        </w:rPr>
      </w:pPr>
    </w:p>
    <w:p>
      <w:pPr>
        <w:jc w:val="both"/>
        <w:ind w:left="120" w:right="125" w:firstLine="2"/>
        <w:spacing w:after="0" w:line="257" w:lineRule="auto"/>
        <w:rPr>
          <w:sz w:val="20"/>
          <w:szCs w:val="20"/>
          <w:color w:val="auto"/>
        </w:rPr>
      </w:pPr>
      <w:r>
        <w:rPr>
          <w:rFonts w:ascii="Times New Roman" w:cs="Times New Roman" w:eastAsia="Times New Roman" w:hAnsi="Times New Roman"/>
          <w:sz w:val="19"/>
          <w:szCs w:val="19"/>
          <w:color w:val="auto"/>
        </w:rPr>
        <w:t>A company's internal control over financial reporting is a process designed to provide reasonable assurance regarding the reliability of financial reporting and the preparation of financial statements for extemal purposes in accordance with generally accepted accounting principles. A company's internal control over financial reporting</w:t>
      </w:r>
    </w:p>
    <w:p>
      <w:pPr>
        <w:sectPr>
          <w:pgSz w:w="12240" w:h="15850" w:orient="portrait"/>
          <w:cols w:equalWidth="0" w:num="1">
            <w:col w:w="9365"/>
          </w:cols>
          <w:pgMar w:left="1440" w:top="1377" w:right="1440" w:bottom="721" w:gutter="0" w:footer="0" w:header="0"/>
        </w:sectPr>
      </w:pPr>
    </w:p>
    <w:p>
      <w:pPr>
        <w:spacing w:after="0" w:line="200" w:lineRule="exact"/>
        <w:rPr>
          <w:sz w:val="20"/>
          <w:szCs w:val="20"/>
          <w:color w:val="auto"/>
        </w:rPr>
      </w:pPr>
    </w:p>
    <w:p>
      <w:pPr>
        <w:spacing w:after="0" w:line="291"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85</w:t>
      </w:r>
    </w:p>
    <w:p>
      <w:pPr>
        <w:sectPr>
          <w:pgSz w:w="12240" w:h="15850" w:orient="portrait"/>
          <w:cols w:equalWidth="0" w:num="1">
            <w:col w:w="9365"/>
          </w:cols>
          <w:pgMar w:left="1440" w:top="1377" w:right="1440" w:bottom="721" w:gutter="0" w:footer="0" w:header="0"/>
          <w:type w:val="continuous"/>
        </w:sectPr>
      </w:pPr>
    </w:p>
    <w:bookmarkStart w:id="101" w:name="page102"/>
    <w:bookmarkEnd w:id="101"/>
    <w:p>
      <w:pPr>
        <w:jc w:val="both"/>
        <w:ind w:left="120" w:right="125" w:firstLine="10"/>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50"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i w:val="1"/>
          <w:iCs w:val="1"/>
          <w:color w:val="auto"/>
        </w:rPr>
        <w:t>Critical Audit Matters</w:t>
      </w:r>
    </w:p>
    <w:p>
      <w:pPr>
        <w:spacing w:after="0" w:line="151"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critical audit matter communicated below is a matter ansmg from the current period audit of the consolidated financial statements that was communicated or required to be communicated to the audit committee and that (i) relates to accounts or disclosures that are material to the consolidated financial statements and</w:t>
      </w:r>
    </w:p>
    <w:p>
      <w:pPr>
        <w:spacing w:after="0" w:line="13" w:lineRule="exact"/>
        <w:rPr>
          <w:sz w:val="20"/>
          <w:szCs w:val="20"/>
          <w:color w:val="auto"/>
        </w:rPr>
      </w:pPr>
    </w:p>
    <w:p>
      <w:pPr>
        <w:jc w:val="both"/>
        <w:ind w:left="120" w:right="125" w:firstLine="2"/>
        <w:spacing w:after="0" w:line="262" w:lineRule="auto"/>
        <w:tabs>
          <w:tab w:leader="none" w:pos="435"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364"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9"/>
          <w:szCs w:val="19"/>
          <w:i w:val="1"/>
          <w:iCs w:val="1"/>
          <w:color w:val="auto"/>
        </w:rPr>
        <w:t>Annual Goodwill impairment Assessment -  Framebridge Reporting Unit</w:t>
      </w:r>
    </w:p>
    <w:p>
      <w:pPr>
        <w:spacing w:after="0" w:line="151"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As described in Notes 2 and 9 to the consolidated financial statements, the Company's consolidated goodwill balance was $ 1,500.0 million as of December 31, 2024, and as disclosed by management, the goodwill associated with the Framebridge reporting unit was $60.9 million as of December 31, 2024. Management reviews goodwill for possible impairment at least annually, as of November 30, or between annual tests if an event occurs or circumstances change that would more likely than not reduce the fair value of the reporting lllnit below its carrying value. An impairment charge is recognized for the amount by which the carrying value exceeds the reporting unit's fair value. The quantitative goodwill impairment analysis at Framebridge indicated the estimated fair value of the reporting unit exceeded its carrying value as of November 30, 2024, the annual goodwill impairment assessment date. Management uses a discounted cash flow model, and, where appropriate, a market value approach is also utilized to supplement the discounted cash flow model, to determine the estimated fair value of the reporting units. Management makes assumptions regarding estimated future cash flows, discount rates, long-term growth rates and market values to determine the estimated fair va]ue of each reporting unit.</w:t>
      </w:r>
    </w:p>
    <w:p>
      <w:pPr>
        <w:spacing w:after="0" w:line="236" w:lineRule="exact"/>
        <w:rPr>
          <w:sz w:val="20"/>
          <w:szCs w:val="20"/>
          <w:color w:val="auto"/>
        </w:rPr>
      </w:pPr>
    </w:p>
    <w:p>
      <w:pPr>
        <w:jc w:val="both"/>
        <w:ind w:left="120" w:right="105" w:hanging="8"/>
        <w:spacing w:after="0" w:line="262" w:lineRule="auto"/>
        <w:rPr>
          <w:sz w:val="20"/>
          <w:szCs w:val="20"/>
          <w:color w:val="auto"/>
        </w:rPr>
      </w:pPr>
      <w:r>
        <w:rPr>
          <w:rFonts w:ascii="Times New Roman" w:cs="Times New Roman" w:eastAsia="Times New Roman" w:hAnsi="Times New Roman"/>
          <w:sz w:val="19"/>
          <w:szCs w:val="19"/>
          <w:color w:val="auto"/>
        </w:rPr>
        <w:t>The principal considerations for our determination that performing procedures relating to the annual goodwill impairment assessment of the Framebridge reporting unit is a critical audit matter are (i) the significant judgment by management when developing the fai r value estimate of the Framebridge reporting unit; (ii) a high degree of auditor judgment, subjectivity, and effort in performing procedures and evaluating management's significant assumptions related to the estimated future cash flows and the discount rate used in the discounted cash flow model; and (iii) the audit effort involved the use of professionals with specialized skill and knowledge.</w:t>
      </w:r>
    </w:p>
    <w:p>
      <w:pPr>
        <w:spacing w:after="0" w:line="257"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Addressing the matter involved performing procedures and evallllating audit evidence in connection with forming our overall opinion on the consolidated financial statements. These procedures included testing the effectiveness of controls relating to management's goodwill impairment assessment, including controls over the valuation of the Framebridge reporting unit. These procedures also included, among others (i) testing management's process for developing the fair value estimate of the Framebridge reporting unit; (ii) evaluating the appropriateness of the discounted cash flow model used by management; (iii) testing the completeness and accuracy of underlying data used in the discounted cash flow model; and (iv) evaluating the reasonableness of the significant assumptions</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88" w:lineRule="exact"/>
        <w:rPr>
          <w:sz w:val="20"/>
          <w:szCs w:val="20"/>
          <w:color w:val="auto"/>
        </w:rPr>
      </w:pPr>
    </w:p>
    <w:p>
      <w:pPr>
        <w:ind w:left="520" w:hanging="399"/>
        <w:spacing w:after="0"/>
        <w:tabs>
          <w:tab w:leader="none" w:pos="520" w:val="left"/>
        </w:tabs>
        <w:numPr>
          <w:ilvl w:val="0"/>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2024 FORM 10-K</w:t>
      </w:r>
    </w:p>
    <w:p>
      <w:pPr>
        <w:sectPr>
          <w:pgSz w:w="12240" w:h="15850" w:orient="portrait"/>
          <w:cols w:equalWidth="0" w:num="1">
            <w:col w:w="9365"/>
          </w:cols>
          <w:pgMar w:left="1440" w:top="1392" w:right="1440" w:bottom="721" w:gutter="0" w:footer="0" w:header="0"/>
          <w:type w:val="continuous"/>
        </w:sectPr>
      </w:pPr>
    </w:p>
    <w:bookmarkStart w:id="102" w:name="page103"/>
    <w:bookmarkEnd w:id="102"/>
    <w:p>
      <w:pPr>
        <w:jc w:val="both"/>
        <w:ind w:left="120" w:right="125" w:firstLine="1"/>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related to the estimated future cash flows and the discount rate used in the discounted cash tlow model. Evaluating management's assumption related to the estimated future cash flows involved evaluating whether the</w:t>
      </w:r>
    </w:p>
    <w:p>
      <w:pPr>
        <w:spacing w:after="0" w:line="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assumption  used by  management  was reasonable considering  (i)  the  past and  present performance of the</w:t>
      </w:r>
    </w:p>
    <w:p>
      <w:pPr>
        <w:spacing w:after="0" w:line="27" w:lineRule="exact"/>
        <w:rPr>
          <w:sz w:val="20"/>
          <w:szCs w:val="20"/>
          <w:color w:val="auto"/>
        </w:rPr>
      </w:pPr>
    </w:p>
    <w:p>
      <w:pPr>
        <w:jc w:val="both"/>
        <w:ind w:left="120" w:right="125" w:firstLine="1"/>
        <w:spacing w:after="0" w:line="257" w:lineRule="auto"/>
        <w:rPr>
          <w:sz w:val="20"/>
          <w:szCs w:val="20"/>
          <w:color w:val="auto"/>
        </w:rPr>
      </w:pPr>
      <w:r>
        <w:rPr>
          <w:rFonts w:ascii="Times New Roman" w:cs="Times New Roman" w:eastAsia="Times New Roman" w:hAnsi="Times New Roman"/>
          <w:sz w:val="19"/>
          <w:szCs w:val="19"/>
          <w:color w:val="auto"/>
        </w:rPr>
        <w:t>Framebridge reporting unit; (ii) the consistency with external market and industry data; and (iii) whether the assumption was consistent with evidence obtained in other areas of the audit. Professionals with specialized skill and knowledge were used to assist in evaluating (i) the appropriateness of the discounted cash flow model and</w:t>
      </w:r>
    </w:p>
    <w:p>
      <w:pPr>
        <w:spacing w:after="0" w:line="13" w:lineRule="exact"/>
        <w:rPr>
          <w:sz w:val="20"/>
          <w:szCs w:val="20"/>
          <w:color w:val="auto"/>
        </w:rPr>
      </w:pPr>
    </w:p>
    <w:p>
      <w:pPr>
        <w:ind w:left="120" w:right="4845" w:firstLine="2"/>
        <w:spacing w:after="0" w:line="516" w:lineRule="auto"/>
        <w:tabs>
          <w:tab w:leader="none" w:pos="42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9"/>
          <w:szCs w:val="19"/>
          <w:color w:val="auto"/>
        </w:rPr>
        <w:t xml:space="preserve">the reasonableness of the discount rate assumption. /s/ PricewaterhouseCoopers </w:t>
      </w:r>
      <w:r>
        <w:rPr>
          <w:rFonts w:ascii="Times New Roman" w:cs="Times New Roman" w:eastAsia="Times New Roman" w:hAnsi="Times New Roman"/>
          <w:sz w:val="19"/>
          <w:szCs w:val="19"/>
          <w:b w:val="1"/>
          <w:bCs w:val="1"/>
          <w:color w:val="auto"/>
        </w:rPr>
        <w:t>LLP</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Washington, District of Columbia</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February 26, 2025</w:t>
      </w:r>
    </w:p>
    <w:p>
      <w:pPr>
        <w:spacing w:after="0" w:line="2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We have served as the Company's auditor since 1946.</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87</w:t>
      </w:r>
    </w:p>
    <w:p>
      <w:pPr>
        <w:sectPr>
          <w:pgSz w:w="12240" w:h="15850" w:orient="portrait"/>
          <w:cols w:equalWidth="0" w:num="1">
            <w:col w:w="9365"/>
          </w:cols>
          <w:pgMar w:left="1440" w:top="1394" w:right="1440" w:bottom="721" w:gutter="0" w:footer="0" w:header="0"/>
          <w:type w:val="continuous"/>
        </w:sectPr>
      </w:pPr>
    </w:p>
    <w:bookmarkStart w:id="103" w:name="page104"/>
    <w:bookmarkEnd w:id="103"/>
    <w:p>
      <w:pPr>
        <w:jc w:val="center"/>
        <w:ind w:right="5"/>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HOLDINGS COMPANY</w:t>
      </w:r>
    </w:p>
    <w:p>
      <w:pPr>
        <w:spacing w:after="0" w:line="8"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20"/>
          <w:szCs w:val="20"/>
          <w:color w:val="auto"/>
        </w:rPr>
        <w:t>CONSOLIDATED STATEMENTS OF OPERATIONS</w:t>
      </w:r>
    </w:p>
    <w:p>
      <w:pPr>
        <w:spacing w:after="0" w:line="20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0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Year Ended December 31</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0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 except per sllare amounts)</w:t>
            </w:r>
          </w:p>
        </w:tc>
        <w:tc>
          <w:tcPr>
            <w:tcW w:w="660" w:type="dxa"/>
            <w:vAlign w:val="bottom"/>
            <w:tcBorders>
              <w:bottom w:val="single" w:sz="8" w:color="3C3C3C"/>
            </w:tcBorders>
          </w:tcPr>
          <w:p>
            <w:pPr>
              <w:spacing w:after="0"/>
              <w:rPr>
                <w:sz w:val="2"/>
                <w:szCs w:val="2"/>
                <w:color w:val="auto"/>
              </w:rPr>
            </w:pPr>
          </w:p>
        </w:tc>
        <w:tc>
          <w:tcPr>
            <w:tcW w:w="240" w:type="dxa"/>
            <w:vAlign w:val="bottom"/>
            <w:tcBorders>
              <w:bottom w:val="single" w:sz="8" w:color="3C3C3C"/>
            </w:tcBorders>
          </w:tcPr>
          <w:p>
            <w:pPr>
              <w:spacing w:after="0"/>
              <w:rPr>
                <w:sz w:val="2"/>
                <w:szCs w:val="2"/>
                <w:color w:val="auto"/>
              </w:rPr>
            </w:pPr>
          </w:p>
        </w:tc>
        <w:tc>
          <w:tcPr>
            <w:tcW w:w="200" w:type="dxa"/>
            <w:vAlign w:val="bottom"/>
            <w:tcBorders>
              <w:bottom w:val="single" w:sz="8" w:color="3C3C3C"/>
            </w:tcBorders>
          </w:tcPr>
          <w:p>
            <w:pPr>
              <w:spacing w:after="0"/>
              <w:rPr>
                <w:sz w:val="2"/>
                <w:szCs w:val="2"/>
                <w:color w:val="auto"/>
              </w:rPr>
            </w:pPr>
          </w:p>
        </w:tc>
        <w:tc>
          <w:tcPr>
            <w:tcW w:w="920" w:type="dxa"/>
            <w:vAlign w:val="bottom"/>
            <w:tcBorders>
              <w:bottom w:val="single" w:sz="8" w:color="3C3C3C"/>
            </w:tcBorders>
          </w:tcPr>
          <w:p>
            <w:pPr>
              <w:spacing w:after="0"/>
              <w:rPr>
                <w:sz w:val="2"/>
                <w:szCs w:val="2"/>
                <w:color w:val="auto"/>
              </w:rPr>
            </w:pPr>
          </w:p>
        </w:tc>
        <w:tc>
          <w:tcPr>
            <w:tcW w:w="180" w:type="dxa"/>
            <w:vAlign w:val="bottom"/>
            <w:tcBorders>
              <w:bottom w:val="single" w:sz="8" w:color="3C3C3C"/>
            </w:tcBorders>
          </w:tcPr>
          <w:p>
            <w:pPr>
              <w:spacing w:after="0"/>
              <w:rPr>
                <w:sz w:val="2"/>
                <w:szCs w:val="2"/>
                <w:color w:val="auto"/>
              </w:rPr>
            </w:pPr>
          </w:p>
        </w:tc>
        <w:tc>
          <w:tcPr>
            <w:tcW w:w="260" w:type="dxa"/>
            <w:vAlign w:val="bottom"/>
            <w:tcBorders>
              <w:bottom w:val="single" w:sz="8" w:color="3C3C3C"/>
            </w:tcBorders>
          </w:tcPr>
          <w:p>
            <w:pPr>
              <w:spacing w:after="0"/>
              <w:rPr>
                <w:sz w:val="2"/>
                <w:szCs w:val="2"/>
                <w:color w:val="auto"/>
              </w:rPr>
            </w:pPr>
          </w:p>
        </w:tc>
        <w:tc>
          <w:tcPr>
            <w:tcW w:w="640" w:type="dxa"/>
            <w:vAlign w:val="bottom"/>
            <w:tcBorders>
              <w:bottom w:val="single" w:sz="8" w:color="3C3C3C"/>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020" w:type="dxa"/>
            <w:vAlign w:val="bottom"/>
            <w:vMerge w:val="continue"/>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2024</w:t>
            </w:r>
          </w:p>
        </w:tc>
        <w:tc>
          <w:tcPr>
            <w:tcW w:w="1360" w:type="dxa"/>
            <w:vAlign w:val="bottom"/>
            <w:gridSpan w:val="3"/>
          </w:tcPr>
          <w:p>
            <w:pPr>
              <w:jc w:val="right"/>
              <w:ind w:right="320"/>
              <w:spacing w:after="0"/>
              <w:rPr>
                <w:sz w:val="20"/>
                <w:szCs w:val="20"/>
                <w:color w:val="auto"/>
              </w:rPr>
            </w:pPr>
            <w:r>
              <w:rPr>
                <w:rFonts w:ascii="Times New Roman" w:cs="Times New Roman" w:eastAsia="Times New Roman" w:hAnsi="Times New Roman"/>
                <w:sz w:val="15"/>
                <w:szCs w:val="15"/>
                <w:color w:val="auto"/>
              </w:rPr>
              <w:t>2023</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0" w:type="dxa"/>
            <w:vAlign w:val="bottom"/>
          </w:tcPr>
          <w:p>
            <w:pPr>
              <w:jc w:val="right"/>
              <w:ind w:right="224"/>
              <w:spacing w:after="0"/>
              <w:rPr>
                <w:sz w:val="20"/>
                <w:szCs w:val="20"/>
                <w:color w:val="auto"/>
              </w:rPr>
            </w:pPr>
            <w:r>
              <w:rPr>
                <w:rFonts w:ascii="Times New Roman" w:cs="Times New Roman" w:eastAsia="Times New Roman" w:hAnsi="Times New Roman"/>
                <w:sz w:val="15"/>
                <w:szCs w:val="15"/>
                <w:color w:val="auto"/>
              </w:rPr>
              <w:t>2022</w:t>
            </w:r>
          </w:p>
        </w:tc>
        <w:tc>
          <w:tcPr>
            <w:tcW w:w="0" w:type="dxa"/>
            <w:vAlign w:val="bottom"/>
          </w:tcPr>
          <w:p>
            <w:pPr>
              <w:spacing w:after="0"/>
              <w:rPr>
                <w:sz w:val="1"/>
                <w:szCs w:val="1"/>
                <w:color w:val="auto"/>
              </w:rPr>
            </w:pPr>
          </w:p>
        </w:tc>
      </w:tr>
      <w:tr>
        <w:trPr>
          <w:trHeight w:val="33"/>
        </w:trPr>
        <w:tc>
          <w:tcPr>
            <w:tcW w:w="6020" w:type="dxa"/>
            <w:vAlign w:val="bottom"/>
          </w:tcPr>
          <w:p>
            <w:pPr>
              <w:spacing w:after="0"/>
              <w:rPr>
                <w:sz w:val="2"/>
                <w:szCs w:val="2"/>
                <w:color w:val="auto"/>
              </w:rPr>
            </w:pPr>
          </w:p>
        </w:tc>
        <w:tc>
          <w:tcPr>
            <w:tcW w:w="660" w:type="dxa"/>
            <w:vAlign w:val="bottom"/>
            <w:tcBorders>
              <w:bottom w:val="single" w:sz="8" w:color="141414"/>
            </w:tcBorders>
          </w:tcPr>
          <w:p>
            <w:pPr>
              <w:spacing w:after="0"/>
              <w:rPr>
                <w:sz w:val="2"/>
                <w:szCs w:val="2"/>
                <w:color w:val="auto"/>
              </w:rPr>
            </w:pPr>
          </w:p>
        </w:tc>
        <w:tc>
          <w:tcPr>
            <w:tcW w:w="240" w:type="dxa"/>
            <w:vAlign w:val="bottom"/>
            <w:tcBorders>
              <w:bottom w:val="single" w:sz="8" w:color="141414"/>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141414"/>
            </w:tcBorders>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Borders>
              <w:bottom w:val="single" w:sz="8" w:color="181818"/>
            </w:tcBorders>
          </w:tcPr>
          <w:p>
            <w:pPr>
              <w:spacing w:after="0"/>
              <w:rPr>
                <w:sz w:val="2"/>
                <w:szCs w:val="2"/>
                <w:color w:val="auto"/>
              </w:rPr>
            </w:pPr>
          </w:p>
        </w:tc>
        <w:tc>
          <w:tcPr>
            <w:tcW w:w="640" w:type="dxa"/>
            <w:vAlign w:val="bottom"/>
            <w:tcBorders>
              <w:bottom w:val="single" w:sz="8" w:color="181818"/>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Operating Revenues</w:t>
      </w:r>
    </w:p>
    <w:p>
      <w:pPr>
        <w:spacing w:after="0" w:line="8" w:lineRule="exact"/>
        <w:rPr>
          <w:sz w:val="20"/>
          <w:szCs w:val="20"/>
          <w:color w:val="auto"/>
        </w:rPr>
      </w:pPr>
    </w:p>
    <w:tbl>
      <w:tblPr>
        <w:tblLayout w:type="fixed"/>
        <w:tblInd w:w="120" w:type="dxa"/>
        <w:tblCellMar>
          <w:top w:w="0" w:type="dxa"/>
          <w:left w:w="0" w:type="dxa"/>
          <w:bottom w:w="0" w:type="dxa"/>
          <w:right w:w="0" w:type="dxa"/>
        </w:tblCellMar>
      </w:tblPr>
      <w:tr>
        <w:trPr>
          <w:trHeight w:val="22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Sales of services  .......................................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w w:val="83"/>
              </w:rPr>
              <w:t>$</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2,697,314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2,484,327</w:t>
            </w:r>
          </w:p>
        </w:tc>
        <w:tc>
          <w:tcPr>
            <w:tcW w:w="1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2,328,869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Sales of goods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2,093,590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1,930,550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1,595,624</w:t>
            </w:r>
          </w:p>
        </w:tc>
        <w:tc>
          <w:tcPr>
            <w:tcW w:w="0" w:type="dxa"/>
            <w:vAlign w:val="bottom"/>
          </w:tcPr>
          <w:p>
            <w:pPr>
              <w:spacing w:after="0"/>
              <w:rPr>
                <w:sz w:val="1"/>
                <w:szCs w:val="1"/>
                <w:color w:val="auto"/>
              </w:rPr>
            </w:pPr>
          </w:p>
        </w:tc>
      </w:tr>
      <w:tr>
        <w:trPr>
          <w:trHeight w:val="27"/>
        </w:trPr>
        <w:tc>
          <w:tcPr>
            <w:tcW w:w="6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40" w:type="dxa"/>
            <w:vAlign w:val="bottom"/>
            <w:tcBorders>
              <w:bottom w:val="single" w:sz="8" w:color="504C4C"/>
            </w:tcBorders>
          </w:tcPr>
          <w:p>
            <w:pPr>
              <w:spacing w:after="0"/>
              <w:rPr>
                <w:sz w:val="2"/>
                <w:szCs w:val="2"/>
                <w:color w:val="auto"/>
              </w:rPr>
            </w:pPr>
          </w:p>
        </w:tc>
        <w:tc>
          <w:tcPr>
            <w:tcW w:w="76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60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4,790,904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4,414,877</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3,924,493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Operating Costs and Expenses</w:t>
            </w: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40" w:type="dxa"/>
            <w:vAlign w:val="bottom"/>
            <w:tcBorders>
              <w:bottom w:val="single" w:sz="8" w:color="504C4C"/>
            </w:tcBorders>
          </w:tcPr>
          <w:p>
            <w:pPr>
              <w:spacing w:after="0"/>
              <w:rPr>
                <w:sz w:val="2"/>
                <w:szCs w:val="2"/>
                <w:color w:val="auto"/>
              </w:rPr>
            </w:pPr>
          </w:p>
        </w:tc>
        <w:tc>
          <w:tcPr>
            <w:tcW w:w="76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0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Cost of services sold (exclusive of items shown below)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1,558,639</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1,468,114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1,346,519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Cost of goods sold (exclusive of items shown below)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1,765,899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1,634,820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1,311,199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Selling, general and administrative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1,076,875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w w:val="98"/>
              </w:rPr>
              <w:t>1,007,38ll</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921 ,739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Depreciation of property, plant and equipment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87,046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86,064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73,297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Amortization of intangible assets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37,119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50,039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58,851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Impairment of goodwill and other long-lived assets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49,822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99,066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128,990</w:t>
            </w:r>
          </w:p>
        </w:tc>
        <w:tc>
          <w:tcPr>
            <w:tcW w:w="0" w:type="dxa"/>
            <w:vAlign w:val="bottom"/>
          </w:tcPr>
          <w:p>
            <w:pPr>
              <w:spacing w:after="0"/>
              <w:rPr>
                <w:sz w:val="1"/>
                <w:szCs w:val="1"/>
                <w:color w:val="auto"/>
              </w:rPr>
            </w:pPr>
          </w:p>
        </w:tc>
      </w:tr>
      <w:tr>
        <w:trPr>
          <w:trHeight w:val="36"/>
        </w:trPr>
        <w:tc>
          <w:tcPr>
            <w:tcW w:w="60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40" w:type="dxa"/>
            <w:vAlign w:val="bottom"/>
            <w:tcBorders>
              <w:bottom w:val="single" w:sz="8" w:color="0C0808"/>
            </w:tcBorders>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82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80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4,575,400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4,345,484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3,840,595</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0"/>
        </w:trPr>
        <w:tc>
          <w:tcPr>
            <w:tcW w:w="6000" w:type="dxa"/>
            <w:vAlign w:val="bottom"/>
            <w:vMerge w:val="restart"/>
          </w:tcPr>
          <w:p>
            <w:pPr>
              <w:jc w:val="right"/>
              <w:ind w:right="83"/>
              <w:spacing w:after="0"/>
              <w:rPr>
                <w:sz w:val="20"/>
                <w:szCs w:val="20"/>
                <w:color w:val="auto"/>
              </w:rPr>
            </w:pPr>
            <w:r>
              <w:rPr>
                <w:rFonts w:ascii="Times New Roman" w:cs="Times New Roman" w:eastAsia="Times New Roman" w:hAnsi="Times New Roman"/>
                <w:sz w:val="20"/>
                <w:szCs w:val="20"/>
                <w:color w:val="auto"/>
              </w:rPr>
              <w:t>Income from Operations .................................... .</w:t>
            </w: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40" w:type="dxa"/>
            <w:vAlign w:val="bottom"/>
            <w:tcBorders>
              <w:bottom w:val="single" w:sz="8" w:color="0C0808"/>
            </w:tcBorders>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82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80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0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215,504</w:t>
            </w: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69,393</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83,898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Equity in losses of affiliates, net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(3,303)</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(5,183)</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(2,837)</w:t>
            </w: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Interest income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9,868</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7,122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3,226</w:t>
            </w: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Interest expense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(186,149)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(63,30 [)</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(54,403)</w:t>
            </w: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Non-operating pension and postretirement benefit income, net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794,949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133,8 12</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197,939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Gain (loss) on marketable equity securities, net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181,295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138,067</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(139,589)</w:t>
            </w:r>
          </w:p>
        </w:tc>
        <w:tc>
          <w:tcPr>
            <w:tcW w:w="0" w:type="dxa"/>
            <w:vAlign w:val="bottom"/>
          </w:tcPr>
          <w:p>
            <w:pPr>
              <w:spacing w:after="0"/>
              <w:rPr>
                <w:sz w:val="1"/>
                <w:szCs w:val="1"/>
                <w:color w:val="auto"/>
              </w:rPr>
            </w:pPr>
          </w:p>
        </w:tc>
      </w:tr>
      <w:tr>
        <w:trPr>
          <w:trHeight w:val="24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Other income, net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12,546</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19,094</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33,500</w:t>
            </w:r>
          </w:p>
        </w:tc>
        <w:tc>
          <w:tcPr>
            <w:tcW w:w="0" w:type="dxa"/>
            <w:vAlign w:val="bottom"/>
          </w:tcPr>
          <w:p>
            <w:pPr>
              <w:spacing w:after="0"/>
              <w:rPr>
                <w:sz w:val="1"/>
                <w:szCs w:val="1"/>
                <w:color w:val="auto"/>
              </w:rPr>
            </w:pPr>
          </w:p>
        </w:tc>
      </w:tr>
      <w:tr>
        <w:trPr>
          <w:trHeight w:val="36"/>
        </w:trPr>
        <w:tc>
          <w:tcPr>
            <w:tcW w:w="6000" w:type="dxa"/>
            <w:vAlign w:val="bottom"/>
            <w:vMerge w:val="restart"/>
          </w:tcPr>
          <w:p>
            <w:pPr>
              <w:jc w:val="right"/>
              <w:ind w:right="83"/>
              <w:spacing w:after="0"/>
              <w:rPr>
                <w:sz w:val="20"/>
                <w:szCs w:val="20"/>
                <w:color w:val="auto"/>
              </w:rPr>
            </w:pPr>
            <w:r>
              <w:rPr>
                <w:rFonts w:ascii="Times New Roman" w:cs="Times New Roman" w:eastAsia="Times New Roman" w:hAnsi="Times New Roman"/>
                <w:sz w:val="20"/>
                <w:szCs w:val="20"/>
                <w:color w:val="auto"/>
              </w:rPr>
              <w:t>Income Before Income Taxes ................................ .</w:t>
            </w: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800" w:type="dxa"/>
            <w:vAlign w:val="bottom"/>
            <w:tcBorders>
              <w:bottom w:val="single" w:sz="8" w:color="0C0808"/>
            </w:tcBorders>
            <w:gridSpan w:val="2"/>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82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80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60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1,024,710</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299,004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121 ,734</w:t>
            </w:r>
          </w:p>
        </w:tc>
        <w:tc>
          <w:tcPr>
            <w:tcW w:w="0" w:type="dxa"/>
            <w:vAlign w:val="bottom"/>
          </w:tcPr>
          <w:p>
            <w:pPr>
              <w:spacing w:after="0"/>
              <w:rPr>
                <w:sz w:val="1"/>
                <w:szCs w:val="1"/>
                <w:color w:val="auto"/>
              </w:rPr>
            </w:pPr>
          </w:p>
        </w:tc>
      </w:tr>
      <w:tr>
        <w:trPr>
          <w:trHeight w:val="246"/>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Provision for Income Taxes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292,100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87,300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51 ,300</w:t>
            </w:r>
          </w:p>
        </w:tc>
        <w:tc>
          <w:tcPr>
            <w:tcW w:w="0" w:type="dxa"/>
            <w:vAlign w:val="bottom"/>
          </w:tcPr>
          <w:p>
            <w:pPr>
              <w:spacing w:after="0"/>
              <w:rPr>
                <w:sz w:val="1"/>
                <w:szCs w:val="1"/>
                <w:color w:val="auto"/>
              </w:rPr>
            </w:pPr>
          </w:p>
        </w:tc>
      </w:tr>
      <w:tr>
        <w:trPr>
          <w:trHeight w:val="27"/>
        </w:trPr>
        <w:tc>
          <w:tcPr>
            <w:tcW w:w="6000" w:type="dxa"/>
            <w:vAlign w:val="bottom"/>
            <w:vMerge w:val="restart"/>
          </w:tcPr>
          <w:p>
            <w:pPr>
              <w:jc w:val="right"/>
              <w:ind w:right="83"/>
              <w:spacing w:after="0"/>
              <w:rPr>
                <w:sz w:val="20"/>
                <w:szCs w:val="20"/>
                <w:color w:val="auto"/>
              </w:rPr>
            </w:pPr>
            <w:r>
              <w:rPr>
                <w:rFonts w:ascii="Times New Roman" w:cs="Times New Roman" w:eastAsia="Times New Roman" w:hAnsi="Times New Roman"/>
                <w:sz w:val="20"/>
                <w:szCs w:val="20"/>
                <w:color w:val="auto"/>
              </w:rPr>
              <w:t>Net Income ..... .. ........................................ .</w:t>
            </w: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40" w:type="dxa"/>
            <w:vAlign w:val="bottom"/>
            <w:tcBorders>
              <w:bottom w:val="single" w:sz="8" w:color="504C4C"/>
            </w:tcBorders>
          </w:tcPr>
          <w:p>
            <w:pPr>
              <w:spacing w:after="0"/>
              <w:rPr>
                <w:sz w:val="2"/>
                <w:szCs w:val="2"/>
                <w:color w:val="auto"/>
              </w:rPr>
            </w:pPr>
          </w:p>
        </w:tc>
        <w:tc>
          <w:tcPr>
            <w:tcW w:w="76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00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732,610</w:t>
            </w: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2 11 ,704</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70,434</w:t>
            </w:r>
          </w:p>
        </w:tc>
        <w:tc>
          <w:tcPr>
            <w:tcW w:w="0" w:type="dxa"/>
            <w:vAlign w:val="bottom"/>
          </w:tcPr>
          <w:p>
            <w:pPr>
              <w:spacing w:after="0"/>
              <w:rPr>
                <w:sz w:val="1"/>
                <w:szCs w:val="1"/>
                <w:color w:val="auto"/>
              </w:rPr>
            </w:pPr>
          </w:p>
        </w:tc>
      </w:tr>
      <w:tr>
        <w:trPr>
          <w:trHeight w:val="23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Net Income Attributable to Noncontrolling Interests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9"/>
                <w:szCs w:val="19"/>
                <w:color w:val="auto"/>
              </w:rPr>
              <w:t>(7,976)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(6,4 16)</w:t>
            </w: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(3,355)</w:t>
            </w:r>
          </w:p>
        </w:tc>
        <w:tc>
          <w:tcPr>
            <w:tcW w:w="0" w:type="dxa"/>
            <w:vAlign w:val="bottom"/>
          </w:tcPr>
          <w:p>
            <w:pPr>
              <w:spacing w:after="0"/>
              <w:rPr>
                <w:sz w:val="1"/>
                <w:szCs w:val="1"/>
                <w:color w:val="auto"/>
              </w:rPr>
            </w:pPr>
          </w:p>
        </w:tc>
      </w:tr>
      <w:tr>
        <w:trPr>
          <w:trHeight w:val="34"/>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Net Income Attributable to Graham Holdings Company Common</w:t>
            </w: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40" w:type="dxa"/>
            <w:vAlign w:val="bottom"/>
            <w:tcBorders>
              <w:bottom w:val="single" w:sz="8" w:color="504C4C"/>
            </w:tcBorders>
          </w:tcPr>
          <w:p>
            <w:pPr>
              <w:spacing w:after="0"/>
              <w:rPr>
                <w:sz w:val="2"/>
                <w:szCs w:val="2"/>
                <w:color w:val="auto"/>
              </w:rPr>
            </w:pPr>
          </w:p>
        </w:tc>
        <w:tc>
          <w:tcPr>
            <w:tcW w:w="76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0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8"/>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20"/>
                <w:szCs w:val="20"/>
                <w:color w:val="auto"/>
              </w:rPr>
              <w:t>Stockholders ............................................ .</w:t>
            </w: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w w:val="83"/>
              </w:rPr>
              <w:t>$</w:t>
            </w:r>
          </w:p>
        </w:tc>
        <w:tc>
          <w:tcPr>
            <w:tcW w:w="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724,634</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205,288</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67,079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60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Per Share Information Attributable to Graham Holdings Company</w:t>
            </w:r>
          </w:p>
        </w:tc>
        <w:tc>
          <w:tcPr>
            <w:tcW w:w="20" w:type="dxa"/>
            <w:vAlign w:val="bottom"/>
            <w:tcBorders>
              <w:bottom w:val="single" w:sz="8" w:color="0C0808"/>
            </w:tcBorders>
          </w:tcPr>
          <w:p>
            <w:pPr>
              <w:spacing w:after="0"/>
              <w:rPr>
                <w:sz w:val="2"/>
                <w:szCs w:val="2"/>
                <w:color w:val="auto"/>
              </w:rPr>
            </w:pPr>
          </w:p>
        </w:tc>
        <w:tc>
          <w:tcPr>
            <w:tcW w:w="100" w:type="dxa"/>
            <w:vAlign w:val="bottom"/>
            <w:tcBorders>
              <w:bottom w:val="single" w:sz="8" w:color="0C0808"/>
            </w:tcBorders>
          </w:tcPr>
          <w:p>
            <w:pPr>
              <w:spacing w:after="0"/>
              <w:rPr>
                <w:sz w:val="2"/>
                <w:szCs w:val="2"/>
                <w:color w:val="auto"/>
              </w:rPr>
            </w:pPr>
          </w:p>
        </w:tc>
        <w:tc>
          <w:tcPr>
            <w:tcW w:w="40" w:type="dxa"/>
            <w:vAlign w:val="bottom"/>
            <w:tcBorders>
              <w:bottom w:val="single" w:sz="8" w:color="0C0808"/>
            </w:tcBorders>
          </w:tcPr>
          <w:p>
            <w:pPr>
              <w:spacing w:after="0"/>
              <w:rPr>
                <w:sz w:val="2"/>
                <w:szCs w:val="2"/>
                <w:color w:val="auto"/>
              </w:rPr>
            </w:pPr>
          </w:p>
        </w:tc>
        <w:tc>
          <w:tcPr>
            <w:tcW w:w="760" w:type="dxa"/>
            <w:vAlign w:val="bottom"/>
            <w:tcBorders>
              <w:bottom w:val="single" w:sz="8" w:color="0C0808"/>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Borders>
              <w:bottom w:val="single" w:sz="8" w:color="0C0808"/>
            </w:tcBorders>
          </w:tcPr>
          <w:p>
            <w:pPr>
              <w:spacing w:after="0"/>
              <w:rPr>
                <w:sz w:val="2"/>
                <w:szCs w:val="2"/>
                <w:color w:val="auto"/>
              </w:rPr>
            </w:pPr>
          </w:p>
        </w:tc>
        <w:tc>
          <w:tcPr>
            <w:tcW w:w="820" w:type="dxa"/>
            <w:vAlign w:val="bottom"/>
            <w:tcBorders>
              <w:bottom w:val="single" w:sz="8" w:color="0C0808"/>
            </w:tcBorders>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C080C"/>
            </w:tcBorders>
          </w:tcPr>
          <w:p>
            <w:pPr>
              <w:spacing w:after="0"/>
              <w:rPr>
                <w:sz w:val="2"/>
                <w:szCs w:val="2"/>
                <w:color w:val="auto"/>
              </w:rPr>
            </w:pPr>
          </w:p>
        </w:tc>
        <w:tc>
          <w:tcPr>
            <w:tcW w:w="800" w:type="dxa"/>
            <w:vAlign w:val="bottom"/>
            <w:tcBorders>
              <w:bottom w:val="single" w:sz="8" w:color="0C080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98"/>
        </w:trPr>
        <w:tc>
          <w:tcPr>
            <w:tcW w:w="600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000" w:type="dxa"/>
            <w:vAlign w:val="bottom"/>
          </w:tcPr>
          <w:p>
            <w:pPr>
              <w:jc w:val="right"/>
              <w:ind w:right="3763"/>
              <w:spacing w:after="0"/>
              <w:rPr>
                <w:sz w:val="20"/>
                <w:szCs w:val="20"/>
                <w:color w:val="auto"/>
              </w:rPr>
            </w:pPr>
            <w:r>
              <w:rPr>
                <w:rFonts w:ascii="Times New Roman" w:cs="Times New Roman" w:eastAsia="Times New Roman" w:hAnsi="Times New Roman"/>
                <w:sz w:val="20"/>
                <w:szCs w:val="20"/>
                <w:color w:val="auto"/>
              </w:rPr>
              <w:t>Common Stockholders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Basic net income per common share . . . . . . . . . . . . . . . . . . . . . . . . . . . . .</w:t>
            </w:r>
          </w:p>
        </w:tc>
        <w:tc>
          <w:tcPr>
            <w:tcW w:w="160" w:type="dxa"/>
            <w:vAlign w:val="bottom"/>
            <w:gridSpan w:val="3"/>
          </w:tcPr>
          <w:p>
            <w:pPr>
              <w:ind w:left="20"/>
              <w:spacing w:after="0" w:line="240" w:lineRule="exact"/>
              <w:rPr>
                <w:sz w:val="20"/>
                <w:szCs w:val="20"/>
                <w:color w:val="auto"/>
              </w:rPr>
            </w:pPr>
            <w:r>
              <w:rPr>
                <w:rFonts w:ascii="Times New Roman" w:cs="Times New Roman" w:eastAsia="Times New Roman" w:hAnsi="Times New Roman"/>
                <w:sz w:val="21"/>
                <w:szCs w:val="2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164.62</w:t>
            </w:r>
          </w:p>
        </w:tc>
        <w:tc>
          <w:tcPr>
            <w:tcW w:w="140" w:type="dxa"/>
            <w:vAlign w:val="bottom"/>
          </w:tcPr>
          <w:p>
            <w:pPr>
              <w:spacing w:after="0"/>
              <w:rPr>
                <w:sz w:val="20"/>
                <w:szCs w:val="20"/>
                <w:color w:val="auto"/>
              </w:rPr>
            </w:pP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43.96</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Basic average number of common shares outstanding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4,372</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4,639</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4,823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Diluted net income per common share  . . . . . . . . . . . . . . . . . . . . . . . . . . .</w:t>
            </w:r>
          </w:p>
        </w:tc>
        <w:tc>
          <w:tcPr>
            <w:tcW w:w="120" w:type="dxa"/>
            <w:vAlign w:val="bottom"/>
            <w:gridSpan w:val="2"/>
          </w:tcPr>
          <w:p>
            <w:pPr>
              <w:ind w:left="20"/>
              <w:spacing w:after="0"/>
              <w:rPr>
                <w:sz w:val="20"/>
                <w:szCs w:val="20"/>
                <w:color w:val="auto"/>
              </w:rPr>
            </w:pPr>
            <w:r>
              <w:rPr>
                <w:rFonts w:ascii="Arial" w:cs="Arial" w:eastAsia="Arial" w:hAnsi="Arial"/>
                <w:sz w:val="17"/>
                <w:szCs w:val="17"/>
                <w:color w:val="auto"/>
                <w:w w:val="84"/>
              </w:rPr>
              <w:t>$</w:t>
            </w:r>
          </w:p>
        </w:tc>
        <w:tc>
          <w:tcPr>
            <w:tcW w:w="40" w:type="dxa"/>
            <w:vAlign w:val="bottom"/>
          </w:tcPr>
          <w:p>
            <w:pPr>
              <w:spacing w:after="0"/>
              <w:rPr>
                <w:sz w:val="20"/>
                <w:szCs w:val="20"/>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163.40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43.82</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000" w:type="dxa"/>
            <w:vAlign w:val="bottom"/>
          </w:tcPr>
          <w:p>
            <w:pPr>
              <w:jc w:val="right"/>
              <w:ind w:right="83"/>
              <w:spacing w:after="0"/>
              <w:rPr>
                <w:sz w:val="20"/>
                <w:szCs w:val="20"/>
                <w:color w:val="auto"/>
              </w:rPr>
            </w:pPr>
            <w:r>
              <w:rPr>
                <w:rFonts w:ascii="Times New Roman" w:cs="Times New Roman" w:eastAsia="Times New Roman" w:hAnsi="Times New Roman"/>
                <w:sz w:val="19"/>
                <w:szCs w:val="19"/>
                <w:color w:val="auto"/>
              </w:rPr>
              <w:t>Diluted average number of common shares outstanding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4,405</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4,654</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4,836</w:t>
            </w:r>
          </w:p>
        </w:tc>
        <w:tc>
          <w:tcPr>
            <w:tcW w:w="0" w:type="dxa"/>
            <w:vAlign w:val="bottom"/>
          </w:tcPr>
          <w:p>
            <w:pPr>
              <w:spacing w:after="0"/>
              <w:rPr>
                <w:sz w:val="1"/>
                <w:szCs w:val="1"/>
                <w:color w:val="auto"/>
              </w:rPr>
            </w:pPr>
          </w:p>
        </w:tc>
      </w:tr>
    </w:tbl>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2240" w:h="15850" w:orient="portrait"/>
          <w:cols w:equalWidth="0" w:num="1">
            <w:col w:w="9365"/>
          </w:cols>
          <w:pgMar w:left="1440" w:top="137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19"/>
          <w:szCs w:val="19"/>
          <w:color w:val="auto"/>
        </w:rPr>
        <w:t>88</w:t>
        <w:tab/>
        <w:t>2024 FORM 10-K</w:t>
      </w:r>
    </w:p>
    <w:p>
      <w:pPr>
        <w:sectPr>
          <w:pgSz w:w="12240" w:h="15850" w:orient="portrait"/>
          <w:cols w:equalWidth="0" w:num="1">
            <w:col w:w="9365"/>
          </w:cols>
          <w:pgMar w:left="1440" w:top="1375" w:right="1440" w:bottom="721" w:gutter="0" w:footer="0" w:header="0"/>
          <w:type w:val="continuous"/>
        </w:sectPr>
      </w:pPr>
    </w:p>
    <w:bookmarkStart w:id="104" w:name="page105"/>
    <w:bookmarkEnd w:id="104"/>
    <w:p>
      <w:pPr>
        <w:jc w:val="center"/>
        <w:ind w:right="5"/>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HOLDINGS COMPANY</w:t>
      </w:r>
    </w:p>
    <w:p>
      <w:pPr>
        <w:spacing w:after="0" w:line="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CONSOLIDATED STATEMENTS OF COMPREHENSIVE INCOME (LOSS)</w:t>
      </w: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40" w:type="dxa"/>
            <w:vAlign w:val="bottom"/>
            <w:gridSpan w:val="11"/>
          </w:tcPr>
          <w:p>
            <w:pPr>
              <w:jc w:val="right"/>
              <w:ind w:right="560"/>
              <w:spacing w:after="0"/>
              <w:rPr>
                <w:sz w:val="20"/>
                <w:szCs w:val="20"/>
                <w:color w:val="auto"/>
              </w:rPr>
            </w:pPr>
            <w:r>
              <w:rPr>
                <w:rFonts w:ascii="Arial" w:cs="Arial" w:eastAsia="Arial" w:hAnsi="Arial"/>
                <w:sz w:val="15"/>
                <w:szCs w:val="15"/>
                <w:color w:val="auto"/>
              </w:rPr>
              <w:t>Year Ended December 31</w:t>
            </w:r>
          </w:p>
        </w:tc>
        <w:tc>
          <w:tcPr>
            <w:tcW w:w="0" w:type="dxa"/>
            <w:vAlign w:val="bottom"/>
          </w:tcPr>
          <w:p>
            <w:pPr>
              <w:spacing w:after="0"/>
              <w:rPr>
                <w:sz w:val="1"/>
                <w:szCs w:val="1"/>
                <w:color w:val="auto"/>
              </w:rPr>
            </w:pPr>
          </w:p>
        </w:tc>
      </w:tr>
      <w:tr>
        <w:trPr>
          <w:trHeight w:val="34"/>
        </w:trPr>
        <w:tc>
          <w:tcPr>
            <w:tcW w:w="6300" w:type="dxa"/>
            <w:vAlign w:val="bottom"/>
          </w:tcPr>
          <w:p>
            <w:pPr>
              <w:spacing w:after="0"/>
              <w:rPr>
                <w:sz w:val="2"/>
                <w:szCs w:val="2"/>
                <w:color w:val="auto"/>
              </w:rPr>
            </w:pPr>
          </w:p>
        </w:tc>
        <w:tc>
          <w:tcPr>
            <w:tcW w:w="86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300" w:type="dxa"/>
            <w:vAlign w:val="bottom"/>
          </w:tcPr>
          <w:p>
            <w:pPr>
              <w:spacing w:after="0"/>
              <w:rPr>
                <w:sz w:val="20"/>
                <w:szCs w:val="20"/>
                <w:color w:val="auto"/>
              </w:rPr>
            </w:pPr>
            <w:r>
              <w:rPr>
                <w:rFonts w:ascii="Arial" w:cs="Arial" w:eastAsia="Arial" w:hAnsi="Arial"/>
                <w:sz w:val="15"/>
                <w:szCs w:val="15"/>
                <w:color w:val="auto"/>
              </w:rPr>
              <w:t>(in thousands)</w:t>
            </w:r>
          </w:p>
        </w:tc>
        <w:tc>
          <w:tcPr>
            <w:tcW w:w="40" w:type="dxa"/>
            <w:vAlign w:val="bottom"/>
          </w:tcPr>
          <w:p>
            <w:pPr>
              <w:spacing w:after="0"/>
              <w:rPr>
                <w:sz w:val="16"/>
                <w:szCs w:val="16"/>
                <w:color w:val="auto"/>
              </w:rPr>
            </w:pPr>
          </w:p>
        </w:tc>
        <w:tc>
          <w:tcPr>
            <w:tcW w:w="820" w:type="dxa"/>
            <w:vAlign w:val="bottom"/>
            <w:tcBorders>
              <w:top w:val="single" w:sz="8" w:color="3C3C3C"/>
            </w:tcBorders>
          </w:tcPr>
          <w:p>
            <w:pPr>
              <w:jc w:val="right"/>
              <w:ind w:right="162"/>
              <w:spacing w:after="0" w:line="180" w:lineRule="exact"/>
              <w:rPr>
                <w:sz w:val="20"/>
                <w:szCs w:val="20"/>
                <w:color w:val="auto"/>
              </w:rPr>
            </w:pPr>
            <w:r>
              <w:rPr>
                <w:rFonts w:ascii="Times New Roman" w:cs="Times New Roman" w:eastAsia="Times New Roman" w:hAnsi="Times New Roman"/>
                <w:sz w:val="16"/>
                <w:szCs w:val="16"/>
                <w:color w:val="auto"/>
              </w:rPr>
              <w:t>2024</w:t>
            </w:r>
          </w:p>
        </w:tc>
        <w:tc>
          <w:tcPr>
            <w:tcW w:w="20" w:type="dxa"/>
            <w:vAlign w:val="bottom"/>
            <w:tcBorders>
              <w:top w:val="single" w:sz="8" w:color="3C3C3C"/>
            </w:tcBorders>
          </w:tcPr>
          <w:p>
            <w:pPr>
              <w:spacing w:after="0"/>
              <w:rPr>
                <w:sz w:val="16"/>
                <w:szCs w:val="16"/>
                <w:color w:val="auto"/>
              </w:rPr>
            </w:pPr>
          </w:p>
        </w:tc>
        <w:tc>
          <w:tcPr>
            <w:tcW w:w="160" w:type="dxa"/>
            <w:vAlign w:val="bottom"/>
            <w:tcBorders>
              <w:top w:val="single" w:sz="8" w:color="3C3C3C"/>
            </w:tcBorders>
          </w:tcPr>
          <w:p>
            <w:pPr>
              <w:spacing w:after="0"/>
              <w:rPr>
                <w:sz w:val="16"/>
                <w:szCs w:val="16"/>
                <w:color w:val="auto"/>
              </w:rPr>
            </w:pPr>
          </w:p>
        </w:tc>
        <w:tc>
          <w:tcPr>
            <w:tcW w:w="760" w:type="dxa"/>
            <w:vAlign w:val="bottom"/>
            <w:tcBorders>
              <w:top w:val="single" w:sz="8" w:color="3C3C3C"/>
            </w:tcBorders>
            <w:gridSpan w:val="2"/>
          </w:tcPr>
          <w:p>
            <w:pPr>
              <w:jc w:val="right"/>
              <w:ind w:right="200"/>
              <w:spacing w:after="0" w:line="180" w:lineRule="exact"/>
              <w:rPr>
                <w:sz w:val="20"/>
                <w:szCs w:val="20"/>
                <w:color w:val="auto"/>
              </w:rPr>
            </w:pPr>
            <w:r>
              <w:rPr>
                <w:rFonts w:ascii="Times New Roman" w:cs="Times New Roman" w:eastAsia="Times New Roman" w:hAnsi="Times New Roman"/>
                <w:sz w:val="16"/>
                <w:szCs w:val="16"/>
                <w:color w:val="auto"/>
              </w:rPr>
              <w:t>2023</w:t>
            </w:r>
          </w:p>
        </w:tc>
        <w:tc>
          <w:tcPr>
            <w:tcW w:w="20" w:type="dxa"/>
            <w:vAlign w:val="bottom"/>
            <w:tcBorders>
              <w:top w:val="single" w:sz="8" w:color="3C3C3C"/>
            </w:tcBorders>
          </w:tcPr>
          <w:p>
            <w:pPr>
              <w:spacing w:after="0"/>
              <w:rPr>
                <w:sz w:val="16"/>
                <w:szCs w:val="16"/>
                <w:color w:val="auto"/>
              </w:rPr>
            </w:pPr>
          </w:p>
        </w:tc>
        <w:tc>
          <w:tcPr>
            <w:tcW w:w="180" w:type="dxa"/>
            <w:vAlign w:val="bottom"/>
            <w:tcBorders>
              <w:top w:val="single" w:sz="8" w:color="3C3C3C"/>
            </w:tcBorders>
          </w:tcPr>
          <w:p>
            <w:pPr>
              <w:spacing w:after="0"/>
              <w:rPr>
                <w:sz w:val="16"/>
                <w:szCs w:val="16"/>
                <w:color w:val="auto"/>
              </w:rPr>
            </w:pPr>
          </w:p>
        </w:tc>
        <w:tc>
          <w:tcPr>
            <w:tcW w:w="20" w:type="dxa"/>
            <w:vAlign w:val="bottom"/>
            <w:tcBorders>
              <w:top w:val="single" w:sz="8" w:color="3C3C3C"/>
            </w:tcBorders>
          </w:tcPr>
          <w:p>
            <w:pPr>
              <w:spacing w:after="0"/>
              <w:rPr>
                <w:sz w:val="16"/>
                <w:szCs w:val="16"/>
                <w:color w:val="auto"/>
              </w:rPr>
            </w:pPr>
          </w:p>
        </w:tc>
        <w:tc>
          <w:tcPr>
            <w:tcW w:w="80" w:type="dxa"/>
            <w:vAlign w:val="bottom"/>
            <w:tcBorders>
              <w:top w:val="single" w:sz="8" w:color="3C3C3C"/>
            </w:tcBorders>
          </w:tcPr>
          <w:p>
            <w:pPr>
              <w:spacing w:after="0"/>
              <w:rPr>
                <w:sz w:val="16"/>
                <w:szCs w:val="16"/>
                <w:color w:val="auto"/>
              </w:rPr>
            </w:pPr>
          </w:p>
        </w:tc>
        <w:tc>
          <w:tcPr>
            <w:tcW w:w="720" w:type="dxa"/>
            <w:vAlign w:val="bottom"/>
            <w:tcBorders>
              <w:top w:val="single" w:sz="8" w:color="3C3C3C"/>
            </w:tcBorders>
          </w:tcPr>
          <w:p>
            <w:pPr>
              <w:jc w:val="right"/>
              <w:ind w:right="145"/>
              <w:spacing w:after="0" w:line="180" w:lineRule="exact"/>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1"/>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Net Income</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$ 732,610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99"/>
              </w:rPr>
              <w:t>$211 ,704</w:t>
            </w:r>
          </w:p>
        </w:tc>
        <w:tc>
          <w:tcPr>
            <w:tcW w:w="1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70,434</w:t>
            </w:r>
          </w:p>
        </w:tc>
        <w:tc>
          <w:tcPr>
            <w:tcW w:w="0" w:type="dxa"/>
            <w:vAlign w:val="bottom"/>
          </w:tcPr>
          <w:p>
            <w:pPr>
              <w:spacing w:after="0"/>
              <w:rPr>
                <w:sz w:val="1"/>
                <w:szCs w:val="1"/>
                <w:color w:val="auto"/>
              </w:rPr>
            </w:pPr>
          </w:p>
        </w:tc>
      </w:tr>
      <w:tr>
        <w:trPr>
          <w:trHeight w:val="353"/>
        </w:trPr>
        <w:tc>
          <w:tcPr>
            <w:tcW w:w="6300" w:type="dxa"/>
            <w:vAlign w:val="bottom"/>
          </w:tcPr>
          <w:p>
            <w:pPr>
              <w:spacing w:after="0"/>
              <w:rPr>
                <w:sz w:val="20"/>
                <w:szCs w:val="20"/>
                <w:color w:val="auto"/>
              </w:rPr>
            </w:pPr>
            <w:r>
              <w:rPr>
                <w:rFonts w:ascii="Times New Roman" w:cs="Times New Roman" w:eastAsia="Times New Roman" w:hAnsi="Times New Roman"/>
                <w:sz w:val="20"/>
                <w:szCs w:val="20"/>
                <w:color w:val="auto"/>
              </w:rPr>
              <w:t>Other Comprehensive (Loss) Income, Before Tax</w:t>
            </w:r>
          </w:p>
        </w:tc>
        <w:tc>
          <w:tcPr>
            <w:tcW w:w="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Translation adjustments arising during the year  ....... . ...... .</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(24,568)</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21,927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(48,340)</w:t>
            </w:r>
          </w:p>
        </w:tc>
        <w:tc>
          <w:tcPr>
            <w:tcW w:w="0" w:type="dxa"/>
            <w:vAlign w:val="bottom"/>
          </w:tcPr>
          <w:p>
            <w:pPr>
              <w:spacing w:after="0"/>
              <w:rPr>
                <w:sz w:val="1"/>
                <w:szCs w:val="1"/>
                <w:color w:val="auto"/>
              </w:rPr>
            </w:pPr>
          </w:p>
        </w:tc>
      </w:tr>
      <w:tr>
        <w:trPr>
          <w:trHeight w:val="23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Adjustment for sale of a business with foreign operations  . ..... .</w:t>
            </w:r>
          </w:p>
        </w:tc>
        <w:tc>
          <w:tcPr>
            <w:tcW w:w="104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(765)</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bottom w:val="single" w:sz="8" w:color="0C080C"/>
            </w:tcBorders>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2"/>
                <w:szCs w:val="22"/>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7"/>
                <w:szCs w:val="17"/>
                <w:color w:val="auto"/>
              </w:rPr>
              <w:t>(25,333)</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21,927</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(48,340)</w:t>
            </w:r>
          </w:p>
        </w:tc>
        <w:tc>
          <w:tcPr>
            <w:tcW w:w="0" w:type="dxa"/>
            <w:vAlign w:val="bottom"/>
          </w:tcPr>
          <w:p>
            <w:pPr>
              <w:spacing w:after="0"/>
              <w:rPr>
                <w:sz w:val="1"/>
                <w:szCs w:val="1"/>
                <w:color w:val="auto"/>
              </w:rPr>
            </w:pPr>
          </w:p>
        </w:tc>
      </w:tr>
      <w:tr>
        <w:trPr>
          <w:trHeight w:val="248"/>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Pension and other postretirement plans:</w:t>
            </w:r>
          </w:p>
        </w:tc>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Actuarial gain (loss)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351,322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380,593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(727,097)</w:t>
            </w:r>
          </w:p>
        </w:tc>
        <w:tc>
          <w:tcPr>
            <w:tcW w:w="0" w:type="dxa"/>
            <w:vAlign w:val="bottom"/>
          </w:tcPr>
          <w:p>
            <w:pPr>
              <w:spacing w:after="0"/>
              <w:rPr>
                <w:sz w:val="1"/>
                <w:szCs w:val="1"/>
                <w:color w:val="auto"/>
              </w:rPr>
            </w:pPr>
          </w:p>
        </w:tc>
      </w:tr>
      <w:tr>
        <w:trPr>
          <w:trHeight w:val="23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Prior service credit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734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11,263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Amortization of net actuarial gain included in net income .. .... .</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(39,742)</w:t>
            </w: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(42, 146)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(70,833)</w:t>
            </w:r>
          </w:p>
        </w:tc>
        <w:tc>
          <w:tcPr>
            <w:tcW w:w="0" w:type="dxa"/>
            <w:vAlign w:val="bottom"/>
          </w:tcPr>
          <w:p>
            <w:pPr>
              <w:spacing w:after="0"/>
              <w:rPr>
                <w:sz w:val="1"/>
                <w:szCs w:val="1"/>
                <w:color w:val="auto"/>
              </w:rPr>
            </w:pPr>
          </w:p>
        </w:tc>
      </w:tr>
      <w:tr>
        <w:trPr>
          <w:trHeight w:val="238"/>
        </w:trPr>
        <w:tc>
          <w:tcPr>
            <w:tcW w:w="6300" w:type="dxa"/>
            <w:vAlign w:val="bottom"/>
          </w:tcPr>
          <w:p>
            <w:pPr>
              <w:jc w:val="right"/>
              <w:ind w:right="503"/>
              <w:spacing w:after="0"/>
              <w:rPr>
                <w:sz w:val="20"/>
                <w:szCs w:val="20"/>
                <w:color w:val="auto"/>
              </w:rPr>
            </w:pPr>
            <w:r>
              <w:rPr>
                <w:rFonts w:ascii="Times New Roman" w:cs="Times New Roman" w:eastAsia="Times New Roman" w:hAnsi="Times New Roman"/>
                <w:sz w:val="19"/>
                <w:szCs w:val="19"/>
                <w:color w:val="auto"/>
              </w:rPr>
              <w:t>Amortization of net prior service (credit) cost included in net</w:t>
            </w:r>
          </w:p>
        </w:tc>
        <w:tc>
          <w:tcPr>
            <w:tcW w:w="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income  .. . .. .. . .. . ....... . . . ... .. . . . .... . .... . .. .. . .</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(1,951)</w:t>
            </w:r>
          </w:p>
        </w:tc>
        <w:tc>
          <w:tcPr>
            <w:tcW w:w="960" w:type="dxa"/>
            <w:vAlign w:val="bottom"/>
            <w:gridSpan w:val="4"/>
          </w:tcPr>
          <w:p>
            <w:pPr>
              <w:jc w:val="right"/>
              <w:ind w:right="180"/>
              <w:spacing w:after="0"/>
              <w:rPr>
                <w:sz w:val="20"/>
                <w:szCs w:val="20"/>
                <w:color w:val="auto"/>
              </w:rPr>
            </w:pPr>
            <w:r>
              <w:rPr>
                <w:rFonts w:ascii="Times New Roman" w:cs="Times New Roman" w:eastAsia="Times New Roman" w:hAnsi="Times New Roman"/>
                <w:sz w:val="19"/>
                <w:szCs w:val="19"/>
                <w:color w:val="auto"/>
              </w:rPr>
              <w:t>1,641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2,864</w:t>
            </w:r>
          </w:p>
        </w:tc>
        <w:tc>
          <w:tcPr>
            <w:tcW w:w="0" w:type="dxa"/>
            <w:vAlign w:val="bottom"/>
          </w:tcPr>
          <w:p>
            <w:pPr>
              <w:spacing w:after="0"/>
              <w:rPr>
                <w:sz w:val="1"/>
                <w:szCs w:val="1"/>
                <w:color w:val="auto"/>
              </w:rPr>
            </w:pPr>
          </w:p>
        </w:tc>
      </w:tr>
      <w:tr>
        <w:trPr>
          <w:trHeight w:val="24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Settlement included in net income  . ...... . .... . . .. ... ..... .</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(653,427)</w:t>
            </w: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(1,087)</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Borders>
              <w:bottom w:val="single" w:sz="8" w:color="0C080C"/>
            </w:tcBorders>
          </w:tcPr>
          <w:p>
            <w:pPr>
              <w:spacing w:after="0"/>
              <w:rPr>
                <w:sz w:val="3"/>
                <w:szCs w:val="3"/>
                <w:color w:val="auto"/>
              </w:rPr>
            </w:pPr>
          </w:p>
        </w:tc>
        <w:tc>
          <w:tcPr>
            <w:tcW w:w="1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C0808"/>
            </w:tcBorders>
            <w:gridSpan w:val="2"/>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2"/>
                <w:szCs w:val="22"/>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(343,064)</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350,264</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(795,066)</w:t>
            </w:r>
          </w:p>
        </w:tc>
        <w:tc>
          <w:tcPr>
            <w:tcW w:w="0" w:type="dxa"/>
            <w:vAlign w:val="bottom"/>
          </w:tcPr>
          <w:p>
            <w:pPr>
              <w:spacing w:after="0"/>
              <w:rPr>
                <w:sz w:val="1"/>
                <w:szCs w:val="1"/>
                <w:color w:val="auto"/>
              </w:rPr>
            </w:pPr>
          </w:p>
        </w:tc>
      </w:tr>
      <w:tr>
        <w:trPr>
          <w:trHeight w:val="24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Cash flow hedges gain (loss)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1,392</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(5,630)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00" w:type="dxa"/>
            <w:vAlign w:val="bottom"/>
            <w:vMerge w:val="restart"/>
          </w:tcPr>
          <w:p>
            <w:pPr>
              <w:jc w:val="right"/>
              <w:ind w:right="63"/>
              <w:spacing w:after="0"/>
              <w:rPr>
                <w:sz w:val="20"/>
                <w:szCs w:val="20"/>
                <w:color w:val="auto"/>
              </w:rPr>
            </w:pPr>
            <w:r>
              <w:rPr>
                <w:rFonts w:ascii="Times New Roman" w:cs="Times New Roman" w:eastAsia="Times New Roman" w:hAnsi="Times New Roman"/>
                <w:sz w:val="20"/>
                <w:szCs w:val="20"/>
                <w:color w:val="auto"/>
              </w:rPr>
              <w:t>Other Comprehensive (Loss) Income, Before Tax .. . . .............. .</w:t>
            </w:r>
          </w:p>
        </w:tc>
        <w:tc>
          <w:tcPr>
            <w:tcW w:w="40" w:type="dxa"/>
            <w:vAlign w:val="bottom"/>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300" w:type="dxa"/>
            <w:vAlign w:val="bottom"/>
            <w:vMerge w:val="continue"/>
          </w:tcPr>
          <w:p>
            <w:pPr>
              <w:spacing w:after="0"/>
              <w:rPr>
                <w:sz w:val="24"/>
                <w:szCs w:val="24"/>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(367,005)</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366,561</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(838,641)</w:t>
            </w: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Income tax benefit (expense) related to items of other comprehensive</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4"/>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22"/>
                <w:szCs w:val="22"/>
                <w:color w:val="auto"/>
              </w:rPr>
              <w:t>(loss) income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87,465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(88;375)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203;404</w:t>
            </w:r>
          </w:p>
        </w:tc>
        <w:tc>
          <w:tcPr>
            <w:tcW w:w="0" w:type="dxa"/>
            <w:vAlign w:val="bottom"/>
          </w:tcPr>
          <w:p>
            <w:pPr>
              <w:spacing w:after="0"/>
              <w:rPr>
                <w:sz w:val="1"/>
                <w:szCs w:val="1"/>
                <w:color w:val="auto"/>
              </w:rPr>
            </w:pPr>
          </w:p>
        </w:tc>
      </w:tr>
      <w:tr>
        <w:trPr>
          <w:trHeight w:val="30"/>
        </w:trPr>
        <w:tc>
          <w:tcPr>
            <w:tcW w:w="6300" w:type="dxa"/>
            <w:vAlign w:val="bottom"/>
            <w:vMerge w:val="restart"/>
          </w:tcPr>
          <w:p>
            <w:pPr>
              <w:jc w:val="right"/>
              <w:ind w:right="63"/>
              <w:spacing w:after="0"/>
              <w:rPr>
                <w:sz w:val="20"/>
                <w:szCs w:val="20"/>
                <w:color w:val="auto"/>
              </w:rPr>
            </w:pPr>
            <w:r>
              <w:rPr>
                <w:rFonts w:ascii="Times New Roman" w:cs="Times New Roman" w:eastAsia="Times New Roman" w:hAnsi="Times New Roman"/>
                <w:sz w:val="20"/>
                <w:szCs w:val="20"/>
                <w:color w:val="auto"/>
              </w:rPr>
              <w:t>Other Comprehensive (Loss) Income, Net of Tax  .. .. ...... . ....... .</w:t>
            </w:r>
          </w:p>
        </w:tc>
        <w:tc>
          <w:tcPr>
            <w:tcW w:w="40" w:type="dxa"/>
            <w:vAlign w:val="bottom"/>
          </w:tcPr>
          <w:p>
            <w:pPr>
              <w:spacing w:after="0"/>
              <w:rPr>
                <w:sz w:val="2"/>
                <w:szCs w:val="2"/>
                <w:color w:val="auto"/>
              </w:rPr>
            </w:pPr>
          </w:p>
        </w:tc>
        <w:tc>
          <w:tcPr>
            <w:tcW w:w="820" w:type="dxa"/>
            <w:vAlign w:val="bottom"/>
            <w:tcBorders>
              <w:bottom w:val="single" w:sz="8" w:color="0C080C"/>
            </w:tcBorders>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0C0808"/>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0C0808"/>
            </w:tcBorders>
          </w:tcPr>
          <w:p>
            <w:pPr>
              <w:spacing w:after="0"/>
              <w:rPr>
                <w:sz w:val="2"/>
                <w:szCs w:val="2"/>
                <w:color w:val="auto"/>
              </w:rPr>
            </w:pPr>
          </w:p>
        </w:tc>
        <w:tc>
          <w:tcPr>
            <w:tcW w:w="720" w:type="dxa"/>
            <w:vAlign w:val="bottom"/>
            <w:tcBorders>
              <w:bottom w:val="single" w:sz="8" w:color="0C0808"/>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300" w:type="dxa"/>
            <w:vAlign w:val="bottom"/>
            <w:vMerge w:val="continue"/>
          </w:tcPr>
          <w:p>
            <w:pPr>
              <w:spacing w:after="0"/>
              <w:rPr>
                <w:sz w:val="22"/>
                <w:szCs w:val="22"/>
                <w:color w:val="auto"/>
              </w:rPr>
            </w:pP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(279,540)</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278, 186</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(635,237)</w:t>
            </w:r>
          </w:p>
        </w:tc>
        <w:tc>
          <w:tcPr>
            <w:tcW w:w="0" w:type="dxa"/>
            <w:vAlign w:val="bottom"/>
          </w:tcPr>
          <w:p>
            <w:pPr>
              <w:spacing w:after="0"/>
              <w:rPr>
                <w:sz w:val="1"/>
                <w:szCs w:val="1"/>
                <w:color w:val="auto"/>
              </w:rPr>
            </w:pPr>
          </w:p>
        </w:tc>
      </w:tr>
      <w:tr>
        <w:trPr>
          <w:trHeight w:val="32"/>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Comprehensive Income (Loss)</w:t>
            </w:r>
          </w:p>
        </w:tc>
        <w:tc>
          <w:tcPr>
            <w:tcW w:w="40" w:type="dxa"/>
            <w:vAlign w:val="bottom"/>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504C4C"/>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6300" w:type="dxa"/>
            <w:vAlign w:val="bottom"/>
            <w:vMerge w:val="continue"/>
          </w:tcPr>
          <w:p>
            <w:pPr>
              <w:spacing w:after="0"/>
              <w:rPr>
                <w:sz w:val="23"/>
                <w:szCs w:val="23"/>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453,070</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489,890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(564,803)</w:t>
            </w:r>
          </w:p>
        </w:tc>
        <w:tc>
          <w:tcPr>
            <w:tcW w:w="0" w:type="dxa"/>
            <w:vAlign w:val="bottom"/>
          </w:tcPr>
          <w:p>
            <w:pPr>
              <w:spacing w:after="0"/>
              <w:rPr>
                <w:sz w:val="1"/>
                <w:szCs w:val="1"/>
                <w:color w:val="auto"/>
              </w:rPr>
            </w:pPr>
          </w:p>
        </w:tc>
      </w:tr>
      <w:tr>
        <w:trPr>
          <w:trHeight w:val="234"/>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Comprehensive income attributable to noncontrolling interests ...... .</w:t>
            </w:r>
          </w:p>
        </w:tc>
        <w:tc>
          <w:tcPr>
            <w:tcW w:w="104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(7,976)</w:t>
            </w:r>
          </w:p>
        </w:tc>
        <w:tc>
          <w:tcPr>
            <w:tcW w:w="960" w:type="dxa"/>
            <w:vAlign w:val="bottom"/>
            <w:gridSpan w:val="4"/>
          </w:tcPr>
          <w:p>
            <w:pPr>
              <w:jc w:val="right"/>
              <w:ind w:right="140"/>
              <w:spacing w:after="0"/>
              <w:rPr>
                <w:sz w:val="20"/>
                <w:szCs w:val="20"/>
                <w:color w:val="auto"/>
              </w:rPr>
            </w:pPr>
            <w:r>
              <w:rPr>
                <w:rFonts w:ascii="Times New Roman" w:cs="Times New Roman" w:eastAsia="Times New Roman" w:hAnsi="Times New Roman"/>
                <w:sz w:val="19"/>
                <w:szCs w:val="19"/>
                <w:color w:val="auto"/>
              </w:rPr>
              <w:t>(6,416)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(3,355)</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Total Comprehensive Income (Loss) Attributable to Graham Holdings</w:t>
            </w:r>
          </w:p>
        </w:tc>
        <w:tc>
          <w:tcPr>
            <w:tcW w:w="40" w:type="dxa"/>
            <w:vAlign w:val="bottom"/>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3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6300" w:type="dxa"/>
            <w:vAlign w:val="bottom"/>
          </w:tcPr>
          <w:p>
            <w:pPr>
              <w:jc w:val="right"/>
              <w:ind w:right="63"/>
              <w:spacing w:after="0"/>
              <w:rPr>
                <w:sz w:val="20"/>
                <w:szCs w:val="20"/>
                <w:color w:val="auto"/>
              </w:rPr>
            </w:pPr>
            <w:r>
              <w:rPr>
                <w:rFonts w:ascii="Times New Roman" w:cs="Times New Roman" w:eastAsia="Times New Roman" w:hAnsi="Times New Roman"/>
                <w:sz w:val="20"/>
                <w:szCs w:val="20"/>
                <w:color w:val="auto"/>
              </w:rPr>
              <w:t>Company .. . . .. ... . . ....... . ..... .. ..... .. . . . . . .. . ......... .</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$ 445,094</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$483,474</w:t>
            </w:r>
          </w:p>
        </w:tc>
        <w:tc>
          <w:tcPr>
            <w:tcW w:w="1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5"/>
              </w:rPr>
              <w:t>(568, 158)</w:t>
            </w:r>
          </w:p>
        </w:tc>
        <w:tc>
          <w:tcPr>
            <w:tcW w:w="0" w:type="dxa"/>
            <w:vAlign w:val="bottom"/>
          </w:tcPr>
          <w:p>
            <w:pPr>
              <w:spacing w:after="0"/>
              <w:rPr>
                <w:sz w:val="1"/>
                <w:szCs w:val="1"/>
                <w:color w:val="auto"/>
              </w:rPr>
            </w:pPr>
          </w:p>
        </w:tc>
      </w:tr>
      <w:tr>
        <w:trPr>
          <w:trHeight w:val="46"/>
        </w:trPr>
        <w:tc>
          <w:tcPr>
            <w:tcW w:w="6300" w:type="dxa"/>
            <w:vAlign w:val="bottom"/>
          </w:tcPr>
          <w:p>
            <w:pPr>
              <w:spacing w:after="0"/>
              <w:rPr>
                <w:sz w:val="3"/>
                <w:szCs w:val="3"/>
                <w:color w:val="auto"/>
              </w:rPr>
            </w:pPr>
          </w:p>
        </w:tc>
        <w:tc>
          <w:tcPr>
            <w:tcW w:w="40" w:type="dxa"/>
            <w:vAlign w:val="bottom"/>
            <w:tcBorders>
              <w:bottom w:val="single" w:sz="8" w:color="504C4C"/>
            </w:tcBorders>
          </w:tcPr>
          <w:p>
            <w:pPr>
              <w:spacing w:after="0"/>
              <w:rPr>
                <w:sz w:val="3"/>
                <w:szCs w:val="3"/>
                <w:color w:val="auto"/>
              </w:rPr>
            </w:pPr>
          </w:p>
        </w:tc>
        <w:tc>
          <w:tcPr>
            <w:tcW w:w="82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2240" w:h="15850" w:orient="portrait"/>
          <w:cols w:equalWidth="0" w:num="1">
            <w:col w:w="9365"/>
          </w:cols>
          <w:pgMar w:left="1440" w:top="1377"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89</w:t>
      </w:r>
    </w:p>
    <w:p>
      <w:pPr>
        <w:sectPr>
          <w:pgSz w:w="12240" w:h="15850" w:orient="portrait"/>
          <w:cols w:equalWidth="0" w:num="1">
            <w:col w:w="9365"/>
          </w:cols>
          <w:pgMar w:left="1440" w:top="1377" w:right="1440" w:bottom="721" w:gutter="0" w:footer="0" w:header="0"/>
          <w:type w:val="continuous"/>
        </w:sectPr>
      </w:pPr>
    </w:p>
    <w:bookmarkStart w:id="105" w:name="page106"/>
    <w:bookmarkEnd w:id="105"/>
    <w:p>
      <w:pPr>
        <w:jc w:val="center"/>
        <w:ind w:right="5"/>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HOLDINGS COMPANY</w:t>
      </w:r>
    </w:p>
    <w:p>
      <w:pPr>
        <w:spacing w:after="0" w:line="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CONSOLIDATED BALANCE SHEETS</w:t>
      </w:r>
    </w:p>
    <w:p>
      <w:pPr>
        <w:spacing w:after="0" w:line="21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1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6"/>
          </w:tcPr>
          <w:p>
            <w:pPr>
              <w:jc w:val="right"/>
              <w:ind w:right="380"/>
              <w:spacing w:after="0"/>
              <w:rPr>
                <w:sz w:val="20"/>
                <w:szCs w:val="20"/>
                <w:color w:val="auto"/>
              </w:rPr>
            </w:pPr>
            <w:r>
              <w:rPr>
                <w:rFonts w:ascii="Times New Roman" w:cs="Times New Roman" w:eastAsia="Times New Roman" w:hAnsi="Times New Roman"/>
                <w:sz w:val="16"/>
                <w:szCs w:val="16"/>
                <w:color w:val="auto"/>
              </w:rPr>
              <w:t>As of Decembe r 31</w:t>
            </w:r>
          </w:p>
        </w:tc>
        <w:tc>
          <w:tcPr>
            <w:tcW w:w="0" w:type="dxa"/>
            <w:vAlign w:val="bottom"/>
          </w:tcPr>
          <w:p>
            <w:pPr>
              <w:spacing w:after="0"/>
              <w:rPr>
                <w:sz w:val="1"/>
                <w:szCs w:val="1"/>
                <w:color w:val="auto"/>
              </w:rPr>
            </w:pPr>
          </w:p>
        </w:tc>
      </w:tr>
      <w:tr>
        <w:trPr>
          <w:trHeight w:val="41"/>
        </w:trPr>
        <w:tc>
          <w:tcPr>
            <w:tcW w:w="51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 except s ha re a mounts)</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2C2828"/>
            </w:tcBorders>
          </w:tcPr>
          <w:p>
            <w:pPr>
              <w:spacing w:after="0"/>
              <w:rPr>
                <w:sz w:val="3"/>
                <w:szCs w:val="3"/>
                <w:color w:val="auto"/>
              </w:rPr>
            </w:pPr>
          </w:p>
        </w:tc>
        <w:tc>
          <w:tcPr>
            <w:tcW w:w="780" w:type="dxa"/>
            <w:vAlign w:val="bottom"/>
            <w:tcBorders>
              <w:bottom w:val="single" w:sz="8" w:color="2C2828"/>
            </w:tcBorders>
          </w:tcPr>
          <w:p>
            <w:pPr>
              <w:spacing w:after="0"/>
              <w:rPr>
                <w:sz w:val="3"/>
                <w:szCs w:val="3"/>
                <w:color w:val="auto"/>
              </w:rPr>
            </w:pPr>
          </w:p>
        </w:tc>
        <w:tc>
          <w:tcPr>
            <w:tcW w:w="180" w:type="dxa"/>
            <w:vAlign w:val="bottom"/>
            <w:tcBorders>
              <w:bottom w:val="single" w:sz="8" w:color="2C2828"/>
            </w:tcBorders>
          </w:tcPr>
          <w:p>
            <w:pPr>
              <w:spacing w:after="0"/>
              <w:rPr>
                <w:sz w:val="3"/>
                <w:szCs w:val="3"/>
                <w:color w:val="auto"/>
              </w:rPr>
            </w:pPr>
          </w:p>
        </w:tc>
        <w:tc>
          <w:tcPr>
            <w:tcW w:w="20" w:type="dxa"/>
            <w:vAlign w:val="bottom"/>
            <w:tcBorders>
              <w:bottom w:val="single" w:sz="8" w:color="2C2828"/>
            </w:tcBorders>
          </w:tcPr>
          <w:p>
            <w:pPr>
              <w:spacing w:after="0"/>
              <w:rPr>
                <w:sz w:val="3"/>
                <w:szCs w:val="3"/>
                <w:color w:val="auto"/>
              </w:rPr>
            </w:pPr>
          </w:p>
        </w:tc>
        <w:tc>
          <w:tcPr>
            <w:tcW w:w="80" w:type="dxa"/>
            <w:vAlign w:val="bottom"/>
            <w:tcBorders>
              <w:bottom w:val="single" w:sz="8" w:color="2C2828"/>
            </w:tcBorders>
          </w:tcPr>
          <w:p>
            <w:pPr>
              <w:spacing w:after="0"/>
              <w:rPr>
                <w:sz w:val="3"/>
                <w:szCs w:val="3"/>
                <w:color w:val="auto"/>
              </w:rPr>
            </w:pPr>
          </w:p>
        </w:tc>
        <w:tc>
          <w:tcPr>
            <w:tcW w:w="780" w:type="dxa"/>
            <w:vAlign w:val="bottom"/>
            <w:tcBorders>
              <w:bottom w:val="single" w:sz="8" w:color="2C282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14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212"/>
              <w:spacing w:after="0"/>
              <w:rPr>
                <w:sz w:val="20"/>
                <w:szCs w:val="20"/>
                <w:color w:val="auto"/>
              </w:rPr>
            </w:pPr>
            <w:r>
              <w:rPr>
                <w:rFonts w:ascii="Times New Roman" w:cs="Times New Roman" w:eastAsia="Times New Roman" w:hAnsi="Times New Roman"/>
                <w:sz w:val="15"/>
                <w:szCs w:val="15"/>
                <w:color w:val="auto"/>
              </w:rPr>
              <w:t>2024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ind w:right="192"/>
              <w:spacing w:after="0"/>
              <w:rPr>
                <w:sz w:val="20"/>
                <w:szCs w:val="20"/>
                <w:color w:val="auto"/>
              </w:rPr>
            </w:pPr>
            <w:r>
              <w:rPr>
                <w:rFonts w:ascii="Times New Roman" w:cs="Times New Roman" w:eastAsia="Times New Roman" w:hAnsi="Times New Roman"/>
                <w:sz w:val="15"/>
                <w:szCs w:val="15"/>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Assets</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4"/>
        </w:trPr>
        <w:tc>
          <w:tcPr>
            <w:tcW w:w="514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Cash and cash equivalents  ..................... . ....... . ...... . . . . .... .. . . ... .</w:t>
            </w:r>
          </w:p>
        </w:tc>
        <w:tc>
          <w:tcPr>
            <w:tcW w:w="1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260,852</w:t>
            </w:r>
          </w:p>
        </w:tc>
        <w:tc>
          <w:tcPr>
            <w:tcW w:w="180" w:type="dxa"/>
            <w:vAlign w:val="bottom"/>
          </w:tcPr>
          <w:p>
            <w:pPr>
              <w:spacing w:after="0"/>
              <w:rPr>
                <w:sz w:val="14"/>
                <w:szCs w:val="14"/>
                <w:color w:val="auto"/>
              </w:rPr>
            </w:pPr>
          </w:p>
        </w:tc>
        <w:tc>
          <w:tcPr>
            <w:tcW w:w="10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169,897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360"/>
              <w:spacing w:after="0" w:line="172" w:lineRule="exact"/>
              <w:rPr>
                <w:sz w:val="20"/>
                <w:szCs w:val="20"/>
                <w:color w:val="auto"/>
              </w:rPr>
            </w:pPr>
            <w:r>
              <w:rPr>
                <w:rFonts w:ascii="Times New Roman" w:cs="Times New Roman" w:eastAsia="Times New Roman" w:hAnsi="Times New Roman"/>
                <w:sz w:val="18"/>
                <w:szCs w:val="18"/>
                <w:color w:val="auto"/>
              </w:rPr>
              <w:t>Restricted cash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37,001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3 1,994</w:t>
            </w:r>
          </w:p>
        </w:tc>
        <w:tc>
          <w:tcPr>
            <w:tcW w:w="0" w:type="dxa"/>
            <w:vAlign w:val="bottom"/>
          </w:tcPr>
          <w:p>
            <w:pPr>
              <w:spacing w:after="0"/>
              <w:rPr>
                <w:sz w:val="1"/>
                <w:szCs w:val="1"/>
                <w:color w:val="auto"/>
              </w:rPr>
            </w:pPr>
          </w:p>
        </w:tc>
      </w:tr>
      <w:tr>
        <w:trPr>
          <w:trHeight w:val="162"/>
        </w:trPr>
        <w:tc>
          <w:tcPr>
            <w:tcW w:w="5140" w:type="dxa"/>
            <w:vAlign w:val="bottom"/>
          </w:tcPr>
          <w:p>
            <w:pPr>
              <w:ind w:left="360"/>
              <w:spacing w:after="0" w:line="162" w:lineRule="exact"/>
              <w:rPr>
                <w:sz w:val="20"/>
                <w:szCs w:val="20"/>
                <w:color w:val="auto"/>
              </w:rPr>
            </w:pPr>
            <w:r>
              <w:rPr>
                <w:rFonts w:ascii="Times New Roman" w:cs="Times New Roman" w:eastAsia="Times New Roman" w:hAnsi="Times New Roman"/>
                <w:sz w:val="18"/>
                <w:szCs w:val="18"/>
                <w:color w:val="auto"/>
              </w:rPr>
              <w:t>Investments in marketable equity securities and other investments</w:t>
            </w:r>
          </w:p>
        </w:tc>
        <w:tc>
          <w:tcPr>
            <w:tcW w:w="2040" w:type="dxa"/>
            <w:vAlign w:val="bottom"/>
          </w:tcPr>
          <w:p>
            <w:pPr>
              <w:jc w:val="right"/>
              <w:ind w:right="114"/>
              <w:spacing w:after="0" w:line="162" w:lineRule="exact"/>
              <w:rPr>
                <w:sz w:val="20"/>
                <w:szCs w:val="20"/>
                <w:color w:val="auto"/>
              </w:rPr>
            </w:pPr>
            <w:r>
              <w:rPr>
                <w:rFonts w:ascii="Times New Roman" w:cs="Times New Roman" w:eastAsia="Times New Roman" w:hAnsi="Times New Roman"/>
                <w:sz w:val="18"/>
                <w:szCs w:val="18"/>
                <w:color w:val="auto"/>
              </w:rPr>
              <w:t>..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858,743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697,028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7180" w:type="dxa"/>
            <w:vAlign w:val="bottom"/>
            <w:gridSpan w:val="2"/>
          </w:tcPr>
          <w:p>
            <w:pPr>
              <w:ind w:left="360"/>
              <w:spacing w:after="0" w:line="180" w:lineRule="exact"/>
              <w:rPr>
                <w:sz w:val="20"/>
                <w:szCs w:val="20"/>
                <w:color w:val="auto"/>
              </w:rPr>
            </w:pPr>
            <w:r>
              <w:rPr>
                <w:rFonts w:ascii="Times New Roman" w:cs="Times New Roman" w:eastAsia="Times New Roman" w:hAnsi="Times New Roman"/>
                <w:sz w:val="18"/>
                <w:szCs w:val="18"/>
                <w:color w:val="auto"/>
              </w:rPr>
              <w:t>Accounts receivable, net  . ..... . ..... .... ... .. . .. .... . . .... . . . .... . . . . ..... . .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514,426</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0" w:lineRule="exact"/>
              <w:rPr>
                <w:sz w:val="20"/>
                <w:szCs w:val="20"/>
                <w:color w:val="auto"/>
              </w:rPr>
            </w:pPr>
            <w:r>
              <w:rPr>
                <w:rFonts w:ascii="Times New Roman" w:cs="Times New Roman" w:eastAsia="Times New Roman" w:hAnsi="Times New Roman"/>
                <w:sz w:val="18"/>
                <w:szCs w:val="18"/>
                <w:color w:val="auto"/>
              </w:rPr>
              <w:t>525,087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4"/>
        </w:trPr>
        <w:tc>
          <w:tcPr>
            <w:tcW w:w="7180" w:type="dxa"/>
            <w:vAlign w:val="bottom"/>
            <w:gridSpan w:val="2"/>
          </w:tcPr>
          <w:p>
            <w:pPr>
              <w:ind w:left="360"/>
              <w:spacing w:after="0" w:line="164" w:lineRule="exact"/>
              <w:rPr>
                <w:sz w:val="20"/>
                <w:szCs w:val="20"/>
                <w:color w:val="auto"/>
              </w:rPr>
            </w:pPr>
            <w:r>
              <w:rPr>
                <w:rFonts w:ascii="Times New Roman" w:cs="Times New Roman" w:eastAsia="Times New Roman" w:hAnsi="Times New Roman"/>
                <w:sz w:val="18"/>
                <w:szCs w:val="18"/>
                <w:color w:val="auto"/>
              </w:rPr>
              <w:t>Inventories and contracts in progress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295,808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100"/>
              <w:spacing w:after="0" w:line="164" w:lineRule="exact"/>
              <w:rPr>
                <w:sz w:val="20"/>
                <w:szCs w:val="20"/>
                <w:color w:val="auto"/>
              </w:rPr>
            </w:pPr>
            <w:r>
              <w:rPr>
                <w:rFonts w:ascii="Times New Roman" w:cs="Times New Roman" w:eastAsia="Times New Roman" w:hAnsi="Times New Roman"/>
                <w:sz w:val="18"/>
                <w:szCs w:val="18"/>
                <w:color w:val="auto"/>
              </w:rPr>
              <w:t xml:space="preserve">297,21 </w:t>
            </w:r>
            <w:r>
              <w:rPr>
                <w:rFonts w:ascii="Arial" w:cs="Arial" w:eastAsia="Arial" w:hAnsi="Arial"/>
                <w:sz w:val="17"/>
                <w:szCs w:val="17"/>
                <w:color w:val="auto"/>
              </w:rPr>
              <w:t>I</w:t>
            </w:r>
          </w:p>
        </w:tc>
        <w:tc>
          <w:tcPr>
            <w:tcW w:w="0" w:type="dxa"/>
            <w:vAlign w:val="bottom"/>
          </w:tcPr>
          <w:p>
            <w:pPr>
              <w:spacing w:after="0"/>
              <w:rPr>
                <w:sz w:val="1"/>
                <w:szCs w:val="1"/>
                <w:color w:val="auto"/>
              </w:rPr>
            </w:pPr>
          </w:p>
        </w:tc>
      </w:tr>
      <w:tr>
        <w:trPr>
          <w:trHeight w:val="181"/>
        </w:trPr>
        <w:tc>
          <w:tcPr>
            <w:tcW w:w="718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8"/>
                <w:szCs w:val="18"/>
                <w:color w:val="auto"/>
              </w:rPr>
              <w:t>Prepaid expenses  ... .. ...... .. ..... .. . .............. . ......................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116,472</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119,933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lrncome taxes receivable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7,714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6,848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Other current assets  . ....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7,608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1,298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
        </w:trPr>
        <w:tc>
          <w:tcPr>
            <w:tcW w:w="51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 urrent Assets</w:t>
            </w:r>
          </w:p>
        </w:tc>
        <w:tc>
          <w:tcPr>
            <w:tcW w:w="2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7180" w:type="dxa"/>
            <w:vAlign w:val="bottom"/>
            <w:gridSpan w:val="2"/>
            <w:vMerge w:val="continue"/>
          </w:tcPr>
          <w:p>
            <w:pPr>
              <w:jc w:val="right"/>
              <w:ind w:right="114"/>
              <w:spacing w:after="0" w:line="152" w:lineRule="exact"/>
              <w:rPr>
                <w:sz w:val="20"/>
                <w:szCs w:val="20"/>
                <w:color w:val="auto"/>
              </w:rPr>
            </w:pPr>
            <w:r>
              <w:rPr>
                <w:rFonts w:ascii="Times New Roman" w:cs="Times New Roman" w:eastAsia="Times New Roman" w:hAnsi="Times New Roman"/>
                <w:sz w:val="17"/>
                <w:szCs w:val="17"/>
                <w:color w:val="auto"/>
              </w:rPr>
              <w:t>... .. ..... . .. . ....... . ..... .. . .... . .. .... . .. . . . .. . .</w:t>
            </w:r>
          </w:p>
        </w:tc>
        <w:tc>
          <w:tcPr>
            <w:tcW w:w="20" w:type="dxa"/>
            <w:vAlign w:val="bottom"/>
          </w:tcPr>
          <w:p>
            <w:pPr>
              <w:spacing w:after="0"/>
              <w:rPr>
                <w:sz w:val="15"/>
                <w:szCs w:val="15"/>
                <w:color w:val="auto"/>
              </w:rPr>
            </w:pPr>
          </w:p>
        </w:tc>
        <w:tc>
          <w:tcPr>
            <w:tcW w:w="80" w:type="dxa"/>
            <w:vAlign w:val="bottom"/>
            <w:tcBorders>
              <w:top w:val="single" w:sz="8" w:color="504C4C"/>
            </w:tcBorders>
          </w:tcPr>
          <w:p>
            <w:pPr>
              <w:spacing w:after="0"/>
              <w:rPr>
                <w:sz w:val="15"/>
                <w:szCs w:val="15"/>
                <w:color w:val="auto"/>
              </w:rPr>
            </w:pPr>
          </w:p>
        </w:tc>
        <w:tc>
          <w:tcPr>
            <w:tcW w:w="780" w:type="dxa"/>
            <w:vAlign w:val="bottom"/>
            <w:tcBorders>
              <w:top w:val="single" w:sz="8" w:color="504C4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2,098,624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top w:val="single" w:sz="8" w:color="504C4C"/>
            </w:tcBorders>
          </w:tcPr>
          <w:p>
            <w:pPr>
              <w:spacing w:after="0"/>
              <w:rPr>
                <w:sz w:val="15"/>
                <w:szCs w:val="15"/>
                <w:color w:val="auto"/>
              </w:rPr>
            </w:pPr>
          </w:p>
        </w:tc>
        <w:tc>
          <w:tcPr>
            <w:tcW w:w="780" w:type="dxa"/>
            <w:vAlign w:val="bottom"/>
            <w:tcBorders>
              <w:top w:val="single" w:sz="8" w:color="504C4C"/>
            </w:tcBorders>
          </w:tcPr>
          <w:p>
            <w:pPr>
              <w:jc w:val="right"/>
              <w:spacing w:after="0" w:line="176" w:lineRule="exact"/>
              <w:rPr>
                <w:sz w:val="20"/>
                <w:szCs w:val="20"/>
                <w:color w:val="auto"/>
              </w:rPr>
            </w:pPr>
            <w:r>
              <w:rPr>
                <w:rFonts w:ascii="Times New Roman" w:cs="Times New Roman" w:eastAsia="Times New Roman" w:hAnsi="Times New Roman"/>
                <w:sz w:val="18"/>
                <w:szCs w:val="18"/>
                <w:color w:val="auto"/>
              </w:rPr>
              <w:t>1,849,296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Property, Plant and Equipment, Net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549,364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560,314</w:t>
            </w:r>
          </w:p>
        </w:tc>
        <w:tc>
          <w:tcPr>
            <w:tcW w:w="0" w:type="dxa"/>
            <w:vAlign w:val="bottom"/>
          </w:tcPr>
          <w:p>
            <w:pPr>
              <w:spacing w:after="0"/>
              <w:rPr>
                <w:sz w:val="1"/>
                <w:szCs w:val="1"/>
                <w:color w:val="auto"/>
              </w:rPr>
            </w:pPr>
          </w:p>
        </w:tc>
      </w:tr>
      <w:tr>
        <w:trPr>
          <w:trHeight w:val="162"/>
        </w:trPr>
        <w:tc>
          <w:tcPr>
            <w:tcW w:w="718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rPr>
              <w:t>Lease Right-of- Use Assets  .. . ... . ... . . . . . ... . . .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388,419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409,183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Investments in Affiliates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169,125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186,480</w:t>
            </w:r>
          </w:p>
        </w:tc>
        <w:tc>
          <w:tcPr>
            <w:tcW w:w="0" w:type="dxa"/>
            <w:vAlign w:val="bottom"/>
          </w:tcPr>
          <w:p>
            <w:pPr>
              <w:spacing w:after="0"/>
              <w:rPr>
                <w:sz w:val="1"/>
                <w:szCs w:val="1"/>
                <w:color w:val="auto"/>
              </w:rPr>
            </w:pPr>
          </w:p>
        </w:tc>
      </w:tr>
      <w:tr>
        <w:trPr>
          <w:trHeight w:val="162"/>
        </w:trPr>
        <w:tc>
          <w:tcPr>
            <w:tcW w:w="7180" w:type="dxa"/>
            <w:vAlign w:val="bottom"/>
            <w:gridSpan w:val="2"/>
          </w:tcPr>
          <w:p>
            <w:pPr>
              <w:spacing w:after="0" w:line="163" w:lineRule="exact"/>
              <w:rPr>
                <w:sz w:val="20"/>
                <w:szCs w:val="20"/>
                <w:color w:val="auto"/>
              </w:rPr>
            </w:pPr>
            <w:r>
              <w:rPr>
                <w:rFonts w:ascii="Times New Roman" w:cs="Times New Roman" w:eastAsia="Times New Roman" w:hAnsi="Times New Roman"/>
                <w:sz w:val="18"/>
                <w:szCs w:val="18"/>
                <w:color w:val="auto"/>
              </w:rPr>
              <w:t>Goodwill, Net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1,500,036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63" w:lineRule="exact"/>
              <w:rPr>
                <w:sz w:val="20"/>
                <w:szCs w:val="20"/>
                <w:color w:val="auto"/>
              </w:rPr>
            </w:pPr>
            <w:r>
              <w:rPr>
                <w:rFonts w:ascii="Times New Roman" w:cs="Times New Roman" w:eastAsia="Times New Roman" w:hAnsi="Times New Roman"/>
                <w:sz w:val="18"/>
                <w:szCs w:val="18"/>
                <w:color w:val="auto"/>
              </w:rPr>
              <w:t>1,525,194</w:t>
            </w: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Indefinite-Lived Intangible Assets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164,323</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187,862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Amortized Intangible Assets, Net  ... . . . ... . .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56,696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112, 194</w:t>
            </w: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Prepaid Pension Cost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2,510,520</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w w:val="99"/>
              </w:rPr>
              <w:t>2,1 13,638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1" w:lineRule="exact"/>
              <w:rPr>
                <w:sz w:val="20"/>
                <w:szCs w:val="20"/>
                <w:color w:val="auto"/>
              </w:rPr>
            </w:pPr>
            <w:r>
              <w:rPr>
                <w:rFonts w:ascii="Times New Roman" w:cs="Times New Roman" w:eastAsia="Times New Roman" w:hAnsi="Times New Roman"/>
                <w:sz w:val="18"/>
                <w:szCs w:val="18"/>
                <w:color w:val="auto"/>
              </w:rPr>
              <w:t>Deferred Income Taxes  . .. .... . . .. .. .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8,908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10,578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Deferred C harges and Other Assets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231,190</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232,991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7180" w:type="dxa"/>
            <w:vAlign w:val="bottom"/>
            <w:gridSpan w:val="2"/>
          </w:tcPr>
          <w:p>
            <w:pPr>
              <w:ind w:left="720"/>
              <w:spacing w:after="0" w:line="199" w:lineRule="exact"/>
              <w:rPr>
                <w:sz w:val="20"/>
                <w:szCs w:val="20"/>
                <w:color w:val="auto"/>
              </w:rPr>
            </w:pPr>
            <w:r>
              <w:rPr>
                <w:rFonts w:ascii="Times New Roman" w:cs="Times New Roman" w:eastAsia="Times New Roman" w:hAnsi="Times New Roman"/>
                <w:sz w:val="18"/>
                <w:szCs w:val="18"/>
                <w:color w:val="auto"/>
              </w:rPr>
              <w:t>Tota l Assets .... . . . ..... . ... . . . . . ..... . . . .... .. . . . . .. .. . .... . . . .. . . .. . .</w:t>
            </w:r>
          </w:p>
        </w:tc>
        <w:tc>
          <w:tcPr>
            <w:tcW w:w="1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7,677,205</w:t>
            </w:r>
          </w:p>
        </w:tc>
        <w:tc>
          <w:tcPr>
            <w:tcW w:w="180" w:type="dxa"/>
            <w:vAlign w:val="bottom"/>
          </w:tcPr>
          <w:p>
            <w:pPr>
              <w:spacing w:after="0"/>
              <w:rPr>
                <w:sz w:val="17"/>
                <w:szCs w:val="17"/>
                <w:color w:val="auto"/>
              </w:rPr>
            </w:pPr>
          </w:p>
        </w:tc>
        <w:tc>
          <w:tcPr>
            <w:tcW w:w="100" w:type="dxa"/>
            <w:vAlign w:val="bottom"/>
            <w:gridSpan w:val="2"/>
          </w:tcPr>
          <w:p>
            <w:pPr>
              <w:jc w:val="right"/>
              <w:spacing w:after="0" w:line="199"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60"/>
              <w:spacing w:after="0" w:line="199" w:lineRule="exact"/>
              <w:rPr>
                <w:sz w:val="20"/>
                <w:szCs w:val="20"/>
                <w:color w:val="auto"/>
              </w:rPr>
            </w:pPr>
            <w:r>
              <w:rPr>
                <w:rFonts w:ascii="Times New Roman" w:cs="Times New Roman" w:eastAsia="Times New Roman" w:hAnsi="Times New Roman"/>
                <w:sz w:val="18"/>
                <w:szCs w:val="18"/>
                <w:color w:val="auto"/>
              </w:rPr>
              <w:t>7,187,730</w:t>
            </w:r>
          </w:p>
        </w:tc>
        <w:tc>
          <w:tcPr>
            <w:tcW w:w="0" w:type="dxa"/>
            <w:vAlign w:val="bottom"/>
          </w:tcPr>
          <w:p>
            <w:pPr>
              <w:spacing w:after="0"/>
              <w:rPr>
                <w:sz w:val="1"/>
                <w:szCs w:val="1"/>
                <w:color w:val="auto"/>
              </w:rPr>
            </w:pPr>
          </w:p>
        </w:tc>
      </w:tr>
      <w:tr>
        <w:trPr>
          <w:trHeight w:val="38"/>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Liabilities a nd Equity</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18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5"/>
        </w:trPr>
        <w:tc>
          <w:tcPr>
            <w:tcW w:w="5140" w:type="dxa"/>
            <w:vAlign w:val="bottom"/>
            <w:vMerge w:val="continue"/>
          </w:tcPr>
          <w:p>
            <w:pPr>
              <w:spacing w:after="0"/>
              <w:rPr>
                <w:sz w:val="17"/>
                <w:szCs w:val="17"/>
                <w:color w:val="auto"/>
              </w:rPr>
            </w:pPr>
          </w:p>
        </w:tc>
        <w:tc>
          <w:tcPr>
            <w:tcW w:w="2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line="163" w:lineRule="exact"/>
              <w:rPr>
                <w:sz w:val="20"/>
                <w:szCs w:val="20"/>
                <w:color w:val="auto"/>
              </w:rPr>
            </w:pPr>
            <w:r>
              <w:rPr>
                <w:rFonts w:ascii="Times New Roman" w:cs="Times New Roman" w:eastAsia="Times New Roman" w:hAnsi="Times New Roman"/>
                <w:sz w:val="18"/>
                <w:szCs w:val="18"/>
                <w:color w:val="auto"/>
              </w:rPr>
              <w:t>Current Liabilities</w:t>
            </w: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7180" w:type="dxa"/>
            <w:vAlign w:val="bottom"/>
            <w:gridSpan w:val="2"/>
          </w:tcPr>
          <w:p>
            <w:pPr>
              <w:ind w:left="360"/>
              <w:spacing w:after="0" w:line="178" w:lineRule="exact"/>
              <w:rPr>
                <w:sz w:val="20"/>
                <w:szCs w:val="20"/>
                <w:color w:val="auto"/>
              </w:rPr>
            </w:pPr>
            <w:r>
              <w:rPr>
                <w:rFonts w:ascii="Times New Roman" w:cs="Times New Roman" w:eastAsia="Times New Roman" w:hAnsi="Times New Roman"/>
                <w:sz w:val="18"/>
                <w:szCs w:val="18"/>
                <w:color w:val="auto"/>
              </w:rPr>
              <w:t>Accounts payable, vehicle floor plan payable and accrued liabilities  ... . . . . .. . . . . . . .. . .</w:t>
            </w:r>
          </w:p>
        </w:tc>
        <w:tc>
          <w:tcPr>
            <w:tcW w:w="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712,505</w:t>
            </w:r>
          </w:p>
        </w:tc>
        <w:tc>
          <w:tcPr>
            <w:tcW w:w="180" w:type="dxa"/>
            <w:vAlign w:val="bottom"/>
          </w:tcPr>
          <w:p>
            <w:pPr>
              <w:spacing w:after="0"/>
              <w:rPr>
                <w:sz w:val="15"/>
                <w:szCs w:val="15"/>
                <w:color w:val="auto"/>
              </w:rPr>
            </w:pPr>
          </w:p>
        </w:tc>
        <w:tc>
          <w:tcPr>
            <w:tcW w:w="100" w:type="dxa"/>
            <w:vAlign w:val="bottom"/>
            <w:gridSpan w:val="2"/>
          </w:tcPr>
          <w:p>
            <w:pPr>
              <w:jc w:val="right"/>
              <w:spacing w:after="0" w:line="178"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line="178" w:lineRule="exact"/>
              <w:rPr>
                <w:sz w:val="20"/>
                <w:szCs w:val="20"/>
                <w:color w:val="auto"/>
              </w:rPr>
            </w:pPr>
            <w:r>
              <w:rPr>
                <w:rFonts w:ascii="Times New Roman" w:cs="Times New Roman" w:eastAsia="Times New Roman" w:hAnsi="Times New Roman"/>
                <w:sz w:val="18"/>
                <w:szCs w:val="18"/>
                <w:color w:val="auto"/>
              </w:rPr>
              <w:t>694,521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140" w:type="dxa"/>
            <w:vAlign w:val="bottom"/>
          </w:tcPr>
          <w:p>
            <w:pPr>
              <w:ind w:left="360"/>
              <w:spacing w:after="0" w:line="165" w:lineRule="exact"/>
              <w:rPr>
                <w:sz w:val="20"/>
                <w:szCs w:val="20"/>
                <w:color w:val="auto"/>
              </w:rPr>
            </w:pPr>
            <w:r>
              <w:rPr>
                <w:rFonts w:ascii="Arial" w:cs="Arial" w:eastAsia="Arial" w:hAnsi="Arial"/>
                <w:sz w:val="17"/>
                <w:szCs w:val="17"/>
                <w:color w:val="auto"/>
              </w:rPr>
              <w:t>Deferred revenue . . . ......................... . . . .... .. .</w:t>
            </w:r>
          </w:p>
        </w:tc>
        <w:tc>
          <w:tcPr>
            <w:tcW w:w="2040" w:type="dxa"/>
            <w:vAlign w:val="bottom"/>
          </w:tcPr>
          <w:p>
            <w:pPr>
              <w:jc w:val="right"/>
              <w:ind w:right="114"/>
              <w:spacing w:after="0" w:line="165" w:lineRule="exact"/>
              <w:rPr>
                <w:sz w:val="20"/>
                <w:szCs w:val="20"/>
                <w:color w:val="auto"/>
              </w:rPr>
            </w:pPr>
            <w:r>
              <w:rPr>
                <w:rFonts w:ascii="Arial" w:cs="Arial" w:eastAsia="Arial" w:hAnsi="Arial"/>
                <w:sz w:val="17"/>
                <w:szCs w:val="17"/>
                <w:color w:val="auto"/>
              </w:rPr>
              <w:t>.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5" w:lineRule="exact"/>
              <w:rPr>
                <w:sz w:val="20"/>
                <w:szCs w:val="20"/>
                <w:color w:val="auto"/>
              </w:rPr>
            </w:pPr>
            <w:r>
              <w:rPr>
                <w:rFonts w:ascii="Times New Roman" w:cs="Times New Roman" w:eastAsia="Times New Roman" w:hAnsi="Times New Roman"/>
                <w:sz w:val="18"/>
                <w:szCs w:val="18"/>
                <w:color w:val="auto"/>
              </w:rPr>
              <w:t>390,976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65" w:lineRule="exact"/>
              <w:rPr>
                <w:sz w:val="20"/>
                <w:szCs w:val="20"/>
                <w:color w:val="auto"/>
              </w:rPr>
            </w:pPr>
            <w:r>
              <w:rPr>
                <w:rFonts w:ascii="Times New Roman" w:cs="Times New Roman" w:eastAsia="Times New Roman" w:hAnsi="Times New Roman"/>
                <w:sz w:val="18"/>
                <w:szCs w:val="18"/>
                <w:color w:val="auto"/>
              </w:rPr>
              <w:t>396,754</w:t>
            </w:r>
          </w:p>
        </w:tc>
        <w:tc>
          <w:tcPr>
            <w:tcW w:w="0" w:type="dxa"/>
            <w:vAlign w:val="bottom"/>
          </w:tcPr>
          <w:p>
            <w:pPr>
              <w:spacing w:after="0"/>
              <w:rPr>
                <w:sz w:val="1"/>
                <w:szCs w:val="1"/>
                <w:color w:val="auto"/>
              </w:rPr>
            </w:pPr>
          </w:p>
        </w:tc>
      </w:tr>
      <w:tr>
        <w:trPr>
          <w:trHeight w:val="172"/>
        </w:trPr>
        <w:tc>
          <w:tcPr>
            <w:tcW w:w="7180" w:type="dxa"/>
            <w:vAlign w:val="bottom"/>
            <w:gridSpan w:val="2"/>
          </w:tcPr>
          <w:p>
            <w:pPr>
              <w:ind w:left="360"/>
              <w:spacing w:after="0" w:line="172" w:lineRule="exact"/>
              <w:rPr>
                <w:sz w:val="20"/>
                <w:szCs w:val="20"/>
                <w:color w:val="auto"/>
              </w:rPr>
            </w:pPr>
            <w:r>
              <w:rPr>
                <w:rFonts w:ascii="Times New Roman" w:cs="Times New Roman" w:eastAsia="Times New Roman" w:hAnsi="Times New Roman"/>
                <w:sz w:val="18"/>
                <w:szCs w:val="18"/>
                <w:color w:val="auto"/>
              </w:rPr>
              <w:t>lrncome taxes payable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11,502</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2" w:lineRule="exact"/>
              <w:rPr>
                <w:sz w:val="20"/>
                <w:szCs w:val="20"/>
                <w:color w:val="auto"/>
              </w:rPr>
            </w:pPr>
            <w:r>
              <w:rPr>
                <w:rFonts w:ascii="Times New Roman" w:cs="Times New Roman" w:eastAsia="Times New Roman" w:hAnsi="Times New Roman"/>
                <w:sz w:val="18"/>
                <w:szCs w:val="18"/>
                <w:color w:val="auto"/>
              </w:rPr>
              <w:t>7,406</w:t>
            </w:r>
          </w:p>
        </w:tc>
        <w:tc>
          <w:tcPr>
            <w:tcW w:w="0" w:type="dxa"/>
            <w:vAlign w:val="bottom"/>
          </w:tcPr>
          <w:p>
            <w:pPr>
              <w:spacing w:after="0"/>
              <w:rPr>
                <w:sz w:val="1"/>
                <w:szCs w:val="1"/>
                <w:color w:val="auto"/>
              </w:rPr>
            </w:pPr>
          </w:p>
        </w:tc>
      </w:tr>
      <w:tr>
        <w:trPr>
          <w:trHeight w:val="172"/>
        </w:trPr>
        <w:tc>
          <w:tcPr>
            <w:tcW w:w="7180" w:type="dxa"/>
            <w:vAlign w:val="bottom"/>
            <w:gridSpan w:val="2"/>
          </w:tcPr>
          <w:p>
            <w:pPr>
              <w:ind w:left="360"/>
              <w:spacing w:after="0" w:line="171" w:lineRule="exact"/>
              <w:rPr>
                <w:sz w:val="20"/>
                <w:szCs w:val="20"/>
                <w:color w:val="auto"/>
              </w:rPr>
            </w:pPr>
            <w:r>
              <w:rPr>
                <w:rFonts w:ascii="Times New Roman" w:cs="Times New Roman" w:eastAsia="Times New Roman" w:hAnsi="Times New Roman"/>
                <w:sz w:val="18"/>
                <w:szCs w:val="18"/>
                <w:color w:val="auto"/>
              </w:rPr>
              <w:t>Current portion of lease liabil ities  .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58,239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64,247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Current portion of long-term debt  ... . . . ................ .. . . ....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26,577</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66,751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 ota l C urrent Liabilities</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7180" w:type="dxa"/>
            <w:vAlign w:val="bottom"/>
            <w:gridSpan w:val="2"/>
            <w:vMerge w:val="continue"/>
          </w:tcPr>
          <w:p>
            <w:pPr>
              <w:jc w:val="right"/>
              <w:ind w:right="114"/>
              <w:spacing w:after="0" w:line="152" w:lineRule="exact"/>
              <w:rPr>
                <w:sz w:val="20"/>
                <w:szCs w:val="20"/>
                <w:color w:val="auto"/>
              </w:rPr>
            </w:pPr>
            <w:r>
              <w:rPr>
                <w:rFonts w:ascii="Times New Roman" w:cs="Times New Roman" w:eastAsia="Times New Roman" w:hAnsi="Times New Roman"/>
                <w:sz w:val="17"/>
                <w:szCs w:val="17"/>
                <w:color w:val="auto"/>
              </w:rPr>
              <w:t>..... . . . ... . ... . ... . ... ... . . .... . .. . .. . . . . .... . .</w:t>
            </w:r>
          </w:p>
        </w:tc>
        <w:tc>
          <w:tcPr>
            <w:tcW w:w="20" w:type="dxa"/>
            <w:vAlign w:val="bottom"/>
          </w:tcPr>
          <w:p>
            <w:pPr>
              <w:spacing w:after="0"/>
              <w:rPr>
                <w:sz w:val="13"/>
                <w:szCs w:val="13"/>
                <w:color w:val="auto"/>
              </w:rPr>
            </w:pPr>
          </w:p>
        </w:tc>
        <w:tc>
          <w:tcPr>
            <w:tcW w:w="80" w:type="dxa"/>
            <w:vAlign w:val="bottom"/>
            <w:tcBorders>
              <w:top w:val="single" w:sz="8" w:color="504C4C"/>
            </w:tcBorders>
          </w:tcPr>
          <w:p>
            <w:pPr>
              <w:spacing w:after="0"/>
              <w:rPr>
                <w:sz w:val="13"/>
                <w:szCs w:val="13"/>
                <w:color w:val="auto"/>
              </w:rPr>
            </w:pPr>
          </w:p>
        </w:tc>
        <w:tc>
          <w:tcPr>
            <w:tcW w:w="780" w:type="dxa"/>
            <w:vAlign w:val="bottom"/>
            <w:tcBorders>
              <w:top w:val="single" w:sz="8" w:color="504C4C"/>
            </w:tcBorders>
          </w:tcPr>
          <w:p>
            <w:pPr>
              <w:jc w:val="right"/>
              <w:spacing w:after="0" w:line="161" w:lineRule="exact"/>
              <w:rPr>
                <w:sz w:val="20"/>
                <w:szCs w:val="20"/>
                <w:color w:val="auto"/>
              </w:rPr>
            </w:pPr>
            <w:r>
              <w:rPr>
                <w:rFonts w:ascii="Times New Roman" w:cs="Times New Roman" w:eastAsia="Times New Roman" w:hAnsi="Times New Roman"/>
                <w:sz w:val="18"/>
                <w:szCs w:val="18"/>
                <w:color w:val="auto"/>
              </w:rPr>
              <w:t>1,199,799</w:t>
            </w: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504C4C"/>
            </w:tcBorders>
          </w:tcPr>
          <w:p>
            <w:pPr>
              <w:spacing w:after="0"/>
              <w:rPr>
                <w:sz w:val="13"/>
                <w:szCs w:val="13"/>
                <w:color w:val="auto"/>
              </w:rPr>
            </w:pPr>
          </w:p>
        </w:tc>
        <w:tc>
          <w:tcPr>
            <w:tcW w:w="780" w:type="dxa"/>
            <w:vAlign w:val="bottom"/>
            <w:tcBorders>
              <w:top w:val="single" w:sz="8" w:color="504C4C"/>
            </w:tcBorders>
          </w:tcPr>
          <w:p>
            <w:pPr>
              <w:jc w:val="right"/>
              <w:spacing w:after="0" w:line="161" w:lineRule="exact"/>
              <w:rPr>
                <w:sz w:val="20"/>
                <w:szCs w:val="20"/>
                <w:color w:val="auto"/>
              </w:rPr>
            </w:pPr>
            <w:r>
              <w:rPr>
                <w:rFonts w:ascii="Arial" w:cs="Arial" w:eastAsia="Arial" w:hAnsi="Arial"/>
                <w:sz w:val="16"/>
                <w:szCs w:val="16"/>
                <w:color w:val="auto"/>
              </w:rPr>
              <w:t xml:space="preserve">I </w:t>
            </w:r>
            <w:r>
              <w:rPr>
                <w:rFonts w:ascii="Times New Roman" w:cs="Times New Roman" w:eastAsia="Times New Roman" w:hAnsi="Times New Roman"/>
                <w:sz w:val="17"/>
                <w:szCs w:val="17"/>
                <w:color w:val="auto"/>
              </w:rPr>
              <w:t>,229,679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7180" w:type="dxa"/>
            <w:vAlign w:val="bottom"/>
            <w:gridSpan w:val="2"/>
          </w:tcPr>
          <w:p>
            <w:pPr>
              <w:spacing w:after="0" w:line="168" w:lineRule="exact"/>
              <w:rPr>
                <w:sz w:val="20"/>
                <w:szCs w:val="20"/>
                <w:color w:val="auto"/>
              </w:rPr>
            </w:pPr>
            <w:r>
              <w:rPr>
                <w:rFonts w:ascii="Times New Roman" w:cs="Times New Roman" w:eastAsia="Times New Roman" w:hAnsi="Times New Roman"/>
                <w:sz w:val="18"/>
                <w:szCs w:val="18"/>
                <w:color w:val="auto"/>
              </w:rPr>
              <w:t>Accrued Compensation and Related Benefits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8"/>
                <w:szCs w:val="18"/>
                <w:color w:val="auto"/>
              </w:rPr>
              <w:t>136,101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Times New Roman" w:cs="Times New Roman" w:eastAsia="Times New Roman" w:hAnsi="Times New Roman"/>
                <w:sz w:val="18"/>
                <w:szCs w:val="18"/>
                <w:color w:val="auto"/>
              </w:rPr>
              <w:t>137,275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140" w:type="dxa"/>
            <w:vAlign w:val="bottom"/>
          </w:tcPr>
          <w:p>
            <w:pPr>
              <w:spacing w:after="0" w:line="162" w:lineRule="exact"/>
              <w:rPr>
                <w:sz w:val="20"/>
                <w:szCs w:val="20"/>
                <w:color w:val="auto"/>
              </w:rPr>
            </w:pPr>
            <w:r>
              <w:rPr>
                <w:rFonts w:ascii="Times New Roman" w:cs="Times New Roman" w:eastAsia="Times New Roman" w:hAnsi="Times New Roman"/>
                <w:sz w:val="18"/>
                <w:szCs w:val="18"/>
                <w:color w:val="auto"/>
              </w:rPr>
              <w:t>Other Liabilities . . . ... . ... . ... . ... . ... . ... . . . . . ... . ... . ...</w:t>
            </w:r>
          </w:p>
        </w:tc>
        <w:tc>
          <w:tcPr>
            <w:tcW w:w="2040" w:type="dxa"/>
            <w:vAlign w:val="bottom"/>
          </w:tcPr>
          <w:p>
            <w:pPr>
              <w:jc w:val="right"/>
              <w:ind w:right="114"/>
              <w:spacing w:after="0" w:line="162" w:lineRule="exact"/>
              <w:rPr>
                <w:sz w:val="20"/>
                <w:szCs w:val="20"/>
                <w:color w:val="auto"/>
              </w:rPr>
            </w:pPr>
            <w:r>
              <w:rPr>
                <w:rFonts w:ascii="Times New Roman" w:cs="Times New Roman" w:eastAsia="Times New Roman" w:hAnsi="Times New Roman"/>
                <w:sz w:val="18"/>
                <w:szCs w:val="18"/>
                <w:color w:val="auto"/>
              </w:rPr>
              <w:t>•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27,361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62" w:lineRule="exact"/>
              <w:rPr>
                <w:sz w:val="20"/>
                <w:szCs w:val="20"/>
                <w:color w:val="auto"/>
              </w:rPr>
            </w:pPr>
            <w:r>
              <w:rPr>
                <w:rFonts w:ascii="Times New Roman" w:cs="Times New Roman" w:eastAsia="Times New Roman" w:hAnsi="Times New Roman"/>
                <w:sz w:val="18"/>
                <w:szCs w:val="18"/>
                <w:color w:val="auto"/>
              </w:rPr>
              <w:t>32,076</w:t>
            </w:r>
          </w:p>
        </w:tc>
        <w:tc>
          <w:tcPr>
            <w:tcW w:w="0" w:type="dxa"/>
            <w:vAlign w:val="bottom"/>
          </w:tcPr>
          <w:p>
            <w:pPr>
              <w:spacing w:after="0"/>
              <w:rPr>
                <w:sz w:val="1"/>
                <w:szCs w:val="1"/>
                <w:color w:val="auto"/>
              </w:rPr>
            </w:pPr>
          </w:p>
        </w:tc>
      </w:tr>
      <w:tr>
        <w:trPr>
          <w:trHeight w:val="181"/>
        </w:trPr>
        <w:tc>
          <w:tcPr>
            <w:tcW w:w="71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auto"/>
              </w:rPr>
              <w:t>Deferred Income Taxes  . ................................ .. . . .. . . . . . . .. . . .. . . .. .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739,260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ind w:right="60"/>
              <w:spacing w:after="0" w:line="182" w:lineRule="exact"/>
              <w:rPr>
                <w:sz w:val="20"/>
                <w:szCs w:val="20"/>
                <w:color w:val="auto"/>
              </w:rPr>
            </w:pPr>
            <w:r>
              <w:rPr>
                <w:rFonts w:ascii="Times New Roman" w:cs="Times New Roman" w:eastAsia="Times New Roman" w:hAnsi="Times New Roman"/>
                <w:sz w:val="18"/>
                <w:szCs w:val="18"/>
                <w:color w:val="auto"/>
              </w:rPr>
              <w:t>600,124</w:t>
            </w:r>
          </w:p>
        </w:tc>
        <w:tc>
          <w:tcPr>
            <w:tcW w:w="0" w:type="dxa"/>
            <w:vAlign w:val="bottom"/>
          </w:tcPr>
          <w:p>
            <w:pPr>
              <w:spacing w:after="0"/>
              <w:rPr>
                <w:sz w:val="1"/>
                <w:szCs w:val="1"/>
                <w:color w:val="auto"/>
              </w:rPr>
            </w:pPr>
          </w:p>
        </w:tc>
      </w:tr>
      <w:tr>
        <w:trPr>
          <w:trHeight w:val="172"/>
        </w:trPr>
        <w:tc>
          <w:tcPr>
            <w:tcW w:w="5140" w:type="dxa"/>
            <w:vAlign w:val="bottom"/>
          </w:tcPr>
          <w:p>
            <w:pPr>
              <w:spacing w:after="0" w:line="171" w:lineRule="exact"/>
              <w:rPr>
                <w:sz w:val="20"/>
                <w:szCs w:val="20"/>
                <w:color w:val="auto"/>
              </w:rPr>
            </w:pPr>
            <w:r>
              <w:rPr>
                <w:rFonts w:ascii="Times New Roman" w:cs="Times New Roman" w:eastAsia="Times New Roman" w:hAnsi="Times New Roman"/>
                <w:sz w:val="18"/>
                <w:szCs w:val="18"/>
                <w:color w:val="auto"/>
              </w:rPr>
              <w:t>Mandatorily Redeemable Noncontrolling Interest ...... . . . .. . . .</w:t>
            </w:r>
          </w:p>
        </w:tc>
        <w:tc>
          <w:tcPr>
            <w:tcW w:w="2040" w:type="dxa"/>
            <w:vAlign w:val="bottom"/>
          </w:tcPr>
          <w:p>
            <w:pPr>
              <w:jc w:val="right"/>
              <w:ind w:right="114"/>
              <w:spacing w:after="0" w:line="171" w:lineRule="exact"/>
              <w:rPr>
                <w:sz w:val="20"/>
                <w:szCs w:val="20"/>
                <w:color w:val="auto"/>
              </w:rPr>
            </w:pPr>
            <w:r>
              <w:rPr>
                <w:rFonts w:ascii="Times New Roman" w:cs="Times New Roman" w:eastAsia="Times New Roman" w:hAnsi="Times New Roman"/>
                <w:sz w:val="18"/>
                <w:szCs w:val="18"/>
                <w:color w:val="auto"/>
              </w:rPr>
              <w:t>•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159,548</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40,764</w:t>
            </w:r>
          </w:p>
        </w:tc>
        <w:tc>
          <w:tcPr>
            <w:tcW w:w="0" w:type="dxa"/>
            <w:vAlign w:val="bottom"/>
          </w:tcPr>
          <w:p>
            <w:pPr>
              <w:spacing w:after="0"/>
              <w:rPr>
                <w:sz w:val="1"/>
                <w:szCs w:val="1"/>
                <w:color w:val="auto"/>
              </w:rPr>
            </w:pPr>
          </w:p>
        </w:tc>
      </w:tr>
      <w:tr>
        <w:trPr>
          <w:trHeight w:val="172"/>
        </w:trPr>
        <w:tc>
          <w:tcPr>
            <w:tcW w:w="7180" w:type="dxa"/>
            <w:vAlign w:val="bottom"/>
            <w:gridSpan w:val="2"/>
          </w:tcPr>
          <w:p>
            <w:pPr>
              <w:spacing w:after="0" w:line="172" w:lineRule="exact"/>
              <w:rPr>
                <w:sz w:val="20"/>
                <w:szCs w:val="20"/>
                <w:color w:val="auto"/>
              </w:rPr>
            </w:pPr>
            <w:r>
              <w:rPr>
                <w:rFonts w:ascii="Times New Roman" w:cs="Times New Roman" w:eastAsia="Times New Roman" w:hAnsi="Times New Roman"/>
                <w:sz w:val="18"/>
                <w:szCs w:val="18"/>
                <w:color w:val="auto"/>
              </w:rPr>
              <w:t>Lease Liabilities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362,885</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2" w:lineRule="exact"/>
              <w:rPr>
                <w:sz w:val="20"/>
                <w:szCs w:val="20"/>
                <w:color w:val="auto"/>
              </w:rPr>
            </w:pPr>
            <w:r>
              <w:rPr>
                <w:rFonts w:ascii="Times New Roman" w:cs="Times New Roman" w:eastAsia="Times New Roman" w:hAnsi="Times New Roman"/>
                <w:sz w:val="18"/>
                <w:szCs w:val="18"/>
                <w:color w:val="auto"/>
              </w:rPr>
              <w:t>376,677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Long-T erm Debt . . . .. ....... . ........................ . . .. . . ..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721,615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ind w:right="60"/>
              <w:spacing w:after="0" w:line="195" w:lineRule="exact"/>
              <w:rPr>
                <w:sz w:val="20"/>
                <w:szCs w:val="20"/>
                <w:color w:val="auto"/>
              </w:rPr>
            </w:pPr>
            <w:r>
              <w:rPr>
                <w:rFonts w:ascii="Times New Roman" w:cs="Times New Roman" w:eastAsia="Times New Roman" w:hAnsi="Times New Roman"/>
                <w:sz w:val="18"/>
                <w:szCs w:val="18"/>
                <w:color w:val="auto"/>
              </w:rPr>
              <w:t>745,082</w:t>
            </w:r>
          </w:p>
        </w:tc>
        <w:tc>
          <w:tcPr>
            <w:tcW w:w="0" w:type="dxa"/>
            <w:vAlign w:val="bottom"/>
          </w:tcPr>
          <w:p>
            <w:pPr>
              <w:spacing w:after="0"/>
              <w:rPr>
                <w:sz w:val="1"/>
                <w:szCs w:val="1"/>
                <w:color w:val="auto"/>
              </w:rPr>
            </w:pPr>
          </w:p>
        </w:tc>
      </w:tr>
      <w:tr>
        <w:trPr>
          <w:trHeight w:val="38"/>
        </w:trPr>
        <w:tc>
          <w:tcPr>
            <w:tcW w:w="5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8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78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7180" w:type="dxa"/>
            <w:vAlign w:val="bottom"/>
            <w:gridSpan w:val="2"/>
          </w:tcPr>
          <w:p>
            <w:pPr>
              <w:ind w:left="720"/>
              <w:spacing w:after="0" w:line="189" w:lineRule="exact"/>
              <w:rPr>
                <w:sz w:val="20"/>
                <w:szCs w:val="20"/>
                <w:color w:val="auto"/>
              </w:rPr>
            </w:pPr>
            <w:r>
              <w:rPr>
                <w:rFonts w:ascii="Times New Roman" w:cs="Times New Roman" w:eastAsia="Times New Roman" w:hAnsi="Times New Roman"/>
                <w:sz w:val="18"/>
                <w:szCs w:val="18"/>
                <w:color w:val="auto"/>
              </w:rPr>
              <w:t>Tota l Liabilities  ... .. . . .... ... .. . .. ...... . .... . . . . . . ..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3,346,569</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3,161,677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Commitments and Contingencies (Note 18)</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5140" w:type="dxa"/>
            <w:vAlign w:val="bottom"/>
            <w:vMerge w:val="continue"/>
          </w:tcPr>
          <w:p>
            <w:pPr>
              <w:spacing w:after="0"/>
              <w:rPr>
                <w:sz w:val="14"/>
                <w:szCs w:val="14"/>
                <w:color w:val="auto"/>
              </w:rPr>
            </w:pP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7180" w:type="dxa"/>
            <w:vAlign w:val="bottom"/>
            <w:gridSpan w:val="2"/>
          </w:tcPr>
          <w:p>
            <w:pPr>
              <w:spacing w:after="0" w:line="195" w:lineRule="exact"/>
              <w:rPr>
                <w:sz w:val="20"/>
                <w:szCs w:val="20"/>
                <w:color w:val="auto"/>
              </w:rPr>
            </w:pPr>
            <w:r>
              <w:rPr>
                <w:rFonts w:ascii="Times New Roman" w:cs="Times New Roman" w:eastAsia="Times New Roman" w:hAnsi="Times New Roman"/>
                <w:sz w:val="18"/>
                <w:szCs w:val="18"/>
                <w:color w:val="auto"/>
              </w:rPr>
              <w:t>Redeem a ble Noncontrolling Interests  . ... .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43,821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24, 185</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Preferred Stock, $ 1 par value; 977,000 shares authorized, none issued</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5140" w:type="dxa"/>
            <w:vAlign w:val="bottom"/>
            <w:vMerge w:val="continue"/>
          </w:tcPr>
          <w:p>
            <w:pPr>
              <w:spacing w:after="0"/>
              <w:rPr>
                <w:sz w:val="16"/>
                <w:szCs w:val="16"/>
                <w:color w:val="auto"/>
              </w:rPr>
            </w:pPr>
          </w:p>
        </w:tc>
        <w:tc>
          <w:tcPr>
            <w:tcW w:w="2040" w:type="dxa"/>
            <w:vAlign w:val="bottom"/>
          </w:tcPr>
          <w:p>
            <w:pPr>
              <w:jc w:val="right"/>
              <w:ind w:right="114"/>
              <w:spacing w:after="0" w:line="194" w:lineRule="exact"/>
              <w:rPr>
                <w:sz w:val="20"/>
                <w:szCs w:val="20"/>
                <w:color w:val="auto"/>
              </w:rPr>
            </w:pPr>
            <w:r>
              <w:rPr>
                <w:rFonts w:ascii="Times New Roman" w:cs="Times New Roman" w:eastAsia="Times New Roman" w:hAnsi="Times New Roman"/>
                <w:sz w:val="18"/>
                <w:szCs w:val="18"/>
                <w:color w:val="auto"/>
              </w:rPr>
              <w:t>..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Common Stockholders' Equity</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140" w:type="dxa"/>
            <w:vAlign w:val="bottom"/>
            <w:vMerge w:val="continue"/>
          </w:tcPr>
          <w:p>
            <w:pPr>
              <w:spacing w:after="0"/>
              <w:rPr>
                <w:sz w:val="15"/>
                <w:szCs w:val="15"/>
                <w:color w:val="auto"/>
              </w:rPr>
            </w:pPr>
          </w:p>
        </w:tc>
        <w:tc>
          <w:tcPr>
            <w:tcW w:w="2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360"/>
              <w:spacing w:after="0" w:line="162" w:lineRule="exact"/>
              <w:rPr>
                <w:sz w:val="20"/>
                <w:szCs w:val="20"/>
                <w:color w:val="auto"/>
              </w:rPr>
            </w:pPr>
            <w:r>
              <w:rPr>
                <w:rFonts w:ascii="Times New Roman" w:cs="Times New Roman" w:eastAsia="Times New Roman" w:hAnsi="Times New Roman"/>
                <w:sz w:val="18"/>
                <w:szCs w:val="18"/>
                <w:color w:val="auto"/>
              </w:rPr>
              <w:t>Common stock</w:t>
            </w: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720"/>
              <w:spacing w:after="0" w:line="172" w:lineRule="exact"/>
              <w:rPr>
                <w:sz w:val="20"/>
                <w:szCs w:val="20"/>
                <w:color w:val="auto"/>
              </w:rPr>
            </w:pPr>
            <w:r>
              <w:rPr>
                <w:rFonts w:ascii="Times New Roman" w:cs="Times New Roman" w:eastAsia="Times New Roman" w:hAnsi="Times New Roman"/>
                <w:sz w:val="18"/>
                <w:szCs w:val="18"/>
                <w:color w:val="auto"/>
              </w:rPr>
              <w:t xml:space="preserve">Class A Common stock, $1 par value; 7,000,000 shares authorized; 964,00 </w:t>
            </w:r>
            <w:r>
              <w:rPr>
                <w:rFonts w:ascii="Arial" w:cs="Arial" w:eastAsia="Arial" w:hAnsi="Arial"/>
                <w:sz w:val="15"/>
                <w:szCs w:val="15"/>
                <w:color w:val="auto"/>
              </w:rPr>
              <w:t>I</w:t>
            </w:r>
            <w:r>
              <w:rPr>
                <w:rFonts w:ascii="Times New Roman" w:cs="Times New Roman" w:eastAsia="Times New Roman" w:hAnsi="Times New Roman"/>
                <w:sz w:val="18"/>
                <w:szCs w:val="18"/>
                <w:color w:val="auto"/>
              </w:rPr>
              <w:t xml:space="preserve"> 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900"/>
              <w:spacing w:after="0" w:line="171" w:lineRule="exact"/>
              <w:rPr>
                <w:sz w:val="20"/>
                <w:szCs w:val="20"/>
                <w:color w:val="auto"/>
              </w:rPr>
            </w:pPr>
            <w:r>
              <w:rPr>
                <w:rFonts w:ascii="Times New Roman" w:cs="Times New Roman" w:eastAsia="Times New Roman" w:hAnsi="Times New Roman"/>
                <w:sz w:val="18"/>
                <w:szCs w:val="18"/>
                <w:color w:val="auto"/>
              </w:rPr>
              <w:t>issued and outstandi ng  . ..... . ............. .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964</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964</w:t>
            </w:r>
          </w:p>
        </w:tc>
        <w:tc>
          <w:tcPr>
            <w:tcW w:w="0" w:type="dxa"/>
            <w:vAlign w:val="bottom"/>
          </w:tcPr>
          <w:p>
            <w:pPr>
              <w:spacing w:after="0"/>
              <w:rPr>
                <w:sz w:val="1"/>
                <w:szCs w:val="1"/>
                <w:color w:val="auto"/>
              </w:rPr>
            </w:pPr>
          </w:p>
        </w:tc>
      </w:tr>
      <w:tr>
        <w:trPr>
          <w:trHeight w:val="172"/>
        </w:trPr>
        <w:tc>
          <w:tcPr>
            <w:tcW w:w="7180" w:type="dxa"/>
            <w:vAlign w:val="bottom"/>
            <w:gridSpan w:val="2"/>
          </w:tcPr>
          <w:p>
            <w:pPr>
              <w:ind w:left="720"/>
              <w:spacing w:after="0" w:line="171" w:lineRule="exact"/>
              <w:rPr>
                <w:sz w:val="20"/>
                <w:szCs w:val="20"/>
                <w:color w:val="auto"/>
              </w:rPr>
            </w:pPr>
            <w:r>
              <w:rPr>
                <w:rFonts w:ascii="Times New Roman" w:cs="Times New Roman" w:eastAsia="Times New Roman" w:hAnsi="Times New Roman"/>
                <w:sz w:val="18"/>
                <w:szCs w:val="18"/>
                <w:color w:val="auto"/>
              </w:rPr>
              <w:t>Class B Common stock, $1 par value; 40,000,000 shares authorized; 19,035,999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140" w:type="dxa"/>
            <w:vAlign w:val="bottom"/>
          </w:tcPr>
          <w:p>
            <w:pPr>
              <w:ind w:left="900"/>
              <w:spacing w:after="0" w:line="171" w:lineRule="exact"/>
              <w:rPr>
                <w:sz w:val="20"/>
                <w:szCs w:val="20"/>
                <w:color w:val="auto"/>
              </w:rPr>
            </w:pPr>
            <w:r>
              <w:rPr>
                <w:rFonts w:ascii="Times New Roman" w:cs="Times New Roman" w:eastAsia="Times New Roman" w:hAnsi="Times New Roman"/>
                <w:sz w:val="18"/>
                <w:szCs w:val="18"/>
                <w:color w:val="auto"/>
              </w:rPr>
              <w:t>shares issued; 3,368,306 and 3,514,809 shares outstanding</w:t>
            </w:r>
          </w:p>
        </w:tc>
        <w:tc>
          <w:tcPr>
            <w:tcW w:w="2040" w:type="dxa"/>
            <w:vAlign w:val="bottom"/>
          </w:tcPr>
          <w:p>
            <w:pPr>
              <w:jc w:val="right"/>
              <w:ind w:right="114"/>
              <w:spacing w:after="0" w:line="171" w:lineRule="exact"/>
              <w:rPr>
                <w:sz w:val="20"/>
                <w:szCs w:val="20"/>
                <w:color w:val="auto"/>
              </w:rPr>
            </w:pPr>
            <w:r>
              <w:rPr>
                <w:rFonts w:ascii="Times New Roman" w:cs="Times New Roman" w:eastAsia="Times New Roman" w:hAnsi="Times New Roman"/>
                <w:sz w:val="18"/>
                <w:szCs w:val="18"/>
                <w:color w:val="auto"/>
              </w:rPr>
              <w:t>..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19,036</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71" w:lineRule="exact"/>
              <w:rPr>
                <w:sz w:val="20"/>
                <w:szCs w:val="20"/>
                <w:color w:val="auto"/>
              </w:rPr>
            </w:pPr>
            <w:r>
              <w:rPr>
                <w:rFonts w:ascii="Times New Roman" w:cs="Times New Roman" w:eastAsia="Times New Roman" w:hAnsi="Times New Roman"/>
                <w:sz w:val="18"/>
                <w:szCs w:val="18"/>
                <w:color w:val="auto"/>
              </w:rPr>
              <w:t>19,036</w:t>
            </w:r>
          </w:p>
        </w:tc>
        <w:tc>
          <w:tcPr>
            <w:tcW w:w="0" w:type="dxa"/>
            <w:vAlign w:val="bottom"/>
          </w:tcPr>
          <w:p>
            <w:pPr>
              <w:spacing w:after="0"/>
              <w:rPr>
                <w:sz w:val="1"/>
                <w:szCs w:val="1"/>
                <w:color w:val="auto"/>
              </w:rPr>
            </w:pPr>
          </w:p>
        </w:tc>
      </w:tr>
      <w:tr>
        <w:trPr>
          <w:trHeight w:val="162"/>
        </w:trPr>
        <w:tc>
          <w:tcPr>
            <w:tcW w:w="7180" w:type="dxa"/>
            <w:vAlign w:val="bottom"/>
            <w:gridSpan w:val="2"/>
          </w:tcPr>
          <w:p>
            <w:pPr>
              <w:ind w:left="360"/>
              <w:spacing w:after="0" w:line="163" w:lineRule="exact"/>
              <w:rPr>
                <w:sz w:val="20"/>
                <w:szCs w:val="20"/>
                <w:color w:val="auto"/>
              </w:rPr>
            </w:pPr>
            <w:r>
              <w:rPr>
                <w:rFonts w:ascii="Times New Roman" w:cs="Times New Roman" w:eastAsia="Times New Roman" w:hAnsi="Times New Roman"/>
                <w:sz w:val="18"/>
                <w:szCs w:val="18"/>
                <w:color w:val="auto"/>
              </w:rPr>
              <w:t>Capital in excess of par value  ......................... .. .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63" w:lineRule="exact"/>
              <w:rPr>
                <w:sz w:val="20"/>
                <w:szCs w:val="20"/>
                <w:color w:val="auto"/>
              </w:rPr>
            </w:pPr>
            <w:r>
              <w:rPr>
                <w:rFonts w:ascii="Times New Roman" w:cs="Times New Roman" w:eastAsia="Times New Roman" w:hAnsi="Times New Roman"/>
                <w:sz w:val="18"/>
                <w:szCs w:val="18"/>
                <w:color w:val="auto"/>
              </w:rPr>
              <w:t>356,919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ind w:right="60"/>
              <w:spacing w:after="0" w:line="163" w:lineRule="exact"/>
              <w:rPr>
                <w:sz w:val="20"/>
                <w:szCs w:val="20"/>
                <w:color w:val="auto"/>
              </w:rPr>
            </w:pPr>
            <w:r>
              <w:rPr>
                <w:rFonts w:ascii="Times New Roman" w:cs="Times New Roman" w:eastAsia="Times New Roman" w:hAnsi="Times New Roman"/>
                <w:sz w:val="18"/>
                <w:szCs w:val="18"/>
                <w:color w:val="auto"/>
              </w:rPr>
              <w:t>372,040</w:t>
            </w:r>
          </w:p>
        </w:tc>
        <w:tc>
          <w:tcPr>
            <w:tcW w:w="0" w:type="dxa"/>
            <w:vAlign w:val="bottom"/>
          </w:tcPr>
          <w:p>
            <w:pPr>
              <w:spacing w:after="0"/>
              <w:rPr>
                <w:sz w:val="1"/>
                <w:szCs w:val="1"/>
                <w:color w:val="auto"/>
              </w:rPr>
            </w:pPr>
          </w:p>
        </w:tc>
      </w:tr>
      <w:tr>
        <w:trPr>
          <w:trHeight w:val="181"/>
        </w:trPr>
        <w:tc>
          <w:tcPr>
            <w:tcW w:w="7180" w:type="dxa"/>
            <w:vAlign w:val="bottom"/>
            <w:gridSpan w:val="2"/>
          </w:tcPr>
          <w:p>
            <w:pPr>
              <w:ind w:left="360"/>
              <w:spacing w:after="0" w:line="182" w:lineRule="exact"/>
              <w:rPr>
                <w:sz w:val="20"/>
                <w:szCs w:val="20"/>
                <w:color w:val="auto"/>
              </w:rPr>
            </w:pPr>
            <w:r>
              <w:rPr>
                <w:rFonts w:ascii="Times New Roman" w:cs="Times New Roman" w:eastAsia="Times New Roman" w:hAnsi="Times New Roman"/>
                <w:sz w:val="18"/>
                <w:szCs w:val="18"/>
                <w:color w:val="auto"/>
              </w:rPr>
              <w:t>Retained earnings .. . ....... . ........................ . .. . .. .... . . .... . .. . ... .</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8,031,750</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7,337,463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5140" w:type="dxa"/>
            <w:vAlign w:val="bottom"/>
          </w:tcPr>
          <w:p>
            <w:pPr>
              <w:ind w:left="360"/>
              <w:spacing w:after="0" w:line="163" w:lineRule="exact"/>
              <w:rPr>
                <w:sz w:val="20"/>
                <w:szCs w:val="20"/>
                <w:color w:val="auto"/>
              </w:rPr>
            </w:pPr>
            <w:r>
              <w:rPr>
                <w:rFonts w:ascii="Times New Roman" w:cs="Times New Roman" w:eastAsia="Times New Roman" w:hAnsi="Times New Roman"/>
                <w:sz w:val="18"/>
                <w:szCs w:val="18"/>
                <w:color w:val="auto"/>
              </w:rPr>
              <w:t>Accumulated other comprehensive income, net of taxes</w:t>
            </w:r>
          </w:p>
        </w:tc>
        <w:tc>
          <w:tcPr>
            <w:tcW w:w="2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720"/>
              <w:spacing w:after="0" w:line="171" w:lineRule="exact"/>
              <w:rPr>
                <w:sz w:val="20"/>
                <w:szCs w:val="20"/>
                <w:color w:val="auto"/>
              </w:rPr>
            </w:pPr>
            <w:r>
              <w:rPr>
                <w:rFonts w:ascii="Times New Roman" w:cs="Times New Roman" w:eastAsia="Times New Roman" w:hAnsi="Times New Roman"/>
                <w:sz w:val="18"/>
                <w:szCs w:val="18"/>
                <w:color w:val="auto"/>
              </w:rPr>
              <w:t>Cumulative fore ign currency trans lation adjustment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(58,044)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(32,7 11 )</w:t>
            </w:r>
          </w:p>
        </w:tc>
        <w:tc>
          <w:tcPr>
            <w:tcW w:w="0" w:type="dxa"/>
            <w:vAlign w:val="bottom"/>
          </w:tcPr>
          <w:p>
            <w:pPr>
              <w:spacing w:after="0"/>
              <w:rPr>
                <w:sz w:val="1"/>
                <w:szCs w:val="1"/>
                <w:color w:val="auto"/>
              </w:rPr>
            </w:pPr>
          </w:p>
        </w:tc>
      </w:tr>
      <w:tr>
        <w:trPr>
          <w:trHeight w:val="172"/>
        </w:trPr>
        <w:tc>
          <w:tcPr>
            <w:tcW w:w="7180" w:type="dxa"/>
            <w:vAlign w:val="bottom"/>
            <w:gridSpan w:val="2"/>
          </w:tcPr>
          <w:p>
            <w:pPr>
              <w:ind w:left="720"/>
              <w:spacing w:after="0" w:line="171" w:lineRule="exact"/>
              <w:rPr>
                <w:sz w:val="20"/>
                <w:szCs w:val="20"/>
                <w:color w:val="auto"/>
              </w:rPr>
            </w:pPr>
            <w:r>
              <w:rPr>
                <w:rFonts w:ascii="Times New Roman" w:cs="Times New Roman" w:eastAsia="Times New Roman" w:hAnsi="Times New Roman"/>
                <w:sz w:val="18"/>
                <w:szCs w:val="18"/>
                <w:color w:val="auto"/>
              </w:rPr>
              <w:t>Unrealized gai n on pensions and other postretirement plans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393,949</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right"/>
              <w:spacing w:after="0" w:line="171" w:lineRule="exact"/>
              <w:rPr>
                <w:sz w:val="20"/>
                <w:szCs w:val="20"/>
                <w:color w:val="auto"/>
              </w:rPr>
            </w:pPr>
            <w:r>
              <w:rPr>
                <w:rFonts w:ascii="Times New Roman" w:cs="Times New Roman" w:eastAsia="Times New Roman" w:hAnsi="Times New Roman"/>
                <w:sz w:val="18"/>
                <w:szCs w:val="18"/>
                <w:color w:val="auto"/>
              </w:rPr>
              <w:t>649,185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7180" w:type="dxa"/>
            <w:vAlign w:val="bottom"/>
            <w:gridSpan w:val="2"/>
          </w:tcPr>
          <w:p>
            <w:pPr>
              <w:ind w:left="720"/>
              <w:spacing w:after="0" w:line="171" w:lineRule="exact"/>
              <w:rPr>
                <w:sz w:val="20"/>
                <w:szCs w:val="20"/>
                <w:color w:val="auto"/>
              </w:rPr>
            </w:pPr>
            <w:r>
              <w:rPr>
                <w:rFonts w:ascii="Times New Roman" w:cs="Times New Roman" w:eastAsia="Times New Roman" w:hAnsi="Times New Roman"/>
                <w:sz w:val="18"/>
                <w:szCs w:val="18"/>
                <w:color w:val="auto"/>
              </w:rPr>
              <w:t>Cash flow hedges ............................. . . .. . .. . ...... .. .. . . . .. . . .</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120"/>
              <w:spacing w:after="0" w:line="171" w:lineRule="exact"/>
              <w:rPr>
                <w:sz w:val="20"/>
                <w:szCs w:val="20"/>
                <w:color w:val="auto"/>
              </w:rPr>
            </w:pPr>
            <w:r>
              <w:rPr>
                <w:rFonts w:ascii="Times New Roman" w:cs="Times New Roman" w:eastAsia="Times New Roman" w:hAnsi="Times New Roman"/>
                <w:sz w:val="18"/>
                <w:szCs w:val="18"/>
                <w:color w:val="auto"/>
              </w:rPr>
              <w:t>(1,108)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71" w:lineRule="exact"/>
              <w:rPr>
                <w:sz w:val="20"/>
                <w:szCs w:val="20"/>
                <w:color w:val="auto"/>
              </w:rPr>
            </w:pPr>
            <w:r>
              <w:rPr>
                <w:rFonts w:ascii="Times New Roman" w:cs="Times New Roman" w:eastAsia="Times New Roman" w:hAnsi="Times New Roman"/>
                <w:sz w:val="18"/>
                <w:szCs w:val="18"/>
                <w:color w:val="auto"/>
              </w:rPr>
              <w:t>(2, 137)</w:t>
            </w:r>
          </w:p>
        </w:tc>
        <w:tc>
          <w:tcPr>
            <w:tcW w:w="0" w:type="dxa"/>
            <w:vAlign w:val="bottom"/>
          </w:tcPr>
          <w:p>
            <w:pPr>
              <w:spacing w:after="0"/>
              <w:rPr>
                <w:sz w:val="1"/>
                <w:szCs w:val="1"/>
                <w:color w:val="auto"/>
              </w:rPr>
            </w:pPr>
          </w:p>
        </w:tc>
      </w:tr>
      <w:tr>
        <w:trPr>
          <w:trHeight w:val="194"/>
        </w:trPr>
        <w:tc>
          <w:tcPr>
            <w:tcW w:w="7180" w:type="dxa"/>
            <w:vAlign w:val="bottom"/>
            <w:gridSpan w:val="2"/>
          </w:tcPr>
          <w:p>
            <w:pPr>
              <w:ind w:left="360"/>
              <w:spacing w:after="0" w:line="195" w:lineRule="exact"/>
              <w:rPr>
                <w:sz w:val="20"/>
                <w:szCs w:val="20"/>
                <w:color w:val="auto"/>
              </w:rPr>
            </w:pPr>
            <w:r>
              <w:rPr>
                <w:rFonts w:ascii="Times New Roman" w:cs="Times New Roman" w:eastAsia="Times New Roman" w:hAnsi="Times New Roman"/>
                <w:sz w:val="18"/>
                <w:szCs w:val="18"/>
                <w:color w:val="auto"/>
              </w:rPr>
              <w:t>Cost of 15,667,693 and 15,521, 190 shares of Class B common stock held in treasury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20"/>
              <w:spacing w:after="0" w:line="195" w:lineRule="exact"/>
              <w:rPr>
                <w:sz w:val="20"/>
                <w:szCs w:val="20"/>
                <w:color w:val="auto"/>
              </w:rPr>
            </w:pPr>
            <w:r>
              <w:rPr>
                <w:rFonts w:ascii="Times New Roman" w:cs="Times New Roman" w:eastAsia="Times New Roman" w:hAnsi="Times New Roman"/>
                <w:sz w:val="18"/>
                <w:szCs w:val="18"/>
                <w:color w:val="auto"/>
                <w:w w:val="97"/>
              </w:rPr>
              <w:t>(4,486,805)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right"/>
              <w:spacing w:after="0" w:line="195" w:lineRule="exact"/>
              <w:rPr>
                <w:sz w:val="20"/>
                <w:szCs w:val="20"/>
                <w:color w:val="auto"/>
              </w:rPr>
            </w:pPr>
            <w:r>
              <w:rPr>
                <w:rFonts w:ascii="Times New Roman" w:cs="Times New Roman" w:eastAsia="Times New Roman" w:hAnsi="Times New Roman"/>
                <w:sz w:val="18"/>
                <w:szCs w:val="18"/>
                <w:color w:val="auto"/>
                <w:w w:val="92"/>
              </w:rPr>
              <w:t>(4,368, 103)</w:t>
            </w:r>
          </w:p>
        </w:tc>
        <w:tc>
          <w:tcPr>
            <w:tcW w:w="0" w:type="dxa"/>
            <w:vAlign w:val="bottom"/>
          </w:tcPr>
          <w:p>
            <w:pPr>
              <w:spacing w:after="0"/>
              <w:rPr>
                <w:sz w:val="1"/>
                <w:szCs w:val="1"/>
                <w:color w:val="auto"/>
              </w:rPr>
            </w:pPr>
          </w:p>
        </w:tc>
      </w:tr>
      <w:tr>
        <w:trPr>
          <w:trHeight w:val="38"/>
        </w:trPr>
        <w:tc>
          <w:tcPr>
            <w:tcW w:w="51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Common Stocl&lt;holders' Equity</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C0C"/>
            </w:tcBorders>
          </w:tcPr>
          <w:p>
            <w:pPr>
              <w:spacing w:after="0"/>
              <w:rPr>
                <w:sz w:val="3"/>
                <w:szCs w:val="3"/>
                <w:color w:val="auto"/>
              </w:rPr>
            </w:pPr>
          </w:p>
        </w:tc>
        <w:tc>
          <w:tcPr>
            <w:tcW w:w="780" w:type="dxa"/>
            <w:vAlign w:val="bottom"/>
            <w:tcBorders>
              <w:bottom w:val="single" w:sz="8" w:color="0C0C0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C0C"/>
            </w:tcBorders>
          </w:tcPr>
          <w:p>
            <w:pPr>
              <w:spacing w:after="0"/>
              <w:rPr>
                <w:sz w:val="3"/>
                <w:szCs w:val="3"/>
                <w:color w:val="auto"/>
              </w:rPr>
            </w:pPr>
          </w:p>
        </w:tc>
        <w:tc>
          <w:tcPr>
            <w:tcW w:w="780" w:type="dxa"/>
            <w:vAlign w:val="bottom"/>
            <w:tcBorders>
              <w:bottom w:val="single" w:sz="8" w:color="0C0C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180" w:type="dxa"/>
            <w:vAlign w:val="bottom"/>
            <w:gridSpan w:val="2"/>
            <w:vMerge w:val="continue"/>
          </w:tcPr>
          <w:p>
            <w:pPr>
              <w:jc w:val="right"/>
              <w:ind w:right="114"/>
              <w:spacing w:after="0" w:line="142" w:lineRule="exact"/>
              <w:rPr>
                <w:sz w:val="20"/>
                <w:szCs w:val="20"/>
                <w:color w:val="auto"/>
              </w:rPr>
            </w:pPr>
            <w:r>
              <w:rPr>
                <w:rFonts w:ascii="Times New Roman" w:cs="Times New Roman" w:eastAsia="Times New Roman" w:hAnsi="Times New Roman"/>
                <w:sz w:val="15"/>
                <w:szCs w:val="15"/>
                <w:color w:val="auto"/>
              </w:rPr>
              <w:t>..... . .......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4,256,661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3,975,737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51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40" w:type="dxa"/>
            <w:vAlign w:val="bottom"/>
            <w:vMerge w:val="restart"/>
          </w:tcPr>
          <w:p>
            <w:pPr>
              <w:jc w:val="right"/>
              <w:ind w:right="1894"/>
              <w:spacing w:after="0"/>
              <w:rPr>
                <w:sz w:val="20"/>
                <w:szCs w:val="20"/>
                <w:color w:val="auto"/>
              </w:rPr>
            </w:pPr>
            <w:r>
              <w:rPr>
                <w:rFonts w:ascii="Times New Roman" w:cs="Times New Roman" w:eastAsia="Times New Roman" w:hAnsi="Times New Roman"/>
                <w:sz w:val="15"/>
                <w:szCs w:val="15"/>
                <w:color w:val="auto"/>
                <w:w w:val="75"/>
              </w:rPr>
              <w:t>•</w:t>
            </w:r>
          </w:p>
        </w:tc>
        <w:tc>
          <w:tcPr>
            <w:tcW w:w="20" w:type="dxa"/>
            <w:vAlign w:val="bottom"/>
          </w:tcPr>
          <w:p>
            <w:pPr>
              <w:spacing w:after="0"/>
              <w:rPr>
                <w:sz w:val="3"/>
                <w:szCs w:val="3"/>
                <w:color w:val="auto"/>
              </w:rPr>
            </w:pPr>
          </w:p>
        </w:tc>
        <w:tc>
          <w:tcPr>
            <w:tcW w:w="80" w:type="dxa"/>
            <w:vAlign w:val="bottom"/>
            <w:tcBorders>
              <w:bottom w:val="single" w:sz="8" w:color="343030"/>
            </w:tcBorders>
          </w:tcPr>
          <w:p>
            <w:pPr>
              <w:spacing w:after="0"/>
              <w:rPr>
                <w:sz w:val="3"/>
                <w:szCs w:val="3"/>
                <w:color w:val="auto"/>
              </w:rPr>
            </w:pPr>
          </w:p>
        </w:tc>
        <w:tc>
          <w:tcPr>
            <w:tcW w:w="780" w:type="dxa"/>
            <w:vAlign w:val="bottom"/>
            <w:tcBorders>
              <w:bottom w:val="single" w:sz="8" w:color="343030"/>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343030"/>
            </w:tcBorders>
          </w:tcPr>
          <w:p>
            <w:pPr>
              <w:spacing w:after="0"/>
              <w:rPr>
                <w:sz w:val="3"/>
                <w:szCs w:val="3"/>
                <w:color w:val="auto"/>
              </w:rPr>
            </w:pPr>
          </w:p>
        </w:tc>
        <w:tc>
          <w:tcPr>
            <w:tcW w:w="780" w:type="dxa"/>
            <w:vAlign w:val="bottom"/>
            <w:tcBorders>
              <w:bottom w:val="single" w:sz="8" w:color="343030"/>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3"/>
        </w:trPr>
        <w:tc>
          <w:tcPr>
            <w:tcW w:w="5140" w:type="dxa"/>
            <w:vAlign w:val="bottom"/>
            <w:vMerge w:val="continue"/>
          </w:tcPr>
          <w:p>
            <w:pPr>
              <w:ind w:left="2000"/>
              <w:spacing w:after="0" w:line="152" w:lineRule="exact"/>
              <w:rPr>
                <w:sz w:val="20"/>
                <w:szCs w:val="20"/>
                <w:color w:val="auto"/>
              </w:rPr>
            </w:pPr>
            <w:r>
              <w:rPr>
                <w:rFonts w:ascii="Times New Roman" w:cs="Times New Roman" w:eastAsia="Times New Roman" w:hAnsi="Times New Roman"/>
                <w:sz w:val="17"/>
                <w:szCs w:val="17"/>
                <w:color w:val="auto"/>
              </w:rPr>
              <w:t>................................ . . .</w:t>
            </w:r>
          </w:p>
        </w:tc>
        <w:tc>
          <w:tcPr>
            <w:tcW w:w="2040" w:type="dxa"/>
            <w:vAlign w:val="bottom"/>
            <w:vMerge w:val="continue"/>
          </w:tcPr>
          <w:p>
            <w:pPr>
              <w:jc w:val="right"/>
              <w:ind w:right="114"/>
              <w:spacing w:after="0" w:line="152" w:lineRule="exact"/>
              <w:rPr>
                <w:sz w:val="20"/>
                <w:szCs w:val="20"/>
                <w:color w:val="auto"/>
              </w:rPr>
            </w:pPr>
            <w:r>
              <w:rPr>
                <w:rFonts w:ascii="Times New Roman" w:cs="Times New Roman" w:eastAsia="Times New Roman" w:hAnsi="Times New Roman"/>
                <w:sz w:val="17"/>
                <w:szCs w:val="17"/>
                <w:color w:val="auto"/>
              </w:rPr>
              <w:t>.... . . . . .. . . . . . . .. . .</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30,154</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26,131</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5140" w:type="dxa"/>
            <w:vAlign w:val="bottom"/>
            <w:vMerge w:val="restart"/>
          </w:tcPr>
          <w:p>
            <w:pPr>
              <w:ind w:left="720"/>
              <w:spacing w:after="0"/>
              <w:rPr>
                <w:sz w:val="20"/>
                <w:szCs w:val="20"/>
                <w:color w:val="auto"/>
              </w:rPr>
            </w:pPr>
            <w:r>
              <w:rPr>
                <w:rFonts w:ascii="Times New Roman" w:cs="Times New Roman" w:eastAsia="Times New Roman" w:hAnsi="Times New Roman"/>
                <w:sz w:val="18"/>
                <w:szCs w:val="18"/>
                <w:color w:val="auto"/>
              </w:rPr>
              <w:t>Total Equity  .. .. . . ... ... . . ... . . . .... .. . .. ... . . . ..</w:t>
            </w:r>
          </w:p>
        </w:tc>
        <w:tc>
          <w:tcPr>
            <w:tcW w:w="20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8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78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9"/>
        </w:trPr>
        <w:tc>
          <w:tcPr>
            <w:tcW w:w="7180" w:type="dxa"/>
            <w:vAlign w:val="bottom"/>
            <w:gridSpan w:val="2"/>
            <w:vMerge w:val="continue"/>
          </w:tcPr>
          <w:p>
            <w:pPr>
              <w:jc w:val="right"/>
              <w:ind w:right="114"/>
              <w:spacing w:after="0" w:line="151" w:lineRule="exact"/>
              <w:rPr>
                <w:sz w:val="20"/>
                <w:szCs w:val="20"/>
                <w:color w:val="auto"/>
              </w:rPr>
            </w:pPr>
            <w:r>
              <w:rPr>
                <w:rFonts w:ascii="Times New Roman" w:cs="Times New Roman" w:eastAsia="Times New Roman" w:hAnsi="Times New Roman"/>
                <w:sz w:val="17"/>
                <w:szCs w:val="17"/>
                <w:color w:val="auto"/>
              </w:rPr>
              <w:t>.. . . . . . . .. .... . . . .. .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rPr>
              <w:t>4,286,815</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9" w:lineRule="exact"/>
              <w:rPr>
                <w:sz w:val="20"/>
                <w:szCs w:val="20"/>
                <w:color w:val="auto"/>
              </w:rPr>
            </w:pPr>
            <w:r>
              <w:rPr>
                <w:rFonts w:ascii="Times New Roman" w:cs="Times New Roman" w:eastAsia="Times New Roman" w:hAnsi="Times New Roman"/>
                <w:sz w:val="18"/>
                <w:szCs w:val="18"/>
                <w:color w:val="auto"/>
                <w:w w:val="99"/>
              </w:rPr>
              <w:t>4,001 ,868</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
        </w:trPr>
        <w:tc>
          <w:tcPr>
            <w:tcW w:w="5140" w:type="dxa"/>
            <w:vAlign w:val="bottom"/>
            <w:vMerge w:val="restart"/>
          </w:tcPr>
          <w:p>
            <w:pPr>
              <w:ind w:left="1080"/>
              <w:spacing w:after="0"/>
              <w:rPr>
                <w:sz w:val="20"/>
                <w:szCs w:val="20"/>
                <w:color w:val="auto"/>
              </w:rPr>
            </w:pPr>
            <w:r>
              <w:rPr>
                <w:rFonts w:ascii="Times New Roman" w:cs="Times New Roman" w:eastAsia="Times New Roman" w:hAnsi="Times New Roman"/>
                <w:sz w:val="18"/>
                <w:szCs w:val="18"/>
                <w:color w:val="auto"/>
              </w:rPr>
              <w:t>Total Liabilities and Equity</w:t>
            </w:r>
          </w:p>
        </w:tc>
        <w:tc>
          <w:tcPr>
            <w:tcW w:w="204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8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7180" w:type="dxa"/>
            <w:vAlign w:val="bottom"/>
            <w:gridSpan w:val="2"/>
            <w:vMerge w:val="continue"/>
          </w:tcPr>
          <w:p>
            <w:pPr>
              <w:jc w:val="right"/>
              <w:ind w:right="114"/>
              <w:spacing w:after="0" w:line="152" w:lineRule="exact"/>
              <w:rPr>
                <w:sz w:val="20"/>
                <w:szCs w:val="20"/>
                <w:color w:val="auto"/>
              </w:rPr>
            </w:pPr>
            <w:r>
              <w:rPr>
                <w:rFonts w:ascii="Times New Roman" w:cs="Times New Roman" w:eastAsia="Times New Roman" w:hAnsi="Times New Roman"/>
                <w:sz w:val="17"/>
                <w:szCs w:val="17"/>
                <w:color w:val="auto"/>
              </w:rPr>
              <w:t>........ . ....... . .. . . ... . . . .. ... . .. . . . .. .</w:t>
            </w:r>
          </w:p>
        </w:tc>
        <w:tc>
          <w:tcPr>
            <w:tcW w:w="20" w:type="dxa"/>
            <w:vAlign w:val="bottom"/>
          </w:tcPr>
          <w:p>
            <w:pPr>
              <w:spacing w:after="0"/>
              <w:rPr>
                <w:sz w:val="16"/>
                <w:szCs w:val="16"/>
                <w:color w:val="auto"/>
              </w:rPr>
            </w:pPr>
          </w:p>
        </w:tc>
        <w:tc>
          <w:tcPr>
            <w:tcW w:w="80" w:type="dxa"/>
            <w:vAlign w:val="bottom"/>
            <w:tcBorders>
              <w:top w:val="single" w:sz="8" w:color="504C4C"/>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504C4C"/>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7,677,205</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top w:val="single" w:sz="8" w:color="504C4C"/>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504C4C"/>
            </w:tcBorders>
          </w:tcPr>
          <w:p>
            <w:pPr>
              <w:jc w:val="right"/>
              <w:spacing w:after="0" w:line="194" w:lineRule="exact"/>
              <w:rPr>
                <w:sz w:val="20"/>
                <w:szCs w:val="20"/>
                <w:color w:val="auto"/>
              </w:rPr>
            </w:pPr>
            <w:r>
              <w:rPr>
                <w:rFonts w:ascii="Times New Roman" w:cs="Times New Roman" w:eastAsia="Times New Roman" w:hAnsi="Times New Roman"/>
                <w:sz w:val="18"/>
                <w:szCs w:val="18"/>
                <w:color w:val="auto"/>
              </w:rPr>
              <w:t>7,187,730</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514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78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See accompanying Notes to Consolidated Financial Statements.</w:t>
      </w:r>
    </w:p>
    <w:p>
      <w:pPr>
        <w:sectPr>
          <w:pgSz w:w="12240" w:h="15850" w:orient="portrait"/>
          <w:cols w:equalWidth="0" w:num="1">
            <w:col w:w="9365"/>
          </w:cols>
          <w:pgMar w:left="1440" w:top="1375" w:right="1440" w:bottom="717" w:gutter="0" w:footer="0" w:header="0"/>
        </w:sectPr>
      </w:pPr>
    </w:p>
    <w:p>
      <w:pPr>
        <w:spacing w:after="0" w:line="200" w:lineRule="exact"/>
        <w:rPr>
          <w:sz w:val="20"/>
          <w:szCs w:val="20"/>
          <w:color w:val="auto"/>
        </w:rPr>
      </w:pPr>
    </w:p>
    <w:p>
      <w:pPr>
        <w:spacing w:after="0" w:line="312"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90</w:t>
        <w:tab/>
        <w:t>2024 FORM 10-K</w:t>
      </w:r>
    </w:p>
    <w:p>
      <w:pPr>
        <w:sectPr>
          <w:pgSz w:w="12240" w:h="15850" w:orient="portrait"/>
          <w:cols w:equalWidth="0" w:num="1">
            <w:col w:w="9365"/>
          </w:cols>
          <w:pgMar w:left="1440" w:top="1375" w:right="1440" w:bottom="717" w:gutter="0" w:footer="0" w:header="0"/>
          <w:type w:val="continuous"/>
        </w:sectPr>
      </w:pPr>
    </w:p>
    <w:bookmarkStart w:id="106" w:name="page107"/>
    <w:bookmarkEnd w:id="106"/>
    <w:p>
      <w:pPr>
        <w:jc w:val="center"/>
        <w:ind w:right="5"/>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4">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HOLDINGS COMPANY</w:t>
      </w:r>
    </w:p>
    <w:p>
      <w:pPr>
        <w:spacing w:after="0" w:line="2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color w:val="auto"/>
        </w:rPr>
        <w:t>CONSOLIDATED STATEMENTS OF CASH FLOWS</w:t>
      </w:r>
    </w:p>
    <w:p>
      <w:pPr>
        <w:sectPr>
          <w:pgSz w:w="12240" w:h="15850" w:orient="portrait"/>
          <w:cols w:equalWidth="0" w:num="1">
            <w:col w:w="9365"/>
          </w:cols>
          <w:pgMar w:left="1440" w:top="1387" w:right="1440" w:bottom="719" w:gutter="0" w:footer="0" w:header="0"/>
        </w:sectPr>
      </w:pPr>
    </w:p>
    <w:p>
      <w:pPr>
        <w:spacing w:after="0" w:line="3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(In t housands)</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Cas h Flows from Operating Activities</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Net Inc ome</w:t>
      </w:r>
    </w:p>
    <w:p>
      <w:pPr>
        <w:ind w:left="120"/>
        <w:spacing w:after="0" w:line="225" w:lineRule="auto"/>
        <w:rPr>
          <w:sz w:val="20"/>
          <w:szCs w:val="20"/>
          <w:color w:val="auto"/>
        </w:rPr>
      </w:pPr>
      <w:r>
        <w:rPr>
          <w:rFonts w:ascii="Times New Roman" w:cs="Times New Roman" w:eastAsia="Times New Roman" w:hAnsi="Times New Roman"/>
          <w:sz w:val="15"/>
          <w:szCs w:val="15"/>
          <w:color w:val="auto"/>
        </w:rPr>
        <w:t>Adjustments to reconcile net income to net cash provided by operating activities:</w:t>
      </w:r>
    </w:p>
    <w:p>
      <w:pPr>
        <w:ind w:left="440"/>
        <w:spacing w:after="0" w:line="226" w:lineRule="auto"/>
        <w:rPr>
          <w:sz w:val="20"/>
          <w:szCs w:val="20"/>
          <w:color w:val="auto"/>
        </w:rPr>
      </w:pPr>
      <w:r>
        <w:rPr>
          <w:rFonts w:ascii="Times New Roman" w:cs="Times New Roman" w:eastAsia="Times New Roman" w:hAnsi="Times New Roman"/>
          <w:sz w:val="15"/>
          <w:szCs w:val="15"/>
          <w:color w:val="auto"/>
        </w:rPr>
        <w:t>Depreciation, amonizat:ion and goodwill and other long-lived asset impairments ________ .... • .</w:t>
      </w:r>
    </w:p>
    <w:p>
      <w:pPr>
        <w:ind w:left="440"/>
        <w:spacing w:after="0"/>
        <w:tabs>
          <w:tab w:leader="none" w:pos="5900" w:val="left"/>
        </w:tabs>
        <w:rPr>
          <w:sz w:val="20"/>
          <w:szCs w:val="20"/>
          <w:color w:val="auto"/>
        </w:rPr>
      </w:pPr>
      <w:r>
        <w:rPr>
          <w:rFonts w:ascii="Times New Roman" w:cs="Times New Roman" w:eastAsia="Times New Roman" w:hAnsi="Times New Roman"/>
          <w:sz w:val="15"/>
          <w:szCs w:val="15"/>
          <w:color w:val="auto"/>
        </w:rPr>
        <w:t>Amortization of lease ri ght-of-use asset</w:t>
      </w:r>
      <w:r>
        <w:rPr>
          <w:sz w:val="20"/>
          <w:szCs w:val="20"/>
          <w:color w:val="auto"/>
        </w:rPr>
        <w:tab/>
      </w:r>
      <w:r>
        <w:rPr>
          <w:rFonts w:ascii="Times New Roman" w:cs="Times New Roman" w:eastAsia="Times New Roman" w:hAnsi="Times New Roman"/>
          <w:sz w:val="15"/>
          <w:szCs w:val="15"/>
          <w:color w:val="auto"/>
        </w:rPr>
        <w:t>..... ... . .</w:t>
      </w:r>
    </w:p>
    <w:p>
      <w:pPr>
        <w:spacing w:after="0" w:line="8" w:lineRule="exact"/>
        <w:rPr>
          <w:sz w:val="20"/>
          <w:szCs w:val="20"/>
          <w:color w:val="auto"/>
        </w:rPr>
      </w:pPr>
    </w:p>
    <w:p>
      <w:pPr>
        <w:ind w:left="440"/>
        <w:spacing w:after="0"/>
        <w:tabs>
          <w:tab w:leader="none" w:pos="6060" w:val="left"/>
        </w:tabs>
        <w:rPr>
          <w:sz w:val="20"/>
          <w:szCs w:val="20"/>
          <w:color w:val="auto"/>
        </w:rPr>
      </w:pPr>
      <w:r>
        <w:rPr>
          <w:rFonts w:ascii="Times New Roman" w:cs="Times New Roman" w:eastAsia="Times New Roman" w:hAnsi="Times New Roman"/>
          <w:sz w:val="15"/>
          <w:szCs w:val="15"/>
          <w:color w:val="auto"/>
        </w:rPr>
        <w:t>Net pension benefit, settlement gain and early retirement and separation program costs</w:t>
        <w:tab/>
        <w:t>....... .</w:t>
      </w:r>
    </w:p>
    <w:p>
      <w:pPr>
        <w:ind w:left="440"/>
        <w:spacing w:after="0"/>
        <w:tabs>
          <w:tab w:leader="none" w:pos="5440" w:val="left"/>
        </w:tabs>
        <w:rPr>
          <w:sz w:val="20"/>
          <w:szCs w:val="20"/>
          <w:color w:val="auto"/>
        </w:rPr>
      </w:pPr>
      <w:r>
        <w:rPr>
          <w:rFonts w:ascii="Times New Roman" w:cs="Times New Roman" w:eastAsia="Times New Roman" w:hAnsi="Times New Roman"/>
          <w:sz w:val="15"/>
          <w:szCs w:val="15"/>
          <w:color w:val="auto"/>
        </w:rPr>
        <w:t>(Gain) loss on marketable equity securities and cost method i nvestments, net</w:t>
        <w:tab/>
        <w:t>. .. . ........... .</w:t>
      </w:r>
    </w:p>
    <w:p>
      <w:pPr>
        <w:ind w:left="440"/>
        <w:spacing w:after="0"/>
        <w:tabs>
          <w:tab w:leader="none" w:pos="4940" w:val="left"/>
        </w:tabs>
        <w:rPr>
          <w:sz w:val="20"/>
          <w:szCs w:val="20"/>
          <w:color w:val="auto"/>
        </w:rPr>
      </w:pPr>
      <w:r>
        <w:rPr>
          <w:rFonts w:ascii="Times New Roman" w:cs="Times New Roman" w:eastAsia="Times New Roman" w:hAnsi="Times New Roman"/>
          <w:sz w:val="15"/>
          <w:szCs w:val="15"/>
          <w:color w:val="auto"/>
        </w:rPr>
        <w:t>Credit loss expense and provision for other receivables</w:t>
      </w:r>
      <w:r>
        <w:rPr>
          <w:sz w:val="20"/>
          <w:szCs w:val="20"/>
          <w:color w:val="auto"/>
        </w:rPr>
        <w:tab/>
      </w:r>
      <w:r>
        <w:rPr>
          <w:rFonts w:ascii="Times New Roman" w:cs="Times New Roman" w:eastAsia="Times New Roman" w:hAnsi="Times New Roman"/>
          <w:sz w:val="14"/>
          <w:szCs w:val="14"/>
          <w:color w:val="auto"/>
        </w:rPr>
        <w:t>. . _______ ___ . . ______ • _</w:t>
      </w:r>
    </w:p>
    <w:p>
      <w:pPr>
        <w:spacing w:after="0" w:line="9" w:lineRule="exact"/>
        <w:rPr>
          <w:sz w:val="20"/>
          <w:szCs w:val="20"/>
          <w:color w:val="auto"/>
        </w:rPr>
      </w:pPr>
    </w:p>
    <w:p>
      <w:pPr>
        <w:ind w:left="440"/>
        <w:spacing w:after="0"/>
        <w:tabs>
          <w:tab w:leader="none" w:pos="5680" w:val="left"/>
        </w:tabs>
        <w:rPr>
          <w:sz w:val="20"/>
          <w:szCs w:val="20"/>
          <w:color w:val="auto"/>
        </w:rPr>
      </w:pPr>
      <w:r>
        <w:rPr>
          <w:rFonts w:ascii="Times New Roman" w:cs="Times New Roman" w:eastAsia="Times New Roman" w:hAnsi="Times New Roman"/>
          <w:sz w:val="15"/>
          <w:szCs w:val="15"/>
          <w:color w:val="auto"/>
        </w:rPr>
        <w:t>Stock-based compensation expense, net of forfeitures _ _</w:t>
      </w:r>
      <w:r>
        <w:rPr>
          <w:sz w:val="20"/>
          <w:szCs w:val="20"/>
          <w:color w:val="auto"/>
        </w:rPr>
        <w:tab/>
      </w:r>
      <w:r>
        <w:rPr>
          <w:rFonts w:ascii="Times New Roman" w:cs="Times New Roman" w:eastAsia="Times New Roman" w:hAnsi="Times New Roman"/>
          <w:sz w:val="15"/>
          <w:szCs w:val="15"/>
          <w:color w:val="auto"/>
        </w:rPr>
        <w:t>_ __ .. . . . ... . .</w:t>
      </w:r>
    </w:p>
    <w:p>
      <w:pPr>
        <w:ind w:left="440"/>
        <w:spacing w:after="0"/>
        <w:rPr>
          <w:sz w:val="20"/>
          <w:szCs w:val="20"/>
          <w:color w:val="auto"/>
        </w:rPr>
      </w:pPr>
      <w:r>
        <w:rPr>
          <w:rFonts w:ascii="Times New Roman" w:cs="Times New Roman" w:eastAsia="Times New Roman" w:hAnsi="Times New Roman"/>
          <w:sz w:val="15"/>
          <w:szCs w:val="15"/>
          <w:color w:val="auto"/>
        </w:rPr>
        <w:t>Accretion expense and change in fair value of contingent consideration liabil ities . .. .. ....... .</w:t>
      </w:r>
    </w:p>
    <w:p>
      <w:pPr>
        <w:ind w:left="440"/>
        <w:spacing w:after="0"/>
        <w:tabs>
          <w:tab w:leader="none" w:pos="4540" w:val="left"/>
        </w:tabs>
        <w:rPr>
          <w:sz w:val="20"/>
          <w:szCs w:val="20"/>
          <w:color w:val="auto"/>
        </w:rPr>
      </w:pPr>
      <w:r>
        <w:rPr>
          <w:rFonts w:ascii="Times New Roman" w:cs="Times New Roman" w:eastAsia="Times New Roman" w:hAnsi="Times New Roman"/>
          <w:sz w:val="15"/>
          <w:szCs w:val="15"/>
          <w:color w:val="auto"/>
        </w:rPr>
        <w:t>Foreign exchange (gain) loss</w:t>
      </w:r>
      <w:r>
        <w:rPr>
          <w:sz w:val="20"/>
          <w:szCs w:val="20"/>
          <w:color w:val="auto"/>
        </w:rPr>
        <w:tab/>
      </w:r>
      <w:r>
        <w:rPr>
          <w:rFonts w:ascii="Times New Roman" w:cs="Times New Roman" w:eastAsia="Times New Roman" w:hAnsi="Times New Roman"/>
          <w:sz w:val="13"/>
          <w:szCs w:val="13"/>
          <w:color w:val="auto"/>
        </w:rPr>
        <w:t>____ ____ ___ __ ____ _ _</w:t>
      </w:r>
    </w:p>
    <w:p>
      <w:pPr>
        <w:spacing w:after="0" w:line="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Gain on disposition of businesses, property, plant and equipment, investments and other assets,</w:t>
      </w:r>
    </w:p>
    <w:p>
      <w:pPr>
        <w:ind w:left="620"/>
        <w:spacing w:after="0" w:line="188" w:lineRule="auto"/>
        <w:tabs>
          <w:tab w:leader="none" w:pos="860" w:val="left"/>
          <w:tab w:leader="none" w:pos="5680" w:val="left"/>
        </w:tabs>
        <w:rPr>
          <w:sz w:val="20"/>
          <w:szCs w:val="20"/>
          <w:color w:val="auto"/>
        </w:rPr>
      </w:pPr>
      <w:r>
        <w:rPr>
          <w:rFonts w:ascii="Times New Roman" w:cs="Times New Roman" w:eastAsia="Times New Roman" w:hAnsi="Times New Roman"/>
          <w:sz w:val="15"/>
          <w:szCs w:val="15"/>
          <w:color w:val="auto"/>
        </w:rPr>
        <w:t>net</w:t>
        <w:tab/>
        <w:t>__ . _ _ _ _ _ _</w:t>
      </w:r>
      <w:r>
        <w:rPr>
          <w:sz w:val="20"/>
          <w:szCs w:val="20"/>
          <w:color w:val="auto"/>
        </w:rPr>
        <w:tab/>
      </w:r>
      <w:r>
        <w:rPr>
          <w:rFonts w:ascii="Times New Roman" w:cs="Times New Roman" w:eastAsia="Times New Roman" w:hAnsi="Times New Roman"/>
          <w:sz w:val="15"/>
          <w:szCs w:val="15"/>
          <w:color w:val="auto"/>
        </w:rPr>
        <w:t>. . ____ .. _</w:t>
      </w:r>
    </w:p>
    <w:p>
      <w:pPr>
        <w:spacing w:after="0" w:line="56" w:lineRule="exact"/>
        <w:rPr>
          <w:sz w:val="20"/>
          <w:szCs w:val="20"/>
          <w:color w:val="auto"/>
        </w:rPr>
      </w:pPr>
    </w:p>
    <w:p>
      <w:pPr>
        <w:ind w:left="440"/>
        <w:spacing w:after="0"/>
        <w:tabs>
          <w:tab w:leader="none" w:pos="3600" w:val="left"/>
        </w:tabs>
        <w:rPr>
          <w:sz w:val="20"/>
          <w:szCs w:val="20"/>
          <w:color w:val="auto"/>
        </w:rPr>
      </w:pPr>
      <w:r>
        <w:rPr>
          <w:rFonts w:ascii="Times New Roman" w:cs="Times New Roman" w:eastAsia="Times New Roman" w:hAnsi="Times New Roman"/>
          <w:sz w:val="15"/>
          <w:szCs w:val="15"/>
          <w:color w:val="auto"/>
        </w:rPr>
        <w:t>Equity in losses of affihates, net of distributions</w:t>
        <w:tab/>
        <w:t>. . .. . .. . . ..... .. . . .. .. . .. . . ........... .</w:t>
      </w:r>
    </w:p>
    <w:p>
      <w:pPr>
        <w:ind w:left="440"/>
        <w:spacing w:after="0"/>
        <w:tabs>
          <w:tab w:leader="none" w:pos="3760" w:val="left"/>
        </w:tabs>
        <w:rPr>
          <w:sz w:val="20"/>
          <w:szCs w:val="20"/>
          <w:color w:val="auto"/>
        </w:rPr>
      </w:pPr>
      <w:r>
        <w:rPr>
          <w:rFonts w:ascii="Times New Roman" w:cs="Times New Roman" w:eastAsia="Times New Roman" w:hAnsi="Times New Roman"/>
          <w:sz w:val="15"/>
          <w:szCs w:val="15"/>
          <w:color w:val="auto"/>
        </w:rPr>
        <w:t>Provision for (benefit from) deferred income taxes</w:t>
        <w:tab/>
        <w:t>.. . .. . . ..... .. . . ..... . .. . ........... .</w:t>
      </w:r>
    </w:p>
    <w:p>
      <w:pPr>
        <w:ind w:left="440"/>
        <w:spacing w:after="0" w:line="225" w:lineRule="auto"/>
        <w:rPr>
          <w:sz w:val="20"/>
          <w:szCs w:val="20"/>
          <w:color w:val="auto"/>
        </w:rPr>
      </w:pPr>
      <w:r>
        <w:rPr>
          <w:rFonts w:ascii="Times New Roman" w:cs="Times New Roman" w:eastAsia="Times New Roman" w:hAnsi="Times New Roman"/>
          <w:sz w:val="15"/>
          <w:szCs w:val="15"/>
          <w:color w:val="auto"/>
        </w:rPr>
        <w:t>Change in operating assets and liabilities:</w:t>
      </w:r>
    </w:p>
    <w:p>
      <w:pPr>
        <w:ind w:left="760"/>
        <w:spacing w:after="0" w:line="228" w:lineRule="auto"/>
        <w:tabs>
          <w:tab w:leader="none" w:pos="4240" w:val="left"/>
          <w:tab w:leader="none" w:pos="5180" w:val="left"/>
        </w:tabs>
        <w:rPr>
          <w:sz w:val="20"/>
          <w:szCs w:val="20"/>
          <w:color w:val="auto"/>
        </w:rPr>
      </w:pPr>
      <w:r>
        <w:rPr>
          <w:rFonts w:ascii="Times New Roman" w:cs="Times New Roman" w:eastAsia="Times New Roman" w:hAnsi="Times New Roman"/>
          <w:sz w:val="15"/>
          <w:szCs w:val="15"/>
          <w:color w:val="auto"/>
        </w:rPr>
        <w:t>Accounts receivable</w:t>
      </w:r>
      <w:r>
        <w:rPr>
          <w:sz w:val="20"/>
          <w:szCs w:val="20"/>
          <w:color w:val="auto"/>
        </w:rPr>
        <w:tab/>
      </w:r>
      <w:r>
        <w:rPr>
          <w:rFonts w:ascii="Times New Roman" w:cs="Times New Roman" w:eastAsia="Times New Roman" w:hAnsi="Times New Roman"/>
          <w:sz w:val="15"/>
          <w:szCs w:val="15"/>
          <w:color w:val="auto"/>
        </w:rPr>
        <w:t>. .. . . . .. _</w:t>
      </w:r>
      <w:r>
        <w:rPr>
          <w:sz w:val="20"/>
          <w:szCs w:val="20"/>
          <w:color w:val="auto"/>
        </w:rPr>
        <w:tab/>
      </w:r>
      <w:r>
        <w:rPr>
          <w:rFonts w:ascii="Times New Roman" w:cs="Times New Roman" w:eastAsia="Times New Roman" w:hAnsi="Times New Roman"/>
          <w:sz w:val="14"/>
          <w:szCs w:val="14"/>
          <w:color w:val="auto"/>
        </w:rPr>
        <w:t>_ ________ •• ______ • _</w:t>
      </w:r>
    </w:p>
    <w:p>
      <w:pPr>
        <w:spacing w:after="0" w:line="9" w:lineRule="exact"/>
        <w:rPr>
          <w:sz w:val="20"/>
          <w:szCs w:val="20"/>
          <w:color w:val="auto"/>
        </w:rPr>
      </w:pPr>
    </w:p>
    <w:p>
      <w:pPr>
        <w:ind w:left="780"/>
        <w:spacing w:after="0"/>
        <w:tabs>
          <w:tab w:leader="none" w:pos="4240" w:val="left"/>
          <w:tab w:leader="none" w:pos="5180" w:val="left"/>
        </w:tabs>
        <w:rPr>
          <w:sz w:val="20"/>
          <w:szCs w:val="20"/>
          <w:color w:val="auto"/>
        </w:rPr>
      </w:pPr>
      <w:r>
        <w:rPr>
          <w:rFonts w:ascii="Times New Roman" w:cs="Times New Roman" w:eastAsia="Times New Roman" w:hAnsi="Times New Roman"/>
          <w:sz w:val="15"/>
          <w:szCs w:val="15"/>
          <w:color w:val="auto"/>
        </w:rPr>
        <w:t>Inventories _ .</w:t>
      </w:r>
      <w:r>
        <w:rPr>
          <w:sz w:val="20"/>
          <w:szCs w:val="20"/>
          <w:color w:val="auto"/>
        </w:rPr>
        <w:tab/>
      </w:r>
      <w:r>
        <w:rPr>
          <w:rFonts w:ascii="Times New Roman" w:cs="Times New Roman" w:eastAsia="Times New Roman" w:hAnsi="Times New Roman"/>
          <w:sz w:val="15"/>
          <w:szCs w:val="15"/>
          <w:color w:val="auto"/>
        </w:rPr>
        <w:t>. . _•• _ __ _</w:t>
      </w:r>
      <w:r>
        <w:rPr>
          <w:sz w:val="20"/>
          <w:szCs w:val="20"/>
          <w:color w:val="auto"/>
        </w:rPr>
        <w:tab/>
      </w:r>
      <w:r>
        <w:rPr>
          <w:rFonts w:ascii="Times New Roman" w:cs="Times New Roman" w:eastAsia="Times New Roman" w:hAnsi="Times New Roman"/>
          <w:sz w:val="14"/>
          <w:szCs w:val="14"/>
          <w:color w:val="auto"/>
        </w:rPr>
        <w:t>_ ________ •• - - - - -- . -</w:t>
      </w:r>
    </w:p>
    <w:p>
      <w:pPr>
        <w:spacing w:after="0" w:line="18" w:lineRule="exact"/>
        <w:rPr>
          <w:sz w:val="20"/>
          <w:szCs w:val="20"/>
          <w:color w:val="auto"/>
        </w:rPr>
      </w:pPr>
    </w:p>
    <w:p>
      <w:pPr>
        <w:ind w:left="760"/>
        <w:spacing w:after="0"/>
        <w:tabs>
          <w:tab w:leader="none" w:pos="3420" w:val="left"/>
        </w:tabs>
        <w:rPr>
          <w:sz w:val="20"/>
          <w:szCs w:val="20"/>
          <w:color w:val="auto"/>
        </w:rPr>
      </w:pPr>
      <w:r>
        <w:rPr>
          <w:rFonts w:ascii="Times New Roman" w:cs="Times New Roman" w:eastAsia="Times New Roman" w:hAnsi="Times New Roman"/>
          <w:sz w:val="15"/>
          <w:szCs w:val="15"/>
          <w:color w:val="auto"/>
        </w:rPr>
        <w:t>Accounts payable and accrued liabilities</w:t>
        <w:tab/>
        <w:t>. .. . .. . •• . .. . .. .... .. ....... .. .. . ...... • .</w:t>
      </w:r>
    </w:p>
    <w:p>
      <w:pPr>
        <w:ind w:left="760"/>
        <w:spacing w:after="0"/>
        <w:rPr>
          <w:sz w:val="20"/>
          <w:szCs w:val="20"/>
          <w:color w:val="auto"/>
        </w:rPr>
      </w:pPr>
      <w:r>
        <w:rPr>
          <w:rFonts w:ascii="Times New Roman" w:cs="Times New Roman" w:eastAsia="Times New Roman" w:hAnsi="Times New Roman"/>
          <w:sz w:val="15"/>
          <w:szCs w:val="15"/>
          <w:color w:val="auto"/>
        </w:rPr>
        <w:t>Deferred revenue . . . .. .. . .. . .. . .. . .. . .. . .. . •• . . .. .. . .. . . .. .. ............... . .</w:t>
      </w:r>
    </w:p>
    <w:p>
      <w:pPr>
        <w:ind w:left="760"/>
        <w:spacing w:after="0" w:line="237" w:lineRule="auto"/>
        <w:tabs>
          <w:tab w:leader="none" w:pos="2940" w:val="left"/>
        </w:tabs>
        <w:rPr>
          <w:sz w:val="20"/>
          <w:szCs w:val="20"/>
          <w:color w:val="auto"/>
        </w:rPr>
      </w:pPr>
      <w:r>
        <w:rPr>
          <w:rFonts w:ascii="Times New Roman" w:cs="Times New Roman" w:eastAsia="Times New Roman" w:hAnsi="Times New Roman"/>
          <w:sz w:val="15"/>
          <w:szCs w:val="15"/>
          <w:color w:val="auto"/>
        </w:rPr>
        <w:t>Income taxes receivable/payable</w:t>
        <w:tab/>
        <w:t>. .. . .. . . .. .. . •• . . .. .. .. . . . ................... . .</w:t>
      </w:r>
    </w:p>
    <w:p>
      <w:pPr>
        <w:ind w:left="760"/>
        <w:spacing w:after="0"/>
        <w:rPr>
          <w:sz w:val="20"/>
          <w:szCs w:val="20"/>
          <w:color w:val="auto"/>
        </w:rPr>
      </w:pPr>
      <w:r>
        <w:rPr>
          <w:rFonts w:ascii="Times New Roman" w:cs="Times New Roman" w:eastAsia="Times New Roman" w:hAnsi="Times New Roman"/>
          <w:sz w:val="15"/>
          <w:szCs w:val="15"/>
          <w:color w:val="auto"/>
        </w:rPr>
        <w:t>Lease liabilities  .. . .. . .. . .. . .. . .. . .. . .. . .. . •• . .. . .. . .. . . .. .. . .. . . .. .. ...... . .</w:t>
      </w:r>
    </w:p>
    <w:p>
      <w:pPr>
        <w:ind w:left="760"/>
        <w:spacing w:after="0" w:line="238" w:lineRule="auto"/>
        <w:tabs>
          <w:tab w:leader="none" w:pos="3180" w:val="left"/>
        </w:tabs>
        <w:rPr>
          <w:sz w:val="20"/>
          <w:szCs w:val="20"/>
          <w:color w:val="auto"/>
        </w:rPr>
      </w:pPr>
      <w:r>
        <w:rPr>
          <w:rFonts w:ascii="Times New Roman" w:cs="Times New Roman" w:eastAsia="Times New Roman" w:hAnsi="Times New Roman"/>
          <w:sz w:val="15"/>
          <w:szCs w:val="15"/>
          <w:color w:val="auto"/>
        </w:rPr>
        <w:t>Other assets and other liabil ities, net</w:t>
        <w:tab/>
        <w:t>. .. . .. . .. . •• . .. . •• . .. . .. .. . . . .. .. . •• ...... • .</w:t>
      </w:r>
    </w:p>
    <w:p>
      <w:pPr>
        <w:ind w:left="440"/>
        <w:spacing w:after="0"/>
        <w:rPr>
          <w:sz w:val="20"/>
          <w:szCs w:val="20"/>
          <w:color w:val="auto"/>
        </w:rPr>
      </w:pPr>
      <w:r>
        <w:rPr>
          <w:rFonts w:ascii="Times New Roman" w:cs="Times New Roman" w:eastAsia="Times New Roman" w:hAnsi="Times New Roman"/>
          <w:sz w:val="15"/>
          <w:szCs w:val="15"/>
          <w:color w:val="auto"/>
        </w:rPr>
        <w:t>Other .... . .... .. . .. . . .. .. . .. . .. . .. . .. . .. . .. . •• . . .. .. . .. . . ... . . .. . . .. .. ...... . .</w:t>
      </w:r>
    </w:p>
    <w:p>
      <w:pPr>
        <w:spacing w:after="0" w:line="84" w:lineRule="exact"/>
        <w:rPr>
          <w:sz w:val="20"/>
          <w:szCs w:val="20"/>
          <w:color w:val="auto"/>
        </w:rPr>
      </w:pPr>
    </w:p>
    <w:p>
      <w:pPr>
        <w:ind w:left="760"/>
        <w:spacing w:after="0"/>
        <w:tabs>
          <w:tab w:leader="none" w:pos="3600" w:val="left"/>
        </w:tabs>
        <w:rPr>
          <w:sz w:val="20"/>
          <w:szCs w:val="20"/>
          <w:color w:val="auto"/>
        </w:rPr>
      </w:pPr>
      <w:r>
        <w:rPr>
          <w:rFonts w:ascii="Times New Roman" w:cs="Times New Roman" w:eastAsia="Times New Roman" w:hAnsi="Times New Roman"/>
          <w:sz w:val="15"/>
          <w:szCs w:val="15"/>
          <w:color w:val="auto"/>
        </w:rPr>
        <w:t>Net Cash Provided. by Operating Activities</w:t>
        <w:tab/>
        <w:t>.. .. . .. . . ..... .. . . .. .. . .. . . ........... .</w:t>
      </w:r>
    </w:p>
    <w:p>
      <w:pPr>
        <w:spacing w:after="0" w:line="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Cash F lows from I nvesting Activities</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Purc hases of property, plant and equipment _ .</w:t>
      </w:r>
    </w:p>
    <w:p>
      <w:pPr>
        <w:ind w:left="440"/>
        <w:spacing w:after="0"/>
        <w:rPr>
          <w:sz w:val="20"/>
          <w:szCs w:val="20"/>
          <w:color w:val="auto"/>
        </w:rPr>
      </w:pPr>
      <w:r>
        <w:rPr>
          <w:rFonts w:ascii="Times New Roman" w:cs="Times New Roman" w:eastAsia="Times New Roman" w:hAnsi="Times New Roman"/>
          <w:sz w:val="15"/>
          <w:szCs w:val="15"/>
          <w:color w:val="auto"/>
        </w:rPr>
        <w:t>Proceeds from sales of marketable equity securities .</w:t>
      </w:r>
    </w:p>
    <w:p>
      <w:pPr>
        <w:ind w:left="440"/>
        <w:spacing w:after="0" w:line="237" w:lineRule="auto"/>
        <w:rPr>
          <w:sz w:val="20"/>
          <w:szCs w:val="20"/>
          <w:color w:val="auto"/>
        </w:rPr>
      </w:pPr>
      <w:r>
        <w:rPr>
          <w:rFonts w:ascii="Times New Roman" w:cs="Times New Roman" w:eastAsia="Times New Roman" w:hAnsi="Times New Roman"/>
          <w:sz w:val="15"/>
          <w:szCs w:val="15"/>
          <w:color w:val="auto"/>
        </w:rPr>
        <w:t>Net proceeds from sales of businesses, property, plant and equipment, investments and other</w:t>
      </w:r>
    </w:p>
    <w:p>
      <w:pPr>
        <w:ind w:left="600"/>
        <w:spacing w:after="0" w:line="228" w:lineRule="auto"/>
        <w:tabs>
          <w:tab w:leader="none" w:pos="3020" w:val="left"/>
          <w:tab w:leader="none" w:pos="5680" w:val="left"/>
        </w:tabs>
        <w:rPr>
          <w:sz w:val="20"/>
          <w:szCs w:val="20"/>
          <w:color w:val="auto"/>
        </w:rPr>
      </w:pPr>
      <w:r>
        <w:rPr>
          <w:rFonts w:ascii="Times New Roman" w:cs="Times New Roman" w:eastAsia="Times New Roman" w:hAnsi="Times New Roman"/>
          <w:sz w:val="15"/>
          <w:szCs w:val="15"/>
          <w:color w:val="auto"/>
        </w:rPr>
        <w:t>assets . __ . _ . . _</w:t>
      </w:r>
      <w:r>
        <w:rPr>
          <w:sz w:val="20"/>
          <w:szCs w:val="20"/>
          <w:color w:val="auto"/>
        </w:rPr>
        <w:tab/>
      </w:r>
      <w:r>
        <w:rPr>
          <w:rFonts w:ascii="Times New Roman" w:cs="Times New Roman" w:eastAsia="Times New Roman" w:hAnsi="Times New Roman"/>
          <w:sz w:val="15"/>
          <w:szCs w:val="15"/>
          <w:color w:val="auto"/>
        </w:rPr>
        <w:t>. . . .. _. . . . .</w:t>
      </w:r>
      <w:r>
        <w:rPr>
          <w:sz w:val="20"/>
          <w:szCs w:val="20"/>
          <w:color w:val="auto"/>
        </w:rPr>
        <w:tab/>
      </w:r>
      <w:r>
        <w:rPr>
          <w:rFonts w:ascii="Times New Roman" w:cs="Times New Roman" w:eastAsia="Times New Roman" w:hAnsi="Times New Roman"/>
          <w:sz w:val="14"/>
          <w:szCs w:val="14"/>
          <w:color w:val="auto"/>
        </w:rPr>
        <w:t>. . _ . _. .. _ .</w:t>
      </w:r>
    </w:p>
    <w:p>
      <w:pPr>
        <w:spacing w:after="0" w:line="18" w:lineRule="exact"/>
        <w:rPr>
          <w:sz w:val="20"/>
          <w:szCs w:val="20"/>
          <w:color w:val="auto"/>
        </w:rPr>
      </w:pPr>
    </w:p>
    <w:p>
      <w:pPr>
        <w:ind w:left="440"/>
        <w:spacing w:after="0"/>
        <w:tabs>
          <w:tab w:leader="none" w:pos="3180" w:val="left"/>
          <w:tab w:leader="none" w:pos="4940" w:val="left"/>
        </w:tabs>
        <w:rPr>
          <w:sz w:val="20"/>
          <w:szCs w:val="20"/>
          <w:color w:val="auto"/>
        </w:rPr>
      </w:pPr>
      <w:r>
        <w:rPr>
          <w:rFonts w:ascii="Times New Roman" w:cs="Times New Roman" w:eastAsia="Times New Roman" w:hAnsi="Times New Roman"/>
          <w:sz w:val="15"/>
          <w:szCs w:val="15"/>
          <w:color w:val="auto"/>
        </w:rPr>
        <w:t>Purc hases of marketable equi ty securities</w:t>
        <w:tab/>
        <w:t>. . . .</w:t>
      </w:r>
      <w:r>
        <w:rPr>
          <w:sz w:val="20"/>
          <w:szCs w:val="20"/>
          <w:color w:val="auto"/>
        </w:rPr>
        <w:tab/>
      </w:r>
      <w:r>
        <w:rPr>
          <w:rFonts w:ascii="Times New Roman" w:cs="Times New Roman" w:eastAsia="Times New Roman" w:hAnsi="Times New Roman"/>
          <w:sz w:val="15"/>
          <w:szCs w:val="15"/>
          <w:color w:val="auto"/>
        </w:rPr>
        <w:t>. . . ... •• . . .. •• ...... • .</w:t>
      </w:r>
    </w:p>
    <w:p>
      <w:pPr>
        <w:ind w:left="440"/>
        <w:spacing w:after="0"/>
        <w:tabs>
          <w:tab w:leader="none" w:pos="4780" w:val="left"/>
        </w:tabs>
        <w:rPr>
          <w:sz w:val="20"/>
          <w:szCs w:val="20"/>
          <w:color w:val="auto"/>
        </w:rPr>
      </w:pPr>
      <w:r>
        <w:rPr>
          <w:rFonts w:ascii="Times New Roman" w:cs="Times New Roman" w:eastAsia="Times New Roman" w:hAnsi="Times New Roman"/>
          <w:sz w:val="15"/>
          <w:szCs w:val="15"/>
          <w:color w:val="auto"/>
        </w:rPr>
        <w:t>Investments in equity affiliates, cost method a nd other investments</w:t>
        <w:tab/>
        <w:t>. _</w:t>
      </w:r>
    </w:p>
    <w:p>
      <w:pPr>
        <w:ind w:left="440"/>
        <w:spacing w:after="0" w:line="237" w:lineRule="auto"/>
        <w:tabs>
          <w:tab w:leader="none" w:pos="4000" w:val="left"/>
        </w:tabs>
        <w:rPr>
          <w:sz w:val="20"/>
          <w:szCs w:val="20"/>
          <w:color w:val="auto"/>
        </w:rPr>
      </w:pPr>
      <w:r>
        <w:rPr>
          <w:rFonts w:ascii="Times New Roman" w:cs="Times New Roman" w:eastAsia="Times New Roman" w:hAnsi="Times New Roman"/>
          <w:sz w:val="15"/>
          <w:szCs w:val="15"/>
          <w:color w:val="auto"/>
        </w:rPr>
        <w:t>Investments in certain businesses, net of cash acquired</w:t>
        <w:tab/>
        <w:t>.. . .. . .. . .. . . .. .. . .. . . .......... . .</w:t>
      </w:r>
    </w:p>
    <w:p>
      <w:pPr>
        <w:ind w:left="440"/>
        <w:spacing w:after="0"/>
        <w:rPr>
          <w:sz w:val="20"/>
          <w:szCs w:val="20"/>
          <w:color w:val="auto"/>
        </w:rPr>
      </w:pPr>
      <w:r>
        <w:rPr>
          <w:rFonts w:ascii="Times New Roman" w:cs="Times New Roman" w:eastAsia="Times New Roman" w:hAnsi="Times New Roman"/>
          <w:sz w:val="15"/>
          <w:szCs w:val="15"/>
          <w:color w:val="auto"/>
        </w:rPr>
        <w:t>Loan to related party .. .. . . .. . .. . .. . .. . .. . .. . .. . .. . .. . .. . .. . .. .. . . . .. . .......... . .</w:t>
      </w:r>
    </w:p>
    <w:p>
      <w:pPr>
        <w:ind w:left="440"/>
        <w:spacing w:after="0" w:line="238" w:lineRule="auto"/>
        <w:tabs>
          <w:tab w:leader="none" w:pos="5680" w:val="left"/>
        </w:tabs>
        <w:rPr>
          <w:sz w:val="20"/>
          <w:szCs w:val="20"/>
          <w:color w:val="auto"/>
        </w:rPr>
      </w:pPr>
      <w:r>
        <w:rPr>
          <w:rFonts w:ascii="Times New Roman" w:cs="Times New Roman" w:eastAsia="Times New Roman" w:hAnsi="Times New Roman"/>
          <w:sz w:val="15"/>
          <w:szCs w:val="15"/>
          <w:color w:val="auto"/>
        </w:rPr>
        <w:t>Other</w:t>
      </w:r>
      <w:r>
        <w:rPr>
          <w:sz w:val="20"/>
          <w:szCs w:val="20"/>
          <w:color w:val="auto"/>
        </w:rPr>
        <w:tab/>
      </w:r>
      <w:r>
        <w:rPr>
          <w:rFonts w:ascii="Times New Roman" w:cs="Times New Roman" w:eastAsia="Times New Roman" w:hAnsi="Times New Roman"/>
          <w:sz w:val="15"/>
          <w:szCs w:val="15"/>
          <w:color w:val="auto"/>
        </w:rPr>
        <w:t>. .. •• ...... • .</w:t>
      </w:r>
    </w:p>
    <w:p>
      <w:pPr>
        <w:spacing w:after="0" w:line="76" w:lineRule="exact"/>
        <w:rPr>
          <w:sz w:val="20"/>
          <w:szCs w:val="20"/>
          <w:color w:val="auto"/>
        </w:rPr>
      </w:pPr>
    </w:p>
    <w:p>
      <w:pPr>
        <w:ind w:left="780"/>
        <w:spacing w:after="0"/>
        <w:tabs>
          <w:tab w:leader="none" w:pos="3260" w:val="left"/>
        </w:tabs>
        <w:rPr>
          <w:sz w:val="20"/>
          <w:szCs w:val="20"/>
          <w:color w:val="auto"/>
        </w:rPr>
      </w:pPr>
      <w:r>
        <w:rPr>
          <w:rFonts w:ascii="Times New Roman" w:cs="Times New Roman" w:eastAsia="Times New Roman" w:hAnsi="Times New Roman"/>
          <w:sz w:val="15"/>
          <w:szCs w:val="15"/>
          <w:color w:val="auto"/>
        </w:rPr>
        <w:t>Net Cash Used in Investing Activities</w:t>
        <w:tab/>
        <w:t>.. .</w:t>
      </w:r>
    </w:p>
    <w:p>
      <w:pPr>
        <w:spacing w:after="0" w:line="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Cas h F lows from Financing Activities</w:t>
      </w:r>
    </w:p>
    <w:p>
      <w:pPr>
        <w:ind w:left="440"/>
        <w:spacing w:after="0"/>
        <w:tabs>
          <w:tab w:leader="none" w:pos="2380" w:val="left"/>
        </w:tabs>
        <w:rPr>
          <w:sz w:val="20"/>
          <w:szCs w:val="20"/>
          <w:color w:val="auto"/>
        </w:rPr>
      </w:pPr>
      <w:r>
        <w:rPr>
          <w:rFonts w:ascii="Times New Roman" w:cs="Times New Roman" w:eastAsia="Times New Roman" w:hAnsi="Times New Roman"/>
          <w:sz w:val="15"/>
          <w:szCs w:val="15"/>
          <w:color w:val="auto"/>
        </w:rPr>
        <w:t>Common shares repurchased</w:t>
        <w:tab/>
        <w:t>. . .. . .. . .. . .. . . .. .. . .. . . .. . . . . .. . . . ......... •• ........</w:t>
      </w:r>
    </w:p>
    <w:p>
      <w:pPr>
        <w:ind w:left="440"/>
        <w:spacing w:after="0" w:line="237" w:lineRule="auto"/>
        <w:rPr>
          <w:sz w:val="20"/>
          <w:szCs w:val="20"/>
          <w:color w:val="auto"/>
        </w:rPr>
      </w:pPr>
      <w:r>
        <w:rPr>
          <w:rFonts w:ascii="Times New Roman" w:cs="Times New Roman" w:eastAsia="Times New Roman" w:hAnsi="Times New Roman"/>
          <w:sz w:val="15"/>
          <w:szCs w:val="15"/>
          <w:color w:val="auto"/>
        </w:rPr>
        <w:t>Net (payments) borrowings under revolving credit facilities  .. . . .... . .................... .</w:t>
      </w:r>
    </w:p>
    <w:p>
      <w:pPr>
        <w:ind w:left="440"/>
        <w:spacing w:after="0"/>
        <w:tabs>
          <w:tab w:leader="none" w:pos="1500" w:val="left"/>
          <w:tab w:leader="none" w:pos="4940" w:val="left"/>
        </w:tabs>
        <w:rPr>
          <w:sz w:val="20"/>
          <w:szCs w:val="20"/>
          <w:color w:val="auto"/>
        </w:rPr>
      </w:pPr>
      <w:r>
        <w:rPr>
          <w:rFonts w:ascii="Times New Roman" w:cs="Times New Roman" w:eastAsia="Times New Roman" w:hAnsi="Times New Roman"/>
          <w:sz w:val="15"/>
          <w:szCs w:val="15"/>
          <w:color w:val="auto"/>
        </w:rPr>
        <w:t>Di vidends paid</w:t>
        <w:tab/>
        <w:t>..</w:t>
      </w:r>
      <w:r>
        <w:rPr>
          <w:sz w:val="20"/>
          <w:szCs w:val="20"/>
          <w:color w:val="auto"/>
        </w:rPr>
        <w:tab/>
      </w:r>
      <w:r>
        <w:rPr>
          <w:rFonts w:ascii="Times New Roman" w:cs="Times New Roman" w:eastAsia="Times New Roman" w:hAnsi="Times New Roman"/>
          <w:sz w:val="15"/>
          <w:szCs w:val="15"/>
          <w:color w:val="auto"/>
        </w:rPr>
        <w:t>.. .................. . .</w:t>
      </w:r>
    </w:p>
    <w:p>
      <w:pPr>
        <w:ind w:left="440"/>
        <w:spacing w:after="0" w:line="238" w:lineRule="auto"/>
        <w:tabs>
          <w:tab w:leader="none" w:pos="3020" w:val="left"/>
          <w:tab w:leader="none" w:pos="4240" w:val="left"/>
        </w:tabs>
        <w:rPr>
          <w:sz w:val="20"/>
          <w:szCs w:val="20"/>
          <w:color w:val="auto"/>
        </w:rPr>
      </w:pPr>
      <w:r>
        <w:rPr>
          <w:rFonts w:ascii="Times New Roman" w:cs="Times New Roman" w:eastAsia="Times New Roman" w:hAnsi="Times New Roman"/>
          <w:sz w:val="15"/>
          <w:szCs w:val="15"/>
          <w:color w:val="auto"/>
        </w:rPr>
        <w:t>Re payments of borrowings . .</w:t>
      </w:r>
      <w:r>
        <w:rPr>
          <w:sz w:val="20"/>
          <w:szCs w:val="20"/>
          <w:color w:val="auto"/>
        </w:rPr>
        <w:tab/>
      </w:r>
      <w:r>
        <w:rPr>
          <w:rFonts w:ascii="Times New Roman" w:cs="Times New Roman" w:eastAsia="Times New Roman" w:hAnsi="Times New Roman"/>
          <w:sz w:val="15"/>
          <w:szCs w:val="15"/>
          <w:color w:val="auto"/>
        </w:rPr>
        <w:t>. . . . . . . . .</w:t>
      </w:r>
      <w:r>
        <w:rPr>
          <w:sz w:val="20"/>
          <w:szCs w:val="20"/>
          <w:color w:val="auto"/>
        </w:rPr>
        <w:tab/>
      </w:r>
      <w:r>
        <w:rPr>
          <w:rFonts w:ascii="Times New Roman" w:cs="Times New Roman" w:eastAsia="Times New Roman" w:hAnsi="Times New Roman"/>
          <w:sz w:val="15"/>
          <w:szCs w:val="15"/>
          <w:color w:val="auto"/>
        </w:rPr>
        <w:t>. .. •• . . . _ . . • ......... •• ... _ .. • .</w:t>
      </w:r>
    </w:p>
    <w:p>
      <w:pPr>
        <w:ind w:left="440"/>
        <w:spacing w:after="0"/>
        <w:tabs>
          <w:tab w:leader="none" w:pos="4240" w:val="left"/>
        </w:tabs>
        <w:rPr>
          <w:sz w:val="20"/>
          <w:szCs w:val="20"/>
          <w:color w:val="auto"/>
        </w:rPr>
      </w:pPr>
      <w:r>
        <w:rPr>
          <w:rFonts w:ascii="Times New Roman" w:cs="Times New Roman" w:eastAsia="Times New Roman" w:hAnsi="Times New Roman"/>
          <w:sz w:val="15"/>
          <w:szCs w:val="15"/>
          <w:color w:val="auto"/>
        </w:rPr>
        <w:t>Pri nc ipal payments of finance leases</w:t>
      </w:r>
      <w:r>
        <w:rPr>
          <w:sz w:val="20"/>
          <w:szCs w:val="20"/>
          <w:color w:val="auto"/>
        </w:rPr>
        <w:tab/>
      </w:r>
      <w:r>
        <w:rPr>
          <w:rFonts w:ascii="Times New Roman" w:cs="Times New Roman" w:eastAsia="Times New Roman" w:hAnsi="Times New Roman"/>
          <w:sz w:val="15"/>
          <w:szCs w:val="15"/>
          <w:color w:val="auto"/>
        </w:rPr>
        <w:t>. .. •• . .. . . .. .. ... . ... •• . .. . . . • .</w:t>
      </w:r>
    </w:p>
    <w:p>
      <w:pPr>
        <w:spacing w:after="0" w:line="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Distributions paid to noncontrolling interests . . . .. .. . •• . . .. .. . .. . . .. .. . .. . . .......... . .</w:t>
      </w:r>
    </w:p>
    <w:p>
      <w:pPr>
        <w:ind w:left="440"/>
        <w:spacing w:after="0" w:line="225" w:lineRule="auto"/>
        <w:tabs>
          <w:tab w:leader="none" w:pos="2700" w:val="left"/>
          <w:tab w:leader="none" w:pos="5680" w:val="left"/>
        </w:tabs>
        <w:rPr>
          <w:sz w:val="20"/>
          <w:szCs w:val="20"/>
          <w:color w:val="auto"/>
        </w:rPr>
      </w:pPr>
      <w:r>
        <w:rPr>
          <w:rFonts w:ascii="Times New Roman" w:cs="Times New Roman" w:eastAsia="Times New Roman" w:hAnsi="Times New Roman"/>
          <w:sz w:val="15"/>
          <w:szCs w:val="15"/>
          <w:color w:val="auto"/>
        </w:rPr>
        <w:t>Deferred payments of acquisitions</w:t>
        <w:tab/>
        <w:t>.</w:t>
      </w:r>
      <w:r>
        <w:rPr>
          <w:sz w:val="20"/>
          <w:szCs w:val="20"/>
          <w:color w:val="auto"/>
        </w:rPr>
        <w:tab/>
      </w:r>
      <w:r>
        <w:rPr>
          <w:rFonts w:ascii="Times New Roman" w:cs="Times New Roman" w:eastAsia="Times New Roman" w:hAnsi="Times New Roman"/>
          <w:sz w:val="15"/>
          <w:szCs w:val="15"/>
          <w:color w:val="auto"/>
        </w:rPr>
        <w:t>. . . .. ... _ .. . .</w:t>
      </w:r>
    </w:p>
    <w:p>
      <w:pPr>
        <w:ind w:left="440"/>
        <w:spacing w:after="0"/>
        <w:tabs>
          <w:tab w:leader="none" w:pos="4940" w:val="left"/>
        </w:tabs>
        <w:rPr>
          <w:sz w:val="20"/>
          <w:szCs w:val="20"/>
          <w:color w:val="auto"/>
        </w:rPr>
      </w:pPr>
      <w:r>
        <w:rPr>
          <w:rFonts w:ascii="Times New Roman" w:cs="Times New Roman" w:eastAsia="Times New Roman" w:hAnsi="Times New Roman"/>
          <w:sz w:val="15"/>
          <w:szCs w:val="15"/>
          <w:color w:val="auto"/>
        </w:rPr>
        <w:t>Purc hase of noncontroll ing interest. .. . .. . .. .</w:t>
      </w:r>
      <w:r>
        <w:rPr>
          <w:sz w:val="20"/>
          <w:szCs w:val="20"/>
          <w:color w:val="auto"/>
        </w:rPr>
        <w:tab/>
      </w:r>
      <w:r>
        <w:rPr>
          <w:rFonts w:ascii="Times New Roman" w:cs="Times New Roman" w:eastAsia="Times New Roman" w:hAnsi="Times New Roman"/>
          <w:sz w:val="15"/>
          <w:szCs w:val="15"/>
          <w:color w:val="auto"/>
        </w:rPr>
        <w:t>. . . . . . .. _ . . _.. ... _ .. • .</w:t>
      </w:r>
    </w:p>
    <w:p>
      <w:pPr>
        <w:ind w:left="440"/>
        <w:spacing w:after="0" w:line="238" w:lineRule="auto"/>
        <w:tabs>
          <w:tab w:leader="none" w:pos="4940" w:val="left"/>
        </w:tabs>
        <w:rPr>
          <w:sz w:val="20"/>
          <w:szCs w:val="20"/>
          <w:color w:val="auto"/>
        </w:rPr>
      </w:pPr>
      <w:r>
        <w:rPr>
          <w:rFonts w:ascii="Times New Roman" w:cs="Times New Roman" w:eastAsia="Times New Roman" w:hAnsi="Times New Roman"/>
          <w:sz w:val="15"/>
          <w:szCs w:val="15"/>
          <w:color w:val="auto"/>
        </w:rPr>
        <w:t>Issuance of borrowings  . . . . .</w:t>
      </w:r>
      <w:r>
        <w:rPr>
          <w:sz w:val="20"/>
          <w:szCs w:val="20"/>
          <w:color w:val="auto"/>
        </w:rPr>
        <w:tab/>
      </w:r>
      <w:r>
        <w:rPr>
          <w:rFonts w:ascii="Times New Roman" w:cs="Times New Roman" w:eastAsia="Times New Roman" w:hAnsi="Times New Roman"/>
          <w:sz w:val="15"/>
          <w:szCs w:val="15"/>
          <w:color w:val="auto"/>
        </w:rPr>
        <w:t>. . . ... •• . . .. .. ...... • .</w:t>
      </w:r>
    </w:p>
    <w:p>
      <w:pPr>
        <w:ind w:left="440"/>
        <w:spacing w:after="0"/>
        <w:tabs>
          <w:tab w:leader="none" w:pos="4700" w:val="left"/>
        </w:tabs>
        <w:rPr>
          <w:sz w:val="20"/>
          <w:szCs w:val="20"/>
          <w:color w:val="auto"/>
        </w:rPr>
      </w:pPr>
      <w:r>
        <w:rPr>
          <w:rFonts w:ascii="Times New Roman" w:cs="Times New Roman" w:eastAsia="Times New Roman" w:hAnsi="Times New Roman"/>
          <w:sz w:val="15"/>
          <w:szCs w:val="15"/>
          <w:color w:val="auto"/>
        </w:rPr>
        <w:t>Issuance of noncontrolling interest .</w:t>
      </w:r>
      <w:r>
        <w:rPr>
          <w:sz w:val="20"/>
          <w:szCs w:val="20"/>
          <w:color w:val="auto"/>
        </w:rPr>
        <w:tab/>
      </w:r>
      <w:r>
        <w:rPr>
          <w:rFonts w:ascii="Times New Roman" w:cs="Times New Roman" w:eastAsia="Times New Roman" w:hAnsi="Times New Roman"/>
          <w:sz w:val="15"/>
          <w:szCs w:val="15"/>
          <w:color w:val="auto"/>
        </w:rPr>
        <w:t>. . .... .. . • . ...... . .. ... . .</w:t>
      </w:r>
    </w:p>
    <w:p>
      <w:pPr>
        <w:spacing w:after="0" w:line="8" w:lineRule="exact"/>
        <w:rPr>
          <w:sz w:val="20"/>
          <w:szCs w:val="20"/>
          <w:color w:val="auto"/>
        </w:rPr>
      </w:pPr>
    </w:p>
    <w:p>
      <w:pPr>
        <w:ind w:left="440"/>
        <w:spacing w:after="0"/>
        <w:tabs>
          <w:tab w:leader="none" w:pos="4460" w:val="left"/>
        </w:tabs>
        <w:rPr>
          <w:sz w:val="20"/>
          <w:szCs w:val="20"/>
          <w:color w:val="auto"/>
        </w:rPr>
      </w:pPr>
      <w:r>
        <w:rPr>
          <w:rFonts w:ascii="Times New Roman" w:cs="Times New Roman" w:eastAsia="Times New Roman" w:hAnsi="Times New Roman"/>
          <w:sz w:val="15"/>
          <w:szCs w:val="15"/>
          <w:color w:val="auto"/>
        </w:rPr>
        <w:t>Net (repayments of) proceeds from vehicle floor plan payable</w:t>
        <w:tab/>
        <w:t>.. . .. . . .. .. . .. . . .. .. ...... . .</w:t>
      </w:r>
    </w:p>
    <w:p>
      <w:pPr>
        <w:ind w:left="440"/>
        <w:spacing w:after="0"/>
        <w:rPr>
          <w:sz w:val="20"/>
          <w:szCs w:val="20"/>
          <w:color w:val="auto"/>
        </w:rPr>
      </w:pPr>
      <w:r>
        <w:rPr>
          <w:rFonts w:ascii="Times New Roman" w:cs="Times New Roman" w:eastAsia="Times New Roman" w:hAnsi="Times New Roman"/>
          <w:sz w:val="15"/>
          <w:szCs w:val="15"/>
          <w:color w:val="auto"/>
        </w:rPr>
        <w:t>Proceeds from sale ofnoncontrolling interest . . .. . .. . .. . .. . .. . .. . . ... . . . .. . .......... . .</w:t>
      </w:r>
    </w:p>
    <w:p>
      <w:pPr>
        <w:ind w:left="440"/>
        <w:spacing w:after="0" w:line="212" w:lineRule="auto"/>
        <w:tabs>
          <w:tab w:leader="none" w:pos="3520" w:val="left"/>
        </w:tabs>
        <w:rPr>
          <w:sz w:val="20"/>
          <w:szCs w:val="20"/>
          <w:color w:val="auto"/>
        </w:rPr>
      </w:pPr>
      <w:r>
        <w:rPr>
          <w:rFonts w:ascii="Times New Roman" w:cs="Times New Roman" w:eastAsia="Times New Roman" w:hAnsi="Times New Roman"/>
          <w:sz w:val="15"/>
          <w:szCs w:val="15"/>
          <w:color w:val="auto"/>
        </w:rPr>
        <w:t>Other</w:t>
      </w:r>
      <w:r>
        <w:rPr>
          <w:sz w:val="20"/>
          <w:szCs w:val="20"/>
          <w:color w:val="auto"/>
        </w:rPr>
        <w:tab/>
      </w:r>
      <w:r>
        <w:rPr>
          <w:rFonts w:ascii="Times New Roman" w:cs="Times New Roman" w:eastAsia="Times New Roman" w:hAnsi="Times New Roman"/>
          <w:sz w:val="15"/>
          <w:szCs w:val="15"/>
          <w:color w:val="auto"/>
        </w:rPr>
        <w:t>. . .... •• _. .. ... _. . _ . . •• . •• _... ... . _ . __ • .</w:t>
      </w:r>
    </w:p>
    <w:p>
      <w:pPr>
        <w:spacing w:after="0" w:line="95"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5"/>
          <w:szCs w:val="15"/>
          <w:color w:val="auto"/>
        </w:rPr>
        <w:t>Net Cash Used in Financing Activities . . .</w:t>
      </w:r>
    </w:p>
    <w:p>
      <w:pPr>
        <w:spacing w:after="0" w:line="76" w:lineRule="exact"/>
        <w:rPr>
          <w:sz w:val="20"/>
          <w:szCs w:val="20"/>
          <w:color w:val="auto"/>
        </w:rPr>
      </w:pPr>
    </w:p>
    <w:p>
      <w:pPr>
        <w:ind w:left="120"/>
        <w:spacing w:after="0"/>
        <w:tabs>
          <w:tab w:leader="none" w:pos="3100" w:val="left"/>
        </w:tabs>
        <w:rPr>
          <w:sz w:val="20"/>
          <w:szCs w:val="20"/>
          <w:color w:val="auto"/>
        </w:rPr>
      </w:pPr>
      <w:r>
        <w:rPr>
          <w:rFonts w:ascii="Times New Roman" w:cs="Times New Roman" w:eastAsia="Times New Roman" w:hAnsi="Times New Roman"/>
          <w:sz w:val="15"/>
          <w:szCs w:val="15"/>
          <w:color w:val="auto"/>
        </w:rPr>
        <w:t>Ell'ect of Cu r rency Exchang e Rate Change</w:t>
        <w:tab/>
        <w:t>..... . ... . .......... .</w:t>
      </w:r>
    </w:p>
    <w:p>
      <w:pPr>
        <w:spacing w:after="0" w:line="90" w:lineRule="exact"/>
        <w:rPr>
          <w:sz w:val="20"/>
          <w:szCs w:val="20"/>
          <w:color w:val="auto"/>
        </w:rPr>
      </w:pPr>
    </w:p>
    <w:p>
      <w:pPr>
        <w:ind w:left="120" w:right="1840" w:firstLine="2"/>
        <w:spacing w:after="0" w:line="236" w:lineRule="auto"/>
        <w:rPr>
          <w:sz w:val="20"/>
          <w:szCs w:val="20"/>
          <w:color w:val="auto"/>
        </w:rPr>
      </w:pPr>
      <w:r>
        <w:rPr>
          <w:rFonts w:ascii="Times New Roman" w:cs="Times New Roman" w:eastAsia="Times New Roman" w:hAnsi="Times New Roman"/>
          <w:sz w:val="15"/>
          <w:szCs w:val="15"/>
          <w:color w:val="auto"/>
        </w:rPr>
        <w:t>Net Inc r ease in Cash and Cash Equivalents and Rest r icted Cash _. . Cas h and Cash Equivalen ts and Res tricted Cash at Beginning of Year</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Cash and Cash Equivalents a nd Restricted Cash at End of Year</w:t>
      </w:r>
    </w:p>
    <w:p>
      <w:pPr>
        <w:spacing w:after="0" w:line="123" w:lineRule="exact"/>
        <w:rPr>
          <w:sz w:val="20"/>
          <w:szCs w:val="20"/>
          <w:color w:val="auto"/>
        </w:rPr>
      </w:pPr>
    </w:p>
    <w:p>
      <w:pPr>
        <w:jc w:val="center"/>
        <w:ind w:right="3900"/>
        <w:spacing w:after="0"/>
        <w:rPr>
          <w:sz w:val="20"/>
          <w:szCs w:val="20"/>
          <w:color w:val="auto"/>
        </w:rPr>
      </w:pPr>
      <w:r>
        <w:rPr>
          <w:rFonts w:ascii="Times New Roman" w:cs="Times New Roman" w:eastAsia="Times New Roman" w:hAnsi="Times New Roman"/>
          <w:sz w:val="15"/>
          <w:szCs w:val="15"/>
          <w:color w:val="auto"/>
        </w:rPr>
        <w:t>Sup plementa l Cas h Flow In formation</w:t>
      </w:r>
    </w:p>
    <w:p>
      <w:pPr>
        <w:spacing w:after="0" w:line="9" w:lineRule="exact"/>
        <w:rPr>
          <w:sz w:val="20"/>
          <w:szCs w:val="20"/>
          <w:color w:val="auto"/>
        </w:rPr>
      </w:pPr>
    </w:p>
    <w:p>
      <w:pPr>
        <w:jc w:val="center"/>
        <w:ind w:right="3940"/>
        <w:spacing w:after="0"/>
        <w:rPr>
          <w:sz w:val="20"/>
          <w:szCs w:val="20"/>
          <w:color w:val="auto"/>
        </w:rPr>
      </w:pPr>
      <w:r>
        <w:rPr>
          <w:rFonts w:ascii="Times New Roman" w:cs="Times New Roman" w:eastAsia="Times New Roman" w:hAnsi="Times New Roman"/>
          <w:sz w:val="15"/>
          <w:szCs w:val="15"/>
          <w:color w:val="auto"/>
        </w:rPr>
        <w:t>Cash paid during the year for:</w:t>
      </w:r>
    </w:p>
    <w:p>
      <w:pPr>
        <w:ind w:left="760"/>
        <w:spacing w:after="0"/>
        <w:rPr>
          <w:sz w:val="20"/>
          <w:szCs w:val="20"/>
          <w:color w:val="auto"/>
        </w:rPr>
      </w:pPr>
      <w:r>
        <w:rPr>
          <w:rFonts w:ascii="Times New Roman" w:cs="Times New Roman" w:eastAsia="Times New Roman" w:hAnsi="Times New Roman"/>
          <w:sz w:val="15"/>
          <w:szCs w:val="15"/>
          <w:color w:val="auto"/>
        </w:rPr>
        <w:t>Income taxes  . . .. .. . . .. . . ... . . . .. .. . .. . .. . .. . . ..... .. . . ..... .. . . ........... .</w:t>
      </w:r>
    </w:p>
    <w:p>
      <w:pPr>
        <w:ind w:left="780"/>
        <w:spacing w:after="0" w:line="237" w:lineRule="auto"/>
        <w:tabs>
          <w:tab w:leader="none" w:pos="3520" w:val="left"/>
        </w:tabs>
        <w:rPr>
          <w:sz w:val="20"/>
          <w:szCs w:val="20"/>
          <w:color w:val="auto"/>
        </w:rPr>
      </w:pPr>
      <w:r>
        <w:rPr>
          <w:rFonts w:ascii="Times New Roman" w:cs="Times New Roman" w:eastAsia="Times New Roman" w:hAnsi="Times New Roman"/>
          <w:sz w:val="15"/>
          <w:szCs w:val="15"/>
          <w:color w:val="auto"/>
        </w:rPr>
        <w:t>Interest . . . . . . . . . . . . . . . . . . . .</w:t>
      </w:r>
      <w:r>
        <w:rPr>
          <w:sz w:val="20"/>
          <w:szCs w:val="20"/>
          <w:color w:val="auto"/>
        </w:rPr>
        <w:tab/>
      </w:r>
      <w:r>
        <w:rPr>
          <w:rFonts w:ascii="Times New Roman" w:cs="Times New Roman" w:eastAsia="Times New Roman" w:hAnsi="Times New Roman"/>
          <w:sz w:val="15"/>
          <w:szCs w:val="15"/>
          <w:color w:val="auto"/>
        </w:rPr>
        <w:t>. . . .. . .. . .. . .. . .. . . .. .. .... . ........... .</w:t>
      </w:r>
    </w:p>
    <w:p>
      <w:pPr>
        <w:spacing w:after="0" w:line="1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141" w:lineRule="exact"/>
        <w:rPr>
          <w:sz w:val="20"/>
          <w:szCs w:val="20"/>
          <w:color w:val="auto"/>
        </w:rPr>
      </w:pPr>
    </w:p>
    <w:p>
      <w:pPr>
        <w:jc w:val="center"/>
        <w:ind w:right="125"/>
        <w:spacing w:after="0"/>
        <w:rPr>
          <w:sz w:val="20"/>
          <w:szCs w:val="20"/>
          <w:color w:val="auto"/>
        </w:rPr>
      </w:pPr>
      <w:r>
        <w:rPr>
          <w:rFonts w:ascii="Times New Roman" w:cs="Times New Roman" w:eastAsia="Times New Roman" w:hAnsi="Times New Roman"/>
          <w:sz w:val="15"/>
          <w:szCs w:val="15"/>
          <w:color w:val="auto"/>
        </w:rPr>
        <w:t>Year Ended Decem ber 31</w:t>
      </w:r>
    </w:p>
    <w:p>
      <w:pPr>
        <w:spacing w:after="0" w:line="66" w:lineRule="exact"/>
        <w:rPr>
          <w:sz w:val="20"/>
          <w:szCs w:val="20"/>
          <w:color w:val="auto"/>
        </w:rPr>
      </w:pPr>
    </w:p>
    <w:p>
      <w:pPr>
        <w:ind w:left="160"/>
        <w:spacing w:after="0"/>
        <w:tabs>
          <w:tab w:leader="none" w:pos="1000" w:val="left"/>
          <w:tab w:leader="none" w:pos="1860" w:val="left"/>
        </w:tabs>
        <w:rPr>
          <w:sz w:val="20"/>
          <w:szCs w:val="20"/>
          <w:color w:val="auto"/>
        </w:rPr>
      </w:pPr>
      <w:r>
        <w:rPr>
          <w:rFonts w:ascii="Times New Roman" w:cs="Times New Roman" w:eastAsia="Times New Roman" w:hAnsi="Times New Roman"/>
          <w:sz w:val="15"/>
          <w:szCs w:val="15"/>
          <w:color w:val="auto"/>
        </w:rPr>
        <w:t>2024</w:t>
      </w:r>
      <w:r>
        <w:rPr>
          <w:sz w:val="20"/>
          <w:szCs w:val="20"/>
          <w:color w:val="auto"/>
        </w:rPr>
        <w:tab/>
      </w:r>
      <w:r>
        <w:rPr>
          <w:rFonts w:ascii="Times New Roman" w:cs="Times New Roman" w:eastAsia="Times New Roman" w:hAnsi="Times New Roman"/>
          <w:sz w:val="15"/>
          <w:szCs w:val="15"/>
          <w:color w:val="auto"/>
        </w:rPr>
        <w:t>2023</w:t>
      </w:r>
      <w:r>
        <w:rPr>
          <w:sz w:val="20"/>
          <w:szCs w:val="20"/>
          <w:color w:val="auto"/>
        </w:rPr>
        <w:tab/>
      </w:r>
      <w:r>
        <w:rPr>
          <w:rFonts w:ascii="Times New Roman" w:cs="Times New Roman" w:eastAsia="Times New Roman" w:hAnsi="Times New Roman"/>
          <w:sz w:val="15"/>
          <w:szCs w:val="15"/>
          <w:color w:val="auto"/>
        </w:rPr>
        <w:t>2022</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732,610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2 11 ,704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70,434</w:t>
            </w:r>
          </w:p>
        </w:tc>
        <w:tc>
          <w:tcPr>
            <w:tcW w:w="20" w:type="dxa"/>
            <w:vAlign w:val="bottom"/>
          </w:tcPr>
          <w:p>
            <w:pPr>
              <w:spacing w:after="0"/>
              <w:rPr>
                <w:sz w:val="16"/>
                <w:szCs w:val="16"/>
                <w:color w:val="auto"/>
              </w:rPr>
            </w:pPr>
          </w:p>
        </w:tc>
      </w:tr>
      <w:tr>
        <w:trPr>
          <w:trHeight w:val="326"/>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173,987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235,169</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26 1, 138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7"/>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63,253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67,734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67,568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(740,152)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4"/>
          </w:tcPr>
          <w:p>
            <w:pPr>
              <w:jc w:val="right"/>
              <w:ind w:right="80"/>
              <w:spacing w:after="0"/>
              <w:rPr>
                <w:sz w:val="20"/>
                <w:szCs w:val="20"/>
                <w:color w:val="auto"/>
              </w:rPr>
            </w:pPr>
            <w:r>
              <w:rPr>
                <w:rFonts w:ascii="Times New Roman" w:cs="Times New Roman" w:eastAsia="Times New Roman" w:hAnsi="Times New Roman"/>
                <w:sz w:val="15"/>
                <w:szCs w:val="15"/>
                <w:color w:val="auto"/>
              </w:rPr>
              <w:t>( IOL,398)</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w w:val="90"/>
              </w:rPr>
              <w:t>(166,6 11 )</w:t>
            </w:r>
          </w:p>
        </w:tc>
      </w:tr>
      <w:tr>
        <w:trPr>
          <w:trHeight w:val="172"/>
        </w:trPr>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(179,024)</w:t>
            </w:r>
          </w:p>
        </w:tc>
        <w:tc>
          <w:tcPr>
            <w:tcW w:w="2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( 140,67 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134,011</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5"/>
        </w:trPr>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3,591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2,958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6,326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6,7 12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6,12 1</w:t>
            </w:r>
          </w:p>
        </w:tc>
        <w:tc>
          <w:tcPr>
            <w:tcW w:w="2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115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(6,593)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(5,105)</w:t>
            </w:r>
          </w:p>
        </w:tc>
      </w:tr>
      <w:tr>
        <w:trPr>
          <w:trHeight w:val="181"/>
        </w:trPr>
        <w:tc>
          <w:tcPr>
            <w:tcW w:w="100" w:type="dxa"/>
            <w:vAlign w:val="bottom"/>
          </w:tcPr>
          <w:p>
            <w:pPr>
              <w:spacing w:after="0"/>
              <w:rPr>
                <w:sz w:val="15"/>
                <w:szCs w:val="15"/>
                <w:color w:val="auto"/>
              </w:rPr>
            </w:pPr>
          </w:p>
        </w:tc>
        <w:tc>
          <w:tcPr>
            <w:tcW w:w="680" w:type="dxa"/>
            <w:vAlign w:val="bottom"/>
            <w:gridSpan w:val="3"/>
          </w:tcPr>
          <w:p>
            <w:pPr>
              <w:ind w:left="140"/>
              <w:spacing w:after="0"/>
              <w:rPr>
                <w:sz w:val="20"/>
                <w:szCs w:val="20"/>
                <w:color w:val="auto"/>
              </w:rPr>
            </w:pPr>
            <w:r>
              <w:rPr>
                <w:rFonts w:ascii="Times New Roman" w:cs="Times New Roman" w:eastAsia="Times New Roman" w:hAnsi="Times New Roman"/>
                <w:sz w:val="15"/>
                <w:szCs w:val="15"/>
                <w:color w:val="auto"/>
              </w:rPr>
              <w:t>(5,4 I 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1, 14 1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34"/>
        </w:trPr>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(7,674)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3"/>
          </w:tcPr>
          <w:p>
            <w:pPr>
              <w:jc w:val="center"/>
              <w:ind w:right="20"/>
              <w:spacing w:after="0"/>
              <w:rPr>
                <w:sz w:val="20"/>
                <w:szCs w:val="20"/>
                <w:color w:val="auto"/>
              </w:rPr>
            </w:pPr>
            <w:r>
              <w:rPr>
                <w:rFonts w:ascii="Times New Roman" w:cs="Times New Roman" w:eastAsia="Times New Roman" w:hAnsi="Times New Roman"/>
                <w:sz w:val="15"/>
                <w:szCs w:val="15"/>
                <w:color w:val="auto"/>
                <w:w w:val="88"/>
              </w:rPr>
              <w:t>( II ,8 11 )</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(24,220)</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20,75 1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13,503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227,400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43,765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(3,844)</w:t>
            </w:r>
          </w:p>
        </w:tc>
      </w:tr>
      <w:tr>
        <w:trPr>
          <w:trHeight w:val="338"/>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11,317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8,23 1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45.5 18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68"/>
        </w:trPr>
        <w:tc>
          <w:tcPr>
            <w:tcW w:w="1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8,297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(62,873)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(64.324)</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13,910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24,695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(33.588)</w:t>
            </w:r>
          </w:p>
        </w:tc>
      </w:tr>
      <w:tr>
        <w:trPr>
          <w:trHeight w:val="172"/>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6,435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38,497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18,2 19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6"/>
        </w:trPr>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3,217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6,152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line="166" w:lineRule="exact"/>
              <w:rPr>
                <w:sz w:val="20"/>
                <w:szCs w:val="20"/>
                <w:color w:val="auto"/>
              </w:rPr>
            </w:pPr>
            <w:r>
              <w:rPr>
                <w:rFonts w:ascii="Times New Roman" w:cs="Times New Roman" w:eastAsia="Times New Roman" w:hAnsi="Times New Roman"/>
                <w:sz w:val="15"/>
                <w:szCs w:val="15"/>
                <w:color w:val="auto"/>
              </w:rPr>
              <w:t>6,766</w:t>
            </w:r>
          </w:p>
        </w:tc>
        <w:tc>
          <w:tcPr>
            <w:tcW w:w="2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(62,516)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80"/>
              <w:spacing w:after="0" w:line="168" w:lineRule="exact"/>
              <w:rPr>
                <w:sz w:val="20"/>
                <w:szCs w:val="20"/>
                <w:color w:val="auto"/>
              </w:rPr>
            </w:pPr>
            <w:r>
              <w:rPr>
                <w:rFonts w:ascii="Times New Roman" w:cs="Times New Roman" w:eastAsia="Times New Roman" w:hAnsi="Times New Roman"/>
                <w:sz w:val="15"/>
                <w:szCs w:val="15"/>
                <w:color w:val="auto"/>
              </w:rPr>
              <w:t>(7L,47 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(78,471)</w:t>
            </w:r>
          </w:p>
        </w:tc>
        <w:tc>
          <w:tcPr>
            <w:tcW w:w="20" w:type="dxa"/>
            <w:vAlign w:val="bottom"/>
          </w:tcPr>
          <w:p>
            <w:pPr>
              <w:spacing w:after="0"/>
              <w:rPr>
                <w:sz w:val="14"/>
                <w:szCs w:val="14"/>
                <w:color w:val="auto"/>
              </w:rPr>
            </w:pP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130,681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( 12,166)</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(2 1,275)</w:t>
            </w:r>
          </w:p>
        </w:tc>
      </w:tr>
      <w:tr>
        <w:trPr>
          <w:trHeight w:val="172"/>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1,786</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(3,738)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4,783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44"/>
        </w:trPr>
        <w:tc>
          <w:tcPr>
            <w:tcW w:w="100" w:type="dxa"/>
            <w:vAlign w:val="bottom"/>
            <w:tcBorders>
              <w:bottom w:val="single" w:sz="8" w:color="302C2C"/>
            </w:tcBorders>
          </w:tcPr>
          <w:p>
            <w:pPr>
              <w:spacing w:after="0"/>
              <w:rPr>
                <w:sz w:val="3"/>
                <w:szCs w:val="3"/>
                <w:color w:val="auto"/>
              </w:rPr>
            </w:pPr>
          </w:p>
        </w:tc>
        <w:tc>
          <w:tcPr>
            <w:tcW w:w="560" w:type="dxa"/>
            <w:vAlign w:val="bottom"/>
            <w:tcBorders>
              <w:bottom w:val="single" w:sz="8" w:color="302C2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302C2C"/>
            </w:tcBorders>
          </w:tcPr>
          <w:p>
            <w:pPr>
              <w:spacing w:after="0"/>
              <w:rPr>
                <w:sz w:val="3"/>
                <w:szCs w:val="3"/>
                <w:color w:val="auto"/>
              </w:rPr>
            </w:pPr>
          </w:p>
        </w:tc>
        <w:tc>
          <w:tcPr>
            <w:tcW w:w="560" w:type="dxa"/>
            <w:vAlign w:val="bottom"/>
            <w:tcBorders>
              <w:bottom w:val="single" w:sz="8" w:color="302C2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82C"/>
            </w:tcBorders>
          </w:tcPr>
          <w:p>
            <w:pPr>
              <w:spacing w:after="0"/>
              <w:rPr>
                <w:sz w:val="3"/>
                <w:szCs w:val="3"/>
                <w:color w:val="auto"/>
              </w:rPr>
            </w:pPr>
          </w:p>
        </w:tc>
        <w:tc>
          <w:tcPr>
            <w:tcW w:w="560" w:type="dxa"/>
            <w:vAlign w:val="bottom"/>
            <w:tcBorders>
              <w:bottom w:val="single" w:sz="8" w:color="2C282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3"/>
        </w:trPr>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406,988</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259,875</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235,604</w:t>
            </w:r>
          </w:p>
        </w:tc>
        <w:tc>
          <w:tcPr>
            <w:tcW w:w="20" w:type="dxa"/>
            <w:vAlign w:val="bottom"/>
          </w:tcPr>
          <w:p>
            <w:pPr>
              <w:spacing w:after="0"/>
              <w:rPr>
                <w:sz w:val="16"/>
                <w:szCs w:val="16"/>
                <w:color w:val="auto"/>
              </w:rPr>
            </w:pPr>
          </w:p>
        </w:tc>
      </w:tr>
      <w:tr>
        <w:trPr>
          <w:trHeight w:val="44"/>
        </w:trPr>
        <w:tc>
          <w:tcPr>
            <w:tcW w:w="100" w:type="dxa"/>
            <w:vAlign w:val="bottom"/>
            <w:tcBorders>
              <w:bottom w:val="single" w:sz="8" w:color="0C080C"/>
            </w:tcBorders>
          </w:tcPr>
          <w:p>
            <w:pPr>
              <w:spacing w:after="0"/>
              <w:rPr>
                <w:sz w:val="3"/>
                <w:szCs w:val="3"/>
                <w:color w:val="auto"/>
              </w:rPr>
            </w:pPr>
          </w:p>
        </w:tc>
        <w:tc>
          <w:tcPr>
            <w:tcW w:w="560" w:type="dxa"/>
            <w:vAlign w:val="bottom"/>
            <w:tcBorders>
              <w:bottom w:val="single" w:sz="8" w:color="0C080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60" w:type="dxa"/>
            <w:vAlign w:val="bottom"/>
            <w:tcBorders>
              <w:bottom w:val="single" w:sz="8" w:color="0C080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60" w:type="dxa"/>
            <w:vAlign w:val="bottom"/>
            <w:tcBorders>
              <w:bottom w:val="single" w:sz="8" w:color="0C0808"/>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55"/>
        </w:trPr>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(82,9 12)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(93,447)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(82,684)</w:t>
            </w:r>
          </w:p>
        </w:tc>
      </w:tr>
      <w:tr>
        <w:trPr>
          <w:trHeight w:val="181"/>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23,524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6 1,979</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102,040</w:t>
            </w:r>
          </w:p>
        </w:tc>
        <w:tc>
          <w:tcPr>
            <w:tcW w:w="20" w:type="dxa"/>
            <w:vAlign w:val="bottom"/>
          </w:tcPr>
          <w:p>
            <w:pPr>
              <w:spacing w:after="0"/>
              <w:rPr>
                <w:sz w:val="15"/>
                <w:szCs w:val="15"/>
                <w:color w:val="auto"/>
              </w:rPr>
            </w:pPr>
          </w:p>
        </w:tc>
      </w:tr>
      <w:tr>
        <w:trPr>
          <w:trHeight w:val="334"/>
        </w:trPr>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8,387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4,294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5,057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(5,000)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(6,162)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(40,5 18)</w:t>
            </w:r>
          </w:p>
        </w:tc>
      </w:tr>
      <w:tr>
        <w:trPr>
          <w:trHeight w:val="166"/>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5"/>
                <w:szCs w:val="15"/>
                <w:color w:val="auto"/>
              </w:rPr>
              <w:t>(4,554)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5"/>
                <w:szCs w:val="15"/>
                <w:color w:val="auto"/>
              </w:rPr>
              <w:t>(14,050)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
              <w:spacing w:after="0" w:line="166" w:lineRule="exact"/>
              <w:rPr>
                <w:sz w:val="20"/>
                <w:szCs w:val="20"/>
                <w:color w:val="auto"/>
              </w:rPr>
            </w:pPr>
            <w:r>
              <w:rPr>
                <w:rFonts w:ascii="Times New Roman" w:cs="Times New Roman" w:eastAsia="Times New Roman" w:hAnsi="Times New Roman"/>
                <w:sz w:val="15"/>
                <w:szCs w:val="15"/>
                <w:color w:val="auto"/>
              </w:rPr>
              <w:t>(38,894)</w:t>
            </w: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(4,118)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(78,149)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w w:val="98"/>
              </w:rPr>
              <w:t>(130,106)</w:t>
            </w:r>
          </w:p>
        </w:tc>
      </w:tr>
      <w:tr>
        <w:trPr>
          <w:trHeight w:val="168"/>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(2,000)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(30,000)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1"/>
        </w:trPr>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4,343</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2,560</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35"/>
        </w:trPr>
        <w:tc>
          <w:tcPr>
            <w:tcW w:w="10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504C4C"/>
            </w:tcBorders>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3"/>
        </w:trPr>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(62,330)</w:t>
            </w:r>
          </w:p>
        </w:tc>
        <w:tc>
          <w:tcPr>
            <w:tcW w:w="20" w:type="dxa"/>
            <w:vAlign w:val="bottom"/>
          </w:tcPr>
          <w:p>
            <w:pPr>
              <w:spacing w:after="0"/>
              <w:rPr>
                <w:sz w:val="15"/>
                <w:szCs w:val="15"/>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( 152,975)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(184,066)</w:t>
            </w:r>
          </w:p>
        </w:tc>
      </w:tr>
      <w:tr>
        <w:trPr>
          <w:trHeight w:val="44"/>
        </w:trPr>
        <w:tc>
          <w:tcPr>
            <w:tcW w:w="660" w:type="dxa"/>
            <w:vAlign w:val="bottom"/>
            <w:tcBorders>
              <w:bottom w:val="single" w:sz="8" w:color="504C4C"/>
            </w:tcBorders>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504C4C"/>
            </w:tcBorders>
            <w:gridSpan w:val="2"/>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365"/>
        </w:trPr>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(114,101)</w:t>
            </w:r>
          </w:p>
        </w:tc>
        <w:tc>
          <w:tcPr>
            <w:tcW w:w="20" w:type="dxa"/>
            <w:vAlign w:val="bottom"/>
          </w:tcPr>
          <w:p>
            <w:pPr>
              <w:spacing w:after="0"/>
              <w:rPr>
                <w:sz w:val="24"/>
                <w:szCs w:val="24"/>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( 193,160)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(7 1,386)</w:t>
            </w: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(35,756)</w:t>
            </w:r>
          </w:p>
        </w:tc>
        <w:tc>
          <w:tcPr>
            <w:tcW w:w="2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( 104,244)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3.000</w:t>
            </w:r>
          </w:p>
        </w:tc>
        <w:tc>
          <w:tcPr>
            <w:tcW w:w="20" w:type="dxa"/>
            <w:vAlign w:val="bottom"/>
          </w:tcPr>
          <w:p>
            <w:pPr>
              <w:spacing w:after="0"/>
              <w:rPr>
                <w:sz w:val="14"/>
                <w:szCs w:val="14"/>
                <w:color w:val="auto"/>
              </w:rPr>
            </w:pP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(30,347)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(30.953)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(30,7 12)</w:t>
            </w: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(29,026)</w:t>
            </w:r>
          </w:p>
        </w:tc>
        <w:tc>
          <w:tcPr>
            <w:tcW w:w="20" w:type="dxa"/>
            <w:vAlign w:val="bottom"/>
          </w:tcPr>
          <w:p>
            <w:pPr>
              <w:spacing w:after="0"/>
              <w:rPr>
                <w:sz w:val="14"/>
                <w:szCs w:val="14"/>
                <w:color w:val="auto"/>
              </w:rPr>
            </w:pPr>
          </w:p>
        </w:tc>
        <w:tc>
          <w:tcPr>
            <w:tcW w:w="840" w:type="dxa"/>
            <w:vAlign w:val="bottom"/>
            <w:gridSpan w:val="4"/>
          </w:tcPr>
          <w:p>
            <w:pPr>
              <w:jc w:val="right"/>
              <w:ind w:right="60"/>
              <w:spacing w:after="0"/>
              <w:rPr>
                <w:sz w:val="20"/>
                <w:szCs w:val="20"/>
                <w:color w:val="auto"/>
              </w:rPr>
            </w:pPr>
            <w:r>
              <w:rPr>
                <w:rFonts w:ascii="Times New Roman" w:cs="Times New Roman" w:eastAsia="Times New Roman" w:hAnsi="Times New Roman"/>
                <w:sz w:val="15"/>
                <w:szCs w:val="15"/>
                <w:color w:val="auto"/>
              </w:rPr>
              <w:t>( 12 1,744)</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( 14.484)</w:t>
            </w:r>
          </w:p>
        </w:tc>
      </w:tr>
      <w:tr>
        <w:trPr>
          <w:trHeight w:val="181"/>
        </w:trPr>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(13,425)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(4,8 14)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(2.098)</w:t>
            </w:r>
          </w:p>
        </w:tc>
      </w:tr>
      <w:tr>
        <w:trPr>
          <w:trHeight w:val="166"/>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5"/>
                <w:szCs w:val="15"/>
                <w:color w:val="auto"/>
              </w:rPr>
              <w:t>(6,116)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6" w:lineRule="exact"/>
              <w:rPr>
                <w:sz w:val="20"/>
                <w:szCs w:val="20"/>
                <w:color w:val="auto"/>
              </w:rPr>
            </w:pPr>
            <w:r>
              <w:rPr>
                <w:rFonts w:ascii="Times New Roman" w:cs="Times New Roman" w:eastAsia="Times New Roman" w:hAnsi="Times New Roman"/>
                <w:sz w:val="15"/>
                <w:szCs w:val="15"/>
                <w:color w:val="auto"/>
              </w:rPr>
              <w:t>(5,306)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ind w:right="20"/>
              <w:spacing w:after="0" w:line="166" w:lineRule="exact"/>
              <w:rPr>
                <w:sz w:val="20"/>
                <w:szCs w:val="20"/>
                <w:color w:val="auto"/>
              </w:rPr>
            </w:pPr>
            <w:r>
              <w:rPr>
                <w:rFonts w:ascii="Times New Roman" w:cs="Times New Roman" w:eastAsia="Times New Roman" w:hAnsi="Times New Roman"/>
                <w:sz w:val="15"/>
                <w:szCs w:val="15"/>
                <w:color w:val="auto"/>
              </w:rPr>
              <w:t>(2,978)</w:t>
            </w:r>
          </w:p>
        </w:tc>
      </w:tr>
      <w:tr>
        <w:trPr>
          <w:trHeight w:val="168"/>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(5,390)</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(5,328)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5"/>
                <w:szCs w:val="15"/>
                <w:color w:val="auto"/>
              </w:rPr>
              <w:t>(5,731)</w:t>
            </w: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(1,985)</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(4,988)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I ,200)</w:t>
            </w:r>
          </w:p>
        </w:tc>
      </w:tr>
      <w:tr>
        <w:trPr>
          <w:trHeight w:val="172"/>
        </w:trPr>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293,387</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77,299</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76"/>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3,93 1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4,9 18</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line="168" w:lineRule="exact"/>
              <w:rPr>
                <w:sz w:val="20"/>
                <w:szCs w:val="20"/>
                <w:color w:val="auto"/>
              </w:rPr>
            </w:pPr>
            <w:r>
              <w:rPr>
                <w:rFonts w:ascii="Times New Roman" w:cs="Times New Roman" w:eastAsia="Times New Roman" w:hAnsi="Times New Roman"/>
                <w:sz w:val="15"/>
                <w:szCs w:val="15"/>
                <w:color w:val="auto"/>
              </w:rPr>
              <w:t>(416)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73,732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26,230</w:t>
            </w:r>
          </w:p>
        </w:tc>
        <w:tc>
          <w:tcPr>
            <w:tcW w:w="2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gridSpan w:val="2"/>
          </w:tcPr>
          <w:p>
            <w:pPr>
              <w:jc w:val="right"/>
              <w:ind w:right="40"/>
              <w:spacing w:after="0" w:line="168" w:lineRule="exact"/>
              <w:rPr>
                <w:sz w:val="20"/>
                <w:szCs w:val="20"/>
                <w:color w:val="auto"/>
              </w:rPr>
            </w:pPr>
            <w:r>
              <w:rPr>
                <w:rFonts w:ascii="Times New Roman" w:cs="Times New Roman" w:eastAsia="Times New Roman" w:hAnsi="Times New Roman"/>
                <w:sz w:val="15"/>
                <w:szCs w:val="15"/>
                <w:color w:val="auto"/>
              </w:rPr>
              <w:t>3,200</w:t>
            </w:r>
          </w:p>
        </w:tc>
        <w:tc>
          <w:tcPr>
            <w:tcW w:w="20" w:type="dxa"/>
            <w:vAlign w:val="bottom"/>
          </w:tcPr>
          <w:p>
            <w:pPr>
              <w:spacing w:after="0"/>
              <w:rPr>
                <w:sz w:val="14"/>
                <w:szCs w:val="14"/>
                <w:color w:val="auto"/>
              </w:rPr>
            </w:pPr>
          </w:p>
        </w:tc>
      </w:tr>
      <w:tr>
        <w:trPr>
          <w:trHeight w:val="172"/>
        </w:trPr>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(6,398)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(348)</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(4,165)</w:t>
            </w:r>
          </w:p>
        </w:tc>
      </w:tr>
      <w:tr>
        <w:trPr>
          <w:trHeight w:val="54"/>
        </w:trPr>
        <w:tc>
          <w:tcPr>
            <w:tcW w:w="660" w:type="dxa"/>
            <w:vAlign w:val="bottom"/>
            <w:tcBorders>
              <w:bottom w:val="single" w:sz="8" w:color="343030"/>
            </w:tcBorders>
            <w:gridSpan w:val="2"/>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343030"/>
            </w:tcBorders>
          </w:tcPr>
          <w:p>
            <w:pPr>
              <w:spacing w:after="0"/>
              <w:rPr>
                <w:sz w:val="4"/>
                <w:szCs w:val="4"/>
                <w:color w:val="auto"/>
              </w:rPr>
            </w:pPr>
          </w:p>
        </w:tc>
        <w:tc>
          <w:tcPr>
            <w:tcW w:w="560" w:type="dxa"/>
            <w:vAlign w:val="bottom"/>
            <w:tcBorders>
              <w:bottom w:val="single" w:sz="8" w:color="34303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343030"/>
            </w:tcBorders>
          </w:tcPr>
          <w:p>
            <w:pPr>
              <w:spacing w:after="0"/>
              <w:rPr>
                <w:sz w:val="4"/>
                <w:szCs w:val="4"/>
                <w:color w:val="auto"/>
              </w:rPr>
            </w:pPr>
          </w:p>
        </w:tc>
        <w:tc>
          <w:tcPr>
            <w:tcW w:w="560" w:type="dxa"/>
            <w:vAlign w:val="bottom"/>
            <w:tcBorders>
              <w:bottom w:val="single" w:sz="8" w:color="34303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4"/>
        </w:trPr>
        <w:tc>
          <w:tcPr>
            <w:tcW w:w="7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(240,967)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(99,835)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(18,107)</w:t>
            </w:r>
          </w:p>
        </w:tc>
      </w:tr>
      <w:tr>
        <w:trPr>
          <w:trHeight w:val="44"/>
        </w:trPr>
        <w:tc>
          <w:tcPr>
            <w:tcW w:w="10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84"/>
        </w:trPr>
        <w:tc>
          <w:tcPr>
            <w:tcW w:w="100" w:type="dxa"/>
            <w:vAlign w:val="bottom"/>
          </w:tcPr>
          <w:p>
            <w:pPr>
              <w:spacing w:after="0"/>
              <w:rPr>
                <w:sz w:val="15"/>
                <w:szCs w:val="15"/>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(7,729)</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4,394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I ,842)</w:t>
            </w:r>
          </w:p>
        </w:tc>
      </w:tr>
      <w:tr>
        <w:trPr>
          <w:trHeight w:val="54"/>
        </w:trPr>
        <w:tc>
          <w:tcPr>
            <w:tcW w:w="100" w:type="dxa"/>
            <w:vAlign w:val="bottom"/>
            <w:tcBorders>
              <w:bottom w:val="single" w:sz="8" w:color="343030"/>
            </w:tcBorders>
          </w:tcPr>
          <w:p>
            <w:pPr>
              <w:spacing w:after="0"/>
              <w:rPr>
                <w:sz w:val="4"/>
                <w:szCs w:val="4"/>
                <w:color w:val="auto"/>
              </w:rPr>
            </w:pPr>
          </w:p>
        </w:tc>
        <w:tc>
          <w:tcPr>
            <w:tcW w:w="560" w:type="dxa"/>
            <w:vAlign w:val="bottom"/>
            <w:tcBorders>
              <w:bottom w:val="single" w:sz="8" w:color="34303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bottom w:val="single" w:sz="8" w:color="343030"/>
            </w:tcBorders>
          </w:tcPr>
          <w:p>
            <w:pPr>
              <w:spacing w:after="0"/>
              <w:rPr>
                <w:sz w:val="4"/>
                <w:szCs w:val="4"/>
                <w:color w:val="auto"/>
              </w:rPr>
            </w:pPr>
          </w:p>
        </w:tc>
        <w:tc>
          <w:tcPr>
            <w:tcW w:w="560" w:type="dxa"/>
            <w:vAlign w:val="bottom"/>
            <w:tcBorders>
              <w:bottom w:val="single" w:sz="8" w:color="343030"/>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343030"/>
            </w:tcBorders>
          </w:tcPr>
          <w:p>
            <w:pPr>
              <w:spacing w:after="0"/>
              <w:rPr>
                <w:sz w:val="4"/>
                <w:szCs w:val="4"/>
                <w:color w:val="auto"/>
              </w:rPr>
            </w:pPr>
          </w:p>
        </w:tc>
        <w:tc>
          <w:tcPr>
            <w:tcW w:w="560" w:type="dxa"/>
            <w:vAlign w:val="bottom"/>
            <w:tcBorders>
              <w:bottom w:val="single" w:sz="8" w:color="343030"/>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187"/>
        </w:trPr>
        <w:tc>
          <w:tcPr>
            <w:tcW w:w="1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95,962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3"/>
          </w:tcPr>
          <w:p>
            <w:pPr>
              <w:jc w:val="center"/>
              <w:spacing w:after="0"/>
              <w:rPr>
                <w:sz w:val="20"/>
                <w:szCs w:val="20"/>
                <w:color w:val="auto"/>
              </w:rPr>
            </w:pPr>
            <w:r>
              <w:rPr>
                <w:rFonts w:ascii="Times New Roman" w:cs="Times New Roman" w:eastAsia="Times New Roman" w:hAnsi="Times New Roman"/>
                <w:sz w:val="15"/>
                <w:szCs w:val="15"/>
                <w:color w:val="auto"/>
              </w:rPr>
              <w:t>II ,459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3 1,589</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77"/>
        </w:trPr>
        <w:tc>
          <w:tcPr>
            <w:tcW w:w="1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201,891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190,432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158,843</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35"/>
        </w:trPr>
        <w:tc>
          <w:tcPr>
            <w:tcW w:w="10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r>
      <w:tr>
        <w:trPr>
          <w:trHeight w:val="197"/>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297,853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201,89 1</w:t>
            </w:r>
          </w:p>
        </w:tc>
        <w:tc>
          <w:tcPr>
            <w:tcW w:w="20" w:type="dxa"/>
            <w:vAlign w:val="bottom"/>
          </w:tcPr>
          <w:p>
            <w:pPr>
              <w:spacing w:after="0"/>
              <w:rPr>
                <w:sz w:val="17"/>
                <w:szCs w:val="17"/>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190,432</w:t>
            </w:r>
          </w:p>
        </w:tc>
        <w:tc>
          <w:tcPr>
            <w:tcW w:w="20" w:type="dxa"/>
            <w:vAlign w:val="bottom"/>
          </w:tcPr>
          <w:p>
            <w:pPr>
              <w:spacing w:after="0"/>
              <w:rPr>
                <w:sz w:val="17"/>
                <w:szCs w:val="17"/>
                <w:color w:val="auto"/>
              </w:rPr>
            </w:pPr>
          </w:p>
        </w:tc>
      </w:tr>
      <w:tr>
        <w:trPr>
          <w:trHeight w:val="54"/>
        </w:trPr>
        <w:tc>
          <w:tcPr>
            <w:tcW w:w="100" w:type="dxa"/>
            <w:vAlign w:val="bottom"/>
            <w:tcBorders>
              <w:bottom w:val="single" w:sz="8" w:color="302C2C"/>
            </w:tcBorders>
          </w:tcPr>
          <w:p>
            <w:pPr>
              <w:spacing w:after="0"/>
              <w:rPr>
                <w:sz w:val="4"/>
                <w:szCs w:val="4"/>
                <w:color w:val="auto"/>
              </w:rPr>
            </w:pPr>
          </w:p>
        </w:tc>
        <w:tc>
          <w:tcPr>
            <w:tcW w:w="560" w:type="dxa"/>
            <w:vAlign w:val="bottom"/>
            <w:tcBorders>
              <w:bottom w:val="single" w:sz="8" w:color="302C2C"/>
            </w:tcBorders>
          </w:tcPr>
          <w:p>
            <w:pPr>
              <w:spacing w:after="0"/>
              <w:rPr>
                <w:sz w:val="4"/>
                <w:szCs w:val="4"/>
                <w:color w:val="auto"/>
              </w:rPr>
            </w:pPr>
          </w:p>
        </w:tc>
        <w:tc>
          <w:tcPr>
            <w:tcW w:w="100" w:type="dxa"/>
            <w:vAlign w:val="bottom"/>
            <w:tcBorders>
              <w:bottom w:val="single" w:sz="8" w:color="302C2C"/>
            </w:tcBorders>
          </w:tcPr>
          <w:p>
            <w:pPr>
              <w:spacing w:after="0"/>
              <w:rPr>
                <w:sz w:val="4"/>
                <w:szCs w:val="4"/>
                <w:color w:val="auto"/>
              </w:rPr>
            </w:pPr>
          </w:p>
        </w:tc>
        <w:tc>
          <w:tcPr>
            <w:tcW w:w="20" w:type="dxa"/>
            <w:vAlign w:val="bottom"/>
            <w:tcBorders>
              <w:bottom w:val="single" w:sz="8" w:color="0C080C"/>
            </w:tcBorders>
          </w:tcPr>
          <w:p>
            <w:pPr>
              <w:spacing w:after="0"/>
              <w:rPr>
                <w:sz w:val="4"/>
                <w:szCs w:val="4"/>
                <w:color w:val="auto"/>
              </w:rPr>
            </w:pPr>
          </w:p>
        </w:tc>
        <w:tc>
          <w:tcPr>
            <w:tcW w:w="180" w:type="dxa"/>
            <w:vAlign w:val="bottom"/>
            <w:tcBorders>
              <w:bottom w:val="single" w:sz="8" w:color="0C080C"/>
            </w:tcBorders>
            <w:gridSpan w:val="2"/>
          </w:tcPr>
          <w:p>
            <w:pPr>
              <w:spacing w:after="0"/>
              <w:rPr>
                <w:sz w:val="4"/>
                <w:szCs w:val="4"/>
                <w:color w:val="auto"/>
              </w:rPr>
            </w:pPr>
          </w:p>
        </w:tc>
        <w:tc>
          <w:tcPr>
            <w:tcW w:w="560" w:type="dxa"/>
            <w:vAlign w:val="bottom"/>
            <w:tcBorders>
              <w:bottom w:val="single" w:sz="8" w:color="0C080C"/>
            </w:tcBorders>
          </w:tcPr>
          <w:p>
            <w:pPr>
              <w:spacing w:after="0"/>
              <w:rPr>
                <w:sz w:val="4"/>
                <w:szCs w:val="4"/>
                <w:color w:val="auto"/>
              </w:rPr>
            </w:pPr>
          </w:p>
        </w:tc>
        <w:tc>
          <w:tcPr>
            <w:tcW w:w="100" w:type="dxa"/>
            <w:vAlign w:val="bottom"/>
            <w:tcBorders>
              <w:bottom w:val="single" w:sz="8" w:color="0C080C"/>
            </w:tcBorders>
          </w:tcPr>
          <w:p>
            <w:pPr>
              <w:spacing w:after="0"/>
              <w:rPr>
                <w:sz w:val="4"/>
                <w:szCs w:val="4"/>
                <w:color w:val="auto"/>
              </w:rPr>
            </w:pPr>
          </w:p>
        </w:tc>
        <w:tc>
          <w:tcPr>
            <w:tcW w:w="20" w:type="dxa"/>
            <w:vAlign w:val="bottom"/>
            <w:tcBorders>
              <w:bottom w:val="single" w:sz="8" w:color="2C282C"/>
            </w:tcBorders>
          </w:tcPr>
          <w:p>
            <w:pPr>
              <w:spacing w:after="0"/>
              <w:rPr>
                <w:sz w:val="4"/>
                <w:szCs w:val="4"/>
                <w:color w:val="auto"/>
              </w:rPr>
            </w:pPr>
          </w:p>
        </w:tc>
        <w:tc>
          <w:tcPr>
            <w:tcW w:w="160" w:type="dxa"/>
            <w:vAlign w:val="bottom"/>
            <w:tcBorders>
              <w:bottom w:val="single" w:sz="8" w:color="2C282C"/>
            </w:tcBorders>
            <w:gridSpan w:val="2"/>
          </w:tcPr>
          <w:p>
            <w:pPr>
              <w:spacing w:after="0"/>
              <w:rPr>
                <w:sz w:val="4"/>
                <w:szCs w:val="4"/>
                <w:color w:val="auto"/>
              </w:rPr>
            </w:pPr>
          </w:p>
        </w:tc>
        <w:tc>
          <w:tcPr>
            <w:tcW w:w="600" w:type="dxa"/>
            <w:vAlign w:val="bottom"/>
            <w:tcBorders>
              <w:bottom w:val="single" w:sz="8" w:color="2C282C"/>
            </w:tcBorders>
            <w:gridSpan w:val="2"/>
          </w:tcPr>
          <w:p>
            <w:pPr>
              <w:spacing w:after="0"/>
              <w:rPr>
                <w:sz w:val="4"/>
                <w:szCs w:val="4"/>
                <w:color w:val="auto"/>
              </w:rPr>
            </w:pPr>
          </w:p>
        </w:tc>
        <w:tc>
          <w:tcPr>
            <w:tcW w:w="20" w:type="dxa"/>
            <w:vAlign w:val="bottom"/>
          </w:tcPr>
          <w:p>
            <w:pPr>
              <w:spacing w:after="0"/>
              <w:rPr>
                <w:sz w:val="4"/>
                <w:szCs w:val="4"/>
                <w:color w:val="auto"/>
              </w:rPr>
            </w:pPr>
          </w:p>
        </w:tc>
      </w:tr>
      <w:tr>
        <w:trPr>
          <w:trHeight w:val="555"/>
        </w:trPr>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63,000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39,000</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48,000</w:t>
            </w:r>
          </w:p>
        </w:tc>
        <w:tc>
          <w:tcPr>
            <w:tcW w:w="20" w:type="dxa"/>
            <w:vAlign w:val="bottom"/>
          </w:tcPr>
          <w:p>
            <w:pPr>
              <w:spacing w:after="0"/>
              <w:rPr>
                <w:sz w:val="24"/>
                <w:szCs w:val="24"/>
                <w:color w:val="auto"/>
              </w:rPr>
            </w:pPr>
          </w:p>
        </w:tc>
      </w:tr>
      <w:tr>
        <w:trPr>
          <w:trHeight w:val="180"/>
        </w:trPr>
        <w:tc>
          <w:tcPr>
            <w:tcW w:w="100" w:type="dxa"/>
            <w:vAlign w:val="bottom"/>
          </w:tcPr>
          <w:p>
            <w:pPr>
              <w:jc w:val="right"/>
              <w:spacing w:after="0" w:line="180" w:lineRule="exact"/>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69,000</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ind w:left="80"/>
              <w:spacing w:after="0"/>
              <w:rPr>
                <w:sz w:val="20"/>
                <w:szCs w:val="20"/>
                <w:color w:val="auto"/>
              </w:rPr>
            </w:pPr>
            <w:r>
              <w:rPr>
                <w:rFonts w:ascii="Times New Roman" w:cs="Times New Roman" w:eastAsia="Times New Roman" w:hAnsi="Times New Roman"/>
                <w:sz w:val="15"/>
                <w:szCs w:val="15"/>
                <w:color w:val="auto"/>
              </w:rPr>
              <w:t>$</w:t>
            </w:r>
          </w:p>
        </w:tc>
        <w:tc>
          <w:tcPr>
            <w:tcW w:w="680" w:type="dxa"/>
            <w:vAlign w:val="bottom"/>
            <w:gridSpan w:val="3"/>
          </w:tcPr>
          <w:p>
            <w:pPr>
              <w:jc w:val="center"/>
              <w:ind w:right="20"/>
              <w:spacing w:after="0" w:line="169" w:lineRule="exact"/>
              <w:rPr>
                <w:sz w:val="20"/>
                <w:szCs w:val="20"/>
                <w:color w:val="auto"/>
              </w:rPr>
            </w:pPr>
            <w:r>
              <w:rPr>
                <w:rFonts w:ascii="Times New Roman" w:cs="Times New Roman" w:eastAsia="Times New Roman" w:hAnsi="Times New Roman"/>
                <w:sz w:val="15"/>
                <w:szCs w:val="15"/>
                <w:color w:val="auto"/>
                <w:w w:val="81"/>
              </w:rPr>
              <w:t>5 L,OOO</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00" w:type="dxa"/>
            <w:vAlign w:val="bottom"/>
            <w:gridSpan w:val="2"/>
          </w:tcPr>
          <w:p>
            <w:pPr>
              <w:jc w:val="right"/>
              <w:ind w:right="40"/>
              <w:spacing w:after="0" w:line="169" w:lineRule="exact"/>
              <w:rPr>
                <w:sz w:val="20"/>
                <w:szCs w:val="20"/>
                <w:color w:val="auto"/>
              </w:rPr>
            </w:pPr>
            <w:r>
              <w:rPr>
                <w:rFonts w:ascii="Times New Roman" w:cs="Times New Roman" w:eastAsia="Times New Roman" w:hAnsi="Times New Roman"/>
                <w:sz w:val="15"/>
                <w:szCs w:val="15"/>
                <w:color w:val="auto"/>
              </w:rPr>
              <w:t>37,000</w:t>
            </w:r>
          </w:p>
        </w:tc>
        <w:tc>
          <w:tcPr>
            <w:tcW w:w="20" w:type="dxa"/>
            <w:vAlign w:val="bottom"/>
          </w:tcPr>
          <w:p>
            <w:pPr>
              <w:spacing w:after="0"/>
              <w:rPr>
                <w:sz w:val="15"/>
                <w:szCs w:val="15"/>
                <w:color w:val="auto"/>
              </w:rPr>
            </w:pPr>
          </w:p>
        </w:tc>
      </w:tr>
    </w:tbl>
    <w:p>
      <w:pPr>
        <w:spacing w:after="0" w:line="532" w:lineRule="exact"/>
        <w:rPr>
          <w:sz w:val="20"/>
          <w:szCs w:val="20"/>
          <w:color w:val="auto"/>
        </w:rPr>
      </w:pPr>
    </w:p>
    <w:p>
      <w:pPr>
        <w:sectPr>
          <w:pgSz w:w="12240" w:h="15850" w:orient="portrait"/>
          <w:cols w:equalWidth="0" w:num="2">
            <w:col w:w="6720" w:space="160"/>
            <w:col w:w="2485"/>
          </w:cols>
          <w:pgMar w:left="1440" w:top="1387" w:right="1440" w:bottom="719" w:gutter="0" w:footer="0" w:header="0"/>
          <w:type w:val="continuous"/>
        </w:sectPr>
      </w:pPr>
    </w:p>
    <w:p>
      <w:pPr>
        <w:spacing w:after="0" w:line="306"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91</w:t>
      </w:r>
    </w:p>
    <w:p>
      <w:pPr>
        <w:sectPr>
          <w:pgSz w:w="12240" w:h="15850" w:orient="portrait"/>
          <w:cols w:equalWidth="0" w:num="1">
            <w:col w:w="9365"/>
          </w:cols>
          <w:pgMar w:left="1440" w:top="1387" w:right="1440" w:bottom="719" w:gutter="0" w:footer="0" w:header="0"/>
          <w:type w:val="continuous"/>
        </w:sectPr>
      </w:pPr>
    </w:p>
    <w:bookmarkStart w:id="107" w:name="page108"/>
    <w:bookmarkEnd w:id="107"/>
    <w:p>
      <w:pPr>
        <w:jc w:val="center"/>
        <w:ind w:right="5"/>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HOLDINGS COMPANY</w:t>
      </w:r>
    </w:p>
    <w:p>
      <w:pPr>
        <w:spacing w:after="0" w:line="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b w:val="1"/>
          <w:bCs w:val="1"/>
          <w:color w:val="auto"/>
        </w:rPr>
        <w:t>CONSOLIDATED STATEMENTS OF CHANGES IN COMMON STOCKHOLDERS' EQUITY</w:t>
      </w:r>
    </w:p>
    <w:p>
      <w:pPr>
        <w:spacing w:after="0" w:line="237"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5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Accumulated</w:t>
            </w: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00" w:type="dxa"/>
            <w:vAlign w:val="bottom"/>
          </w:tcPr>
          <w:p>
            <w:pPr>
              <w:spacing w:after="0"/>
              <w:rPr>
                <w:sz w:val="11"/>
                <w:szCs w:val="11"/>
                <w:color w:val="auto"/>
              </w:rPr>
            </w:pP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rPr>
              <w:t>Class A</w:t>
            </w:r>
          </w:p>
        </w:tc>
        <w:tc>
          <w:tcPr>
            <w:tcW w:w="5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rPr>
              <w:t>C lass B</w:t>
            </w:r>
          </w:p>
        </w:tc>
        <w:tc>
          <w:tcPr>
            <w:tcW w:w="62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w w:val="98"/>
              </w:rPr>
              <w:t>CaJ&gt;ital in</w:t>
            </w:r>
          </w:p>
        </w:tc>
        <w:tc>
          <w:tcPr>
            <w:tcW w:w="660" w:type="dxa"/>
            <w:vAlign w:val="bottom"/>
          </w:tcPr>
          <w:p>
            <w:pPr>
              <w:spacing w:after="0"/>
              <w:rPr>
                <w:sz w:val="11"/>
                <w:szCs w:val="11"/>
                <w:color w:val="auto"/>
              </w:rPr>
            </w:pPr>
          </w:p>
        </w:tc>
        <w:tc>
          <w:tcPr>
            <w:tcW w:w="96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rPr>
              <w:t>Other</w:t>
            </w: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center"/>
              <w:spacing w:after="0" w:line="134" w:lineRule="exact"/>
              <w:rPr>
                <w:sz w:val="20"/>
                <w:szCs w:val="20"/>
                <w:color w:val="auto"/>
              </w:rPr>
            </w:pPr>
            <w:r>
              <w:rPr>
                <w:rFonts w:ascii="Times New Roman" w:cs="Times New Roman" w:eastAsia="Times New Roman" w:hAnsi="Times New Roman"/>
                <w:sz w:val="13"/>
                <w:szCs w:val="13"/>
                <w:color w:val="auto"/>
              </w:rPr>
              <w:t>Redeemable</w:t>
            </w:r>
          </w:p>
        </w:tc>
        <w:tc>
          <w:tcPr>
            <w:tcW w:w="0" w:type="dxa"/>
            <w:vAlign w:val="bottom"/>
          </w:tcPr>
          <w:p>
            <w:pPr>
              <w:spacing w:after="0"/>
              <w:rPr>
                <w:sz w:val="1"/>
                <w:szCs w:val="1"/>
                <w:color w:val="auto"/>
              </w:rPr>
            </w:pPr>
          </w:p>
        </w:tc>
      </w:tr>
      <w:tr>
        <w:trPr>
          <w:trHeight w:val="143"/>
        </w:trPr>
        <w:tc>
          <w:tcPr>
            <w:tcW w:w="2500" w:type="dxa"/>
            <w:vAlign w:val="bottom"/>
          </w:tcPr>
          <w:p>
            <w:pPr>
              <w:spacing w:after="0"/>
              <w:rPr>
                <w:sz w:val="12"/>
                <w:szCs w:val="12"/>
                <w:color w:val="auto"/>
              </w:rPr>
            </w:pPr>
          </w:p>
        </w:tc>
        <w:tc>
          <w:tcPr>
            <w:tcW w:w="1160" w:type="dxa"/>
            <w:vAlign w:val="bottom"/>
            <w:gridSpan w:val="2"/>
          </w:tcPr>
          <w:p>
            <w:pPr>
              <w:ind w:left="20"/>
              <w:spacing w:after="0" w:line="143" w:lineRule="exact"/>
              <w:rPr>
                <w:sz w:val="20"/>
                <w:szCs w:val="20"/>
                <w:color w:val="auto"/>
              </w:rPr>
            </w:pPr>
            <w:r>
              <w:rPr>
                <w:rFonts w:ascii="Times New Roman" w:cs="Times New Roman" w:eastAsia="Times New Roman" w:hAnsi="Times New Roman"/>
                <w:sz w:val="13"/>
                <w:szCs w:val="13"/>
                <w:color w:val="auto"/>
              </w:rPr>
              <w:t>Common Common</w:t>
            </w:r>
          </w:p>
        </w:tc>
        <w:tc>
          <w:tcPr>
            <w:tcW w:w="62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Excess of</w:t>
            </w:r>
          </w:p>
        </w:tc>
        <w:tc>
          <w:tcPr>
            <w:tcW w:w="6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Retained</w:t>
            </w:r>
          </w:p>
        </w:tc>
        <w:tc>
          <w:tcPr>
            <w:tcW w:w="96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Comprehensive</w:t>
            </w: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Treasur)'</w:t>
            </w:r>
          </w:p>
        </w:tc>
        <w:tc>
          <w:tcPr>
            <w:tcW w:w="90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Noncontrolling</w:t>
            </w:r>
          </w:p>
        </w:tc>
        <w:tc>
          <w:tcPr>
            <w:tcW w:w="680" w:type="dxa"/>
            <w:vAlign w:val="bottom"/>
          </w:tcPr>
          <w:p>
            <w:pPr>
              <w:jc w:val="right"/>
              <w:ind w:right="134"/>
              <w:spacing w:after="0" w:line="143" w:lineRule="exact"/>
              <w:rPr>
                <w:sz w:val="20"/>
                <w:szCs w:val="20"/>
                <w:color w:val="auto"/>
              </w:rPr>
            </w:pPr>
            <w:r>
              <w:rPr>
                <w:rFonts w:ascii="Times New Roman" w:cs="Times New Roman" w:eastAsia="Times New Roman" w:hAnsi="Times New Roman"/>
                <w:sz w:val="13"/>
                <w:szCs w:val="13"/>
                <w:color w:val="auto"/>
              </w:rPr>
              <w:t>Total</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3"/>
                <w:szCs w:val="13"/>
                <w:color w:val="auto"/>
              </w:rPr>
              <w:t>Noncontrolling</w:t>
            </w:r>
          </w:p>
        </w:tc>
        <w:tc>
          <w:tcPr>
            <w:tcW w:w="0" w:type="dxa"/>
            <w:vAlign w:val="bottom"/>
          </w:tcPr>
          <w:p>
            <w:pPr>
              <w:spacing w:after="0"/>
              <w:rPr>
                <w:sz w:val="1"/>
                <w:szCs w:val="1"/>
                <w:color w:val="auto"/>
              </w:rPr>
            </w:pPr>
          </w:p>
        </w:tc>
      </w:tr>
      <w:tr>
        <w:trPr>
          <w:trHeight w:val="156"/>
        </w:trPr>
        <w:tc>
          <w:tcPr>
            <w:tcW w:w="25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(in thousands)</w:t>
            </w:r>
          </w:p>
        </w:tc>
        <w:tc>
          <w:tcPr>
            <w:tcW w:w="5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_ s tock</w:t>
            </w:r>
          </w:p>
        </w:tc>
        <w:tc>
          <w:tcPr>
            <w:tcW w:w="58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s_tock</w:t>
            </w:r>
          </w:p>
        </w:tc>
        <w:tc>
          <w:tcPr>
            <w:tcW w:w="6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r ar v_alu_e</w:t>
            </w: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color w:val="auto"/>
              </w:rPr>
              <w:t>Earnings</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l n co_n,c__</w:t>
            </w:r>
          </w:p>
        </w:tc>
        <w:tc>
          <w:tcPr>
            <w:tcW w:w="74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rPr>
              <w:t>Stock</w:t>
            </w:r>
          </w:p>
        </w:tc>
        <w:tc>
          <w:tcPr>
            <w:tcW w:w="900" w:type="dxa"/>
            <w:vAlign w:val="bottom"/>
          </w:tcPr>
          <w:p>
            <w:pPr>
              <w:jc w:val="right"/>
              <w:ind w:right="174"/>
              <w:spacing w:after="0" w:line="146" w:lineRule="exact"/>
              <w:rPr>
                <w:sz w:val="20"/>
                <w:szCs w:val="20"/>
                <w:color w:val="auto"/>
              </w:rPr>
            </w:pPr>
            <w:r>
              <w:rPr>
                <w:rFonts w:ascii="Times New Roman" w:cs="Times New Roman" w:eastAsia="Times New Roman" w:hAnsi="Times New Roman"/>
                <w:sz w:val="13"/>
                <w:szCs w:val="13"/>
                <w:color w:val="auto"/>
              </w:rPr>
              <w:t>Interest</w:t>
            </w:r>
          </w:p>
        </w:tc>
        <w:tc>
          <w:tcPr>
            <w:tcW w:w="680" w:type="dxa"/>
            <w:vAlign w:val="bottom"/>
          </w:tcPr>
          <w:p>
            <w:pPr>
              <w:jc w:val="right"/>
              <w:ind w:right="74"/>
              <w:spacing w:after="0" w:line="146" w:lineRule="exact"/>
              <w:rPr>
                <w:sz w:val="20"/>
                <w:szCs w:val="20"/>
                <w:color w:val="auto"/>
              </w:rPr>
            </w:pPr>
            <w:r>
              <w:rPr>
                <w:rFonts w:ascii="Times New Roman" w:cs="Times New Roman" w:eastAsia="Times New Roman" w:hAnsi="Times New Roman"/>
                <w:sz w:val="13"/>
                <w:szCs w:val="13"/>
                <w:color w:val="auto"/>
              </w:rPr>
              <w:t>Equity</w:t>
            </w:r>
          </w:p>
        </w:tc>
        <w:tc>
          <w:tcPr>
            <w:tcW w:w="880" w:type="dxa"/>
            <w:vAlign w:val="bottom"/>
          </w:tcPr>
          <w:p>
            <w:pPr>
              <w:jc w:val="center"/>
              <w:spacing w:after="0" w:line="146" w:lineRule="exact"/>
              <w:rPr>
                <w:sz w:val="20"/>
                <w:szCs w:val="20"/>
                <w:color w:val="auto"/>
              </w:rPr>
            </w:pPr>
            <w:r>
              <w:rPr>
                <w:rFonts w:ascii="Times New Roman" w:cs="Times New Roman" w:eastAsia="Times New Roman" w:hAnsi="Times New Roman"/>
                <w:sz w:val="13"/>
                <w:szCs w:val="13"/>
                <w:color w:val="auto"/>
              </w:rPr>
              <w:t>Interest</w:t>
            </w:r>
          </w:p>
        </w:tc>
        <w:tc>
          <w:tcPr>
            <w:tcW w:w="0" w:type="dxa"/>
            <w:vAlign w:val="bottom"/>
          </w:tcPr>
          <w:p>
            <w:pPr>
              <w:spacing w:after="0"/>
              <w:rPr>
                <w:sz w:val="1"/>
                <w:szCs w:val="1"/>
                <w:color w:val="auto"/>
              </w:rPr>
            </w:pPr>
          </w:p>
        </w:tc>
      </w:tr>
      <w:tr>
        <w:trPr>
          <w:trHeight w:val="29"/>
        </w:trPr>
        <w:tc>
          <w:tcPr>
            <w:tcW w:w="250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As of December 31 , 2021 .. .. . ..... .</w:t>
            </w:r>
          </w:p>
        </w:tc>
        <w:tc>
          <w:tcPr>
            <w:tcW w:w="5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660" w:type="dxa"/>
            <w:vAlign w:val="bottom"/>
          </w:tcPr>
          <w:p>
            <w:pPr>
              <w:spacing w:after="0"/>
              <w:rPr>
                <w:sz w:val="2"/>
                <w:szCs w:val="2"/>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rPr>
              <w:t>$ 971.388</w:t>
            </w:r>
          </w:p>
        </w:tc>
        <w:tc>
          <w:tcPr>
            <w:tcW w:w="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$4.411.669</w:t>
            </w:r>
          </w:p>
        </w:tc>
        <w:tc>
          <w:tcPr>
            <w:tcW w:w="880" w:type="dxa"/>
            <w:vAlign w:val="bottom"/>
            <w:tcBorders>
              <w:bottom w:val="single" w:sz="8" w:color="141414"/>
            </w:tcBorders>
          </w:tcPr>
          <w:p>
            <w:pPr>
              <w:spacing w:after="0"/>
              <w:rPr>
                <w:sz w:val="2"/>
                <w:szCs w:val="2"/>
                <w:color w:val="auto"/>
              </w:rPr>
            </w:pPr>
          </w:p>
        </w:tc>
        <w:tc>
          <w:tcPr>
            <w:tcW w:w="0" w:type="dxa"/>
            <w:vAlign w:val="bottom"/>
          </w:tcPr>
          <w:p>
            <w:pPr>
              <w:spacing w:after="0"/>
              <w:rPr>
                <w:sz w:val="1"/>
                <w:szCs w:val="1"/>
                <w:color w:val="auto"/>
              </w:rPr>
            </w:pPr>
          </w:p>
        </w:tc>
      </w:tr>
      <w:tr>
        <w:trPr>
          <w:trHeight w:val="148"/>
        </w:trPr>
        <w:tc>
          <w:tcPr>
            <w:tcW w:w="2500" w:type="dxa"/>
            <w:vAlign w:val="bottom"/>
            <w:vMerge w:val="continue"/>
          </w:tcPr>
          <w:p>
            <w:pPr>
              <w:spacing w:after="0"/>
              <w:rPr>
                <w:sz w:val="12"/>
                <w:szCs w:val="12"/>
                <w:color w:val="auto"/>
              </w:rPr>
            </w:pPr>
          </w:p>
        </w:tc>
        <w:tc>
          <w:tcPr>
            <w:tcW w:w="580" w:type="dxa"/>
            <w:vAlign w:val="bottom"/>
          </w:tcPr>
          <w:p>
            <w:pPr>
              <w:jc w:val="right"/>
              <w:ind w:right="94"/>
              <w:spacing w:after="0" w:line="148" w:lineRule="exact"/>
              <w:rPr>
                <w:sz w:val="20"/>
                <w:szCs w:val="20"/>
                <w:color w:val="auto"/>
              </w:rPr>
            </w:pPr>
            <w:r>
              <w:rPr>
                <w:rFonts w:ascii="Times New Roman" w:cs="Times New Roman" w:eastAsia="Times New Roman" w:hAnsi="Times New Roman"/>
                <w:sz w:val="13"/>
                <w:szCs w:val="13"/>
                <w:color w:val="auto"/>
              </w:rPr>
              <w:t>$964</w:t>
            </w:r>
          </w:p>
        </w:tc>
        <w:tc>
          <w:tcPr>
            <w:tcW w:w="58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$ 19.036</w:t>
            </w:r>
          </w:p>
        </w:tc>
        <w:tc>
          <w:tcPr>
            <w:tcW w:w="62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rPr>
              <w:t>$389.456</w:t>
            </w:r>
          </w:p>
        </w:tc>
        <w:tc>
          <w:tcPr>
            <w:tcW w:w="660" w:type="dxa"/>
            <w:vAlign w:val="bottom"/>
          </w:tcPr>
          <w:p>
            <w:pPr>
              <w:jc w:val="center"/>
              <w:spacing w:after="0" w:line="148" w:lineRule="exact"/>
              <w:rPr>
                <w:sz w:val="20"/>
                <w:szCs w:val="20"/>
                <w:color w:val="auto"/>
              </w:rPr>
            </w:pPr>
            <w:r>
              <w:rPr>
                <w:rFonts w:ascii="Times New Roman" w:cs="Times New Roman" w:eastAsia="Times New Roman" w:hAnsi="Times New Roman"/>
                <w:sz w:val="13"/>
                <w:szCs w:val="13"/>
                <w:color w:val="auto"/>
                <w:w w:val="97"/>
              </w:rPr>
              <w:t>$7. 126.761</w:t>
            </w:r>
          </w:p>
        </w:tc>
        <w:tc>
          <w:tcPr>
            <w:tcW w:w="960" w:type="dxa"/>
            <w:vAlign w:val="bottom"/>
            <w:vMerge w:val="continue"/>
          </w:tcPr>
          <w:p>
            <w:pPr>
              <w:spacing w:after="0"/>
              <w:rPr>
                <w:sz w:val="12"/>
                <w:szCs w:val="12"/>
                <w:color w:val="auto"/>
              </w:rPr>
            </w:pPr>
          </w:p>
        </w:tc>
        <w:tc>
          <w:tcPr>
            <w:tcW w:w="7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$(4.108.022)</w:t>
            </w:r>
          </w:p>
        </w:tc>
        <w:tc>
          <w:tcPr>
            <w:tcW w:w="900" w:type="dxa"/>
            <w:vAlign w:val="bottom"/>
          </w:tcPr>
          <w:p>
            <w:pPr>
              <w:jc w:val="right"/>
              <w:ind w:right="174"/>
              <w:spacing w:after="0" w:line="148" w:lineRule="exact"/>
              <w:rPr>
                <w:sz w:val="20"/>
                <w:szCs w:val="20"/>
                <w:color w:val="auto"/>
              </w:rPr>
            </w:pPr>
            <w:r>
              <w:rPr>
                <w:rFonts w:ascii="Times New Roman" w:cs="Times New Roman" w:eastAsia="Times New Roman" w:hAnsi="Times New Roman"/>
                <w:sz w:val="13"/>
                <w:szCs w:val="13"/>
                <w:color w:val="auto"/>
              </w:rPr>
              <w:t>$ 12.086</w:t>
            </w:r>
          </w:p>
        </w:tc>
        <w:tc>
          <w:tcPr>
            <w:tcW w:w="680" w:type="dxa"/>
            <w:vAlign w:val="bottom"/>
            <w:vMerge w:val="continue"/>
          </w:tcPr>
          <w:p>
            <w:pPr>
              <w:spacing w:after="0"/>
              <w:rPr>
                <w:sz w:val="12"/>
                <w:szCs w:val="12"/>
                <w:color w:val="auto"/>
              </w:rPr>
            </w:pPr>
          </w:p>
        </w:tc>
        <w:tc>
          <w:tcPr>
            <w:tcW w:w="880" w:type="dxa"/>
            <w:vAlign w:val="bottom"/>
          </w:tcPr>
          <w:p>
            <w:pPr>
              <w:jc w:val="right"/>
              <w:ind w:right="154"/>
              <w:spacing w:after="0" w:line="148" w:lineRule="exact"/>
              <w:rPr>
                <w:sz w:val="20"/>
                <w:szCs w:val="20"/>
                <w:color w:val="auto"/>
              </w:rPr>
            </w:pPr>
            <w:r>
              <w:rPr>
                <w:rFonts w:ascii="Times New Roman" w:cs="Times New Roman" w:eastAsia="Times New Roman" w:hAnsi="Times New Roman"/>
                <w:sz w:val="13"/>
                <w:szCs w:val="13"/>
                <w:color w:val="auto"/>
              </w:rPr>
              <w:t>$  14.311</w:t>
            </w:r>
          </w:p>
        </w:tc>
        <w:tc>
          <w:tcPr>
            <w:tcW w:w="0" w:type="dxa"/>
            <w:vAlign w:val="bottom"/>
          </w:tcPr>
          <w:p>
            <w:pPr>
              <w:spacing w:after="0"/>
              <w:rPr>
                <w:sz w:val="1"/>
                <w:szCs w:val="1"/>
                <w:color w:val="auto"/>
              </w:rPr>
            </w:pPr>
          </w:p>
        </w:tc>
      </w:tr>
      <w:tr>
        <w:trPr>
          <w:trHeight w:val="153"/>
        </w:trPr>
        <w:tc>
          <w:tcPr>
            <w:tcW w:w="2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 xml:space="preserve">Nel income for the year </w:t>
            </w:r>
            <w:r>
              <w:rPr>
                <w:rFonts w:ascii="Times New Roman" w:cs="Times New Roman" w:eastAsia="Times New Roman" w:hAnsi="Times New Roman"/>
                <w:sz w:val="13"/>
                <w:szCs w:val="13"/>
                <w:color w:val="auto"/>
              </w:rPr>
              <w:t>..</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70.434</w:t>
            </w: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8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70,434</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7"/>
        </w:trPr>
        <w:tc>
          <w:tcPr>
            <w:tcW w:w="2500" w:type="dxa"/>
            <w:vAlign w:val="bottom"/>
          </w:tcPr>
          <w:p>
            <w:pPr>
              <w:spacing w:after="0" w:line="138" w:lineRule="exact"/>
              <w:rPr>
                <w:sz w:val="20"/>
                <w:szCs w:val="20"/>
                <w:color w:val="auto"/>
              </w:rPr>
            </w:pPr>
            <w:r>
              <w:rPr>
                <w:rFonts w:ascii="Times New Roman" w:cs="Times New Roman" w:eastAsia="Times New Roman" w:hAnsi="Times New Roman"/>
                <w:sz w:val="13"/>
                <w:szCs w:val="13"/>
                <w:color w:val="auto"/>
              </w:rPr>
              <w:t>Noncontrolling interest capital</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rPr>
              <w:t>3.900</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3,900</w:t>
            </w:r>
          </w:p>
        </w:tc>
        <w:tc>
          <w:tcPr>
            <w:tcW w:w="8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1.050</w:t>
            </w:r>
          </w:p>
        </w:tc>
        <w:tc>
          <w:tcPr>
            <w:tcW w:w="0" w:type="dxa"/>
            <w:vAlign w:val="bottom"/>
          </w:tcPr>
          <w:p>
            <w:pPr>
              <w:spacing w:after="0"/>
              <w:rPr>
                <w:sz w:val="1"/>
                <w:szCs w:val="1"/>
                <w:color w:val="auto"/>
              </w:rPr>
            </w:pPr>
          </w:p>
        </w:tc>
      </w:tr>
      <w:tr>
        <w:trPr>
          <w:trHeight w:val="139"/>
        </w:trPr>
        <w:tc>
          <w:tcPr>
            <w:tcW w:w="2500" w:type="dxa"/>
            <w:vAlign w:val="bottom"/>
          </w:tcPr>
          <w:p>
            <w:pPr>
              <w:ind w:left="120"/>
              <w:spacing w:after="0"/>
              <w:rPr>
                <w:sz w:val="20"/>
                <w:szCs w:val="20"/>
                <w:color w:val="auto"/>
              </w:rPr>
            </w:pPr>
            <w:r>
              <w:rPr>
                <w:rFonts w:ascii="Arial" w:cs="Arial" w:eastAsia="Arial" w:hAnsi="Arial"/>
                <w:sz w:val="12"/>
                <w:szCs w:val="12"/>
                <w:b w:val="1"/>
                <w:bCs w:val="1"/>
                <w:color w:val="auto"/>
              </w:rPr>
              <w:t xml:space="preserve">contributions  </w:t>
            </w:r>
            <w:r>
              <w:rPr>
                <w:rFonts w:ascii="Arial" w:cs="Arial" w:eastAsia="Arial" w:hAnsi="Arial"/>
                <w:sz w:val="12"/>
                <w:szCs w:val="12"/>
                <w:color w:val="auto"/>
              </w:rPr>
              <w:t>... . .... .</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Acquisition of noncontrolling interest .. .</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jc w:val="right"/>
              <w:ind w:right="194"/>
              <w:spacing w:after="0" w:line="143" w:lineRule="exact"/>
              <w:rPr>
                <w:sz w:val="20"/>
                <w:szCs w:val="20"/>
                <w:color w:val="auto"/>
              </w:rPr>
            </w:pPr>
            <w:r>
              <w:rPr>
                <w:rFonts w:ascii="Times New Roman" w:cs="Times New Roman" w:eastAsia="Times New Roman" w:hAnsi="Times New Roman"/>
                <w:sz w:val="13"/>
                <w:szCs w:val="13"/>
                <w:color w:val="auto"/>
              </w:rPr>
              <w:t>5 12</w:t>
            </w:r>
          </w:p>
        </w:tc>
        <w:tc>
          <w:tcPr>
            <w:tcW w:w="68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512</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0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Sale of equity in subsidiary ... ... ... . .</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146</w:t>
            </w: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jc w:val="right"/>
              <w:ind w:right="174"/>
              <w:spacing w:after="0" w:line="134" w:lineRule="exact"/>
              <w:rPr>
                <w:sz w:val="20"/>
                <w:szCs w:val="20"/>
                <w:color w:val="auto"/>
              </w:rPr>
            </w:pPr>
            <w:r>
              <w:rPr>
                <w:rFonts w:ascii="Times New Roman" w:cs="Times New Roman" w:eastAsia="Times New Roman" w:hAnsi="Times New Roman"/>
                <w:sz w:val="13"/>
                <w:szCs w:val="13"/>
                <w:color w:val="auto"/>
              </w:rPr>
              <w:t>3.054</w:t>
            </w:r>
          </w:p>
        </w:tc>
        <w:tc>
          <w:tcPr>
            <w:tcW w:w="68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3.200</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50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Nel income attributable to noncontrolling</w:t>
            </w: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20" w:type="dxa"/>
            <w:vAlign w:val="bottom"/>
            <w:gridSpan w:val="2"/>
            <w:vMerge w:val="restart"/>
          </w:tcPr>
          <w:p>
            <w:pPr>
              <w:jc w:val="right"/>
              <w:ind w:right="854"/>
              <w:spacing w:after="0"/>
              <w:rPr>
                <w:sz w:val="20"/>
                <w:szCs w:val="20"/>
                <w:color w:val="auto"/>
              </w:rPr>
            </w:pPr>
            <w:r>
              <w:rPr>
                <w:rFonts w:ascii="Times New Roman" w:cs="Times New Roman" w:eastAsia="Times New Roman" w:hAnsi="Times New Roman"/>
                <w:sz w:val="13"/>
                <w:szCs w:val="13"/>
                <w:color w:val="auto"/>
              </w:rPr>
              <w:t>(3.384)</w:t>
            </w:r>
          </w:p>
        </w:tc>
        <w:tc>
          <w:tcPr>
            <w:tcW w:w="740" w:type="dxa"/>
            <w:vAlign w:val="bottom"/>
          </w:tcPr>
          <w:p>
            <w:pPr>
              <w:spacing w:after="0"/>
              <w:rPr>
                <w:sz w:val="13"/>
                <w:szCs w:val="13"/>
                <w:color w:val="auto"/>
              </w:rPr>
            </w:pPr>
          </w:p>
        </w:tc>
        <w:tc>
          <w:tcPr>
            <w:tcW w:w="900" w:type="dxa"/>
            <w:vAlign w:val="bottom"/>
            <w:vMerge w:val="restart"/>
          </w:tcPr>
          <w:p>
            <w:pPr>
              <w:jc w:val="right"/>
              <w:ind w:right="174"/>
              <w:spacing w:after="0"/>
              <w:rPr>
                <w:sz w:val="20"/>
                <w:szCs w:val="20"/>
                <w:color w:val="auto"/>
              </w:rPr>
            </w:pPr>
            <w:r>
              <w:rPr>
                <w:rFonts w:ascii="Times New Roman" w:cs="Times New Roman" w:eastAsia="Times New Roman" w:hAnsi="Times New Roman"/>
                <w:sz w:val="13"/>
                <w:szCs w:val="13"/>
                <w:color w:val="auto"/>
              </w:rPr>
              <w:t>3.384</w:t>
            </w: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0"/>
        </w:trPr>
        <w:tc>
          <w:tcPr>
            <w:tcW w:w="2500" w:type="dxa"/>
            <w:vAlign w:val="bottom"/>
          </w:tcPr>
          <w:p>
            <w:pPr>
              <w:ind w:left="140"/>
              <w:spacing w:after="0"/>
              <w:rPr>
                <w:sz w:val="20"/>
                <w:szCs w:val="20"/>
                <w:color w:val="auto"/>
              </w:rPr>
            </w:pPr>
            <w:r>
              <w:rPr>
                <w:rFonts w:ascii="Arial" w:cs="Arial" w:eastAsia="Arial" w:hAnsi="Arial"/>
                <w:sz w:val="12"/>
                <w:szCs w:val="12"/>
                <w:b w:val="1"/>
                <w:bCs w:val="1"/>
                <w:color w:val="auto"/>
              </w:rPr>
              <w:t xml:space="preserve">inlerests  </w:t>
            </w:r>
            <w:r>
              <w:rPr>
                <w:rFonts w:ascii="Arial" w:cs="Arial" w:eastAsia="Arial" w:hAnsi="Arial"/>
                <w:sz w:val="12"/>
                <w:szCs w:val="12"/>
                <w:color w:val="auto"/>
              </w:rPr>
              <w:t>.......... . .... . ... .. .</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0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Acquisition of redeemable noncontrolling</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0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interes t .. .. .... . ..... . ... ... .. .. .. .</w:t>
            </w: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80" w:type="dxa"/>
            <w:vAlign w:val="bottom"/>
          </w:tcPr>
          <w:p>
            <w:pPr>
              <w:jc w:val="right"/>
              <w:ind w:right="134"/>
              <w:spacing w:after="0" w:line="134" w:lineRule="exact"/>
              <w:rPr>
                <w:sz w:val="20"/>
                <w:szCs w:val="20"/>
                <w:color w:val="auto"/>
              </w:rPr>
            </w:pPr>
            <w:r>
              <w:rPr>
                <w:rFonts w:ascii="Times New Roman" w:cs="Times New Roman" w:eastAsia="Times New Roman" w:hAnsi="Times New Roman"/>
                <w:sz w:val="13"/>
                <w:szCs w:val="13"/>
                <w:color w:val="auto"/>
              </w:rPr>
              <w:t>2.1 64</w:t>
            </w:r>
          </w:p>
        </w:tc>
        <w:tc>
          <w:tcPr>
            <w:tcW w:w="0" w:type="dxa"/>
            <w:vAlign w:val="bottom"/>
          </w:tcPr>
          <w:p>
            <w:pPr>
              <w:spacing w:after="0"/>
              <w:rPr>
                <w:sz w:val="1"/>
                <w:szCs w:val="1"/>
                <w:color w:val="auto"/>
              </w:rPr>
            </w:pPr>
          </w:p>
        </w:tc>
      </w:tr>
      <w:tr>
        <w:trPr>
          <w:trHeight w:val="146"/>
        </w:trPr>
        <w:tc>
          <w:tcPr>
            <w:tcW w:w="25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loss auributable to redeemable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0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noncontrolling interests .....</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80" w:type="dxa"/>
            <w:vAlign w:val="bottom"/>
          </w:tcPr>
          <w:p>
            <w:pPr>
              <w:jc w:val="right"/>
              <w:ind w:right="74"/>
              <w:spacing w:after="0"/>
              <w:rPr>
                <w:sz w:val="20"/>
                <w:szCs w:val="20"/>
                <w:color w:val="auto"/>
              </w:rPr>
            </w:pPr>
            <w:r>
              <w:rPr>
                <w:rFonts w:ascii="Times New Roman" w:cs="Times New Roman" w:eastAsia="Times New Roman" w:hAnsi="Times New Roman"/>
                <w:sz w:val="13"/>
                <w:szCs w:val="13"/>
                <w:color w:val="auto"/>
              </w:rPr>
              <w:t>(29)</w:t>
            </w:r>
          </w:p>
        </w:tc>
        <w:tc>
          <w:tcPr>
            <w:tcW w:w="0" w:type="dxa"/>
            <w:vAlign w:val="bottom"/>
          </w:tcPr>
          <w:p>
            <w:pPr>
              <w:spacing w:after="0"/>
              <w:rPr>
                <w:sz w:val="1"/>
                <w:szCs w:val="1"/>
                <w:color w:val="auto"/>
              </w:rPr>
            </w:pPr>
          </w:p>
        </w:tc>
      </w:tr>
      <w:tr>
        <w:trPr>
          <w:trHeight w:val="146"/>
        </w:trPr>
        <w:tc>
          <w:tcPr>
            <w:tcW w:w="250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Change in redemption value of redeemable</w:t>
            </w: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1786255</wp:posOffset>
                </wp:positionH>
                <wp:positionV relativeFrom="paragraph">
                  <wp:posOffset>-1223010</wp:posOffset>
                </wp:positionV>
                <wp:extent cx="41910" cy="0"/>
                <wp:wrapNone/>
                <wp:docPr id="111" name="Shape 1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1" o:spid="_x0000_s11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0.65pt,-96.2999pt" to="143.95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1847215</wp:posOffset>
                </wp:positionH>
                <wp:positionV relativeFrom="paragraph">
                  <wp:posOffset>-1223010</wp:posOffset>
                </wp:positionV>
                <wp:extent cx="41910" cy="0"/>
                <wp:wrapNone/>
                <wp:docPr id="112" name="Shape 1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2" o:spid="_x0000_s11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5.45pt,-96.2999pt" to="148.75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1901825</wp:posOffset>
                </wp:positionH>
                <wp:positionV relativeFrom="paragraph">
                  <wp:posOffset>-1223010</wp:posOffset>
                </wp:positionV>
                <wp:extent cx="253365" cy="0"/>
                <wp:wrapNone/>
                <wp:docPr id="113" name="Shape 1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53365"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3" o:spid="_x0000_s11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49.75pt,-96.2999pt" to="169.7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2210435</wp:posOffset>
                </wp:positionH>
                <wp:positionV relativeFrom="paragraph">
                  <wp:posOffset>-1223010</wp:posOffset>
                </wp:positionV>
                <wp:extent cx="41910" cy="0"/>
                <wp:wrapNone/>
                <wp:docPr id="114" name="Shape 1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4" o:spid="_x0000_s11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74.05pt,-96.2999pt" to="177.35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2325370</wp:posOffset>
                </wp:positionH>
                <wp:positionV relativeFrom="paragraph">
                  <wp:posOffset>-1223010</wp:posOffset>
                </wp:positionV>
                <wp:extent cx="144780" cy="0"/>
                <wp:wrapNone/>
                <wp:docPr id="115" name="Shape 1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4478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5" o:spid="_x0000_s11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3.1pt,-96.2999pt" to="194.5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2464435</wp:posOffset>
                </wp:positionH>
                <wp:positionV relativeFrom="paragraph">
                  <wp:posOffset>-1223010</wp:posOffset>
                </wp:positionV>
                <wp:extent cx="41910" cy="0"/>
                <wp:wrapNone/>
                <wp:docPr id="116" name="Shape 1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6" o:spid="_x0000_s11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4.05pt,-96.2999pt" to="197.35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2513330</wp:posOffset>
                </wp:positionH>
                <wp:positionV relativeFrom="paragraph">
                  <wp:posOffset>-1223010</wp:posOffset>
                </wp:positionV>
                <wp:extent cx="41910" cy="0"/>
                <wp:wrapNone/>
                <wp:docPr id="117" name="Shape 1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7" o:spid="_x0000_s11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97.9pt,-96.2999pt" to="201.2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2670810</wp:posOffset>
                </wp:positionH>
                <wp:positionV relativeFrom="paragraph">
                  <wp:posOffset>-1223010</wp:posOffset>
                </wp:positionV>
                <wp:extent cx="41910" cy="0"/>
                <wp:wrapNone/>
                <wp:docPr id="118" name="Shape 11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8" o:spid="_x0000_s114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10.3pt,-96.2999pt" to="213.6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3227705</wp:posOffset>
                </wp:positionH>
                <wp:positionV relativeFrom="paragraph">
                  <wp:posOffset>-1223010</wp:posOffset>
                </wp:positionV>
                <wp:extent cx="199390" cy="0"/>
                <wp:wrapNone/>
                <wp:docPr id="119" name="Shape 11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9939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19" o:spid="_x0000_s114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54.15pt,-96.2999pt" to="269.85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3421380</wp:posOffset>
                </wp:positionH>
                <wp:positionV relativeFrom="paragraph">
                  <wp:posOffset>-1223010</wp:posOffset>
                </wp:positionV>
                <wp:extent cx="41910" cy="0"/>
                <wp:wrapNone/>
                <wp:docPr id="120" name="Shape 12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0" o:spid="_x0000_s114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9.4pt,-96.2999pt" to="272.7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3475990</wp:posOffset>
                </wp:positionH>
                <wp:positionV relativeFrom="paragraph">
                  <wp:posOffset>-1223010</wp:posOffset>
                </wp:positionV>
                <wp:extent cx="41910" cy="0"/>
                <wp:wrapNone/>
                <wp:docPr id="121" name="Shape 12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1" o:spid="_x0000_s114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73.7pt,-96.2999pt" to="277pt,-96.2999pt" o:allowincell="f" strokecolor="#000000" strokeweight="1pt"/>
            </w:pict>
          </mc:Fallback>
        </mc:AlternateContent>
        <mc:AlternateContent>
          <mc:Choice Requires="wps">
            <w:drawing>
              <wp:anchor simplePos="0" relativeHeight="251657728" behindDoc="1" locked="0" layoutInCell="0" allowOverlap="1">
                <wp:simplePos x="0" y="0"/>
                <wp:positionH relativeFrom="column">
                  <wp:posOffset>3578860</wp:posOffset>
                </wp:positionH>
                <wp:positionV relativeFrom="paragraph">
                  <wp:posOffset>-1223010</wp:posOffset>
                </wp:positionV>
                <wp:extent cx="41910" cy="0"/>
                <wp:wrapNone/>
                <wp:docPr id="122" name="Shape 12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41910" cy="4763"/>
                        </a:xfrm>
                        <a:prstGeom prst="line">
                          <a:avLst/>
                        </a:prstGeom>
                        <a:solidFill>
                          <a:srgbClr val="FFFFFF"/>
                        </a:solidFill>
                        <a:ln w="12700">
                          <a:solidFill>
                            <a:srgbClr val="000000"/>
                          </a:solidFill>
                          <a:miter lim="800000"/>
                          <a:headEnd/>
                          <a:tailEnd/>
                        </a:ln>
                      </wps:spPr>
                      <wps:bodyPr/>
                    </wps:wsp>
                  </a:graphicData>
                </a:graphic>
              </wp:anchor>
            </w:drawing>
          </mc:Choice>
          <mc:Fallback>
            <w:pict>
              <v:line id="Shape 122" o:spid="_x0000_s114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81.8pt,-96.2999pt" to="285.1pt,-96.2999pt" o:allowincell="f" strokecolor="#000000" strokeweight="1pt"/>
            </w:pict>
          </mc:Fallback>
        </mc:AlternateContent>
      </w:r>
    </w:p>
    <w:p>
      <w:pPr>
        <w:sectPr>
          <w:pgSz w:w="12240" w:h="15850" w:orient="portrait"/>
          <w:cols w:equalWidth="0" w:num="1">
            <w:col w:w="9365"/>
          </w:cols>
          <w:pgMar w:left="1440" w:top="1384" w:right="1440" w:bottom="717" w:gutter="0" w:footer="0" w:header="0"/>
        </w:sectPr>
      </w:pPr>
    </w:p>
    <w:tbl>
      <w:tblPr>
        <w:tblLayout w:type="fixed"/>
        <w:tblInd w:w="120" w:type="dxa"/>
        <w:tblCellMar>
          <w:top w:w="0" w:type="dxa"/>
          <w:left w:w="0" w:type="dxa"/>
          <w:bottom w:w="0" w:type="dxa"/>
          <w:right w:w="0" w:type="dxa"/>
        </w:tblCellMar>
      </w:tblPr>
      <w:tr>
        <w:trPr>
          <w:trHeight w:val="130"/>
        </w:trPr>
        <w:tc>
          <w:tcPr>
            <w:tcW w:w="2580" w:type="dxa"/>
            <w:vAlign w:val="bottom"/>
          </w:tcPr>
          <w:p>
            <w:pPr>
              <w:ind w:left="140"/>
              <w:spacing w:after="0" w:line="131" w:lineRule="exact"/>
              <w:rPr>
                <w:sz w:val="20"/>
                <w:szCs w:val="20"/>
                <w:color w:val="auto"/>
              </w:rPr>
            </w:pPr>
            <w:r>
              <w:rPr>
                <w:rFonts w:ascii="Arial" w:cs="Arial" w:eastAsia="Arial" w:hAnsi="Arial"/>
                <w:sz w:val="13"/>
                <w:szCs w:val="13"/>
                <w:b w:val="1"/>
                <w:bCs w:val="1"/>
                <w:color w:val="auto"/>
              </w:rPr>
              <w:t xml:space="preserve">nonconrrolling interests </w:t>
            </w:r>
            <w:r>
              <w:rPr>
                <w:rFonts w:ascii="Arial" w:cs="Arial" w:eastAsia="Arial" w:hAnsi="Arial"/>
                <w:sz w:val="13"/>
                <w:szCs w:val="13"/>
                <w:color w:val="auto"/>
              </w:rPr>
              <w:t>. ... .</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jc w:val="right"/>
              <w:spacing w:after="0" w:line="131" w:lineRule="exact"/>
              <w:rPr>
                <w:sz w:val="20"/>
                <w:szCs w:val="20"/>
                <w:color w:val="auto"/>
              </w:rPr>
            </w:pPr>
            <w:r>
              <w:rPr>
                <w:rFonts w:ascii="Times New Roman" w:cs="Times New Roman" w:eastAsia="Times New Roman" w:hAnsi="Times New Roman"/>
                <w:sz w:val="13"/>
                <w:szCs w:val="13"/>
                <w:color w:val="auto"/>
              </w:rPr>
              <w:t>(6,027)</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Distribution to noncomrolling interests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Dividends paid on common stock</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(30.7 12)</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Repurchase of Class B common stock</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Issuance of Class B common stock. net of</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auto"/>
              </w:rPr>
              <w:t>restricted stock award forfeitures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(733)</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Amortization of unearned stock</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7,596</w:t>
            </w: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80" w:type="dxa"/>
            <w:vAlign w:val="bottom"/>
          </w:tcPr>
          <w:p>
            <w:pPr>
              <w:ind w:left="120"/>
              <w:spacing w:after="0" w:line="146" w:lineRule="exact"/>
              <w:rPr>
                <w:sz w:val="20"/>
                <w:szCs w:val="20"/>
                <w:color w:val="auto"/>
              </w:rPr>
            </w:pPr>
            <w:r>
              <w:rPr>
                <w:rFonts w:ascii="Times New Roman" w:cs="Times New Roman" w:eastAsia="Times New Roman" w:hAnsi="Times New Roman"/>
                <w:sz w:val="13"/>
                <w:szCs w:val="13"/>
                <w:color w:val="auto"/>
              </w:rPr>
              <w:t>compensation and stock option expense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Other comprehensive loss. net of income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auto"/>
              </w:rPr>
              <w:t>taxes _.</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(635.237)</w:t>
            </w:r>
          </w:p>
        </w:tc>
        <w:tc>
          <w:tcPr>
            <w:tcW w:w="0" w:type="dxa"/>
            <w:vAlign w:val="bottom"/>
          </w:tcPr>
          <w:p>
            <w:pPr>
              <w:spacing w:after="0"/>
              <w:rPr>
                <w:sz w:val="1"/>
                <w:szCs w:val="1"/>
                <w:color w:val="auto"/>
              </w:rPr>
            </w:pPr>
          </w:p>
        </w:tc>
      </w:tr>
      <w:tr>
        <w:trPr>
          <w:trHeight w:val="139"/>
        </w:trPr>
        <w:tc>
          <w:tcPr>
            <w:tcW w:w="25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Purchase of redeemable noncontr&lt;&gt;lling</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140"/>
              <w:spacing w:after="0"/>
              <w:rPr>
                <w:sz w:val="20"/>
                <w:szCs w:val="20"/>
                <w:color w:val="auto"/>
              </w:rPr>
            </w:pPr>
            <w:r>
              <w:rPr>
                <w:rFonts w:ascii="Arial" w:cs="Arial" w:eastAsia="Arial" w:hAnsi="Arial"/>
                <w:sz w:val="13"/>
                <w:szCs w:val="13"/>
                <w:b w:val="1"/>
                <w:bCs w:val="1"/>
                <w:color w:val="auto"/>
              </w:rPr>
              <w:t xml:space="preserve">interest </w:t>
            </w:r>
            <w:r>
              <w:rPr>
                <w:rFonts w:ascii="Arial" w:cs="Arial" w:eastAsia="Arial" w:hAnsi="Arial"/>
                <w:sz w:val="13"/>
                <w:szCs w:val="13"/>
                <w:color w:val="auto"/>
              </w:rPr>
              <w:t>.. .. .... . .... .. .. ..... . .</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2580" w:type="dxa"/>
            <w:vAlign w:val="bottom"/>
          </w:tcPr>
          <w:p>
            <w:pPr>
              <w:spacing w:after="0"/>
              <w:rPr>
                <w:sz w:val="5"/>
                <w:szCs w:val="5"/>
                <w:color w:val="auto"/>
              </w:rPr>
            </w:pPr>
          </w:p>
        </w:tc>
        <w:tc>
          <w:tcPr>
            <w:tcW w:w="46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Borders>
              <w:bottom w:val="single" w:sz="8" w:color="100C0C"/>
            </w:tcBorders>
          </w:tcPr>
          <w:p>
            <w:pPr>
              <w:spacing w:after="0"/>
              <w:rPr>
                <w:sz w:val="5"/>
                <w:szCs w:val="5"/>
                <w:color w:val="auto"/>
              </w:rPr>
            </w:pPr>
          </w:p>
        </w:tc>
        <w:tc>
          <w:tcPr>
            <w:tcW w:w="620" w:type="dxa"/>
            <w:vAlign w:val="bottom"/>
            <w:tcBorders>
              <w:bottom w:val="single" w:sz="8" w:color="100C0C"/>
            </w:tcBorders>
          </w:tcPr>
          <w:p>
            <w:pPr>
              <w:spacing w:after="0"/>
              <w:rPr>
                <w:sz w:val="5"/>
                <w:szCs w:val="5"/>
                <w:color w:val="auto"/>
              </w:rPr>
            </w:pPr>
          </w:p>
        </w:tc>
        <w:tc>
          <w:tcPr>
            <w:tcW w:w="16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5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As of December 31, 2022 . . . . . . . . . . . .</w:t>
            </w:r>
          </w:p>
        </w:tc>
        <w:tc>
          <w:tcPr>
            <w:tcW w:w="460" w:type="dxa"/>
            <w:vAlign w:val="bottom"/>
          </w:tcPr>
          <w:p>
            <w:pPr>
              <w:jc w:val="right"/>
              <w:ind w:right="54"/>
              <w:spacing w:after="0" w:line="139" w:lineRule="exact"/>
              <w:rPr>
                <w:sz w:val="20"/>
                <w:szCs w:val="20"/>
                <w:color w:val="auto"/>
              </w:rPr>
            </w:pPr>
            <w:r>
              <w:rPr>
                <w:rFonts w:ascii="Times New Roman" w:cs="Times New Roman" w:eastAsia="Times New Roman" w:hAnsi="Times New Roman"/>
                <w:sz w:val="13"/>
                <w:szCs w:val="13"/>
                <w:color w:val="auto"/>
              </w:rPr>
              <w:t>964</w:t>
            </w:r>
          </w:p>
        </w:tc>
        <w:tc>
          <w:tcPr>
            <w:tcW w:w="62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19.036</w:t>
            </w:r>
          </w:p>
        </w:tc>
        <w:tc>
          <w:tcPr>
            <w:tcW w:w="1280" w:type="dxa"/>
            <w:vAlign w:val="bottom"/>
            <w:gridSpan w:val="3"/>
          </w:tcPr>
          <w:p>
            <w:pPr>
              <w:jc w:val="right"/>
              <w:spacing w:after="0" w:line="139" w:lineRule="exact"/>
              <w:rPr>
                <w:sz w:val="20"/>
                <w:szCs w:val="20"/>
                <w:color w:val="auto"/>
              </w:rPr>
            </w:pPr>
            <w:r>
              <w:rPr>
                <w:rFonts w:ascii="Times New Roman" w:cs="Times New Roman" w:eastAsia="Times New Roman" w:hAnsi="Times New Roman"/>
                <w:sz w:val="13"/>
                <w:szCs w:val="13"/>
                <w:color w:val="auto"/>
              </w:rPr>
              <w:t>390.438   7. 163. 128</w:t>
            </w:r>
          </w:p>
        </w:tc>
        <w:tc>
          <w:tcPr>
            <w:tcW w:w="160" w:type="dxa"/>
            <w:vAlign w:val="bottom"/>
          </w:tcPr>
          <w:p>
            <w:pPr>
              <w:spacing w:after="0"/>
              <w:rPr>
                <w:sz w:val="12"/>
                <w:szCs w:val="12"/>
                <w:color w:val="auto"/>
              </w:rPr>
            </w:pPr>
          </w:p>
        </w:tc>
        <w:tc>
          <w:tcPr>
            <w:tcW w:w="66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336,151</w:t>
            </w: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inco,ne for the year _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2 11.704</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Noncontrolling interest capital</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auto"/>
              </w:rPr>
              <w:t>contributions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Purchase of equity from noncontrolling</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auto"/>
              </w:rPr>
              <w:t>interest _.</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(5.742)</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580" w:type="dxa"/>
            <w:vAlign w:val="bottom"/>
          </w:tcPr>
          <w:p>
            <w:pPr>
              <w:spacing w:after="0" w:line="139" w:lineRule="exact"/>
              <w:rPr>
                <w:sz w:val="20"/>
                <w:szCs w:val="20"/>
                <w:color w:val="auto"/>
              </w:rPr>
            </w:pPr>
            <w:r>
              <w:rPr>
                <w:rFonts w:ascii="Times New Roman" w:cs="Times New Roman" w:eastAsia="Times New Roman" w:hAnsi="Times New Roman"/>
                <w:sz w:val="13"/>
                <w:szCs w:val="13"/>
                <w:color w:val="auto"/>
              </w:rPr>
              <w:t>Net income allributable to noncontrolling</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2580" w:type="dxa"/>
            <w:vAlign w:val="bottom"/>
          </w:tcPr>
          <w:p>
            <w:pPr>
              <w:ind w:left="140"/>
              <w:spacing w:after="0" w:line="147" w:lineRule="exact"/>
              <w:rPr>
                <w:sz w:val="20"/>
                <w:szCs w:val="20"/>
                <w:color w:val="auto"/>
              </w:rPr>
            </w:pPr>
            <w:r>
              <w:rPr>
                <w:rFonts w:ascii="Arial" w:cs="Arial" w:eastAsia="Arial" w:hAnsi="Arial"/>
                <w:sz w:val="13"/>
                <w:szCs w:val="13"/>
                <w:b w:val="1"/>
                <w:bCs w:val="1"/>
                <w:color w:val="auto"/>
              </w:rPr>
              <w:t>inlerests</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tcPr>
          <w:p>
            <w:pPr>
              <w:jc w:val="right"/>
              <w:ind w:right="120"/>
              <w:spacing w:after="0" w:line="147" w:lineRule="exact"/>
              <w:rPr>
                <w:sz w:val="20"/>
                <w:szCs w:val="20"/>
                <w:color w:val="auto"/>
              </w:rPr>
            </w:pPr>
            <w:r>
              <w:rPr>
                <w:rFonts w:ascii="Times New Roman" w:cs="Times New Roman" w:eastAsia="Times New Roman" w:hAnsi="Times New Roman"/>
                <w:sz w:val="13"/>
                <w:szCs w:val="13"/>
                <w:color w:val="auto"/>
              </w:rPr>
              <w:t>(3,5 12)</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income attributable to redeemable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restart"/>
          </w:tcPr>
          <w:p>
            <w:pPr>
              <w:jc w:val="right"/>
              <w:ind w:right="20"/>
              <w:spacing w:after="0"/>
              <w:rPr>
                <w:sz w:val="20"/>
                <w:szCs w:val="20"/>
                <w:color w:val="auto"/>
              </w:rPr>
            </w:pPr>
            <w:r>
              <w:rPr>
                <w:rFonts w:ascii="Arial" w:cs="Arial" w:eastAsia="Arial" w:hAnsi="Arial"/>
                <w:sz w:val="14"/>
                <w:szCs w:val="14"/>
                <w:color w:val="auto"/>
              </w:rPr>
              <w:t>(2.'m)</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auto"/>
              </w:rPr>
              <w:t>noncolllrolling interesl5 .. ....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Change in redemption value of redeemable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auto"/>
              </w:rPr>
              <w:t>noncontrolling interests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( 15.441)</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Distribution to noncontrolling interests .. .. .</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Dividends paid on common stock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tcPr>
          <w:p>
            <w:pPr>
              <w:jc w:val="right"/>
              <w:ind w:right="140"/>
              <w:spacing w:after="0" w:line="143" w:lineRule="exact"/>
              <w:rPr>
                <w:sz w:val="20"/>
                <w:szCs w:val="20"/>
                <w:color w:val="auto"/>
              </w:rPr>
            </w:pPr>
            <w:r>
              <w:rPr>
                <w:rFonts w:ascii="Times New Roman" w:cs="Times New Roman" w:eastAsia="Times New Roman" w:hAnsi="Times New Roman"/>
                <w:sz w:val="13"/>
                <w:szCs w:val="13"/>
                <w:color w:val="auto"/>
              </w:rPr>
              <w:t>(30.953)</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Repurchase of Class B common stock</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Issuance of C lass B common stock. net of</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rest ric ted stock award forfei tures  .. .. .. .</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(4.110)</w:t>
            </w: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5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Amortization of unearned stock</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auto"/>
              </w:rPr>
              <w:t>compensation and stock option expense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6,895</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Other comprehensive income. ne1 of income</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5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taxes _._.</w:t>
            </w:r>
          </w:p>
        </w:tc>
        <w:tc>
          <w:tcPr>
            <w:tcW w:w="4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278. 186</w:t>
            </w: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Purchnse of redeemable noncontr&lt;&gt;lling</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color w:val="auto"/>
              </w:rPr>
              <w:t>interest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Borders>
              <w:bottom w:val="single" w:sz="8" w:color="504C4C"/>
            </w:tcBorders>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8"/>
        </w:trPr>
        <w:tc>
          <w:tcPr>
            <w:tcW w:w="2580" w:type="dxa"/>
            <w:vAlign w:val="bottom"/>
          </w:tcPr>
          <w:p>
            <w:pPr>
              <w:spacing w:after="0" w:line="148" w:lineRule="exact"/>
              <w:rPr>
                <w:sz w:val="20"/>
                <w:szCs w:val="20"/>
                <w:color w:val="auto"/>
              </w:rPr>
            </w:pPr>
            <w:r>
              <w:rPr>
                <w:rFonts w:ascii="Times New Roman" w:cs="Times New Roman" w:eastAsia="Times New Roman" w:hAnsi="Times New Roman"/>
                <w:sz w:val="13"/>
                <w:szCs w:val="13"/>
                <w:color w:val="auto"/>
              </w:rPr>
              <w:t>As of December 31, 2023 . . . . . . . . . . . .</w:t>
            </w:r>
          </w:p>
        </w:tc>
        <w:tc>
          <w:tcPr>
            <w:tcW w:w="460" w:type="dxa"/>
            <w:vAlign w:val="bottom"/>
          </w:tcPr>
          <w:p>
            <w:pPr>
              <w:jc w:val="right"/>
              <w:ind w:right="54"/>
              <w:spacing w:after="0" w:line="148" w:lineRule="exact"/>
              <w:rPr>
                <w:sz w:val="20"/>
                <w:szCs w:val="20"/>
                <w:color w:val="auto"/>
              </w:rPr>
            </w:pPr>
            <w:r>
              <w:rPr>
                <w:rFonts w:ascii="Times New Roman" w:cs="Times New Roman" w:eastAsia="Times New Roman" w:hAnsi="Times New Roman"/>
                <w:sz w:val="13"/>
                <w:szCs w:val="13"/>
                <w:color w:val="auto"/>
              </w:rPr>
              <w:t>964</w:t>
            </w:r>
          </w:p>
        </w:tc>
        <w:tc>
          <w:tcPr>
            <w:tcW w:w="62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19.036</w:t>
            </w:r>
          </w:p>
        </w:tc>
        <w:tc>
          <w:tcPr>
            <w:tcW w:w="64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372.040</w:t>
            </w:r>
          </w:p>
        </w:tc>
        <w:tc>
          <w:tcPr>
            <w:tcW w:w="6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7.337.463</w:t>
            </w:r>
          </w:p>
        </w:tc>
        <w:tc>
          <w:tcPr>
            <w:tcW w:w="160" w:type="dxa"/>
            <w:vAlign w:val="bottom"/>
          </w:tcPr>
          <w:p>
            <w:pPr>
              <w:spacing w:after="0"/>
              <w:rPr>
                <w:sz w:val="12"/>
                <w:szCs w:val="12"/>
                <w:color w:val="auto"/>
              </w:rPr>
            </w:pPr>
          </w:p>
        </w:tc>
        <w:tc>
          <w:tcPr>
            <w:tcW w:w="660" w:type="dxa"/>
            <w:vAlign w:val="bottom"/>
          </w:tcPr>
          <w:p>
            <w:pPr>
              <w:jc w:val="right"/>
              <w:spacing w:after="0" w:line="148" w:lineRule="exact"/>
              <w:rPr>
                <w:sz w:val="20"/>
                <w:szCs w:val="20"/>
                <w:color w:val="auto"/>
              </w:rPr>
            </w:pPr>
            <w:r>
              <w:rPr>
                <w:rFonts w:ascii="Times New Roman" w:cs="Times New Roman" w:eastAsia="Times New Roman" w:hAnsi="Times New Roman"/>
                <w:sz w:val="13"/>
                <w:szCs w:val="13"/>
                <w:color w:val="auto"/>
              </w:rPr>
              <w:t>614,337</w:t>
            </w: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income for the year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40" w:type="dxa"/>
            <w:vAlign w:val="bottom"/>
            <w:gridSpan w:val="2"/>
          </w:tcPr>
          <w:p>
            <w:pPr>
              <w:jc w:val="right"/>
              <w:spacing w:after="0" w:line="143" w:lineRule="exact"/>
              <w:rPr>
                <w:sz w:val="20"/>
                <w:szCs w:val="20"/>
                <w:color w:val="auto"/>
              </w:rPr>
            </w:pPr>
            <w:r>
              <w:rPr>
                <w:rFonts w:ascii="Times New Roman" w:cs="Times New Roman" w:eastAsia="Times New Roman" w:hAnsi="Times New Roman"/>
                <w:sz w:val="13"/>
                <w:szCs w:val="13"/>
                <w:color w:val="auto"/>
              </w:rPr>
              <w:t>732,610</w:t>
            </w: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Noncontrolling interest capital</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line="140" w:lineRule="exact"/>
              <w:rPr>
                <w:sz w:val="20"/>
                <w:szCs w:val="20"/>
                <w:color w:val="auto"/>
              </w:rPr>
            </w:pPr>
            <w:r>
              <w:rPr>
                <w:rFonts w:ascii="Times New Roman" w:cs="Times New Roman" w:eastAsia="Times New Roman" w:hAnsi="Times New Roman"/>
                <w:sz w:val="13"/>
                <w:szCs w:val="13"/>
                <w:color w:val="auto"/>
              </w:rPr>
              <w:t>contributions  .. . ....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income attributable to noncontrolling</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(4,799)</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ind w:left="140"/>
              <w:spacing w:after="0"/>
              <w:rPr>
                <w:sz w:val="20"/>
                <w:szCs w:val="20"/>
                <w:color w:val="auto"/>
              </w:rPr>
            </w:pPr>
            <w:r>
              <w:rPr>
                <w:rFonts w:ascii="Arial" w:cs="Arial" w:eastAsia="Arial" w:hAnsi="Arial"/>
                <w:sz w:val="10"/>
                <w:szCs w:val="10"/>
                <w:color w:val="auto"/>
              </w:rPr>
              <w:t>inter~ts</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Net income attributable to redeemable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ind w:left="140"/>
              <w:spacing w:after="0" w:line="134" w:lineRule="exact"/>
              <w:rPr>
                <w:sz w:val="20"/>
                <w:szCs w:val="20"/>
                <w:color w:val="auto"/>
              </w:rPr>
            </w:pPr>
            <w:r>
              <w:rPr>
                <w:rFonts w:ascii="Times New Roman" w:cs="Times New Roman" w:eastAsia="Times New Roman" w:hAnsi="Times New Roman"/>
                <w:sz w:val="13"/>
                <w:szCs w:val="13"/>
                <w:color w:val="auto"/>
              </w:rPr>
              <w:t>noncontrolling interests ... .... .. .. .. .</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3"/>
          </w:tcPr>
          <w:p>
            <w:pPr>
              <w:jc w:val="right"/>
              <w:ind w:right="140"/>
              <w:spacing w:after="0" w:line="134" w:lineRule="exact"/>
              <w:rPr>
                <w:sz w:val="20"/>
                <w:szCs w:val="20"/>
                <w:color w:val="auto"/>
              </w:rPr>
            </w:pPr>
            <w:r>
              <w:rPr>
                <w:rFonts w:ascii="Times New Roman" w:cs="Times New Roman" w:eastAsia="Times New Roman" w:hAnsi="Times New Roman"/>
                <w:sz w:val="13"/>
                <w:szCs w:val="13"/>
                <w:color w:val="auto"/>
              </w:rPr>
              <w:t>(3,177)</w:t>
            </w: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Change in redemption ••alue of</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(20,987)</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redeemable noncontroUing interests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580" w:type="dxa"/>
            <w:vAlign w:val="bottom"/>
          </w:tcPr>
          <w:p>
            <w:pPr>
              <w:spacing w:after="0" w:line="134" w:lineRule="exact"/>
              <w:rPr>
                <w:sz w:val="20"/>
                <w:szCs w:val="20"/>
                <w:color w:val="auto"/>
              </w:rPr>
            </w:pPr>
            <w:r>
              <w:rPr>
                <w:rFonts w:ascii="Times New Roman" w:cs="Times New Roman" w:eastAsia="Times New Roman" w:hAnsi="Times New Roman"/>
                <w:sz w:val="13"/>
                <w:szCs w:val="13"/>
                <w:color w:val="auto"/>
              </w:rPr>
              <w:t>Distrib1.1tion to noncontroiHng i11terests .. .</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Dh•idends paid on common stock _</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0" w:type="dxa"/>
            <w:vAlign w:val="bottom"/>
            <w:gridSpan w:val="3"/>
          </w:tcPr>
          <w:p>
            <w:pPr>
              <w:jc w:val="right"/>
              <w:ind w:right="140"/>
              <w:spacing w:after="0" w:line="146" w:lineRule="exact"/>
              <w:rPr>
                <w:sz w:val="20"/>
                <w:szCs w:val="20"/>
                <w:color w:val="auto"/>
              </w:rPr>
            </w:pPr>
            <w:r>
              <w:rPr>
                <w:rFonts w:ascii="Times New Roman" w:cs="Times New Roman" w:eastAsia="Times New Roman" w:hAnsi="Times New Roman"/>
                <w:sz w:val="13"/>
                <w:szCs w:val="13"/>
                <w:color w:val="auto"/>
              </w:rPr>
              <w:t>(30,347)</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2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auto"/>
              </w:rPr>
              <w:t>Repurchase of Class B commot&gt; stock</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Issuance of Class B common stock, net of</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40"/>
              <w:spacing w:after="0" w:line="144" w:lineRule="exact"/>
              <w:rPr>
                <w:sz w:val="20"/>
                <w:szCs w:val="20"/>
                <w:color w:val="auto"/>
              </w:rPr>
            </w:pPr>
            <w:r>
              <w:rPr>
                <w:rFonts w:ascii="Arial" w:cs="Arial" w:eastAsia="Arial" w:hAnsi="Arial"/>
                <w:sz w:val="10"/>
                <w:szCs w:val="10"/>
                <w:color w:val="auto"/>
              </w:rPr>
              <w:t xml:space="preserve">r~tricted </w:t>
            </w:r>
            <w:r>
              <w:rPr>
                <w:rFonts w:ascii="Times New Roman" w:cs="Times New Roman" w:eastAsia="Times New Roman" w:hAnsi="Times New Roman"/>
                <w:sz w:val="13"/>
                <w:szCs w:val="13"/>
                <w:color w:val="auto"/>
              </w:rPr>
              <w:t>stock award forfeitures</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(769)</w:t>
            </w: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S hares withheld related to net s hare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ind w:left="120"/>
              <w:spacing w:after="0" w:line="143" w:lineRule="exact"/>
              <w:rPr>
                <w:sz w:val="20"/>
                <w:szCs w:val="20"/>
                <w:color w:val="auto"/>
              </w:rPr>
            </w:pPr>
            <w:r>
              <w:rPr>
                <w:rFonts w:ascii="Times New Roman" w:cs="Times New Roman" w:eastAsia="Times New Roman" w:hAnsi="Times New Roman"/>
                <w:sz w:val="13"/>
                <w:szCs w:val="13"/>
                <w:color w:val="auto"/>
              </w:rPr>
              <w:t>settlement</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Amortization of unearned stock</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2580" w:type="dxa"/>
            <w:vAlign w:val="bottom"/>
          </w:tcPr>
          <w:p>
            <w:pPr>
              <w:ind w:left="140"/>
              <w:spacing w:after="0" w:line="131" w:lineRule="exact"/>
              <w:rPr>
                <w:sz w:val="20"/>
                <w:szCs w:val="20"/>
                <w:color w:val="auto"/>
              </w:rPr>
            </w:pPr>
            <w:r>
              <w:rPr>
                <w:rFonts w:ascii="Times New Roman" w:cs="Times New Roman" w:eastAsia="Times New Roman" w:hAnsi="Times New Roman"/>
                <w:sz w:val="13"/>
                <w:szCs w:val="13"/>
                <w:color w:val="auto"/>
              </w:rPr>
              <w:t>compensation and stock option</w:t>
            </w:r>
          </w:p>
        </w:tc>
        <w:tc>
          <w:tcPr>
            <w:tcW w:w="4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580" w:type="dxa"/>
            <w:vAlign w:val="bottom"/>
          </w:tcPr>
          <w:p>
            <w:pPr>
              <w:ind w:left="140"/>
              <w:spacing w:after="0" w:line="146" w:lineRule="exact"/>
              <w:rPr>
                <w:sz w:val="20"/>
                <w:szCs w:val="20"/>
                <w:color w:val="auto"/>
              </w:rPr>
            </w:pPr>
            <w:r>
              <w:rPr>
                <w:rFonts w:ascii="Times New Roman" w:cs="Times New Roman" w:eastAsia="Times New Roman" w:hAnsi="Times New Roman"/>
                <w:sz w:val="13"/>
                <w:szCs w:val="13"/>
                <w:b w:val="1"/>
                <w:bCs w:val="1"/>
                <w:color w:val="auto"/>
              </w:rPr>
              <w:t xml:space="preserve">expense  </w:t>
            </w:r>
            <w:r>
              <w:rPr>
                <w:rFonts w:ascii="Times New Roman" w:cs="Times New Roman" w:eastAsia="Times New Roman" w:hAnsi="Times New Roman"/>
                <w:sz w:val="13"/>
                <w:szCs w:val="13"/>
                <w:color w:val="auto"/>
              </w:rPr>
              <w:t>.... . .... ..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Olher comprehensive loss, net of income</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( 279,540)</w:t>
            </w:r>
          </w:p>
        </w:tc>
        <w:tc>
          <w:tcPr>
            <w:tcW w:w="0" w:type="dxa"/>
            <w:vAlign w:val="bottom"/>
          </w:tcPr>
          <w:p>
            <w:pPr>
              <w:spacing w:after="0"/>
              <w:rPr>
                <w:sz w:val="1"/>
                <w:szCs w:val="1"/>
                <w:color w:val="auto"/>
              </w:rPr>
            </w:pPr>
          </w:p>
        </w:tc>
      </w:tr>
      <w:tr>
        <w:trPr>
          <w:trHeight w:val="149"/>
        </w:trPr>
        <w:tc>
          <w:tcPr>
            <w:tcW w:w="258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 xml:space="preserve">taxes  </w:t>
            </w:r>
            <w:r>
              <w:rPr>
                <w:rFonts w:ascii="Times New Roman" w:cs="Times New Roman" w:eastAsia="Times New Roman" w:hAnsi="Times New Roman"/>
                <w:sz w:val="13"/>
                <w:szCs w:val="13"/>
                <w:color w:val="auto"/>
              </w:rPr>
              <w:t>... .. .... . .... .. ....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580" w:type="dxa"/>
            <w:vAlign w:val="bottom"/>
          </w:tcPr>
          <w:p>
            <w:pPr>
              <w:spacing w:after="0" w:line="143" w:lineRule="exact"/>
              <w:rPr>
                <w:sz w:val="20"/>
                <w:szCs w:val="20"/>
                <w:color w:val="auto"/>
              </w:rPr>
            </w:pPr>
            <w:r>
              <w:rPr>
                <w:rFonts w:ascii="Times New Roman" w:cs="Times New Roman" w:eastAsia="Times New Roman" w:hAnsi="Times New Roman"/>
                <w:sz w:val="13"/>
                <w:szCs w:val="13"/>
                <w:color w:val="auto"/>
              </w:rPr>
              <w:t>Purchase of redeemable noncontrolling</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580" w:type="dxa"/>
            <w:vAlign w:val="bottom"/>
          </w:tcPr>
          <w:p>
            <w:pPr>
              <w:ind w:left="140"/>
              <w:spacing w:after="0" w:line="146" w:lineRule="exact"/>
              <w:rPr>
                <w:sz w:val="20"/>
                <w:szCs w:val="20"/>
                <w:color w:val="auto"/>
              </w:rPr>
            </w:pPr>
            <w:r>
              <w:rPr>
                <w:rFonts w:ascii="Arial" w:cs="Arial" w:eastAsia="Arial" w:hAnsi="Arial"/>
                <w:sz w:val="10"/>
                <w:szCs w:val="10"/>
                <w:color w:val="auto"/>
              </w:rPr>
              <w:t xml:space="preserve">inter~t </w:t>
            </w:r>
            <w:r>
              <w:rPr>
                <w:rFonts w:ascii="Times New Roman" w:cs="Times New Roman" w:eastAsia="Times New Roman" w:hAnsi="Times New Roman"/>
                <w:sz w:val="13"/>
                <w:szCs w:val="13"/>
                <w:color w:val="auto"/>
              </w:rPr>
              <w:t>. .. .... . .... .. .... . ... .</w:t>
            </w:r>
          </w:p>
        </w:tc>
        <w:tc>
          <w:tcPr>
            <w:tcW w:w="4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8"/>
        </w:trPr>
        <w:tc>
          <w:tcPr>
            <w:tcW w:w="2580" w:type="dxa"/>
            <w:vAlign w:val="bottom"/>
          </w:tcPr>
          <w:p>
            <w:pPr>
              <w:spacing w:after="0"/>
              <w:rPr>
                <w:sz w:val="4"/>
                <w:szCs w:val="4"/>
                <w:color w:val="auto"/>
              </w:rPr>
            </w:pPr>
          </w:p>
        </w:tc>
        <w:tc>
          <w:tcPr>
            <w:tcW w:w="460" w:type="dxa"/>
            <w:vAlign w:val="bottom"/>
          </w:tcPr>
          <w:p>
            <w:pPr>
              <w:spacing w:after="0"/>
              <w:rPr>
                <w:sz w:val="4"/>
                <w:szCs w:val="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$ 19,036</w:t>
            </w:r>
          </w:p>
        </w:tc>
        <w:tc>
          <w:tcPr>
            <w:tcW w:w="640" w:type="dxa"/>
            <w:vAlign w:val="bottom"/>
          </w:tcPr>
          <w:p>
            <w:pPr>
              <w:spacing w:after="0"/>
              <w:rPr>
                <w:sz w:val="4"/>
                <w:szCs w:val="4"/>
                <w:color w:val="auto"/>
              </w:rPr>
            </w:pPr>
          </w:p>
        </w:tc>
        <w:tc>
          <w:tcPr>
            <w:tcW w:w="640" w:type="dxa"/>
            <w:vAlign w:val="bottom"/>
            <w:tcBorders>
              <w:bottom w:val="single" w:sz="8" w:color="100C0C"/>
            </w:tcBorders>
            <w:gridSpan w:val="2"/>
          </w:tcPr>
          <w:p>
            <w:pPr>
              <w:spacing w:after="0"/>
              <w:rPr>
                <w:sz w:val="4"/>
                <w:szCs w:val="4"/>
                <w:color w:val="auto"/>
              </w:rPr>
            </w:pPr>
          </w:p>
        </w:tc>
        <w:tc>
          <w:tcPr>
            <w:tcW w:w="160" w:type="dxa"/>
            <w:vAlign w:val="bottom"/>
          </w:tcPr>
          <w:p>
            <w:pPr>
              <w:spacing w:after="0"/>
              <w:rPr>
                <w:sz w:val="4"/>
                <w:szCs w:val="4"/>
                <w:color w:val="auto"/>
              </w:rPr>
            </w:pPr>
          </w:p>
        </w:tc>
        <w:tc>
          <w:tcPr>
            <w:tcW w:w="6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1"/>
        </w:trPr>
        <w:tc>
          <w:tcPr>
            <w:tcW w:w="2580" w:type="dxa"/>
            <w:vAlign w:val="bottom"/>
          </w:tcPr>
          <w:p>
            <w:pPr>
              <w:spacing w:after="0"/>
              <w:rPr>
                <w:sz w:val="20"/>
                <w:szCs w:val="20"/>
                <w:color w:val="auto"/>
              </w:rPr>
            </w:pPr>
            <w:r>
              <w:rPr>
                <w:rFonts w:ascii="Times New Roman" w:cs="Times New Roman" w:eastAsia="Times New Roman" w:hAnsi="Times New Roman"/>
                <w:sz w:val="13"/>
                <w:szCs w:val="13"/>
                <w:color w:val="auto"/>
              </w:rPr>
              <w:t>As of December 31, 2024 .. .... . . ... . .. .</w:t>
            </w:r>
          </w:p>
        </w:tc>
        <w:tc>
          <w:tcPr>
            <w:tcW w:w="460" w:type="dxa"/>
            <w:vAlign w:val="bottom"/>
          </w:tcPr>
          <w:p>
            <w:pPr>
              <w:jc w:val="right"/>
              <w:ind w:right="54"/>
              <w:spacing w:after="0"/>
              <w:rPr>
                <w:sz w:val="20"/>
                <w:szCs w:val="20"/>
                <w:color w:val="auto"/>
              </w:rPr>
            </w:pPr>
            <w:r>
              <w:rPr>
                <w:rFonts w:ascii="Times New Roman" w:cs="Times New Roman" w:eastAsia="Times New Roman" w:hAnsi="Times New Roman"/>
                <w:sz w:val="13"/>
                <w:szCs w:val="13"/>
                <w:color w:val="auto"/>
              </w:rPr>
              <w:t>$964</w:t>
            </w:r>
          </w:p>
        </w:tc>
        <w:tc>
          <w:tcPr>
            <w:tcW w:w="620" w:type="dxa"/>
            <w:vAlign w:val="bottom"/>
            <w:vMerge w:val="continue"/>
          </w:tcPr>
          <w:p>
            <w:pPr>
              <w:spacing w:after="0"/>
              <w:rPr>
                <w:sz w:val="13"/>
                <w:szCs w:val="13"/>
                <w:color w:val="auto"/>
              </w:rPr>
            </w:pPr>
          </w:p>
        </w:tc>
        <w:tc>
          <w:tcPr>
            <w:tcW w:w="640" w:type="dxa"/>
            <w:vAlign w:val="bottom"/>
          </w:tcPr>
          <w:p>
            <w:pPr>
              <w:jc w:val="right"/>
              <w:spacing w:after="0" w:line="146" w:lineRule="exact"/>
              <w:rPr>
                <w:sz w:val="20"/>
                <w:szCs w:val="20"/>
                <w:color w:val="auto"/>
              </w:rPr>
            </w:pPr>
            <w:r>
              <w:rPr>
                <w:rFonts w:ascii="Times New Roman" w:cs="Times New Roman" w:eastAsia="Times New Roman" w:hAnsi="Times New Roman"/>
                <w:sz w:val="13"/>
                <w:szCs w:val="13"/>
                <w:color w:val="auto"/>
              </w:rPr>
              <w:t>$356,919</w:t>
            </w:r>
          </w:p>
        </w:tc>
        <w:tc>
          <w:tcPr>
            <w:tcW w:w="6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$8,031,750</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$ 334,797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0"/>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73"/>
              <w:spacing w:after="0" w:line="131" w:lineRule="exact"/>
              <w:rPr>
                <w:sz w:val="20"/>
                <w:szCs w:val="20"/>
                <w:color w:val="auto"/>
              </w:rPr>
            </w:pPr>
            <w:r>
              <w:rPr>
                <w:rFonts w:ascii="Times New Roman" w:cs="Times New Roman" w:eastAsia="Times New Roman" w:hAnsi="Times New Roman"/>
                <w:sz w:val="13"/>
                <w:szCs w:val="13"/>
                <w:color w:val="auto"/>
              </w:rPr>
              <w:t>247</w:t>
            </w:r>
          </w:p>
        </w:tc>
        <w:tc>
          <w:tcPr>
            <w:tcW w:w="880" w:type="dxa"/>
            <w:vAlign w:val="bottom"/>
            <w:gridSpan w:val="3"/>
          </w:tcPr>
          <w:p>
            <w:pPr>
              <w:jc w:val="right"/>
              <w:ind w:right="100"/>
              <w:spacing w:after="0" w:line="131" w:lineRule="exact"/>
              <w:rPr>
                <w:sz w:val="20"/>
                <w:szCs w:val="20"/>
                <w:color w:val="auto"/>
              </w:rPr>
            </w:pPr>
            <w:r>
              <w:rPr>
                <w:rFonts w:ascii="Times New Roman" w:cs="Times New Roman" w:eastAsia="Times New Roman" w:hAnsi="Times New Roman"/>
                <w:sz w:val="13"/>
                <w:szCs w:val="13"/>
                <w:color w:val="auto"/>
              </w:rPr>
              <w:t>(5.780)</w:t>
            </w:r>
          </w:p>
        </w:tc>
        <w:tc>
          <w:tcPr>
            <w:tcW w:w="640" w:type="dxa"/>
            <w:vAlign w:val="bottom"/>
          </w:tcPr>
          <w:p>
            <w:pPr>
              <w:jc w:val="right"/>
              <w:ind w:right="14"/>
              <w:spacing w:after="0" w:line="131" w:lineRule="exact"/>
              <w:rPr>
                <w:sz w:val="20"/>
                <w:szCs w:val="20"/>
                <w:color w:val="auto"/>
              </w:rPr>
            </w:pPr>
            <w:r>
              <w:rPr>
                <w:rFonts w:ascii="Times New Roman" w:cs="Times New Roman" w:eastAsia="Times New Roman" w:hAnsi="Times New Roman"/>
                <w:sz w:val="13"/>
                <w:szCs w:val="13"/>
                <w:color w:val="auto"/>
              </w:rPr>
              <w:t>6.281</w:t>
            </w: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33"/>
              <w:spacing w:after="0" w:line="143" w:lineRule="exact"/>
              <w:rPr>
                <w:sz w:val="20"/>
                <w:szCs w:val="20"/>
                <w:color w:val="auto"/>
              </w:rPr>
            </w:pPr>
            <w:r>
              <w:rPr>
                <w:rFonts w:ascii="Times New Roman" w:cs="Times New Roman" w:eastAsia="Times New Roman" w:hAnsi="Times New Roman"/>
                <w:sz w:val="13"/>
                <w:szCs w:val="13"/>
                <w:color w:val="auto"/>
              </w:rPr>
              <w:t>( 1.905)</w:t>
            </w:r>
          </w:p>
        </w:tc>
        <w:tc>
          <w:tcPr>
            <w:tcW w:w="880" w:type="dxa"/>
            <w:vAlign w:val="bottom"/>
            <w:gridSpan w:val="3"/>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( 1.905)</w:t>
            </w:r>
          </w:p>
        </w:tc>
        <w:tc>
          <w:tcPr>
            <w:tcW w:w="640" w:type="dxa"/>
            <w:vAlign w:val="bottom"/>
          </w:tcPr>
          <w:p>
            <w:pPr>
              <w:jc w:val="right"/>
              <w:spacing w:after="0" w:line="143" w:lineRule="exact"/>
              <w:rPr>
                <w:sz w:val="20"/>
                <w:szCs w:val="20"/>
                <w:color w:val="auto"/>
              </w:rPr>
            </w:pPr>
            <w:r>
              <w:rPr>
                <w:rFonts w:ascii="Times New Roman" w:cs="Times New Roman" w:eastAsia="Times New Roman" w:hAnsi="Times New Roman"/>
                <w:sz w:val="13"/>
                <w:szCs w:val="13"/>
                <w:color w:val="auto"/>
              </w:rPr>
              <w:t>(750)</w:t>
            </w: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3"/>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(30,7 12)</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(71.386)</w:t>
            </w:r>
          </w:p>
        </w:tc>
        <w:tc>
          <w:tcPr>
            <w:tcW w:w="700" w:type="dxa"/>
            <w:vAlign w:val="bottom"/>
          </w:tcPr>
          <w:p>
            <w:pPr>
              <w:spacing w:after="0"/>
              <w:rPr>
                <w:sz w:val="13"/>
                <w:szCs w:val="13"/>
                <w:color w:val="auto"/>
              </w:rPr>
            </w:pPr>
          </w:p>
        </w:tc>
        <w:tc>
          <w:tcPr>
            <w:tcW w:w="880" w:type="dxa"/>
            <w:vAlign w:val="bottom"/>
            <w:gridSpan w:val="3"/>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(71,386)</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1.074</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341</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7,596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(635,237)</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(1,200)</w:t>
            </w:r>
          </w:p>
        </w:tc>
        <w:tc>
          <w:tcPr>
            <w:tcW w:w="0" w:type="dxa"/>
            <w:vAlign w:val="bottom"/>
          </w:tcPr>
          <w:p>
            <w:pPr>
              <w:spacing w:after="0"/>
              <w:rPr>
                <w:sz w:val="1"/>
                <w:szCs w:val="1"/>
                <w:color w:val="auto"/>
              </w:rPr>
            </w:pPr>
          </w:p>
        </w:tc>
      </w:tr>
      <w:tr>
        <w:trPr>
          <w:trHeight w:val="58"/>
        </w:trPr>
        <w:tc>
          <w:tcPr>
            <w:tcW w:w="680" w:type="dxa"/>
            <w:vAlign w:val="bottom"/>
            <w:tcBorders>
              <w:bottom w:val="single" w:sz="8" w:color="0C080C"/>
            </w:tcBorders>
          </w:tcPr>
          <w:p>
            <w:pPr>
              <w:spacing w:after="0"/>
              <w:rPr>
                <w:sz w:val="5"/>
                <w:szCs w:val="5"/>
                <w:color w:val="auto"/>
              </w:rPr>
            </w:pPr>
          </w:p>
        </w:tc>
        <w:tc>
          <w:tcPr>
            <w:tcW w:w="1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0C0808"/>
            </w:tcBorders>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820" w:type="dxa"/>
            <w:vAlign w:val="bottom"/>
            <w:gridSpan w:val="2"/>
          </w:tcPr>
          <w:p>
            <w:pPr>
              <w:jc w:val="right"/>
              <w:ind w:right="100"/>
              <w:spacing w:after="0" w:line="139" w:lineRule="exact"/>
              <w:rPr>
                <w:sz w:val="20"/>
                <w:szCs w:val="20"/>
                <w:color w:val="auto"/>
              </w:rPr>
            </w:pPr>
            <w:r>
              <w:rPr>
                <w:rFonts w:ascii="Times New Roman" w:cs="Times New Roman" w:eastAsia="Times New Roman" w:hAnsi="Times New Roman"/>
                <w:sz w:val="13"/>
                <w:szCs w:val="13"/>
                <w:color w:val="auto"/>
              </w:rPr>
              <w:t>(4. 178.334)</w:t>
            </w:r>
          </w:p>
        </w:tc>
        <w:tc>
          <w:tcPr>
            <w:tcW w:w="700" w:type="dxa"/>
            <w:vAlign w:val="bottom"/>
          </w:tcPr>
          <w:p>
            <w:pPr>
              <w:jc w:val="right"/>
              <w:ind w:right="73"/>
              <w:spacing w:after="0" w:line="139" w:lineRule="exact"/>
              <w:rPr>
                <w:sz w:val="20"/>
                <w:szCs w:val="20"/>
                <w:color w:val="auto"/>
              </w:rPr>
            </w:pPr>
            <w:r>
              <w:rPr>
                <w:rFonts w:ascii="Times New Roman" w:cs="Times New Roman" w:eastAsia="Times New Roman" w:hAnsi="Times New Roman"/>
                <w:sz w:val="13"/>
                <w:szCs w:val="13"/>
                <w:color w:val="auto"/>
              </w:rPr>
              <w:t>2 1.278</w:t>
            </w:r>
          </w:p>
        </w:tc>
        <w:tc>
          <w:tcPr>
            <w:tcW w:w="740" w:type="dxa"/>
            <w:vAlign w:val="bottom"/>
            <w:gridSpan w:val="2"/>
          </w:tcPr>
          <w:p>
            <w:pPr>
              <w:jc w:val="right"/>
              <w:ind w:right="20"/>
              <w:spacing w:after="0" w:line="139" w:lineRule="exact"/>
              <w:rPr>
                <w:sz w:val="20"/>
                <w:szCs w:val="20"/>
                <w:color w:val="auto"/>
              </w:rPr>
            </w:pPr>
            <w:r>
              <w:rPr>
                <w:rFonts w:ascii="Times New Roman" w:cs="Times New Roman" w:eastAsia="Times New Roman" w:hAnsi="Times New Roman"/>
                <w:sz w:val="13"/>
                <w:szCs w:val="13"/>
                <w:color w:val="auto"/>
              </w:rPr>
              <w:t>3.752,661</w:t>
            </w:r>
          </w:p>
        </w:tc>
        <w:tc>
          <w:tcPr>
            <w:tcW w:w="140" w:type="dxa"/>
            <w:vAlign w:val="bottom"/>
          </w:tcPr>
          <w:p>
            <w:pPr>
              <w:spacing w:after="0"/>
              <w:rPr>
                <w:sz w:val="12"/>
                <w:szCs w:val="12"/>
                <w:color w:val="auto"/>
              </w:rPr>
            </w:pPr>
          </w:p>
        </w:tc>
        <w:tc>
          <w:tcPr>
            <w:tcW w:w="640" w:type="dxa"/>
            <w:vAlign w:val="bottom"/>
          </w:tcPr>
          <w:p>
            <w:pPr>
              <w:jc w:val="right"/>
              <w:spacing w:after="0" w:line="139" w:lineRule="exact"/>
              <w:rPr>
                <w:sz w:val="20"/>
                <w:szCs w:val="20"/>
                <w:color w:val="auto"/>
              </w:rPr>
            </w:pPr>
            <w:r>
              <w:rPr>
                <w:rFonts w:ascii="Times New Roman" w:cs="Times New Roman" w:eastAsia="Times New Roman" w:hAnsi="Times New Roman"/>
                <w:sz w:val="13"/>
                <w:szCs w:val="13"/>
                <w:color w:val="auto"/>
              </w:rPr>
              <w:t>21.827</w:t>
            </w: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211,704</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3.520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3.520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754</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(4,988)</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93"/>
              <w:spacing w:after="0"/>
              <w:rPr>
                <w:sz w:val="20"/>
                <w:szCs w:val="20"/>
                <w:color w:val="auto"/>
              </w:rPr>
            </w:pPr>
            <w:r>
              <w:rPr>
                <w:rFonts w:ascii="Times New Roman" w:cs="Times New Roman" w:eastAsia="Times New Roman" w:hAnsi="Times New Roman"/>
                <w:sz w:val="13"/>
                <w:szCs w:val="13"/>
                <w:color w:val="auto"/>
              </w:rPr>
              <w:t>3.5 12</w:t>
            </w: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(2,904)</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2.904</w:t>
            </w:r>
          </w:p>
        </w:tc>
        <w:tc>
          <w:tcPr>
            <w:tcW w:w="0" w:type="dxa"/>
            <w:vAlign w:val="bottom"/>
          </w:tcPr>
          <w:p>
            <w:pPr>
              <w:spacing w:after="0"/>
              <w:rPr>
                <w:sz w:val="1"/>
                <w:szCs w:val="1"/>
                <w:color w:val="auto"/>
              </w:rPr>
            </w:pPr>
          </w:p>
        </w:tc>
      </w:tr>
      <w:tr>
        <w:trPr>
          <w:trHeight w:val="283"/>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5 18</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( 14.923)</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15.660</w:t>
            </w:r>
          </w:p>
        </w:tc>
        <w:tc>
          <w:tcPr>
            <w:tcW w:w="0" w:type="dxa"/>
            <w:vAlign w:val="bottom"/>
          </w:tcPr>
          <w:p>
            <w:pPr>
              <w:spacing w:after="0"/>
              <w:rPr>
                <w:sz w:val="1"/>
                <w:szCs w:val="1"/>
                <w:color w:val="auto"/>
              </w:rPr>
            </w:pPr>
          </w:p>
        </w:tc>
      </w:tr>
      <w:tr>
        <w:trPr>
          <w:trHeight w:val="134"/>
        </w:trPr>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jc w:val="right"/>
              <w:ind w:right="33"/>
              <w:spacing w:after="0" w:line="134" w:lineRule="exact"/>
              <w:rPr>
                <w:sz w:val="20"/>
                <w:szCs w:val="20"/>
                <w:color w:val="auto"/>
              </w:rPr>
            </w:pPr>
            <w:r>
              <w:rPr>
                <w:rFonts w:ascii="Times New Roman" w:cs="Times New Roman" w:eastAsia="Times New Roman" w:hAnsi="Times New Roman"/>
                <w:sz w:val="13"/>
                <w:szCs w:val="13"/>
                <w:color w:val="auto"/>
              </w:rPr>
              <w:t>(3.45 1)</w:t>
            </w:r>
          </w:p>
        </w:tc>
        <w:tc>
          <w:tcPr>
            <w:tcW w:w="880" w:type="dxa"/>
            <w:vAlign w:val="bottom"/>
            <w:gridSpan w:val="3"/>
          </w:tcPr>
          <w:p>
            <w:pPr>
              <w:jc w:val="right"/>
              <w:ind w:right="100"/>
              <w:spacing w:after="0" w:line="134" w:lineRule="exact"/>
              <w:rPr>
                <w:sz w:val="20"/>
                <w:szCs w:val="20"/>
                <w:color w:val="auto"/>
              </w:rPr>
            </w:pPr>
            <w:r>
              <w:rPr>
                <w:rFonts w:ascii="Times New Roman" w:cs="Times New Roman" w:eastAsia="Times New Roman" w:hAnsi="Times New Roman"/>
                <w:sz w:val="13"/>
                <w:szCs w:val="13"/>
                <w:color w:val="auto"/>
              </w:rPr>
              <w:t>(3.451 )</w:t>
            </w:r>
          </w:p>
        </w:tc>
        <w:tc>
          <w:tcPr>
            <w:tcW w:w="640" w:type="dxa"/>
            <w:vAlign w:val="bottom"/>
          </w:tcPr>
          <w:p>
            <w:pPr>
              <w:jc w:val="right"/>
              <w:spacing w:after="0" w:line="134" w:lineRule="exact"/>
              <w:rPr>
                <w:sz w:val="20"/>
                <w:szCs w:val="20"/>
                <w:color w:val="auto"/>
              </w:rPr>
            </w:pPr>
            <w:r>
              <w:rPr>
                <w:rFonts w:ascii="Times New Roman" w:cs="Times New Roman" w:eastAsia="Times New Roman" w:hAnsi="Times New Roman"/>
                <w:sz w:val="13"/>
                <w:szCs w:val="13"/>
                <w:color w:val="auto"/>
              </w:rPr>
              <w:t>( 1,241)</w:t>
            </w:r>
          </w:p>
        </w:tc>
        <w:tc>
          <w:tcPr>
            <w:tcW w:w="0" w:type="dxa"/>
            <w:vAlign w:val="bottom"/>
          </w:tcPr>
          <w:p>
            <w:pPr>
              <w:spacing w:after="0"/>
              <w:rPr>
                <w:sz w:val="1"/>
                <w:szCs w:val="1"/>
                <w:color w:val="auto"/>
              </w:rPr>
            </w:pPr>
          </w:p>
        </w:tc>
      </w:tr>
      <w:tr>
        <w:trPr>
          <w:trHeight w:val="143"/>
        </w:trPr>
        <w:tc>
          <w:tcPr>
            <w:tcW w:w="8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3"/>
                <w:szCs w:val="13"/>
                <w:color w:val="auto"/>
              </w:rPr>
              <w:t>(195.002)</w:t>
            </w:r>
          </w:p>
        </w:tc>
        <w:tc>
          <w:tcPr>
            <w:tcW w:w="700" w:type="dxa"/>
            <w:vAlign w:val="bottom"/>
          </w:tcPr>
          <w:p>
            <w:pPr>
              <w:spacing w:after="0"/>
              <w:rPr>
                <w:sz w:val="12"/>
                <w:szCs w:val="12"/>
                <w:color w:val="auto"/>
              </w:rPr>
            </w:pPr>
          </w:p>
        </w:tc>
        <w:tc>
          <w:tcPr>
            <w:tcW w:w="880" w:type="dxa"/>
            <w:vAlign w:val="bottom"/>
            <w:gridSpan w:val="3"/>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(30.953)</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0" w:type="dxa"/>
            <w:vAlign w:val="bottom"/>
            <w:gridSpan w:val="2"/>
            <w:vMerge w:val="continue"/>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3"/>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(195.002)</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5.233</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1.123</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6.895</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278, 186</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(1 4,965)</w:t>
            </w:r>
          </w:p>
        </w:tc>
        <w:tc>
          <w:tcPr>
            <w:tcW w:w="0" w:type="dxa"/>
            <w:vAlign w:val="bottom"/>
          </w:tcPr>
          <w:p>
            <w:pPr>
              <w:spacing w:after="0"/>
              <w:rPr>
                <w:sz w:val="1"/>
                <w:szCs w:val="1"/>
                <w:color w:val="auto"/>
              </w:rPr>
            </w:pPr>
          </w:p>
        </w:tc>
      </w:tr>
      <w:tr>
        <w:trPr>
          <w:trHeight w:val="48"/>
        </w:trPr>
        <w:tc>
          <w:tcPr>
            <w:tcW w:w="680" w:type="dxa"/>
            <w:vAlign w:val="bottom"/>
            <w:tcBorders>
              <w:bottom w:val="single" w:sz="8" w:color="504C4C"/>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vMerge w:val="restart"/>
          </w:tcPr>
          <w:p>
            <w:pPr>
              <w:jc w:val="right"/>
              <w:ind w:right="53"/>
              <w:spacing w:after="0"/>
              <w:rPr>
                <w:sz w:val="20"/>
                <w:szCs w:val="20"/>
                <w:color w:val="auto"/>
              </w:rPr>
            </w:pPr>
            <w:r>
              <w:rPr>
                <w:rFonts w:ascii="Times New Roman" w:cs="Times New Roman" w:eastAsia="Times New Roman" w:hAnsi="Times New Roman"/>
                <w:sz w:val="13"/>
                <w:szCs w:val="13"/>
                <w:color w:val="auto"/>
              </w:rPr>
              <w:t>26. 13 1</w:t>
            </w:r>
          </w:p>
        </w:tc>
        <w:tc>
          <w:tcPr>
            <w:tcW w:w="120" w:type="dxa"/>
            <w:vAlign w:val="bottom"/>
          </w:tcPr>
          <w:p>
            <w:pPr>
              <w:spacing w:after="0"/>
              <w:rPr>
                <w:sz w:val="4"/>
                <w:szCs w:val="4"/>
                <w:color w:val="auto"/>
              </w:rPr>
            </w:pPr>
          </w:p>
        </w:tc>
        <w:tc>
          <w:tcPr>
            <w:tcW w:w="620" w:type="dxa"/>
            <w:vAlign w:val="bottom"/>
            <w:tcBorders>
              <w:bottom w:val="single" w:sz="8" w:color="504C4C"/>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24.185</w:t>
            </w:r>
          </w:p>
        </w:tc>
        <w:tc>
          <w:tcPr>
            <w:tcW w:w="0" w:type="dxa"/>
            <w:vAlign w:val="bottom"/>
          </w:tcPr>
          <w:p>
            <w:pPr>
              <w:spacing w:after="0"/>
              <w:rPr>
                <w:sz w:val="1"/>
                <w:szCs w:val="1"/>
                <w:color w:val="auto"/>
              </w:rPr>
            </w:pPr>
          </w:p>
        </w:tc>
      </w:tr>
      <w:tr>
        <w:trPr>
          <w:trHeight w:val="148"/>
        </w:trPr>
        <w:tc>
          <w:tcPr>
            <w:tcW w:w="820" w:type="dxa"/>
            <w:vAlign w:val="bottom"/>
            <w:gridSpan w:val="2"/>
          </w:tcPr>
          <w:p>
            <w:pPr>
              <w:jc w:val="right"/>
              <w:ind w:right="100"/>
              <w:spacing w:after="0" w:line="148" w:lineRule="exact"/>
              <w:rPr>
                <w:sz w:val="20"/>
                <w:szCs w:val="20"/>
                <w:color w:val="auto"/>
              </w:rPr>
            </w:pPr>
            <w:r>
              <w:rPr>
                <w:rFonts w:ascii="Times New Roman" w:cs="Times New Roman" w:eastAsia="Times New Roman" w:hAnsi="Times New Roman"/>
                <w:sz w:val="13"/>
                <w:szCs w:val="13"/>
                <w:color w:val="auto"/>
              </w:rPr>
              <w:t>(4.368. 103)</w:t>
            </w:r>
          </w:p>
        </w:tc>
        <w:tc>
          <w:tcPr>
            <w:tcW w:w="700" w:type="dxa"/>
            <w:vAlign w:val="bottom"/>
            <w:vMerge w:val="continue"/>
          </w:tcPr>
          <w:p>
            <w:pPr>
              <w:spacing w:after="0"/>
              <w:rPr>
                <w:sz w:val="12"/>
                <w:szCs w:val="12"/>
                <w:color w:val="auto"/>
              </w:rPr>
            </w:pPr>
          </w:p>
        </w:tc>
        <w:tc>
          <w:tcPr>
            <w:tcW w:w="74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3"/>
                <w:szCs w:val="13"/>
                <w:color w:val="auto"/>
              </w:rPr>
              <w:t>4.001.868</w:t>
            </w: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gridSpan w:val="2"/>
          </w:tcPr>
          <w:p>
            <w:pPr>
              <w:jc w:val="right"/>
              <w:spacing w:after="0" w:line="146" w:lineRule="exact"/>
              <w:rPr>
                <w:sz w:val="20"/>
                <w:szCs w:val="20"/>
                <w:color w:val="auto"/>
              </w:rPr>
            </w:pPr>
            <w:r>
              <w:rPr>
                <w:rFonts w:ascii="Times New Roman" w:cs="Times New Roman" w:eastAsia="Times New Roman" w:hAnsi="Times New Roman"/>
                <w:sz w:val="13"/>
                <w:szCs w:val="13"/>
                <w:color w:val="auto"/>
              </w:rPr>
              <w:t>732,610</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0"/>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400</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400</w:t>
            </w: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3"/>
                <w:szCs w:val="13"/>
                <w:color w:val="auto"/>
              </w:rPr>
              <w:t>4,799</w:t>
            </w:r>
          </w:p>
        </w:tc>
        <w:tc>
          <w:tcPr>
            <w:tcW w:w="1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(3, 177)</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3,177</w:t>
            </w:r>
          </w:p>
        </w:tc>
        <w:tc>
          <w:tcPr>
            <w:tcW w:w="0" w:type="dxa"/>
            <w:vAlign w:val="bottom"/>
          </w:tcPr>
          <w:p>
            <w:pPr>
              <w:spacing w:after="0"/>
              <w:rPr>
                <w:sz w:val="1"/>
                <w:szCs w:val="1"/>
                <w:color w:val="auto"/>
              </w:rPr>
            </w:pPr>
          </w:p>
        </w:tc>
      </w:tr>
      <w:tr>
        <w:trPr>
          <w:trHeight w:val="273"/>
        </w:trPr>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00" w:type="dxa"/>
            <w:vAlign w:val="bottom"/>
          </w:tcPr>
          <w:p>
            <w:pPr>
              <w:jc w:val="right"/>
              <w:ind w:right="73"/>
              <w:spacing w:after="0"/>
              <w:rPr>
                <w:sz w:val="20"/>
                <w:szCs w:val="20"/>
                <w:color w:val="auto"/>
              </w:rPr>
            </w:pPr>
            <w:r>
              <w:rPr>
                <w:rFonts w:ascii="Times New Roman" w:cs="Times New Roman" w:eastAsia="Times New Roman" w:hAnsi="Times New Roman"/>
                <w:sz w:val="15"/>
                <w:szCs w:val="15"/>
                <w:color w:val="auto"/>
              </w:rPr>
              <w:t>1,493</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(19,494)</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21,176</w:t>
            </w: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jc w:val="right"/>
              <w:ind w:right="33"/>
              <w:spacing w:after="0" w:line="144" w:lineRule="exact"/>
              <w:rPr>
                <w:sz w:val="20"/>
                <w:szCs w:val="20"/>
                <w:color w:val="auto"/>
              </w:rPr>
            </w:pPr>
            <w:r>
              <w:rPr>
                <w:rFonts w:ascii="Times New Roman" w:cs="Times New Roman" w:eastAsia="Times New Roman" w:hAnsi="Times New Roman"/>
                <w:sz w:val="13"/>
                <w:szCs w:val="13"/>
                <w:color w:val="auto"/>
              </w:rPr>
              <w:t>(2,669)</w:t>
            </w:r>
          </w:p>
        </w:tc>
        <w:tc>
          <w:tcPr>
            <w:tcW w:w="880" w:type="dxa"/>
            <w:vAlign w:val="bottom"/>
            <w:gridSpan w:val="3"/>
          </w:tcPr>
          <w:p>
            <w:pPr>
              <w:jc w:val="right"/>
              <w:ind w:right="100"/>
              <w:spacing w:after="0" w:line="144" w:lineRule="exact"/>
              <w:rPr>
                <w:sz w:val="20"/>
                <w:szCs w:val="20"/>
                <w:color w:val="auto"/>
              </w:rPr>
            </w:pPr>
            <w:r>
              <w:rPr>
                <w:rFonts w:ascii="Times New Roman" w:cs="Times New Roman" w:eastAsia="Times New Roman" w:hAnsi="Times New Roman"/>
                <w:sz w:val="13"/>
                <w:szCs w:val="13"/>
                <w:color w:val="auto"/>
              </w:rPr>
              <w:t>(2, 669)</w:t>
            </w:r>
          </w:p>
        </w:tc>
        <w:tc>
          <w:tcPr>
            <w:tcW w:w="640" w:type="dxa"/>
            <w:vAlign w:val="bottom"/>
          </w:tcPr>
          <w:p>
            <w:pPr>
              <w:jc w:val="right"/>
              <w:spacing w:after="0" w:line="144" w:lineRule="exact"/>
              <w:rPr>
                <w:sz w:val="20"/>
                <w:szCs w:val="20"/>
                <w:color w:val="auto"/>
              </w:rPr>
            </w:pPr>
            <w:r>
              <w:rPr>
                <w:rFonts w:ascii="Times New Roman" w:cs="Times New Roman" w:eastAsia="Times New Roman" w:hAnsi="Times New Roman"/>
                <w:sz w:val="13"/>
                <w:szCs w:val="13"/>
                <w:color w:val="auto"/>
              </w:rPr>
              <w:t>(2,732)</w:t>
            </w:r>
          </w:p>
        </w:tc>
        <w:tc>
          <w:tcPr>
            <w:tcW w:w="0" w:type="dxa"/>
            <w:vAlign w:val="bottom"/>
          </w:tcPr>
          <w:p>
            <w:pPr>
              <w:spacing w:after="0"/>
              <w:rPr>
                <w:sz w:val="1"/>
                <w:szCs w:val="1"/>
                <w:color w:val="auto"/>
              </w:rPr>
            </w:pPr>
          </w:p>
        </w:tc>
      </w:tr>
      <w:tr>
        <w:trPr>
          <w:trHeight w:val="143"/>
        </w:trPr>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gridSpan w:val="3"/>
          </w:tcPr>
          <w:p>
            <w:pPr>
              <w:jc w:val="right"/>
              <w:ind w:right="100"/>
              <w:spacing w:after="0" w:line="143" w:lineRule="exact"/>
              <w:rPr>
                <w:sz w:val="20"/>
                <w:szCs w:val="20"/>
                <w:color w:val="auto"/>
              </w:rPr>
            </w:pPr>
            <w:r>
              <w:rPr>
                <w:rFonts w:ascii="Times New Roman" w:cs="Times New Roman" w:eastAsia="Times New Roman" w:hAnsi="Times New Roman"/>
                <w:sz w:val="13"/>
                <w:szCs w:val="13"/>
                <w:color w:val="auto"/>
              </w:rPr>
              <w:t>(30, 347)</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8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rPr>
              <w:t>(115,186)</w:t>
            </w:r>
          </w:p>
        </w:tc>
        <w:tc>
          <w:tcPr>
            <w:tcW w:w="700" w:type="dxa"/>
            <w:vAlign w:val="bottom"/>
          </w:tcPr>
          <w:p>
            <w:pPr>
              <w:spacing w:after="0"/>
              <w:rPr>
                <w:sz w:val="12"/>
                <w:szCs w:val="12"/>
                <w:color w:val="auto"/>
              </w:rPr>
            </w:pPr>
          </w:p>
        </w:tc>
        <w:tc>
          <w:tcPr>
            <w:tcW w:w="880" w:type="dxa"/>
            <w:vAlign w:val="bottom"/>
            <w:gridSpan w:val="3"/>
          </w:tcPr>
          <w:p>
            <w:pPr>
              <w:jc w:val="right"/>
              <w:ind w:right="100"/>
              <w:spacing w:after="0" w:line="146" w:lineRule="exact"/>
              <w:rPr>
                <w:sz w:val="20"/>
                <w:szCs w:val="20"/>
                <w:color w:val="auto"/>
              </w:rPr>
            </w:pPr>
            <w:r>
              <w:rPr>
                <w:rFonts w:ascii="Times New Roman" w:cs="Times New Roman" w:eastAsia="Times New Roman" w:hAnsi="Times New Roman"/>
                <w:sz w:val="13"/>
                <w:szCs w:val="13"/>
                <w:color w:val="auto"/>
              </w:rPr>
              <w:t>( 115, 186)</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6"/>
        </w:trPr>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( 309)</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(3,976)</w:t>
            </w:r>
          </w:p>
        </w:tc>
        <w:tc>
          <w:tcPr>
            <w:tcW w:w="7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(3,976)</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(279,540)</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6"/>
        </w:trPr>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(1,985)</w:t>
            </w:r>
          </w:p>
        </w:tc>
        <w:tc>
          <w:tcPr>
            <w:tcW w:w="0" w:type="dxa"/>
            <w:vAlign w:val="bottom"/>
          </w:tcPr>
          <w:p>
            <w:pPr>
              <w:spacing w:after="0"/>
              <w:rPr>
                <w:sz w:val="1"/>
                <w:szCs w:val="1"/>
                <w:color w:val="auto"/>
              </w:rPr>
            </w:pPr>
          </w:p>
        </w:tc>
      </w:tr>
      <w:tr>
        <w:trPr>
          <w:trHeight w:val="48"/>
        </w:trPr>
        <w:tc>
          <w:tcPr>
            <w:tcW w:w="680" w:type="dxa"/>
            <w:vAlign w:val="bottom"/>
            <w:tcBorders>
              <w:bottom w:val="single" w:sz="8" w:color="0C080C"/>
            </w:tcBorders>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Borders>
              <w:bottom w:val="single" w:sz="8" w:color="0C0808"/>
            </w:tcBorders>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$ 43,821</w:t>
            </w:r>
          </w:p>
        </w:tc>
        <w:tc>
          <w:tcPr>
            <w:tcW w:w="0" w:type="dxa"/>
            <w:vAlign w:val="bottom"/>
          </w:tcPr>
          <w:p>
            <w:pPr>
              <w:spacing w:after="0"/>
              <w:rPr>
                <w:sz w:val="1"/>
                <w:szCs w:val="1"/>
                <w:color w:val="auto"/>
              </w:rPr>
            </w:pPr>
          </w:p>
        </w:tc>
      </w:tr>
      <w:tr>
        <w:trPr>
          <w:trHeight w:val="151"/>
        </w:trPr>
        <w:tc>
          <w:tcPr>
            <w:tcW w:w="820" w:type="dxa"/>
            <w:vAlign w:val="bottom"/>
            <w:gridSpan w:val="2"/>
          </w:tcPr>
          <w:p>
            <w:pPr>
              <w:jc w:val="right"/>
              <w:ind w:right="120"/>
              <w:spacing w:after="0" w:line="146" w:lineRule="exact"/>
              <w:rPr>
                <w:sz w:val="20"/>
                <w:szCs w:val="20"/>
                <w:color w:val="auto"/>
              </w:rPr>
            </w:pPr>
            <w:r>
              <w:rPr>
                <w:rFonts w:ascii="Times New Roman" w:cs="Times New Roman" w:eastAsia="Times New Roman" w:hAnsi="Times New Roman"/>
                <w:sz w:val="13"/>
                <w:szCs w:val="13"/>
                <w:color w:val="auto"/>
                <w:w w:val="96"/>
              </w:rPr>
              <w:t>$ (4,486,805)</w:t>
            </w:r>
          </w:p>
        </w:tc>
        <w:tc>
          <w:tcPr>
            <w:tcW w:w="700" w:type="dxa"/>
            <w:vAlign w:val="bottom"/>
          </w:tcPr>
          <w:p>
            <w:pPr>
              <w:jc w:val="right"/>
              <w:ind w:right="73"/>
              <w:spacing w:after="0" w:line="146" w:lineRule="exact"/>
              <w:rPr>
                <w:sz w:val="20"/>
                <w:szCs w:val="20"/>
                <w:color w:val="auto"/>
              </w:rPr>
            </w:pPr>
            <w:r>
              <w:rPr>
                <w:rFonts w:ascii="Times New Roman" w:cs="Times New Roman" w:eastAsia="Times New Roman" w:hAnsi="Times New Roman"/>
                <w:sz w:val="13"/>
                <w:szCs w:val="13"/>
                <w:color w:val="auto"/>
              </w:rPr>
              <w:t>$30,154</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$4,286,815</w:t>
            </w:r>
          </w:p>
        </w:tc>
        <w:tc>
          <w:tcPr>
            <w:tcW w:w="140" w:type="dxa"/>
            <w:vAlign w:val="bottom"/>
          </w:tcPr>
          <w:p>
            <w:pPr>
              <w:spacing w:after="0"/>
              <w:rPr>
                <w:sz w:val="13"/>
                <w:szCs w:val="13"/>
                <w:color w:val="auto"/>
              </w:rPr>
            </w:pPr>
          </w:p>
        </w:tc>
        <w:tc>
          <w:tcPr>
            <w:tcW w:w="6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2">
            <w:col w:w="5880" w:space="160"/>
            <w:col w:w="3325"/>
          </w:cols>
          <w:pgMar w:left="1440" w:top="1384" w:right="1440" w:bottom="717" w:gutter="0" w:footer="0" w:header="0"/>
          <w:type w:val="continuous"/>
        </w:sectPr>
      </w:pPr>
    </w:p>
    <w:p>
      <w:pPr>
        <w:spacing w:after="0" w:line="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See accompanying Notes to Consolidated Financial Statements.</w:t>
      </w:r>
    </w:p>
    <w:p>
      <w:pPr>
        <w:sectPr>
          <w:pgSz w:w="12240" w:h="15850" w:orient="portrait"/>
          <w:cols w:equalWidth="0" w:num="1">
            <w:col w:w="9365"/>
          </w:cols>
          <w:pgMar w:left="1440" w:top="1384" w:right="1440" w:bottom="717"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92</w:t>
        <w:tab/>
        <w:t>2024 FORM 10-K</w:t>
      </w:r>
    </w:p>
    <w:p>
      <w:pPr>
        <w:sectPr>
          <w:pgSz w:w="12240" w:h="15850" w:orient="portrait"/>
          <w:cols w:equalWidth="0" w:num="1">
            <w:col w:w="9365"/>
          </w:cols>
          <w:pgMar w:left="1440" w:top="1384" w:right="1440" w:bottom="717" w:gutter="0" w:footer="0" w:header="0"/>
          <w:type w:val="continuous"/>
        </w:sectPr>
      </w:pPr>
    </w:p>
    <w:bookmarkStart w:id="108" w:name="page109"/>
    <w:bookmarkEnd w:id="108"/>
    <w:p>
      <w:pPr>
        <w:jc w:val="center"/>
        <w:ind w:right="5"/>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GRAHAM H OLDINGS CO MPANY</w:t>
      </w:r>
    </w:p>
    <w:p>
      <w:pPr>
        <w:spacing w:after="0" w:line="20" w:lineRule="exact"/>
        <w:rPr>
          <w:sz w:val="20"/>
          <w:szCs w:val="20"/>
          <w:color w:val="auto"/>
        </w:rPr>
      </w:pPr>
    </w:p>
    <w:p>
      <w:pPr>
        <w:jc w:val="center"/>
        <w:ind w:right="-14"/>
        <w:spacing w:after="0"/>
        <w:rPr>
          <w:sz w:val="20"/>
          <w:szCs w:val="20"/>
          <w:color w:val="auto"/>
        </w:rPr>
      </w:pPr>
      <w:r>
        <w:rPr>
          <w:rFonts w:ascii="Times New Roman" w:cs="Times New Roman" w:eastAsia="Times New Roman" w:hAnsi="Times New Roman"/>
          <w:sz w:val="19"/>
          <w:szCs w:val="19"/>
          <w:color w:val="auto"/>
        </w:rPr>
        <w:t>NOTES TO CONSOLIDATED FINANCIAL STATEMENTS</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1. ORGANIZATION AND NATURE OF OPERATIONS</w:t>
      </w:r>
    </w:p>
    <w:p>
      <w:pPr>
        <w:spacing w:after="0" w:line="133"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Graham Holdings Company (the Company), is a diversified holding company whose operations include educational services, television broad!casting, manufacturing, healthcare, automotive dealershjps and other businesses.</w:t>
      </w:r>
    </w:p>
    <w:p>
      <w:pPr>
        <w:spacing w:after="0" w:line="200" w:lineRule="exact"/>
        <w:rPr>
          <w:sz w:val="20"/>
          <w:szCs w:val="20"/>
          <w:color w:val="auto"/>
        </w:rPr>
      </w:pPr>
    </w:p>
    <w:p>
      <w:pPr>
        <w:spacing w:after="0" w:line="239" w:lineRule="exact"/>
        <w:rPr>
          <w:sz w:val="20"/>
          <w:szCs w:val="20"/>
          <w:color w:val="auto"/>
        </w:rPr>
      </w:pPr>
    </w:p>
    <w:p>
      <w:pPr>
        <w:jc w:val="both"/>
        <w:ind w:left="120" w:right="125" w:firstLine="1"/>
        <w:spacing w:after="0" w:line="264" w:lineRule="auto"/>
        <w:rPr>
          <w:sz w:val="20"/>
          <w:szCs w:val="20"/>
          <w:color w:val="auto"/>
        </w:rPr>
      </w:pPr>
      <w:r>
        <w:rPr>
          <w:rFonts w:ascii="Times New Roman" w:cs="Times New Roman" w:eastAsia="Times New Roman" w:hAnsi="Times New Roman"/>
          <w:sz w:val="19"/>
          <w:szCs w:val="19"/>
          <w:color w:val="auto"/>
        </w:rPr>
        <w:t>Through Kaplan, Inc. (Kaplan), the Company provides a wide va1iety of educational services to students, schooJs, colleges, universities and businesses, both domestically and outside the United States (U.S.). Kaplan's educartional services include academic preparation programs for international students; English-language programs; operations support services for pre-college, certificate, undergraduate and graduate programs; exam preparation for high school and graduate students and for professional certifications a nd licensures; career and academic advisement services to businesses; and a United Kingdom (U.K.) sixth-form college that prepares students for A-level examinations.</w:t>
      </w:r>
    </w:p>
    <w:p>
      <w:pPr>
        <w:spacing w:after="0" w:line="200" w:lineRule="exact"/>
        <w:rPr>
          <w:sz w:val="20"/>
          <w:szCs w:val="20"/>
          <w:color w:val="auto"/>
        </w:rPr>
      </w:pPr>
    </w:p>
    <w:p>
      <w:pPr>
        <w:spacing w:after="0" w:line="256" w:lineRule="exact"/>
        <w:rPr>
          <w:sz w:val="20"/>
          <w:szCs w:val="20"/>
          <w:color w:val="auto"/>
        </w:rPr>
      </w:pPr>
    </w:p>
    <w:p>
      <w:pPr>
        <w:jc w:val="both"/>
        <w:ind w:left="120" w:right="125" w:hanging="10"/>
        <w:spacing w:after="0" w:line="252" w:lineRule="auto"/>
        <w:rPr>
          <w:sz w:val="20"/>
          <w:szCs w:val="20"/>
          <w:color w:val="auto"/>
        </w:rPr>
      </w:pPr>
      <w:r>
        <w:rPr>
          <w:rFonts w:ascii="Times New Roman" w:cs="Times New Roman" w:eastAsia="Times New Roman" w:hAnsi="Times New Roman"/>
          <w:sz w:val="19"/>
          <w:szCs w:val="19"/>
          <w:color w:val="auto"/>
        </w:rPr>
        <w:t>The Company's television broadcasting segment owns and operates seven television broadcasting stations and provides social media management tools designed to connect newsrooms with their users.</w:t>
      </w:r>
    </w:p>
    <w:p>
      <w:pPr>
        <w:spacing w:after="0" w:line="228" w:lineRule="exact"/>
        <w:rPr>
          <w:sz w:val="20"/>
          <w:szCs w:val="20"/>
          <w:color w:val="auto"/>
        </w:rPr>
      </w:pPr>
    </w:p>
    <w:p>
      <w:pPr>
        <w:jc w:val="both"/>
        <w:ind w:left="120" w:right="105"/>
        <w:spacing w:after="0" w:line="269" w:lineRule="auto"/>
        <w:rPr>
          <w:sz w:val="20"/>
          <w:szCs w:val="20"/>
          <w:color w:val="auto"/>
        </w:rPr>
      </w:pPr>
      <w:r>
        <w:rPr>
          <w:rFonts w:ascii="Times New Roman" w:cs="Times New Roman" w:eastAsia="Times New Roman" w:hAnsi="Times New Roman"/>
          <w:sz w:val="19"/>
          <w:szCs w:val="19"/>
          <w:color w:val="auto"/>
        </w:rPr>
        <w:t>The Company's manufacturing companies include a supplier of pressure-treated wood, a manufacturer of electrical solutions, a manufacturer of lifting solutions, and a supplier of parts used in electric utilities and industria l systems.</w:t>
      </w:r>
    </w:p>
    <w:p>
      <w:pPr>
        <w:spacing w:after="0" w:line="200" w:lineRule="exact"/>
        <w:rPr>
          <w:sz w:val="20"/>
          <w:szCs w:val="20"/>
          <w:color w:val="auto"/>
        </w:rPr>
      </w:pPr>
    </w:p>
    <w:p>
      <w:pPr>
        <w:spacing w:after="0" w:line="235" w:lineRule="exact"/>
        <w:rPr>
          <w:sz w:val="20"/>
          <w:szCs w:val="20"/>
          <w:color w:val="auto"/>
        </w:rPr>
      </w:pPr>
    </w:p>
    <w:p>
      <w:pPr>
        <w:jc w:val="both"/>
        <w:ind w:left="120" w:right="125" w:hanging="9"/>
        <w:spacing w:after="0" w:line="262" w:lineRule="auto"/>
        <w:rPr>
          <w:sz w:val="20"/>
          <w:szCs w:val="20"/>
          <w:color w:val="auto"/>
        </w:rPr>
      </w:pPr>
      <w:r>
        <w:rPr>
          <w:rFonts w:ascii="Times New Roman" w:cs="Times New Roman" w:eastAsia="Times New Roman" w:hAnsi="Times New Roman"/>
          <w:sz w:val="19"/>
          <w:szCs w:val="19"/>
          <w:color w:val="auto"/>
        </w:rPr>
        <w:t>The Company's healthcare segment provides home health, hospice and palliative services; in-home specialty pharmacy infusion therapies; applied behavior analysis therapy; physician services for allergy, asthma and immunology patients; in-home aesthetics; and healthcare software-as-a-service technology.</w:t>
      </w:r>
    </w:p>
    <w:p>
      <w:pPr>
        <w:spacing w:after="0" w:line="2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automotive business comprises eight dealerships and valet repair services.</w:t>
      </w:r>
    </w:p>
    <w:p>
      <w:pPr>
        <w:spacing w:after="0" w:line="229"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 xml:space="preserve">The Company's other businesses include restaurants; a custom framing company; a marketing solutions provider; a customer data and analytics software company; </w:t>
      </w:r>
      <w:r>
        <w:rPr>
          <w:rFonts w:ascii="Times New Roman" w:cs="Times New Roman" w:eastAsia="Times New Roman" w:hAnsi="Times New Roman"/>
          <w:sz w:val="19"/>
          <w:szCs w:val="19"/>
          <w:i w:val="1"/>
          <w:iCs w:val="1"/>
          <w:color w:val="auto"/>
        </w:rPr>
        <w:t>Slate</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i w:val="1"/>
          <w:iCs w:val="1"/>
          <w:color w:val="auto"/>
        </w:rPr>
        <w:t>Foreign Policy</w:t>
      </w:r>
      <w:r>
        <w:rPr>
          <w:rFonts w:ascii="Times New Roman" w:cs="Times New Roman" w:eastAsia="Times New Roman" w:hAnsi="Times New Roman"/>
          <w:sz w:val="19"/>
          <w:szCs w:val="19"/>
          <w:color w:val="auto"/>
        </w:rPr>
        <w:t xml:space="preserve"> magazines; a daily local news podcast and newsletter company; a company that provides a software-as-a-service platform that enables podcasters and media companies to monetize audio content through paid subscriptions, memberships, and audiobooks; an online art gallery and in-person art fair business; an online commerce platform featuring original art and designs on an array of consumer products; and an owner and operator of websites.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2. SUMMARY OF SIGNIFICANT ACCOUNTING POLICIES</w:t>
      </w:r>
    </w:p>
    <w:p>
      <w:pPr>
        <w:spacing w:after="0" w:line="134" w:lineRule="exact"/>
        <w:rPr>
          <w:sz w:val="20"/>
          <w:szCs w:val="20"/>
          <w:color w:val="auto"/>
        </w:rPr>
      </w:pPr>
    </w:p>
    <w:p>
      <w:pPr>
        <w:jc w:val="both"/>
        <w:ind w:left="120" w:right="125" w:firstLine="3"/>
        <w:spacing w:after="0" w:line="260" w:lineRule="auto"/>
        <w:rPr>
          <w:sz w:val="20"/>
          <w:szCs w:val="20"/>
          <w:color w:val="auto"/>
        </w:rPr>
      </w:pPr>
      <w:r>
        <w:rPr>
          <w:rFonts w:ascii="Times New Roman" w:cs="Times New Roman" w:eastAsia="Times New Roman" w:hAnsi="Times New Roman"/>
          <w:sz w:val="19"/>
          <w:szCs w:val="19"/>
          <w:color w:val="auto"/>
        </w:rPr>
        <w:t>Basis of P resentation a nd P rinciples of Consolidation. The accompanying Consoljdated Financial Statements have been prepared in accordance with generally accepted accounting principles (GAAP) in the U.S. and irnclude the assets,. liabilities, results of operations and cash flows of the Company and its majority-owned and contro lled subsidiaries. All signifjcant intercompany accounts and transactions have been eliminated in conso] idation.</w:t>
      </w:r>
    </w:p>
    <w:p>
      <w:pPr>
        <w:spacing w:after="0" w:line="200" w:lineRule="exact"/>
        <w:rPr>
          <w:sz w:val="20"/>
          <w:szCs w:val="20"/>
          <w:color w:val="auto"/>
        </w:rPr>
      </w:pPr>
    </w:p>
    <w:p>
      <w:pPr>
        <w:spacing w:after="0" w:line="255" w:lineRule="exact"/>
        <w:rPr>
          <w:sz w:val="20"/>
          <w:szCs w:val="20"/>
          <w:color w:val="auto"/>
        </w:rPr>
      </w:pPr>
    </w:p>
    <w:p>
      <w:pPr>
        <w:jc w:val="both"/>
        <w:ind w:left="120" w:right="125" w:firstLine="2"/>
        <w:spacing w:after="0" w:line="264" w:lineRule="auto"/>
        <w:rPr>
          <w:sz w:val="20"/>
          <w:szCs w:val="20"/>
          <w:color w:val="auto"/>
        </w:rPr>
      </w:pPr>
      <w:r>
        <w:rPr>
          <w:rFonts w:ascii="Times New Roman" w:cs="Times New Roman" w:eastAsia="Times New Roman" w:hAnsi="Times New Roman"/>
          <w:sz w:val="19"/>
          <w:szCs w:val="19"/>
          <w:color w:val="auto"/>
        </w:rPr>
        <w:t>Use of Estimates. The preparation of financial statements in conformity with GAAP requires management to make estimates and judgments that affect the amounts reported in the financial statements. Management bases its estimates and assumptions on historical experience and on various other factors that are believed to be reasonable under the circumstances. Due to the inherent uncertainty involved in making estimates, actual results reported in future periods may be affected by changes in those estimates. On an ongoing basis, the Company evaluates its estimates and assumptions.</w:t>
      </w:r>
    </w:p>
    <w:p>
      <w:pPr>
        <w:spacing w:after="0" w:line="198" w:lineRule="exact"/>
        <w:rPr>
          <w:sz w:val="20"/>
          <w:szCs w:val="20"/>
          <w:color w:val="auto"/>
        </w:rPr>
      </w:pPr>
    </w:p>
    <w:p>
      <w:pPr>
        <w:jc w:val="both"/>
        <w:ind w:left="120" w:right="125" w:hanging="7"/>
        <w:spacing w:after="0" w:line="262" w:lineRule="auto"/>
        <w:rPr>
          <w:sz w:val="20"/>
          <w:szCs w:val="20"/>
          <w:color w:val="auto"/>
        </w:rPr>
      </w:pPr>
      <w:r>
        <w:rPr>
          <w:rFonts w:ascii="Times New Roman" w:cs="Times New Roman" w:eastAsia="Times New Roman" w:hAnsi="Times New Roman"/>
          <w:sz w:val="19"/>
          <w:szCs w:val="19"/>
          <w:color w:val="auto"/>
        </w:rPr>
        <w:t>Business Combina tion s.</w:t>
      </w:r>
      <w:r>
        <w:rPr>
          <w:sz w:val="20"/>
          <w:szCs w:val="20"/>
          <w:color w:val="auto"/>
        </w:rPr>
        <w:t xml:space="preserve"> </w:t>
      </w:r>
      <w:r>
        <w:rPr>
          <w:rFonts w:ascii="Times New Roman" w:cs="Times New Roman" w:eastAsia="Times New Roman" w:hAnsi="Times New Roman"/>
          <w:sz w:val="19"/>
          <w:szCs w:val="19"/>
          <w:color w:val="auto"/>
        </w:rPr>
        <w:t>The purchase price of an acquisition is allocated to the assets acquired, including intangible assets, and liabilities assumed, based on their respec tive fair values at the acquisition date.</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97"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93</w:t>
      </w:r>
    </w:p>
    <w:p>
      <w:pPr>
        <w:sectPr>
          <w:pgSz w:w="12240" w:h="15850" w:orient="portrait"/>
          <w:cols w:equalWidth="0" w:num="1">
            <w:col w:w="9365"/>
          </w:cols>
          <w:pgMar w:left="1440" w:top="1385" w:right="1440" w:bottom="721" w:gutter="0" w:footer="0" w:header="0"/>
          <w:type w:val="continuous"/>
        </w:sectPr>
      </w:pPr>
    </w:p>
    <w:bookmarkStart w:id="109" w:name="page110"/>
    <w:bookmarkEnd w:id="109"/>
    <w:p>
      <w:pPr>
        <w:jc w:val="both"/>
        <w:ind w:left="120" w:right="125" w:firstLine="9"/>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Acquisition-related costs are expensed as incurred. The excess of the cost of an acquired entity over the net of the amounts assigned to the assets acquired and liabilities assumed is recognized as goodwill. The net assets and results of operations of an acquired entity are included in the Company's Consolidated Financial SLatemems from the acquisition date.</w:t>
      </w:r>
    </w:p>
    <w:p>
      <w:pPr>
        <w:spacing w:after="0" w:line="182" w:lineRule="exact"/>
        <w:rPr>
          <w:sz w:val="20"/>
          <w:szCs w:val="20"/>
          <w:color w:val="auto"/>
        </w:rPr>
      </w:pPr>
    </w:p>
    <w:p>
      <w:pPr>
        <w:jc w:val="both"/>
        <w:ind w:left="120" w:right="125" w:firstLine="9"/>
        <w:spacing w:after="0" w:line="257" w:lineRule="auto"/>
        <w:rPr>
          <w:sz w:val="20"/>
          <w:szCs w:val="20"/>
          <w:color w:val="auto"/>
        </w:rPr>
      </w:pPr>
      <w:r>
        <w:rPr>
          <w:rFonts w:ascii="Times New Roman" w:cs="Times New Roman" w:eastAsia="Times New Roman" w:hAnsi="Times New Roman"/>
          <w:sz w:val="19"/>
          <w:szCs w:val="19"/>
          <w:color w:val="auto"/>
        </w:rPr>
        <w:t>Cash a nd Cash Equivalents. Cash and cash equivalents consnst of cash on hand, short-term investments with original maturities of three months or less and investments in money market funds with weighted average maturities of three months or less.</w:t>
      </w:r>
    </w:p>
    <w:p>
      <w:pPr>
        <w:spacing w:after="0" w:line="185" w:lineRule="exact"/>
        <w:rPr>
          <w:sz w:val="20"/>
          <w:szCs w:val="20"/>
          <w:color w:val="auto"/>
        </w:rPr>
      </w:pPr>
    </w:p>
    <w:p>
      <w:pPr>
        <w:jc w:val="both"/>
        <w:ind w:left="120" w:right="125" w:firstLine="1"/>
        <w:spacing w:after="0" w:line="259" w:lineRule="auto"/>
        <w:rPr>
          <w:sz w:val="20"/>
          <w:szCs w:val="20"/>
          <w:color w:val="auto"/>
        </w:rPr>
      </w:pPr>
      <w:r>
        <w:rPr>
          <w:rFonts w:ascii="Times New Roman" w:cs="Times New Roman" w:eastAsia="Times New Roman" w:hAnsi="Times New Roman"/>
          <w:sz w:val="19"/>
          <w:szCs w:val="19"/>
          <w:color w:val="auto"/>
        </w:rPr>
        <w:t>Restr icted Cash. Restricted cash represents amounts required to be held by non-U.S. higher education institutions for prepaid tuition pursuant to foreign government regulations. These regulations stipulate that the Company has a fiduciary responsibility to segregate certain funds to ensure these funds are only used for the benefit of eligible students.</w:t>
      </w:r>
    </w:p>
    <w:p>
      <w:pPr>
        <w:spacing w:after="0" w:line="192"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Concentration of Credit Risk. Cash and cash equivalents are maintained with several financial institutions domestically and internationally. Deposits held with banks may exceed the amount of insurance provided on such deposits. Generally, these deposits may be redeemed upon demand and are maintained with financial institutions with investment-grade credit ratings. The Company routinely assesses the financial strength of significant customers, and this assessment, combined with the large number and geographical diversity of its customers, limits the Company's concentration of risk with respect to receivables from contracts with customers.</w:t>
      </w:r>
    </w:p>
    <w:p>
      <w:pPr>
        <w:spacing w:after="0" w:line="181"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Allowance for Cr edit Losses. Accounts receivable have been reduced by an allowance that reflects the current expected credit losses associated with the receivables. The current expected credit losses are estimated based on historical write-offs, current macroeconomic conditions and reasonable and supportable forecasts of future economic conditions. Reserves are also established against specific receivables based on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credit losses following the passage of a certain period of time, or generally when the account is turned over for collection to an outside collection agency.</w:t>
      </w:r>
    </w:p>
    <w:p>
      <w:pPr>
        <w:spacing w:after="0" w:line="200" w:lineRule="exact"/>
        <w:rPr>
          <w:sz w:val="20"/>
          <w:szCs w:val="20"/>
          <w:color w:val="auto"/>
        </w:rPr>
      </w:pPr>
    </w:p>
    <w:p>
      <w:pPr>
        <w:spacing w:after="0" w:line="219" w:lineRule="exact"/>
        <w:rPr>
          <w:sz w:val="20"/>
          <w:szCs w:val="20"/>
          <w:color w:val="auto"/>
        </w:rPr>
      </w:pPr>
    </w:p>
    <w:p>
      <w:pPr>
        <w:jc w:val="both"/>
        <w:ind w:left="120" w:right="125"/>
        <w:spacing w:after="0" w:line="264" w:lineRule="auto"/>
        <w:rPr>
          <w:sz w:val="20"/>
          <w:szCs w:val="20"/>
          <w:color w:val="auto"/>
        </w:rPr>
      </w:pPr>
      <w:r>
        <w:rPr>
          <w:rFonts w:ascii="Times New Roman" w:cs="Times New Roman" w:eastAsia="Times New Roman" w:hAnsi="Times New Roman"/>
          <w:sz w:val="19"/>
          <w:szCs w:val="19"/>
          <w:color w:val="auto"/>
        </w:rPr>
        <w:t>Investments in Equity Secur ities. The Company measures its investments in equity securities at fair value with changes in fair value recognized in earnings. The Company elected the measurement alternative to measure cost method investments that do not have readily determinable fair value at cost less impaim1ent, adjusted by observable price changes with any fair value changes recognized in earnings. If the fair value of a cost method investment declines below its cost basis and the decline is cons.idered other than temporary, the Company will record a write-down, which is included in earnings. The Company uses the average cost method to determine the basis of the securities sold.</w:t>
      </w:r>
    </w:p>
    <w:p>
      <w:pPr>
        <w:spacing w:after="0" w:line="200" w:lineRule="exact"/>
        <w:rPr>
          <w:sz w:val="20"/>
          <w:szCs w:val="20"/>
          <w:color w:val="auto"/>
        </w:rPr>
      </w:pPr>
    </w:p>
    <w:p>
      <w:pPr>
        <w:spacing w:after="0" w:line="218" w:lineRule="exact"/>
        <w:rPr>
          <w:sz w:val="20"/>
          <w:szCs w:val="20"/>
          <w:color w:val="auto"/>
        </w:rPr>
      </w:pPr>
    </w:p>
    <w:p>
      <w:pPr>
        <w:jc w:val="both"/>
        <w:ind w:left="120" w:right="125" w:firstLine="1"/>
        <w:spacing w:after="0" w:line="263" w:lineRule="auto"/>
        <w:rPr>
          <w:sz w:val="20"/>
          <w:szCs w:val="20"/>
          <w:color w:val="auto"/>
        </w:rPr>
      </w:pPr>
      <w:r>
        <w:rPr>
          <w:rFonts w:ascii="Times New Roman" w:cs="Times New Roman" w:eastAsia="Times New Roman" w:hAnsi="Times New Roman"/>
          <w:sz w:val="19"/>
          <w:szCs w:val="19"/>
          <w:color w:val="auto"/>
        </w:rPr>
        <w:t xml:space="preserve">Fair Value Measurem en ts. Fair value measurements are determined based on the assumptions that a market participant would use in pricing an asset or liability based on a three-tiered hierarchy that draws a distinction between market participant assumptions based on (i) observable inputs, such as quoted prices in active markets (Leve] </w:t>
      </w:r>
      <w:r>
        <w:rPr>
          <w:rFonts w:ascii="Arial" w:cs="Arial" w:eastAsia="Arial" w:hAnsi="Arial"/>
          <w:sz w:val="17"/>
          <w:szCs w:val="17"/>
          <w:color w:val="auto"/>
        </w:rPr>
        <w:t>I);</w:t>
      </w:r>
      <w:r>
        <w:rPr>
          <w:rFonts w:ascii="Times New Roman" w:cs="Times New Roman" w:eastAsia="Times New Roman" w:hAnsi="Times New Roman"/>
          <w:sz w:val="19"/>
          <w:szCs w:val="19"/>
          <w:color w:val="auto"/>
        </w:rPr>
        <w:t xml:space="preserve"> (ii) inputs other than quoted prices in active markets that are observable either directly or indirectly (Leve] 2); and (iii) unobservable inputs that require the Company to use present value and other valuation techniques in the determination of fair value (Level 3). Financial assets and liabilities are classified in their entirety based on the lowest level of input that is significant to the fair value measure. The Company's assessment of the significance of a pa1ticular input to the fair value measurements requires judgment and may affect the valuation of the assets and liabilities being measured and their placement within the fair value hierarchy.</w:t>
      </w:r>
    </w:p>
    <w:p>
      <w:pPr>
        <w:spacing w:after="0" w:line="200" w:lineRule="exact"/>
        <w:rPr>
          <w:sz w:val="20"/>
          <w:szCs w:val="20"/>
          <w:color w:val="auto"/>
        </w:rPr>
      </w:pPr>
    </w:p>
    <w:p>
      <w:pPr>
        <w:spacing w:after="0" w:line="220" w:lineRule="exact"/>
        <w:rPr>
          <w:sz w:val="20"/>
          <w:szCs w:val="20"/>
          <w:color w:val="auto"/>
        </w:rPr>
      </w:pPr>
    </w:p>
    <w:p>
      <w:pPr>
        <w:jc w:val="both"/>
        <w:ind w:left="120" w:right="125"/>
        <w:spacing w:after="0" w:line="255" w:lineRule="auto"/>
        <w:rPr>
          <w:sz w:val="20"/>
          <w:szCs w:val="20"/>
          <w:color w:val="auto"/>
        </w:rPr>
      </w:pPr>
      <w:r>
        <w:rPr>
          <w:rFonts w:ascii="Times New Roman" w:cs="Times New Roman" w:eastAsia="Times New Roman" w:hAnsi="Times New Roman"/>
          <w:sz w:val="19"/>
          <w:szCs w:val="19"/>
          <w:color w:val="auto"/>
        </w:rPr>
        <w:t>For assets that are measured using quoted prices in active markets, the total fair value is the published market price per unit multiplied by the number of units held, without consideration of transaction costs. Assets and liabilities that are measured using signif icant other observable inputs are primarily valued by reference to quoted prices of similar assets or liabilities in active markets, adjusted for any terms specific to that asset or liability.</w:t>
      </w:r>
    </w:p>
    <w:p>
      <w:pPr>
        <w:sectPr>
          <w:pgSz w:w="12240" w:h="15850" w:orient="portrait"/>
          <w:cols w:equalWidth="0" w:num="1">
            <w:col w:w="9365"/>
          </w:cols>
          <w:pgMar w:left="1440" w:top="1392" w:right="1440" w:bottom="717" w:gutter="0" w:footer="0" w:header="0"/>
        </w:sectPr>
      </w:pPr>
    </w:p>
    <w:p>
      <w:pPr>
        <w:spacing w:after="0" w:line="200" w:lineRule="exact"/>
        <w:rPr>
          <w:sz w:val="20"/>
          <w:szCs w:val="20"/>
          <w:color w:val="auto"/>
        </w:rPr>
      </w:pPr>
    </w:p>
    <w:p>
      <w:pPr>
        <w:spacing w:after="0" w:line="297" w:lineRule="exact"/>
        <w:rPr>
          <w:sz w:val="20"/>
          <w:szCs w:val="20"/>
          <w:color w:val="auto"/>
        </w:rPr>
      </w:pPr>
    </w:p>
    <w:p>
      <w:pPr>
        <w:ind w:left="120"/>
        <w:spacing w:after="0"/>
        <w:tabs>
          <w:tab w:leader="none" w:pos="500" w:val="left"/>
        </w:tabs>
        <w:rPr>
          <w:sz w:val="20"/>
          <w:szCs w:val="20"/>
          <w:color w:val="auto"/>
        </w:rPr>
      </w:pPr>
      <w:r>
        <w:rPr>
          <w:rFonts w:ascii="Times New Roman" w:cs="Times New Roman" w:eastAsia="Times New Roman" w:hAnsi="Times New Roman"/>
          <w:sz w:val="20"/>
          <w:szCs w:val="20"/>
          <w:color w:val="auto"/>
        </w:rPr>
        <w:t>94</w:t>
        <w:tab/>
        <w:t>2024 FORM 10-K</w:t>
      </w:r>
    </w:p>
    <w:p>
      <w:pPr>
        <w:sectPr>
          <w:pgSz w:w="12240" w:h="15850" w:orient="portrait"/>
          <w:cols w:equalWidth="0" w:num="1">
            <w:col w:w="9365"/>
          </w:cols>
          <w:pgMar w:left="1440" w:top="1392" w:right="1440" w:bottom="717" w:gutter="0" w:footer="0" w:header="0"/>
          <w:type w:val="continuous"/>
        </w:sectPr>
      </w:pPr>
    </w:p>
    <w:bookmarkStart w:id="110" w:name="page111"/>
    <w:bookmarkEnd w:id="110"/>
    <w:p>
      <w:pPr>
        <w:jc w:val="both"/>
        <w:ind w:left="120" w:right="125" w:hanging="10"/>
        <w:spacing w:after="0" w:line="26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1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measures certain assets-including goodwill; intangible assets; property, plant and equipment; lease rig ht-of-use (ROU) assets; cost and equity-method investments- at fair value on a nonrecurring basis when they are deemed to be impaired. The fair value of these assets is determined with valuation techniques using the best information available and may include quoted market prices, market comparables and discounted cash flow models.</w:t>
      </w:r>
    </w:p>
    <w:p>
      <w:pPr>
        <w:spacing w:after="0" w:line="200" w:lineRule="exact"/>
        <w:rPr>
          <w:sz w:val="20"/>
          <w:szCs w:val="20"/>
          <w:color w:val="auto"/>
        </w:rPr>
      </w:pPr>
    </w:p>
    <w:p>
      <w:pPr>
        <w:spacing w:after="0" w:line="241" w:lineRule="exact"/>
        <w:rPr>
          <w:sz w:val="20"/>
          <w:szCs w:val="20"/>
          <w:color w:val="auto"/>
        </w:rPr>
      </w:pPr>
    </w:p>
    <w:p>
      <w:pPr>
        <w:jc w:val="both"/>
        <w:ind w:left="120" w:right="105" w:hanging="7"/>
        <w:spacing w:after="0" w:line="262" w:lineRule="auto"/>
        <w:rPr>
          <w:sz w:val="20"/>
          <w:szCs w:val="20"/>
          <w:color w:val="auto"/>
        </w:rPr>
      </w:pPr>
      <w:r>
        <w:rPr>
          <w:rFonts w:ascii="Times New Roman" w:cs="Times New Roman" w:eastAsia="Times New Roman" w:hAnsi="Times New Roman"/>
          <w:sz w:val="19"/>
          <w:szCs w:val="19"/>
          <w:color w:val="auto"/>
        </w:rPr>
        <w:t>Fair</w:t>
      </w:r>
      <w:r>
        <w:rPr>
          <w:sz w:val="20"/>
          <w:szCs w:val="20"/>
          <w:color w:val="auto"/>
        </w:rPr>
        <w:t xml:space="preserve"> </w:t>
      </w:r>
      <w:r>
        <w:rPr>
          <w:rFonts w:ascii="Times New Roman" w:cs="Times New Roman" w:eastAsia="Times New Roman" w:hAnsi="Times New Roman"/>
          <w:sz w:val="19"/>
          <w:szCs w:val="19"/>
          <w:color w:val="auto"/>
        </w:rPr>
        <w:t>Value of Financia l Instr uments. The carrying amounts reported in the Company's Consolidated Financial Statements for cash and cash equivalents, restricted cash, accounts receivable, accounts payable and accnred liabilities, the current portion of deferred revenue and the current portion of debt approximate fair value because of the short-term nature of these financial instruments . The fair value of long-term debt is determined based on a number of observable inputs, including the current market activity of the Company's publicly traded notes, trends in investor demands and market values of comparable publicly traded debt. The fair value of interest rate hedges is determined based on a number of observable inputs, including time to maturity and market interest rates.</w:t>
      </w:r>
    </w:p>
    <w:p>
      <w:pPr>
        <w:spacing w:after="0" w:line="200" w:lineRule="exact"/>
        <w:rPr>
          <w:sz w:val="20"/>
          <w:szCs w:val="20"/>
          <w:color w:val="auto"/>
        </w:rPr>
      </w:pPr>
    </w:p>
    <w:p>
      <w:pPr>
        <w:spacing w:after="0" w:line="257" w:lineRule="exact"/>
        <w:rPr>
          <w:sz w:val="20"/>
          <w:szCs w:val="20"/>
          <w:color w:val="auto"/>
        </w:rPr>
      </w:pPr>
    </w:p>
    <w:p>
      <w:pPr>
        <w:jc w:val="both"/>
        <w:ind w:left="120" w:right="125" w:firstLine="1"/>
        <w:spacing w:after="0" w:line="260" w:lineRule="auto"/>
        <w:rPr>
          <w:sz w:val="20"/>
          <w:szCs w:val="20"/>
          <w:color w:val="auto"/>
        </w:rPr>
      </w:pPr>
      <w:r>
        <w:rPr>
          <w:rFonts w:ascii="Times New Roman" w:cs="Times New Roman" w:eastAsia="Times New Roman" w:hAnsi="Times New Roman"/>
          <w:sz w:val="19"/>
          <w:szCs w:val="19"/>
          <w:color w:val="auto"/>
        </w:rPr>
        <w:t>Inventories a nd Contracts in Progr ess. Inventories and contracts in progress are stated at the lower of cost or net rea lizable values and are based on the first-in, first-out (FIFO) method. Inventory costs include direct material, direct and indirect labor, and applicable manufacturing overhead. The Company allocates manufacturing overhead based on normal production capacity and recognizes unabsorbed manufacturing costs in earnings. The provision for excess and obsolete inventory is based on management's evaluation of inventories on hand relative to historical usage, estimated future usage and technological developments.</w:t>
      </w:r>
    </w:p>
    <w:p>
      <w:pPr>
        <w:spacing w:after="0" w:line="220" w:lineRule="exact"/>
        <w:rPr>
          <w:sz w:val="20"/>
          <w:szCs w:val="20"/>
          <w:color w:val="auto"/>
        </w:rPr>
      </w:pPr>
    </w:p>
    <w:p>
      <w:pPr>
        <w:jc w:val="both"/>
        <w:ind w:left="120" w:right="125" w:firstLine="2"/>
        <w:spacing w:after="0" w:line="265" w:lineRule="auto"/>
        <w:rPr>
          <w:sz w:val="20"/>
          <w:szCs w:val="20"/>
          <w:color w:val="auto"/>
        </w:rPr>
      </w:pPr>
      <w:r>
        <w:rPr>
          <w:rFonts w:ascii="Times New Roman" w:cs="Times New Roman" w:eastAsia="Times New Roman" w:hAnsi="Times New Roman"/>
          <w:sz w:val="19"/>
          <w:szCs w:val="19"/>
          <w:color w:val="auto"/>
        </w:rPr>
        <w:t>Vehicle inventory is based on the specific identification method. The cost of new and used vehicle inventories includes the cost of any equipme nt added, reconditioning and transportation. In certain instances, vehicle manufacturers provide incentives, which are refl ected as a reduction in the carrying value of each vehicle purchased.</w:t>
      </w:r>
    </w:p>
    <w:p>
      <w:pPr>
        <w:spacing w:after="0" w:line="200" w:lineRule="exact"/>
        <w:rPr>
          <w:sz w:val="20"/>
          <w:szCs w:val="20"/>
          <w:color w:val="auto"/>
        </w:rPr>
      </w:pPr>
    </w:p>
    <w:p>
      <w:pPr>
        <w:spacing w:after="0" w:line="240"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Pr ope rty, Pla nt and Equipment. Property, plant and equipment is recorded at cost and includes interest capitalized in connection with major long-term constn1ction projects. Replacements and major improvements are capitalized; maintenance and repairs are expensed as incurred. Depreciation is calculated using the straig ht-line method over the estimated useful lives of the property, plant and equipment: 3 to 20 years for machinery and equipment; 20 to 50 years for buildings. The costs of leasehold improvements are amortized over the lesser of their useful lives or the terms of the respective leases.</w:t>
      </w:r>
    </w:p>
    <w:p>
      <w:pPr>
        <w:spacing w:after="0" w:line="209" w:lineRule="exact"/>
        <w:rPr>
          <w:sz w:val="20"/>
          <w:szCs w:val="20"/>
          <w:color w:val="auto"/>
        </w:rPr>
      </w:pPr>
    </w:p>
    <w:p>
      <w:pPr>
        <w:jc w:val="both"/>
        <w:ind w:left="120" w:right="125" w:firstLine="10"/>
        <w:spacing w:after="0" w:line="261" w:lineRule="auto"/>
        <w:rPr>
          <w:sz w:val="20"/>
          <w:szCs w:val="20"/>
          <w:color w:val="auto"/>
        </w:rPr>
      </w:pPr>
      <w:r>
        <w:rPr>
          <w:rFonts w:ascii="Times New Roman" w:cs="Times New Roman" w:eastAsia="Times New Roman" w:hAnsi="Times New Roman"/>
          <w:sz w:val="19"/>
          <w:szCs w:val="19"/>
          <w:color w:val="auto"/>
        </w:rPr>
        <w:t xml:space="preserve">Evalua tion of Long-Lived Assets. The recoverability of lo ng-lived assets and fi nite-lived intangible assets is assessed whenever adverse events or changes </w:t>
      </w:r>
      <w:r>
        <w:rPr>
          <w:rFonts w:ascii="Times New Roman" w:cs="Times New Roman" w:eastAsia="Times New Roman" w:hAnsi="Times New Roman"/>
          <w:sz w:val="20"/>
          <w:szCs w:val="20"/>
          <w:color w:val="auto"/>
        </w:rPr>
        <w:t>in</w:t>
      </w:r>
      <w:r>
        <w:rPr>
          <w:rFonts w:ascii="Times New Roman" w:cs="Times New Roman" w:eastAsia="Times New Roman" w:hAnsi="Times New Roman"/>
          <w:sz w:val="19"/>
          <w:szCs w:val="19"/>
          <w:color w:val="auto"/>
        </w:rPr>
        <w:t xml:space="preserve"> circumstances indicate that recorded values may not </w:t>
      </w:r>
      <w:r>
        <w:rPr>
          <w:rFonts w:ascii="Arial" w:cs="Arial" w:eastAsia="Arial" w:hAnsi="Arial"/>
          <w:sz w:val="19"/>
          <w:szCs w:val="19"/>
          <w:color w:val="auto"/>
        </w:rPr>
        <w:t>be</w:t>
      </w:r>
      <w:r>
        <w:rPr>
          <w:rFonts w:ascii="Times New Roman" w:cs="Times New Roman" w:eastAsia="Times New Roman" w:hAnsi="Times New Roman"/>
          <w:sz w:val="19"/>
          <w:szCs w:val="19"/>
          <w:color w:val="auto"/>
        </w:rPr>
        <w:t xml:space="preserve"> recoverable. A lo ng-li ved asset is considered not to be recoverable when the undiscounted estimated future cash tlows are less than the asset's recorded value . An impairment charge is measured based on estimated fair market value, determined primarily using estimated future cash flows on a discounted basis. Losses on long-lived assets to be disposed of are determined in a similar manner, but the fair marke t value would be reduced for estimated costs to dispose.</w:t>
      </w:r>
    </w:p>
    <w:p>
      <w:pPr>
        <w:spacing w:after="0" w:line="200" w:lineRule="exact"/>
        <w:rPr>
          <w:sz w:val="20"/>
          <w:szCs w:val="20"/>
          <w:color w:val="auto"/>
        </w:rPr>
      </w:pPr>
    </w:p>
    <w:p>
      <w:pPr>
        <w:spacing w:after="0" w:line="250"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Goodwill a nd</w:t>
      </w:r>
      <w:r>
        <w:rPr>
          <w:sz w:val="20"/>
          <w:szCs w:val="20"/>
          <w:color w:val="auto"/>
        </w:rPr>
        <w:t xml:space="preserve"> </w:t>
      </w:r>
      <w:r>
        <w:rPr>
          <w:rFonts w:ascii="Times New Roman" w:cs="Times New Roman" w:eastAsia="Times New Roman" w:hAnsi="Times New Roman"/>
          <w:sz w:val="19"/>
          <w:szCs w:val="19"/>
          <w:color w:val="auto"/>
        </w:rPr>
        <w:t xml:space="preserve">Othe r Intangible Assets. Goodwill is the excess of purchase price over the fair value of identified net assets of businesses acquired. The Company's intangible assets with an indefinite life are princii)Jally from franchise agreements, trade names and trademarks and Federal Communications Commission (FCC) licenses. Amortized intangible assets are primarily student and customer relationships and trade names and trademarks, with amortization periods up to </w:t>
      </w:r>
      <w:r>
        <w:rPr>
          <w:rFonts w:ascii="Arial" w:cs="Arial" w:eastAsia="Arial" w:hAnsi="Arial"/>
          <w:sz w:val="18"/>
          <w:szCs w:val="18"/>
          <w:color w:val="auto"/>
        </w:rPr>
        <w:t>10</w:t>
      </w:r>
      <w:r>
        <w:rPr>
          <w:rFonts w:ascii="Times New Roman" w:cs="Times New Roman" w:eastAsia="Times New Roman" w:hAnsi="Times New Roman"/>
          <w:sz w:val="19"/>
          <w:szCs w:val="19"/>
          <w:color w:val="auto"/>
        </w:rPr>
        <w:t xml:space="preserve"> years. Costs associated with renewing or extending intangible assets are insignificant and expensed as incurred.</w:t>
      </w:r>
    </w:p>
    <w:p>
      <w:pPr>
        <w:spacing w:after="0" w:line="228" w:lineRule="exact"/>
        <w:rPr>
          <w:sz w:val="20"/>
          <w:szCs w:val="20"/>
          <w:color w:val="auto"/>
        </w:rPr>
      </w:pPr>
    </w:p>
    <w:p>
      <w:pPr>
        <w:jc w:val="both"/>
        <w:ind w:left="120" w:right="125" w:hanging="10"/>
        <w:spacing w:after="0" w:line="255" w:lineRule="auto"/>
        <w:rPr>
          <w:sz w:val="20"/>
          <w:szCs w:val="20"/>
          <w:color w:val="auto"/>
        </w:rPr>
      </w:pPr>
      <w:r>
        <w:rPr>
          <w:rFonts w:ascii="Times New Roman" w:cs="Times New Roman" w:eastAsia="Times New Roman" w:hAnsi="Times New Roman"/>
          <w:sz w:val="19"/>
          <w:szCs w:val="19"/>
          <w:color w:val="auto"/>
        </w:rPr>
        <w:t>The Company reviews goodwill and indefinite-lived intangible assets at least annually, as of November 30, for possible impairment. Goodwill and indefinite-lived intangible assets are reviewed for possible impairment between annual tests if an event occurs or c ircumstances change that would more like ly than not reduce the fair value of the reporting unit o r indefinite-lived intangible asset below its carrying value. The Company tests its</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304"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95</w:t>
      </w:r>
    </w:p>
    <w:p>
      <w:pPr>
        <w:sectPr>
          <w:pgSz w:w="12240" w:h="15850" w:orient="portrait"/>
          <w:cols w:equalWidth="0" w:num="1">
            <w:col w:w="9365"/>
          </w:cols>
          <w:pgMar w:left="1440" w:top="1392" w:right="1440" w:bottom="721" w:gutter="0" w:footer="0" w:header="0"/>
          <w:type w:val="continuous"/>
        </w:sectPr>
      </w:pPr>
    </w:p>
    <w:bookmarkStart w:id="111" w:name="page112"/>
    <w:bookmarkEnd w:id="111"/>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goodwill at the reporting unit level, which is an operating segment or one level below an operating segment. The Company initially assesses qualitative factors to determine if it is necessary to perform the goodwill or indefi!Ilite-lived intangible asset quanlitative impairment review. The Company reviews the goodwill and indefinite-lived assets for impairment using the quantitative process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based on its assessment of the qualitative factors, it determines that it is more likely than not that the fair value of a reporting unit or indefinite-lived intangible asset is less than its carrying value, or if it decides to bypass the qualitative assessment. The Company uses a discounted cash flow model, and, where appropriate, a market value approach is also utilized to supplement the discounted cash flow model, to determine the estimated fair value of its reporting units and indefinite-lived intangible assets. The Company makes assumptions regarding estimated future cash flows, discount rates, long-term growth rates and market values to determine the estimated fair value of each reporting unit and indefinite-lived intangible asset.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these estimates or related assumptions change in the future, the Company may be required to record impairment charges.</w:t>
      </w:r>
    </w:p>
    <w:p>
      <w:pPr>
        <w:spacing w:after="0" w:line="200" w:lineRule="exact"/>
        <w:rPr>
          <w:sz w:val="20"/>
          <w:szCs w:val="20"/>
          <w:color w:val="auto"/>
        </w:rPr>
      </w:pPr>
    </w:p>
    <w:p>
      <w:pPr>
        <w:spacing w:after="0" w:line="275"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20"/>
          <w:szCs w:val="20"/>
          <w:color w:val="auto"/>
        </w:rPr>
        <w:t xml:space="preserve">Investments in </w:t>
      </w:r>
      <w:r>
        <w:rPr>
          <w:rFonts w:ascii="Times New Roman" w:cs="Times New Roman" w:eastAsia="Times New Roman" w:hAnsi="Times New Roman"/>
          <w:sz w:val="19"/>
          <w:szCs w:val="19"/>
          <w:color w:val="auto"/>
        </w:rPr>
        <w:t>Affiliates. The Company uses the equity method of accounting for its investments in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earnings or losses of affiliates that it does not control, but over which it exerts significant influence. Significant influence is generally deemed to exist if the Company has an ownership interest in the voting stock of an in vestee between 20% and 50%. The Company also uses the equity method of accounting for its investments in a partnership or limited liability company with specific ownership accounts, if the Company has an ownership interest of 3% or more. The Company considers whether the fair values of any of its equity method investments have declined below their carrying values whenever adverse events or changes in circumstances indicate that recorded values may not be recoverable.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Company considered any such decline to be other than temporary (based on various factors, including historical financial results, product development activities and the overall health of the affiliate's industry), a write-down would </w:t>
      </w:r>
      <w:r>
        <w:rPr>
          <w:rFonts w:ascii="Arial" w:cs="Arial" w:eastAsia="Arial" w:hAnsi="Arial"/>
          <w:sz w:val="19"/>
          <w:szCs w:val="19"/>
          <w:color w:val="auto"/>
        </w:rPr>
        <w:t>be</w:t>
      </w:r>
      <w:r>
        <w:rPr>
          <w:rFonts w:ascii="Times New Roman" w:cs="Times New Roman" w:eastAsia="Times New Roman" w:hAnsi="Times New Roman"/>
          <w:sz w:val="19"/>
          <w:szCs w:val="19"/>
          <w:color w:val="auto"/>
        </w:rPr>
        <w:t xml:space="preserve"> recorded to estimated fair value. The Company records its share of the earnings or losses of its affiliates from their most recent available financial statements. In some instances; the reponing period of the affiliates' financial statements lag the Company's reporting period; but such lag is never more than three months.</w:t>
      </w:r>
    </w:p>
    <w:p>
      <w:pPr>
        <w:spacing w:after="0" w:line="200" w:lineRule="exact"/>
        <w:rPr>
          <w:sz w:val="20"/>
          <w:szCs w:val="20"/>
          <w:color w:val="auto"/>
        </w:rPr>
      </w:pPr>
    </w:p>
    <w:p>
      <w:pPr>
        <w:spacing w:after="0" w:line="279" w:lineRule="exact"/>
        <w:rPr>
          <w:sz w:val="20"/>
          <w:szCs w:val="20"/>
          <w:color w:val="auto"/>
        </w:rPr>
      </w:pPr>
    </w:p>
    <w:p>
      <w:pPr>
        <w:jc w:val="both"/>
        <w:ind w:left="120" w:right="125" w:firstLine="10"/>
        <w:spacing w:after="0" w:line="253" w:lineRule="auto"/>
        <w:rPr>
          <w:sz w:val="20"/>
          <w:szCs w:val="20"/>
          <w:color w:val="auto"/>
        </w:rPr>
      </w:pPr>
      <w:r>
        <w:rPr>
          <w:rFonts w:ascii="Times New Roman" w:cs="Times New Roman" w:eastAsia="Times New Roman" w:hAnsi="Times New Roman"/>
          <w:sz w:val="20"/>
          <w:szCs w:val="20"/>
          <w:color w:val="auto"/>
        </w:rPr>
        <w:t xml:space="preserve">Revenue Recognition. </w:t>
      </w:r>
      <w:r>
        <w:rPr>
          <w:rFonts w:ascii="Times New Roman" w:cs="Times New Roman" w:eastAsia="Times New Roman" w:hAnsi="Times New Roman"/>
          <w:sz w:val="19"/>
          <w:szCs w:val="19"/>
          <w:color w:val="auto"/>
        </w:rPr>
        <w:t>The Company identifies a contract for revenue recognition when there is approval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commitment from both parties, the rights of the parties and payment terms are identified, the contract has commercial substance and the collectability of consideration is probable. The Company evaluates each contract to determine the number of distinct performance obligations in the contract, which requires the use of judgment.</w:t>
      </w:r>
    </w:p>
    <w:p>
      <w:pPr>
        <w:spacing w:after="0" w:line="249" w:lineRule="exact"/>
        <w:rPr>
          <w:sz w:val="20"/>
          <w:szCs w:val="20"/>
          <w:color w:val="auto"/>
        </w:rPr>
      </w:pPr>
    </w:p>
    <w:p>
      <w:pPr>
        <w:jc w:val="both"/>
        <w:ind w:left="120" w:right="125" w:firstLine="4"/>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Education Revenue. </w:t>
      </w:r>
      <w:r>
        <w:rPr>
          <w:rFonts w:ascii="Times New Roman" w:cs="Times New Roman" w:eastAsia="Times New Roman" w:hAnsi="Times New Roman"/>
          <w:sz w:val="19"/>
          <w:szCs w:val="19"/>
          <w:color w:val="auto"/>
        </w:rPr>
        <w:t>Education revenue is primarily derived from postsecondary education and supplementary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education services provided both domestically and abroad. Generally, tuition and other fees are paid upfront and recorded in deferred revenue in advance of the date when education services are provided to the student. In some instances, install ment billing is available to students, which reduces the amount of cash consideration received in advance of performing the service. The contractual terms and conditions associated with installment billing indicate that the student is liable for the total contract price, therefore mitigating the Company's exposure to losses associated with nonpayment. The Company determined the installment billing does not represent a significant financing component.</w:t>
      </w:r>
    </w:p>
    <w:p>
      <w:pPr>
        <w:spacing w:after="0" w:line="253" w:lineRule="exact"/>
        <w:rPr>
          <w:sz w:val="20"/>
          <w:szCs w:val="20"/>
          <w:color w:val="auto"/>
        </w:rPr>
      </w:pPr>
    </w:p>
    <w:p>
      <w:pPr>
        <w:jc w:val="both"/>
        <w:ind w:left="120" w:right="125" w:firstLine="4"/>
        <w:spacing w:after="0" w:line="260" w:lineRule="auto"/>
        <w:rPr>
          <w:sz w:val="20"/>
          <w:szCs w:val="20"/>
          <w:color w:val="auto"/>
        </w:rPr>
      </w:pPr>
      <w:r>
        <w:rPr>
          <w:rFonts w:ascii="Times New Roman" w:cs="Times New Roman" w:eastAsia="Times New Roman" w:hAnsi="Times New Roman"/>
          <w:sz w:val="20"/>
          <w:szCs w:val="20"/>
          <w:i w:val="1"/>
          <w:iCs w:val="1"/>
          <w:color w:val="auto"/>
        </w:rPr>
        <w:t xml:space="preserve">Kaplan International. </w:t>
      </w:r>
      <w:r>
        <w:rPr>
          <w:rFonts w:ascii="Times New Roman" w:cs="Times New Roman" w:eastAsia="Times New Roman" w:hAnsi="Times New Roman"/>
          <w:sz w:val="19"/>
          <w:szCs w:val="19"/>
          <w:color w:val="auto"/>
        </w:rPr>
        <w:t>Kaplan International provides higher education, professional education, and test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preparation services and materials to students primarily in the U.K., Singapore, and Australia. Some Kaplan International contracts consist of one performance obligation that is a combination of indistinct promises to the student, wh ile other Kaplan International contracts include multiple performance obligations, as the promises in the contract are capable of being both distinct and distinct within the context of the contract. One Kaplan International business offers an option whereby students receive future services at a discount that is accounted for as a material right.</w:t>
      </w:r>
    </w:p>
    <w:p>
      <w:pPr>
        <w:spacing w:after="0" w:line="200" w:lineRule="exact"/>
        <w:rPr>
          <w:sz w:val="20"/>
          <w:szCs w:val="20"/>
          <w:color w:val="auto"/>
        </w:rPr>
      </w:pPr>
    </w:p>
    <w:p>
      <w:pPr>
        <w:spacing w:after="0" w:line="295"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transaction price is stated in the contract and known at the time of contract inception, therefore no variable consideration exists. Revenue is allocated to each performance obligation based on its standalone selling price. Any discounts within the contract are allocated across all performance obligations unless observable evidence</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81" w:lineRule="exact"/>
        <w:rPr>
          <w:sz w:val="20"/>
          <w:szCs w:val="20"/>
          <w:color w:val="auto"/>
        </w:rPr>
      </w:pPr>
    </w:p>
    <w:p>
      <w:pPr>
        <w:ind w:left="520" w:hanging="408"/>
        <w:spacing w:after="0"/>
        <w:tabs>
          <w:tab w:leader="none" w:pos="520"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2024 FORM 10-K</w:t>
      </w:r>
    </w:p>
    <w:p>
      <w:pPr>
        <w:sectPr>
          <w:pgSz w:w="12240" w:h="15850" w:orient="portrait"/>
          <w:cols w:equalWidth="0" w:num="1">
            <w:col w:w="9365"/>
          </w:cols>
          <w:pgMar w:left="1440" w:top="1392" w:right="1440" w:bottom="721" w:gutter="0" w:footer="0" w:header="0"/>
          <w:type w:val="continuous"/>
        </w:sectPr>
      </w:pPr>
    </w:p>
    <w:bookmarkStart w:id="112" w:name="page113"/>
    <w:bookmarkEnd w:id="112"/>
    <w:p>
      <w:pPr>
        <w:jc w:val="both"/>
        <w:ind w:left="120" w:right="125"/>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exists that the discount</w:t>
      </w:r>
      <w:r>
        <w:rPr>
          <w:sz w:val="20"/>
          <w:szCs w:val="20"/>
          <w:color w:val="auto"/>
        </w:rPr>
        <w:t xml:space="preserve"> </w:t>
      </w:r>
      <w:r>
        <w:rPr>
          <w:rFonts w:ascii="Times New Roman" w:cs="Times New Roman" w:eastAsia="Times New Roman" w:hAnsi="Times New Roman"/>
          <w:sz w:val="19"/>
          <w:szCs w:val="19"/>
          <w:color w:val="auto"/>
        </w:rPr>
        <w:t>re.lates to a specific performance obi igation or obligations in the contract. Kaplan International generally determines standalone selling prices based on prices charged to students.</w:t>
      </w:r>
    </w:p>
    <w:p>
      <w:pPr>
        <w:spacing w:after="0" w:line="255" w:lineRule="exact"/>
        <w:rPr>
          <w:sz w:val="20"/>
          <w:szCs w:val="20"/>
          <w:color w:val="auto"/>
        </w:rPr>
      </w:pPr>
    </w:p>
    <w:p>
      <w:pPr>
        <w:jc w:val="both"/>
        <w:ind w:left="120" w:right="125" w:firstLine="11"/>
        <w:spacing w:after="0" w:line="259" w:lineRule="auto"/>
        <w:rPr>
          <w:sz w:val="20"/>
          <w:szCs w:val="20"/>
          <w:color w:val="auto"/>
        </w:rPr>
      </w:pPr>
      <w:r>
        <w:rPr>
          <w:rFonts w:ascii="Times New Roman" w:cs="Times New Roman" w:eastAsia="Times New Roman" w:hAnsi="Times New Roman"/>
          <w:sz w:val="19"/>
          <w:szCs w:val="19"/>
          <w:color w:val="auto"/>
        </w:rPr>
        <w:t>Revenue is recognized ratably over the instruction period or access period for higher education, professional education and test preparation services. Kaplan International generally uses the time elapsed method, an input measure, as it best depicts the simultaneous consumption and delivery of these services. Course materials determined to be a separate performance obligation are recognized at the point in time when contl'Ol transfers to the student, generally when the products are delivered to the student.</w:t>
      </w:r>
    </w:p>
    <w:p>
      <w:pPr>
        <w:spacing w:after="0" w:line="26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One Kaplan International business has a contract with a customer consisting of two performance obligations which consisted entirely of variable consideration at contract inception. The Company allocates revenue to each performance obligation based on the expected cost plus a margin. The margin was determined by a market assessment performed at contract inception. Revenue is recognized over time, using an input method, as the customer simultaneously benefits from the services as delivery occurs. The Company records a contract asset associated with this Kaplan International contract, as the right to revenue is dependent on something other than the passage of time.</w:t>
      </w:r>
    </w:p>
    <w:p>
      <w:pPr>
        <w:spacing w:after="0" w:line="200" w:lineRule="exact"/>
        <w:rPr>
          <w:sz w:val="20"/>
          <w:szCs w:val="20"/>
          <w:color w:val="auto"/>
        </w:rPr>
      </w:pPr>
    </w:p>
    <w:p>
      <w:pPr>
        <w:spacing w:after="0" w:line="286" w:lineRule="exact"/>
        <w:rPr>
          <w:sz w:val="20"/>
          <w:szCs w:val="20"/>
          <w:color w:val="auto"/>
        </w:rPr>
      </w:pPr>
    </w:p>
    <w:p>
      <w:pPr>
        <w:jc w:val="both"/>
        <w:ind w:left="120" w:right="125" w:firstLine="13"/>
        <w:spacing w:after="0" w:line="261" w:lineRule="auto"/>
        <w:rPr>
          <w:sz w:val="20"/>
          <w:szCs w:val="20"/>
          <w:color w:val="auto"/>
        </w:rPr>
      </w:pPr>
      <w:r>
        <w:rPr>
          <w:rFonts w:ascii="Times New Roman" w:cs="Times New Roman" w:eastAsia="Times New Roman" w:hAnsi="Times New Roman"/>
          <w:sz w:val="19"/>
          <w:szCs w:val="19"/>
          <w:i w:val="1"/>
          <w:iCs w:val="1"/>
          <w:color w:val="auto"/>
        </w:rPr>
        <w:t xml:space="preserve">Kaplan Higher Education ( KHE). </w:t>
      </w:r>
      <w:r>
        <w:rPr>
          <w:rFonts w:ascii="Times New Roman" w:cs="Times New Roman" w:eastAsia="Times New Roman" w:hAnsi="Times New Roman"/>
          <w:sz w:val="19"/>
          <w:szCs w:val="19"/>
          <w:color w:val="auto"/>
        </w:rPr>
        <w:t>KHE primarily provides non-academic operations support services to Purdue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 xml:space="preserve">University Global (Purdue Global) pursuant to a Transition and Operations Support Agreement (TOSA). This contract has a 30-year term and consists of one performance obligation, which represents a series of daily promises to provide support services to Purdue Global. The transaction price is entirely made rup of variable consideration related to the reimbursement of KHE support costs and the KHE fee. The TOSA outlines a payment structure, which dictates how cash will </w:t>
      </w:r>
      <w:r>
        <w:rPr>
          <w:rFonts w:ascii="Times New Roman" w:cs="Times New Roman" w:eastAsia="Times New Roman" w:hAnsi="Times New Roman"/>
          <w:sz w:val="20"/>
          <w:szCs w:val="20"/>
          <w:color w:val="auto"/>
        </w:rPr>
        <w:t>be</w:t>
      </w:r>
      <w:r>
        <w:rPr>
          <w:rFonts w:ascii="Times New Roman" w:cs="Times New Roman" w:eastAsia="Times New Roman" w:hAnsi="Times New Roman"/>
          <w:sz w:val="19"/>
          <w:szCs w:val="19"/>
          <w:color w:val="auto"/>
        </w:rPr>
        <w:t xml:space="preserve"> distributed at the end of Purdue Global's fiscal year, which is the 30th of June. The collectability of the KHE support costs and KHE fee is entirely dependent on the availability of cash at the end of the fiscal year. This variable consideration is constrained based on fiscal year forecasts prepared for Purdue Global. The forecasts are updated throughout the fiscal year until the uncertainty is ultimately resolved, which is at the end of each Purdue Global f iscal year. As KHE's performance obligation is made up of a series, the variable consideration is allocated to the distinct service period to which it relates, which is the Purdue Global fiscal year.</w:t>
      </w:r>
    </w:p>
    <w:p>
      <w:pPr>
        <w:spacing w:after="0" w:line="200" w:lineRule="exact"/>
        <w:rPr>
          <w:sz w:val="20"/>
          <w:szCs w:val="20"/>
          <w:color w:val="auto"/>
        </w:rPr>
      </w:pPr>
    </w:p>
    <w:p>
      <w:pPr>
        <w:spacing w:after="0" w:line="292" w:lineRule="exact"/>
        <w:rPr>
          <w:sz w:val="20"/>
          <w:szCs w:val="20"/>
          <w:color w:val="auto"/>
        </w:rPr>
      </w:pPr>
    </w:p>
    <w:p>
      <w:pPr>
        <w:jc w:val="both"/>
        <w:ind w:left="120" w:right="105"/>
        <w:spacing w:after="0" w:line="264" w:lineRule="auto"/>
        <w:rPr>
          <w:sz w:val="20"/>
          <w:szCs w:val="20"/>
          <w:color w:val="auto"/>
        </w:rPr>
      </w:pPr>
      <w:r>
        <w:rPr>
          <w:rFonts w:ascii="Times New Roman" w:cs="Times New Roman" w:eastAsia="Times New Roman" w:hAnsi="Times New Roman"/>
          <w:sz w:val="19"/>
          <w:szCs w:val="19"/>
          <w:color w:val="auto"/>
        </w:rPr>
        <w:t>Support services revenue is recognized over time based on the expenses incurred to date and the percentage of expected reimbursement. KHE fee revenue is also recognized over time based o n the amount of Purdue Global revenue recognized to date and the percentage of fee expected to be collected for the fiscal year. The Company used these input measures as Purdue Global simultaneously receives and consumes the benefits of the services provided by KHE.</w:t>
      </w:r>
    </w:p>
    <w:p>
      <w:pPr>
        <w:spacing w:after="0" w:line="200" w:lineRule="exact"/>
        <w:rPr>
          <w:sz w:val="20"/>
          <w:szCs w:val="20"/>
          <w:color w:val="auto"/>
        </w:rPr>
      </w:pPr>
    </w:p>
    <w:p>
      <w:pPr>
        <w:spacing w:after="0" w:line="288" w:lineRule="exact"/>
        <w:rPr>
          <w:sz w:val="20"/>
          <w:szCs w:val="20"/>
          <w:color w:val="auto"/>
        </w:rPr>
      </w:pPr>
    </w:p>
    <w:p>
      <w:pPr>
        <w:jc w:val="both"/>
        <w:ind w:left="120" w:right="125" w:firstLine="14"/>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Kaplan Supplemental Education. </w:t>
      </w:r>
      <w:r>
        <w:rPr>
          <w:rFonts w:ascii="Times New Roman" w:cs="Times New Roman" w:eastAsia="Times New Roman" w:hAnsi="Times New Roman"/>
          <w:sz w:val="19"/>
          <w:szCs w:val="19"/>
          <w:color w:val="auto"/>
        </w:rPr>
        <w:t>Supplemental Education offers test preparation services and materials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students, as well as professional training and exam preparation for professional certifications and licensures to students. Generally, Supplemental Education contracts consist of multiple performance obligations, as promises for these services are distinct within the context of the contract. The transaction price is stated in the contract and known at the time of contract inception, therefore no variable consideration exists. Revenue is allocated to each performance obligation based on its standalone selling price. Supplemental Education generally determines standalone selling prices based on the prices charged to students and professionals. Any discounts within the contract are allocated across all performance obligations unless observable evidence exists that the discount relates to a specific performance obligation in the contract.</w:t>
      </w:r>
    </w:p>
    <w:p>
      <w:pPr>
        <w:spacing w:after="0" w:line="247" w:lineRule="exact"/>
        <w:rPr>
          <w:sz w:val="20"/>
          <w:szCs w:val="20"/>
          <w:color w:val="auto"/>
        </w:rPr>
      </w:pPr>
    </w:p>
    <w:p>
      <w:pPr>
        <w:jc w:val="both"/>
        <w:ind w:left="120" w:right="125" w:hanging="1"/>
        <w:spacing w:after="0" w:line="263" w:lineRule="auto"/>
        <w:rPr>
          <w:sz w:val="20"/>
          <w:szCs w:val="20"/>
          <w:color w:val="auto"/>
        </w:rPr>
      </w:pPr>
      <w:r>
        <w:rPr>
          <w:rFonts w:ascii="Times New Roman" w:cs="Times New Roman" w:eastAsia="Times New Roman" w:hAnsi="Times New Roman"/>
          <w:sz w:val="19"/>
          <w:szCs w:val="19"/>
          <w:color w:val="auto"/>
        </w:rPr>
        <w:t>Supplemental Education services revenue is recognized</w:t>
      </w:r>
      <w:r>
        <w:rPr>
          <w:sz w:val="20"/>
          <w:szCs w:val="20"/>
          <w:color w:val="auto"/>
        </w:rPr>
        <w:t xml:space="preserve"> </w:t>
      </w:r>
      <w:r>
        <w:rPr>
          <w:rFonts w:ascii="Times New Roman" w:cs="Times New Roman" w:eastAsia="Times New Roman" w:hAnsi="Times New Roman"/>
          <w:sz w:val="19"/>
          <w:szCs w:val="19"/>
          <w:color w:val="auto"/>
        </w:rPr>
        <w:t>ratably over the period of access to the education materials. An estimate of the average access period is developed for each course, and this estimate is evaluated on an ongoing basis and adjusted as necessary. The time elapsed method, an input measure, is used as it best depicts the simultaneous consumption and availability of access to the services. Revenue associated with distinct course materials is recognized at the point in time when control transfers to the student, generally when products are delivered to the student.</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97</w:t>
      </w:r>
    </w:p>
    <w:p>
      <w:pPr>
        <w:sectPr>
          <w:pgSz w:w="12240" w:h="15850" w:orient="portrait"/>
          <w:cols w:equalWidth="0" w:num="1">
            <w:col w:w="9365"/>
          </w:cols>
          <w:pgMar w:left="1440" w:top="1392" w:right="1440" w:bottom="721" w:gutter="0" w:footer="0" w:header="0"/>
          <w:type w:val="continuous"/>
        </w:sectPr>
      </w:pPr>
    </w:p>
    <w:bookmarkStart w:id="113" w:name="page114"/>
    <w:bookmarkEnd w:id="113"/>
    <w:p>
      <w:pPr>
        <w:jc w:val="both"/>
        <w:ind w:left="120" w:right="105" w:hanging="1"/>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2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Supplemental Education offers a guarantee on certain courses that gives students the ability to repeat a course if they are not satisfied with their exam score. The Company accounts for this guarantee as a sepru·ate performance obligation.</w:t>
      </w:r>
    </w:p>
    <w:p>
      <w:pPr>
        <w:spacing w:after="0" w:line="200" w:lineRule="exact"/>
        <w:rPr>
          <w:sz w:val="20"/>
          <w:szCs w:val="20"/>
          <w:color w:val="auto"/>
        </w:rPr>
      </w:pPr>
    </w:p>
    <w:p>
      <w:pPr>
        <w:spacing w:after="0" w:line="238" w:lineRule="exact"/>
        <w:rPr>
          <w:sz w:val="20"/>
          <w:szCs w:val="20"/>
          <w:color w:val="auto"/>
        </w:rPr>
      </w:pPr>
    </w:p>
    <w:p>
      <w:pPr>
        <w:jc w:val="both"/>
        <w:ind w:left="120" w:right="125" w:hanging="3"/>
        <w:spacing w:after="0" w:line="250" w:lineRule="auto"/>
        <w:rPr>
          <w:sz w:val="20"/>
          <w:szCs w:val="20"/>
          <w:color w:val="auto"/>
        </w:rPr>
      </w:pPr>
      <w:r>
        <w:rPr>
          <w:rFonts w:ascii="Times New Roman" w:cs="Times New Roman" w:eastAsia="Times New Roman" w:hAnsi="Times New Roman"/>
          <w:sz w:val="20"/>
          <w:szCs w:val="20"/>
          <w:i w:val="1"/>
          <w:iCs w:val="1"/>
          <w:color w:val="auto"/>
        </w:rPr>
        <w:t>TelevMion</w:t>
      </w:r>
      <w:r>
        <w:rPr>
          <w:sz w:val="20"/>
          <w:szCs w:val="20"/>
          <w:color w:val="auto"/>
        </w:rPr>
        <w:t xml:space="preserve"> </w:t>
      </w:r>
      <w:r>
        <w:rPr>
          <w:rFonts w:ascii="Times New Roman" w:cs="Times New Roman" w:eastAsia="Times New Roman" w:hAnsi="Times New Roman"/>
          <w:sz w:val="20"/>
          <w:szCs w:val="20"/>
          <w:i w:val="1"/>
          <w:iCs w:val="1"/>
          <w:color w:val="auto"/>
        </w:rPr>
        <w:t xml:space="preserve">Broadcasting Revenue. </w:t>
      </w:r>
      <w:r>
        <w:rPr>
          <w:rFonts w:ascii="Times New Roman" w:cs="Times New Roman" w:eastAsia="Times New Roman" w:hAnsi="Times New Roman"/>
          <w:sz w:val="19"/>
          <w:szCs w:val="19"/>
          <w:color w:val="auto"/>
        </w:rPr>
        <w:t>Television broadcasting revenue at Graham Media Group (GMG) 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primarily comprised of television and internet advertising revenue and retransmission revenue.</w:t>
      </w:r>
    </w:p>
    <w:p>
      <w:pPr>
        <w:spacing w:after="0" w:line="210" w:lineRule="exact"/>
        <w:rPr>
          <w:sz w:val="20"/>
          <w:szCs w:val="20"/>
          <w:color w:val="auto"/>
        </w:rPr>
      </w:pPr>
    </w:p>
    <w:p>
      <w:pPr>
        <w:jc w:val="both"/>
        <w:ind w:left="120" w:right="125" w:firstLine="8"/>
        <w:spacing w:after="0" w:line="264" w:lineRule="auto"/>
        <w:rPr>
          <w:sz w:val="20"/>
          <w:szCs w:val="20"/>
          <w:color w:val="auto"/>
        </w:rPr>
      </w:pPr>
      <w:r>
        <w:rPr>
          <w:rFonts w:ascii="Times New Roman" w:cs="Times New Roman" w:eastAsia="Times New Roman" w:hAnsi="Times New Roman"/>
          <w:sz w:val="19"/>
          <w:szCs w:val="19"/>
          <w:i w:val="1"/>
          <w:iCs w:val="1"/>
          <w:color w:val="auto"/>
        </w:rPr>
        <w:t xml:space="preserve">Television Advertising Revenue. </w:t>
      </w:r>
      <w:r>
        <w:rPr>
          <w:rFonts w:ascii="Times New Roman" w:cs="Times New Roman" w:eastAsia="Times New Roman" w:hAnsi="Times New Roman"/>
          <w:sz w:val="19"/>
          <w:szCs w:val="19"/>
          <w:color w:val="auto"/>
        </w:rPr>
        <w:t>GMG accounts for the series of advertisements included in television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advertis ing contracts as one pe1formance obligation and recognizes advertising revenue over time. The Company elected the right to invoice practical expedient, aJJ output method, as GMG has the right to consideration that equals the vaJue provided to the customer for advertisements delivered to date. As a result of the el.ection to use the right to invoice practical expedient, GMG does not determine the transaction price or allocate any variable consideration at contract inception. Rather, GMG recognizes revenue commensurate with the amount to which it has the right to invoice the customer. Payment is typically received in arrears within 60 days of revenue recognition.</w:t>
      </w:r>
    </w:p>
    <w:p>
      <w:pPr>
        <w:spacing w:after="0" w:line="200" w:lineRule="exact"/>
        <w:rPr>
          <w:sz w:val="20"/>
          <w:szCs w:val="20"/>
          <w:color w:val="auto"/>
        </w:rPr>
      </w:pPr>
    </w:p>
    <w:p>
      <w:pPr>
        <w:spacing w:after="0" w:line="254" w:lineRule="exact"/>
        <w:rPr>
          <w:sz w:val="20"/>
          <w:szCs w:val="20"/>
          <w:color w:val="auto"/>
        </w:rPr>
      </w:pPr>
    </w:p>
    <w:p>
      <w:pPr>
        <w:jc w:val="both"/>
        <w:ind w:left="120" w:right="125" w:firstLine="3"/>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Retransmission Revenue. </w:t>
      </w:r>
      <w:r>
        <w:rPr>
          <w:rFonts w:ascii="Times New Roman" w:cs="Times New Roman" w:eastAsia="Times New Roman" w:hAnsi="Times New Roman"/>
          <w:sz w:val="19"/>
          <w:szCs w:val="19"/>
          <w:color w:val="auto"/>
        </w:rPr>
        <w:t>Retransmission revenue represents compensation paid by cable, sateilJite and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multichannel video programming distributors (MYPDs) to retransmit GMG's stations' broadcasts in their designated market areas. The retransmission rights granted to MYPDs are accounted for as a license of functional intellectual property, as the retransmitted broadcast provides significant standalone functionality. As such, each retransmission contract with an MVPD includes one performance obligation for each station's retransmission license. GMG recognizes revenue using the usage-based royalty method, in which revenue is recognized in the month the broadcast is retransmitted based on the number of MYPD subscribers and the applicable per-user rate identified in the retransmission contract. Payment is typically received in arrears within 60 days of revenue recognition.</w:t>
      </w:r>
    </w:p>
    <w:p>
      <w:pPr>
        <w:spacing w:after="0" w:line="200" w:lineRule="exact"/>
        <w:rPr>
          <w:sz w:val="20"/>
          <w:szCs w:val="20"/>
          <w:color w:val="auto"/>
        </w:rPr>
      </w:pPr>
    </w:p>
    <w:p>
      <w:pPr>
        <w:spacing w:after="0" w:line="248" w:lineRule="exact"/>
        <w:rPr>
          <w:sz w:val="20"/>
          <w:szCs w:val="20"/>
          <w:color w:val="auto"/>
        </w:rPr>
      </w:pPr>
    </w:p>
    <w:p>
      <w:pPr>
        <w:jc w:val="both"/>
        <w:ind w:left="120" w:right="125" w:firstLine="4"/>
        <w:spacing w:after="0" w:line="261" w:lineRule="auto"/>
        <w:rPr>
          <w:sz w:val="20"/>
          <w:szCs w:val="20"/>
          <w:color w:val="auto"/>
        </w:rPr>
      </w:pPr>
      <w:r>
        <w:rPr>
          <w:rFonts w:ascii="Times New Roman" w:cs="Times New Roman" w:eastAsia="Times New Roman" w:hAnsi="Times New Roman"/>
          <w:sz w:val="20"/>
          <w:szCs w:val="20"/>
          <w:i w:val="1"/>
          <w:iCs w:val="1"/>
          <w:color w:val="auto"/>
        </w:rPr>
        <w:t xml:space="preserve">Manufacturing Revenue. </w:t>
      </w:r>
      <w:r>
        <w:rPr>
          <w:rFonts w:ascii="Times New Roman" w:cs="Times New Roman" w:eastAsia="Times New Roman" w:hAnsi="Times New Roman"/>
          <w:sz w:val="19"/>
          <w:szCs w:val="19"/>
          <w:color w:val="auto"/>
        </w:rPr>
        <w:t>Manufacturing revenue consists primarily of product sales generated by four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9"/>
          <w:szCs w:val="19"/>
          <w:color w:val="auto"/>
        </w:rPr>
        <w:t>businesses: Hoover, Dekko, Joyce, and Forney. The Company has determined that each item ordered by the customer is a distinct performance obligation, as it has standalone value and is distinct within the context of the contract. For arrangements with multiple perfo1mance obligations, the Company initially allocates the transaction price to each obligation based on its standalone selling price, wh ich is the retail price charged to customers. Any discounts within the contract are allocated across all performance obligations unless observable evidence exists that the discount relates to a specific performance obligation or obligations in the contract.</w:t>
      </w:r>
    </w:p>
    <w:p>
      <w:pPr>
        <w:spacing w:after="0" w:line="213"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Company sells some products and! services with a right of return. This right of return constitutes variable consideration and is constrained from revenue recognition on a portfolio basis, using the expected value method until the refund period expires.</w:t>
      </w:r>
    </w:p>
    <w:p>
      <w:pPr>
        <w:spacing w:after="0" w:line="233"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Company recognizes revenue when or as control transfers to the customer. Some manufacturing revenue is recognized ratably over the manufacturing period, if the product created for the customer does not have an alternative use for the Company and the Company has an enforceable right to payment for performance completed to date. The determination </w:t>
      </w:r>
      <w:r>
        <w:rPr>
          <w:rFonts w:ascii="Arial" w:cs="Arial" w:eastAsia="Arial" w:hAnsi="Arial"/>
          <w:sz w:val="19"/>
          <w:szCs w:val="19"/>
          <w:color w:val="auto"/>
        </w:rPr>
        <w:t>of</w:t>
      </w:r>
      <w:r>
        <w:rPr>
          <w:rFonts w:ascii="Times New Roman" w:cs="Times New Roman" w:eastAsia="Times New Roman" w:hAnsi="Times New Roman"/>
          <w:sz w:val="19"/>
          <w:szCs w:val="19"/>
          <w:color w:val="auto"/>
        </w:rPr>
        <w:t xml:space="preserve"> the method by which the Company measures its progress toward the satisfaction of its performance obligations requires judgment. The Company measures its progress for these products using the units delivered method, an output measure. These arrangements represented 21%, 19%, and 21% of the manufacturing revenue recognized for the years ended December 31, 2024, 2023 and 2022, respectively.</w:t>
      </w:r>
    </w:p>
    <w:p>
      <w:pPr>
        <w:spacing w:after="0" w:line="200" w:lineRule="exact"/>
        <w:rPr>
          <w:sz w:val="20"/>
          <w:szCs w:val="20"/>
          <w:color w:val="auto"/>
        </w:rPr>
      </w:pPr>
    </w:p>
    <w:p>
      <w:pPr>
        <w:spacing w:after="0" w:line="256" w:lineRule="exact"/>
        <w:rPr>
          <w:sz w:val="20"/>
          <w:szCs w:val="20"/>
          <w:color w:val="auto"/>
        </w:rPr>
      </w:pPr>
    </w:p>
    <w:p>
      <w:pPr>
        <w:jc w:val="both"/>
        <w:ind w:left="120" w:right="125"/>
        <w:spacing w:after="0" w:line="259" w:lineRule="auto"/>
        <w:rPr>
          <w:sz w:val="20"/>
          <w:szCs w:val="20"/>
          <w:color w:val="auto"/>
        </w:rPr>
      </w:pPr>
      <w:r>
        <w:rPr>
          <w:rFonts w:ascii="Times New Roman" w:cs="Times New Roman" w:eastAsia="Times New Roman" w:hAnsi="Times New Roman"/>
          <w:sz w:val="19"/>
          <w:szCs w:val="19"/>
          <w:color w:val="auto"/>
        </w:rPr>
        <w:t>Other manufacturing revenue is recognized at the point in time when control transfers to the customer, generally when the products are shipped. Some customers have a bill-and-hold arrangement with the Company. Revenue for biH-and-hold arrangements is recognized when control transfers to the customer, even though the customer does not have physical possession of the goods. Control transfers when the bill-and-hold arrangement has been requested from the customer, the product is identified as belonging to the customer and is ready for physical transfer, and the product cannot be directed for use by anyone but the customer.</w:t>
      </w:r>
    </w:p>
    <w:p>
      <w:pPr>
        <w:sectPr>
          <w:pgSz w:w="12240" w:h="15850" w:orient="portrait"/>
          <w:cols w:equalWidth="0" w:num="1">
            <w:col w:w="9365"/>
          </w:cols>
          <w:pgMar w:left="1440" w:top="1394" w:right="1440" w:bottom="719" w:gutter="0" w:footer="0" w:header="0"/>
        </w:sectPr>
      </w:pPr>
    </w:p>
    <w:p>
      <w:pPr>
        <w:spacing w:after="0" w:line="200" w:lineRule="exact"/>
        <w:rPr>
          <w:sz w:val="20"/>
          <w:szCs w:val="20"/>
          <w:color w:val="auto"/>
        </w:rPr>
      </w:pPr>
    </w:p>
    <w:p>
      <w:pPr>
        <w:spacing w:after="0" w:line="294" w:lineRule="exact"/>
        <w:rPr>
          <w:sz w:val="20"/>
          <w:szCs w:val="20"/>
          <w:color w:val="auto"/>
        </w:rPr>
      </w:pPr>
    </w:p>
    <w:p>
      <w:pPr>
        <w:ind w:left="520" w:hanging="408"/>
        <w:spacing w:after="0"/>
        <w:tabs>
          <w:tab w:leader="none" w:pos="520"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2024 </w:t>
      </w:r>
      <w:r>
        <w:rPr>
          <w:rFonts w:ascii="Times New Roman" w:cs="Times New Roman" w:eastAsia="Times New Roman" w:hAnsi="Times New Roman"/>
          <w:sz w:val="19"/>
          <w:szCs w:val="19"/>
          <w:color w:val="auto"/>
        </w:rPr>
        <w:t>FORM 10-K</w:t>
      </w:r>
    </w:p>
    <w:p>
      <w:pPr>
        <w:sectPr>
          <w:pgSz w:w="12240" w:h="15850" w:orient="portrait"/>
          <w:cols w:equalWidth="0" w:num="1">
            <w:col w:w="9365"/>
          </w:cols>
          <w:pgMar w:left="1440" w:top="1394" w:right="1440" w:bottom="719" w:gutter="0" w:footer="0" w:header="0"/>
          <w:type w:val="continuous"/>
        </w:sectPr>
      </w:pPr>
    </w:p>
    <w:bookmarkStart w:id="114" w:name="page115"/>
    <w:bookmarkEnd w:id="114"/>
    <w:p>
      <w:pPr>
        <w:jc w:val="both"/>
        <w:ind w:left="120" w:right="125"/>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Payment terms and conditions vary by contract, although terms generally include a requirement of payment withirn 90 days of delivery.</w:t>
      </w:r>
    </w:p>
    <w:p>
      <w:pPr>
        <w:spacing w:after="0" w:line="248"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The Company evaluated the terms of the warranties and guarantees offered by its manufacturing businesses and determined that these should not be accounted for as a separate performance obligation as a distinct service is not identified.</w:t>
      </w:r>
    </w:p>
    <w:p>
      <w:pPr>
        <w:spacing w:after="0" w:line="213" w:lineRule="exact"/>
        <w:rPr>
          <w:sz w:val="20"/>
          <w:szCs w:val="20"/>
          <w:color w:val="auto"/>
        </w:rPr>
      </w:pPr>
    </w:p>
    <w:p>
      <w:pPr>
        <w:jc w:val="both"/>
        <w:ind w:left="120" w:right="125" w:hanging="4"/>
        <w:spacing w:after="0" w:line="262" w:lineRule="auto"/>
        <w:rPr>
          <w:sz w:val="20"/>
          <w:szCs w:val="20"/>
          <w:color w:val="auto"/>
        </w:rPr>
      </w:pPr>
      <w:r>
        <w:rPr>
          <w:rFonts w:ascii="Times New Roman" w:cs="Times New Roman" w:eastAsia="Times New Roman" w:hAnsi="Times New Roman"/>
          <w:sz w:val="19"/>
          <w:szCs w:val="19"/>
          <w:i w:val="1"/>
          <w:iCs w:val="1"/>
          <w:color w:val="auto"/>
        </w:rPr>
        <w:t>Healtlzcare Revenue.</w:t>
      </w:r>
      <w:r>
        <w:rPr>
          <w:sz w:val="20"/>
          <w:szCs w:val="20"/>
          <w:color w:val="auto"/>
        </w:rPr>
        <w:t xml:space="preserve"> </w:t>
      </w:r>
      <w:r>
        <w:rPr>
          <w:rFonts w:ascii="Times New Roman" w:cs="Times New Roman" w:eastAsia="Times New Roman" w:hAnsi="Times New Roman"/>
          <w:sz w:val="19"/>
          <w:szCs w:val="19"/>
          <w:color w:val="auto"/>
        </w:rPr>
        <w:t>Healthcare reve nue consists primarily of home health and hospice services; in-home specialty pharmacy infusion therapies at CSl Pharmacy Holding Company (CSI); applied behavior analysis therapy; physician services for allergy, asthma and immunology patients; in-home aesthetics; healthcare software-as-a-service technology; and management services related to equity affiliates.</w:t>
      </w:r>
    </w:p>
    <w:p>
      <w:pPr>
        <w:spacing w:after="0" w:line="229" w:lineRule="exact"/>
        <w:rPr>
          <w:sz w:val="20"/>
          <w:szCs w:val="20"/>
          <w:color w:val="auto"/>
        </w:rPr>
      </w:pPr>
    </w:p>
    <w:p>
      <w:pPr>
        <w:jc w:val="both"/>
        <w:ind w:left="120" w:right="125" w:firstLine="14"/>
        <w:spacing w:after="0" w:line="263" w:lineRule="auto"/>
        <w:rPr>
          <w:sz w:val="20"/>
          <w:szCs w:val="20"/>
          <w:color w:val="auto"/>
        </w:rPr>
      </w:pPr>
      <w:r>
        <w:rPr>
          <w:rFonts w:ascii="Times New Roman" w:cs="Times New Roman" w:eastAsia="Times New Roman" w:hAnsi="Times New Roman"/>
          <w:sz w:val="19"/>
          <w:szCs w:val="19"/>
          <w:i w:val="1"/>
          <w:iCs w:val="1"/>
          <w:color w:val="auto"/>
        </w:rPr>
        <w:t xml:space="preserve">Home Health and Hospice Revenue. </w:t>
      </w:r>
      <w:r>
        <w:rPr>
          <w:rFonts w:ascii="Times New Roman" w:cs="Times New Roman" w:eastAsia="Times New Roman" w:hAnsi="Times New Roman"/>
          <w:sz w:val="19"/>
          <w:szCs w:val="19"/>
          <w:color w:val="auto"/>
        </w:rPr>
        <w:t>The Company contracts with patients to provide home health or hospice</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services. Payment is typically received from third-party payors such as Medicare, Medicaid, and private insurers. The payor is a third party to the contract that stipulates the transaction price of the contract. T he Company identifies the patient as the party who benefits from its healthcare services and as such, the patient is its customer. Home health services contracts generally have one performance obligation to provide home health services to patients. The Company recognizes reve nue using the right to invoice practical expedient, an output method, as the contractual right to revenue corresponds directly with the transfer of services to the patient. Given the election of the practical expedient, the Company does not determine the transaction price or allocate any variable consideration at contract inception. Rather, the Company recognizes revenue commensurate with the amount to which it has the right to invoice the customer, which is a function of the average length of stay within each of the two 30-day payment periods. Payment is typically received from Medicare within 30 days after a claim is filed. Medicare is the most common third-party payor for home health services.</w:t>
      </w:r>
    </w:p>
    <w:p>
      <w:pPr>
        <w:spacing w:after="0" w:line="218" w:lineRule="exact"/>
        <w:rPr>
          <w:sz w:val="20"/>
          <w:szCs w:val="20"/>
          <w:color w:val="auto"/>
        </w:rPr>
      </w:pPr>
    </w:p>
    <w:p>
      <w:pPr>
        <w:jc w:val="both"/>
        <w:ind w:left="120" w:right="105" w:firstLine="11"/>
        <w:spacing w:after="0" w:line="259" w:lineRule="auto"/>
        <w:rPr>
          <w:sz w:val="20"/>
          <w:szCs w:val="20"/>
          <w:color w:val="auto"/>
        </w:rPr>
      </w:pPr>
      <w:r>
        <w:rPr>
          <w:rFonts w:ascii="Times New Roman" w:cs="Times New Roman" w:eastAsia="Times New Roman" w:hAnsi="Times New Roman"/>
          <w:sz w:val="19"/>
          <w:szCs w:val="19"/>
          <w:color w:val="auto"/>
        </w:rPr>
        <w:t>Home health revenue contracts may be modified to account for changes in the patient's plan of care. The Company identifies contract modifications when the modification changes the existing enforceable rights and obligations. As modifications to the plan of care modify the original performance obligation, the Company accounts for the contract modification as an adjustment to revenue (either as an increase in or a reduction of revenue) on a cumulative catch- up basis.</w:t>
      </w:r>
    </w:p>
    <w:p>
      <w:pPr>
        <w:spacing w:after="0" w:line="232"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Hospice services contracts generally have one performance obligation to provide healthcare services to patients. The transaction price reflects the amount of revenue the Company expects to receive in exchange for providing these services. As the transaction price for healthcare services is known at the time of contract inception, no variable consideration exists. Hospice service revenue is recognized ratably over the period of care. The Company generally uses the time-elapsed method, an input measure, as it best depicts the simultaneous delivery and consumption of healthcare services. Payment is received from third-party payors for hospice services within 60 days after a claim is filed, or in some cases in two installments, one during the contract and one after the services have been provided. Medicare is the most common third-party payor.</w:t>
      </w:r>
    </w:p>
    <w:p>
      <w:pPr>
        <w:spacing w:after="0" w:line="218"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Specialty Pharmacy Revenue. </w:t>
      </w:r>
      <w:r>
        <w:rPr>
          <w:rFonts w:ascii="Times New Roman" w:cs="Times New Roman" w:eastAsia="Times New Roman" w:hAnsi="Times New Roman"/>
          <w:sz w:val="19"/>
          <w:szCs w:val="19"/>
          <w:color w:val="auto"/>
        </w:rPr>
        <w:t>CSI contracts with patients to provide specialty pharmacy infusion and other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therapies. Payment is typically received from third-party payors such as private ins urers and Medicare. The payor is a third party to the contract that stipulates the transaction prEce of the contract. The Company identifies the customer as the party who benefits from its therapies and as such, the patient is the customer.</w:t>
      </w:r>
    </w:p>
    <w:p>
      <w:pPr>
        <w:spacing w:after="0" w:line="220" w:lineRule="exact"/>
        <w:rPr>
          <w:sz w:val="20"/>
          <w:szCs w:val="20"/>
          <w:color w:val="auto"/>
        </w:rPr>
      </w:pPr>
    </w:p>
    <w:p>
      <w:pPr>
        <w:jc w:val="both"/>
        <w:ind w:left="120" w:right="105" w:hanging="10"/>
        <w:spacing w:after="0" w:line="262" w:lineRule="auto"/>
        <w:rPr>
          <w:sz w:val="20"/>
          <w:szCs w:val="20"/>
          <w:color w:val="auto"/>
        </w:rPr>
      </w:pPr>
      <w:r>
        <w:rPr>
          <w:rFonts w:ascii="Times New Roman" w:cs="Times New Roman" w:eastAsia="Times New Roman" w:hAnsi="Times New Roman"/>
          <w:sz w:val="19"/>
          <w:szCs w:val="19"/>
          <w:color w:val="auto"/>
        </w:rPr>
        <w:t>Specialty pharmacy contracts generally</w:t>
      </w:r>
      <w:r>
        <w:rPr>
          <w:sz w:val="20"/>
          <w:szCs w:val="20"/>
          <w:color w:val="auto"/>
        </w:rPr>
        <w:t xml:space="preserve"> </w:t>
      </w:r>
      <w:r>
        <w:rPr>
          <w:rFonts w:ascii="Times New Roman" w:cs="Times New Roman" w:eastAsia="Times New Roman" w:hAnsi="Times New Roman"/>
          <w:sz w:val="19"/>
          <w:szCs w:val="19"/>
          <w:color w:val="auto"/>
        </w:rPr>
        <w:t>have one performance obligation to deliver the prescribed infusion therapy to the patient' s location and, in some cases, another performance obligation for nursing services to administer the infusion. The transaction price is the total amount CSI expects to receive from a payor as result of fulfilling its performance obligation. Revenue is recognized at the point in time the infusion therapy is delivered to the patient; revenue related to the nursing services is recognized as the services are provided.</w:t>
      </w:r>
    </w:p>
    <w:p>
      <w:pPr>
        <w:spacing w:after="0" w:line="209" w:lineRule="exact"/>
        <w:rPr>
          <w:sz w:val="20"/>
          <w:szCs w:val="20"/>
          <w:color w:val="auto"/>
        </w:rPr>
      </w:pPr>
    </w:p>
    <w:p>
      <w:pPr>
        <w:jc w:val="both"/>
        <w:ind w:left="120" w:right="125" w:hanging="15"/>
        <w:spacing w:after="0" w:line="262" w:lineRule="auto"/>
        <w:rPr>
          <w:sz w:val="20"/>
          <w:szCs w:val="20"/>
          <w:color w:val="auto"/>
        </w:rPr>
      </w:pPr>
      <w:r>
        <w:rPr>
          <w:rFonts w:ascii="Times New Roman" w:cs="Times New Roman" w:eastAsia="Times New Roman" w:hAnsi="Times New Roman"/>
          <w:sz w:val="19"/>
          <w:szCs w:val="19"/>
          <w:i w:val="1"/>
          <w:iCs w:val="1"/>
          <w:color w:val="auto"/>
        </w:rPr>
        <w:t>Applied Behavior Analysis Revenue.</w:t>
      </w:r>
      <w:r>
        <w:rPr>
          <w:sz w:val="20"/>
          <w:szCs w:val="20"/>
          <w:color w:val="auto"/>
        </w:rPr>
        <w:t xml:space="preserve"> </w:t>
      </w:r>
      <w:r>
        <w:rPr>
          <w:rFonts w:ascii="Times New Roman" w:cs="Times New Roman" w:eastAsia="Times New Roman" w:hAnsi="Times New Roman"/>
          <w:sz w:val="19"/>
          <w:szCs w:val="19"/>
          <w:color w:val="auto"/>
        </w:rPr>
        <w:t>Applied behavior analysis revenue at Surpass is recognized as services are provided to the customer. Payments are generally received in arrears, from customers as well as third-party payors.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88" w:lineRule="exact"/>
        <w:rPr>
          <w:sz w:val="20"/>
          <w:szCs w:val="20"/>
          <w:color w:val="auto"/>
        </w:rPr>
      </w:pPr>
    </w:p>
    <w:p>
      <w:pPr>
        <w:ind w:left="5840"/>
        <w:spacing w:after="0"/>
        <w:tabs>
          <w:tab w:leader="none" w:pos="9020" w:val="left"/>
        </w:tabs>
        <w:rPr>
          <w:sz w:val="20"/>
          <w:szCs w:val="20"/>
          <w:color w:val="auto"/>
        </w:rPr>
      </w:pPr>
      <w:r>
        <w:rPr>
          <w:rFonts w:ascii="Times New Roman" w:cs="Times New Roman" w:eastAsia="Times New Roman" w:hAnsi="Times New Roman"/>
          <w:sz w:val="19"/>
          <w:szCs w:val="19"/>
          <w:color w:val="auto"/>
        </w:rPr>
        <w:t>GRAHAM HOLDINGS COMPANY</w:t>
        <w:tab/>
        <w:t>99</w:t>
      </w:r>
    </w:p>
    <w:p>
      <w:pPr>
        <w:sectPr>
          <w:pgSz w:w="12240" w:h="15850" w:orient="portrait"/>
          <w:cols w:equalWidth="0" w:num="1">
            <w:col w:w="9365"/>
          </w:cols>
          <w:pgMar w:left="1440" w:top="1394" w:right="1440" w:bottom="721" w:gutter="0" w:footer="0" w:header="0"/>
          <w:type w:val="continuous"/>
        </w:sectPr>
      </w:pPr>
    </w:p>
    <w:bookmarkStart w:id="115" w:name="page116"/>
    <w:bookmarkEnd w:id="115"/>
    <w:p>
      <w:pPr>
        <w:jc w:val="both"/>
        <w:ind w:left="120" w:right="125" w:firstLine="3"/>
        <w:spacing w:after="0" w:line="257" w:lineRule="auto"/>
        <w:rPr>
          <w:sz w:val="20"/>
          <w:szCs w:val="20"/>
          <w:color w:val="auto"/>
        </w:rPr>
      </w:pPr>
      <w:r>
        <w:rPr>
          <w:rFonts w:ascii="Times New Roman" w:cs="Times New Roman" w:eastAsia="Times New Roman" w:hAnsi="Times New Roman"/>
          <w:sz w:val="19"/>
          <w:szCs w:val="19"/>
          <w:i w:val="1"/>
          <w:i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2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Physician Services Revenue. </w:t>
      </w:r>
      <w:r>
        <w:rPr>
          <w:rFonts w:ascii="Times New Roman" w:cs="Times New Roman" w:eastAsia="Times New Roman" w:hAnsi="Times New Roman"/>
          <w:sz w:val="19"/>
          <w:szCs w:val="19"/>
          <w:color w:val="auto"/>
        </w:rPr>
        <w:t>Physician services revenue at Impact Medical consists of revenue from physician</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and nurse visits as weRI as revenue related to allergy and immunology treatments. Each treatment is a separate performance obligation and revenue is recognized as the performance obligation is satisfied.</w:t>
      </w:r>
    </w:p>
    <w:p>
      <w:pPr>
        <w:spacing w:after="0" w:line="223" w:lineRule="exact"/>
        <w:rPr>
          <w:sz w:val="20"/>
          <w:szCs w:val="20"/>
          <w:color w:val="auto"/>
        </w:rPr>
      </w:pPr>
    </w:p>
    <w:p>
      <w:pPr>
        <w:jc w:val="both"/>
        <w:ind w:left="120" w:right="125" w:firstLine="11"/>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In-home Aesthetics Revenue. </w:t>
      </w:r>
      <w:r>
        <w:rPr>
          <w:rFonts w:ascii="Times New Roman" w:cs="Times New Roman" w:eastAsia="Times New Roman" w:hAnsi="Times New Roman"/>
          <w:sz w:val="19"/>
          <w:szCs w:val="19"/>
          <w:color w:val="auto"/>
        </w:rPr>
        <w:t>In-home aesthetics revenue at Skin Clique primarily represents treatments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provided to a customer by a Skin Clique representative. Revenue is recognized as the service is being provided.</w:t>
      </w:r>
    </w:p>
    <w:p>
      <w:pPr>
        <w:spacing w:after="0" w:line="226" w:lineRule="exact"/>
        <w:rPr>
          <w:sz w:val="20"/>
          <w:szCs w:val="20"/>
          <w:color w:val="auto"/>
        </w:rPr>
      </w:pPr>
    </w:p>
    <w:p>
      <w:pPr>
        <w:jc w:val="both"/>
        <w:ind w:left="120" w:right="125" w:firstLine="2"/>
        <w:spacing w:after="0" w:line="253" w:lineRule="auto"/>
        <w:rPr>
          <w:sz w:val="20"/>
          <w:szCs w:val="20"/>
          <w:color w:val="auto"/>
        </w:rPr>
      </w:pPr>
      <w:r>
        <w:rPr>
          <w:rFonts w:ascii="Times New Roman" w:cs="Times New Roman" w:eastAsia="Times New Roman" w:hAnsi="Times New Roman"/>
          <w:sz w:val="19"/>
          <w:szCs w:val="19"/>
          <w:i w:val="1"/>
          <w:iCs w:val="1"/>
          <w:color w:val="auto"/>
        </w:rPr>
        <w:t xml:space="preserve">Healthcare Software-as-a-service Revenue. </w:t>
      </w:r>
      <w:r>
        <w:rPr>
          <w:rFonts w:ascii="Times New Roman" w:cs="Times New Roman" w:eastAsia="Times New Roman" w:hAnsi="Times New Roman"/>
          <w:sz w:val="19"/>
          <w:szCs w:val="19"/>
          <w:color w:val="auto"/>
        </w:rPr>
        <w:t>Software-as-a-servjce revenue at Clarus is recognized ratably over</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subscription period.</w:t>
      </w:r>
    </w:p>
    <w:p>
      <w:pPr>
        <w:spacing w:after="0" w:line="236" w:lineRule="exact"/>
        <w:rPr>
          <w:sz w:val="20"/>
          <w:szCs w:val="20"/>
          <w:color w:val="auto"/>
        </w:rPr>
      </w:pPr>
    </w:p>
    <w:p>
      <w:pPr>
        <w:jc w:val="both"/>
        <w:ind w:left="120" w:right="125" w:firstLine="4"/>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Management Services Revenue. </w:t>
      </w:r>
      <w:r>
        <w:rPr>
          <w:rFonts w:ascii="Times New Roman" w:cs="Times New Roman" w:eastAsia="Times New Roman" w:hAnsi="Times New Roman"/>
          <w:sz w:val="19"/>
          <w:szCs w:val="19"/>
          <w:color w:val="auto"/>
        </w:rPr>
        <w:t>The Company accounts for the management services provided to each of its</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affiliates as one performance obligation and recognizes revenllle over time as the services are delivered. The Company uses the right to invoice practical expedient, an output method, as the Company's right to revenue corresponds directly with the value delivered to the affi liate. As a result of the election to use the right to invoice practical expedient, the Company does not determine the transaction price or allocate any variable consideration at contract inception. Rather, the Company recognizes revenue commensurate w ith the amount to which it has the right to invoice the affiliate, which is based on contractually identified percentages. Payment is received monthly in arrears.</w:t>
      </w:r>
    </w:p>
    <w:p>
      <w:pPr>
        <w:spacing w:after="0" w:line="200" w:lineRule="exact"/>
        <w:rPr>
          <w:sz w:val="20"/>
          <w:szCs w:val="20"/>
          <w:color w:val="auto"/>
        </w:rPr>
      </w:pPr>
    </w:p>
    <w:p>
      <w:pPr>
        <w:spacing w:after="0" w:line="258" w:lineRule="exact"/>
        <w:rPr>
          <w:sz w:val="20"/>
          <w:szCs w:val="20"/>
          <w:color w:val="auto"/>
        </w:rPr>
      </w:pPr>
    </w:p>
    <w:p>
      <w:pPr>
        <w:jc w:val="both"/>
        <w:ind w:left="120" w:right="125" w:hanging="15"/>
        <w:spacing w:after="0" w:line="257" w:lineRule="auto"/>
        <w:rPr>
          <w:sz w:val="20"/>
          <w:szCs w:val="20"/>
          <w:color w:val="auto"/>
        </w:rPr>
      </w:pPr>
      <w:r>
        <w:rPr>
          <w:rFonts w:ascii="Times New Roman" w:cs="Times New Roman" w:eastAsia="Times New Roman" w:hAnsi="Times New Roman"/>
          <w:sz w:val="20"/>
          <w:szCs w:val="20"/>
          <w:i w:val="1"/>
          <w:iCs w:val="1"/>
          <w:color w:val="auto"/>
        </w:rPr>
        <w:t>Automotive Revenue.</w:t>
      </w:r>
      <w:r>
        <w:rPr>
          <w:sz w:val="20"/>
          <w:szCs w:val="20"/>
          <w:color w:val="auto"/>
        </w:rPr>
        <w:t xml:space="preserve"> </w:t>
      </w:r>
      <w:r>
        <w:rPr>
          <w:rFonts w:ascii="Times New Roman" w:cs="Times New Roman" w:eastAsia="Times New Roman" w:hAnsi="Times New Roman"/>
          <w:sz w:val="19"/>
          <w:szCs w:val="19"/>
          <w:color w:val="auto"/>
        </w:rPr>
        <w:t>The automotive subsidiary generates revenue primarily through the sale of new and used vehicles; the arrangement of vehicle financing, insurance and other service contracts (F&amp;I revenue); and the performance of vehicle repair and maintenance services.</w:t>
      </w:r>
    </w:p>
    <w:p>
      <w:pPr>
        <w:spacing w:after="0" w:line="241" w:lineRule="exact"/>
        <w:rPr>
          <w:sz w:val="20"/>
          <w:szCs w:val="20"/>
          <w:color w:val="auto"/>
        </w:rPr>
      </w:pPr>
    </w:p>
    <w:p>
      <w:pPr>
        <w:jc w:val="both"/>
        <w:ind w:left="120" w:right="125" w:firstLine="12"/>
        <w:spacing w:after="0" w:line="262" w:lineRule="auto"/>
        <w:rPr>
          <w:sz w:val="20"/>
          <w:szCs w:val="20"/>
          <w:color w:val="auto"/>
        </w:rPr>
      </w:pPr>
      <w:r>
        <w:rPr>
          <w:rFonts w:ascii="Times New Roman" w:cs="Times New Roman" w:eastAsia="Times New Roman" w:hAnsi="Times New Roman"/>
          <w:sz w:val="19"/>
          <w:szCs w:val="19"/>
          <w:color w:val="auto"/>
        </w:rPr>
        <w:t>New and used vehicle revenue contracts generally contain one performance obligation to deliver the vehicle to the ClllStomer in exchange for the stated contract cons ideration. Revenue is recognized at the point in time when control of the vehicle passes to the customer. F&amp;I revenue is recognized at the point in time when the agreement between the customer and financing, insurance or service provider is executed. As the automotive subsidiary acts as an agent in these F&amp;I revenue transactions, revenue is recognized net of any financing, insurance and service provider costs. Repair and maintenance services revenue is recognized over time, as the service is performed.</w:t>
      </w:r>
    </w:p>
    <w:p>
      <w:pPr>
        <w:spacing w:after="0" w:line="201" w:lineRule="exact"/>
        <w:rPr>
          <w:sz w:val="20"/>
          <w:szCs w:val="20"/>
          <w:color w:val="auto"/>
        </w:rPr>
      </w:pPr>
    </w:p>
    <w:p>
      <w:pPr>
        <w:jc w:val="both"/>
        <w:ind w:left="120" w:right="125" w:hanging="1"/>
        <w:spacing w:after="0" w:line="265" w:lineRule="auto"/>
        <w:rPr>
          <w:sz w:val="20"/>
          <w:szCs w:val="20"/>
          <w:color w:val="auto"/>
        </w:rPr>
      </w:pPr>
      <w:r>
        <w:rPr>
          <w:rFonts w:ascii="Times New Roman" w:cs="Times New Roman" w:eastAsia="Times New Roman" w:hAnsi="Times New Roman"/>
          <w:sz w:val="20"/>
          <w:szCs w:val="20"/>
          <w:i w:val="1"/>
          <w:iCs w:val="1"/>
          <w:color w:val="auto"/>
        </w:rPr>
        <w:t xml:space="preserve">Other Revenue. </w:t>
      </w:r>
      <w:r>
        <w:rPr>
          <w:rFonts w:ascii="Times New Roman" w:cs="Times New Roman" w:eastAsia="Times New Roman" w:hAnsi="Times New Roman"/>
          <w:sz w:val="19"/>
          <w:szCs w:val="19"/>
          <w:i w:val="1"/>
          <w:iCs w:val="1"/>
          <w:color w:val="auto"/>
        </w:rPr>
        <w:t>Restaurant Revenue.</w:t>
      </w:r>
      <w:r>
        <w:rPr>
          <w:sz w:val="20"/>
          <w:szCs w:val="20"/>
          <w:color w:val="auto"/>
        </w:rPr>
        <w:t xml:space="preserve"> </w:t>
      </w:r>
      <w:r>
        <w:rPr>
          <w:rFonts w:ascii="Times New Roman" w:cs="Times New Roman" w:eastAsia="Times New Roman" w:hAnsi="Times New Roman"/>
          <w:sz w:val="19"/>
          <w:szCs w:val="19"/>
          <w:color w:val="auto"/>
        </w:rPr>
        <w:t>Restaurant revenues consist of sales generated by Clyde's Restaurant Group (CRG). Food and beverage revenue, net of discounts and taxes, is recognized at the point in time when it is delivered to the customer. Proceeds from the sale of gift cards are recorded as deferred revenue and recognized as revenue upon redemption by the customer.</w:t>
      </w:r>
    </w:p>
    <w:p>
      <w:pPr>
        <w:spacing w:after="0" w:line="200" w:lineRule="exact"/>
        <w:rPr>
          <w:sz w:val="20"/>
          <w:szCs w:val="20"/>
          <w:color w:val="auto"/>
        </w:rPr>
      </w:pPr>
    </w:p>
    <w:p>
      <w:pPr>
        <w:spacing w:after="0" w:line="276"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i w:val="1"/>
          <w:iCs w:val="1"/>
          <w:color w:val="auto"/>
        </w:rPr>
        <w:t>Custom Framing Services Revenue.</w:t>
      </w:r>
      <w:r>
        <w:rPr>
          <w:sz w:val="20"/>
          <w:szCs w:val="20"/>
          <w:color w:val="auto"/>
        </w:rPr>
        <w:t xml:space="preserve"> </w:t>
      </w:r>
      <w:r>
        <w:rPr>
          <w:rFonts w:ascii="Times New Roman" w:cs="Times New Roman" w:eastAsia="Times New Roman" w:hAnsi="Times New Roman"/>
          <w:sz w:val="19"/>
          <w:szCs w:val="19"/>
          <w:color w:val="auto"/>
        </w:rPr>
        <w:t>Framebridge seUs custom franling solutions to customers. Custom framing services revenue, net of discounts and taxes, is recognized when the products are delivered to the customer. Proceeds from the sale of gift cards are recorded as deferred revenue and recognized as revenue upon redemption by the customer.</w:t>
      </w:r>
    </w:p>
    <w:p>
      <w:pPr>
        <w:spacing w:after="0" w:line="200" w:lineRule="exact"/>
        <w:rPr>
          <w:sz w:val="20"/>
          <w:szCs w:val="20"/>
          <w:color w:val="auto"/>
        </w:rPr>
      </w:pPr>
    </w:p>
    <w:p>
      <w:pPr>
        <w:spacing w:after="0" w:line="251" w:lineRule="exact"/>
        <w:rPr>
          <w:sz w:val="20"/>
          <w:szCs w:val="20"/>
          <w:color w:val="auto"/>
        </w:rPr>
      </w:pPr>
    </w:p>
    <w:p>
      <w:pPr>
        <w:jc w:val="both"/>
        <w:ind w:left="120" w:right="125" w:firstLine="5"/>
        <w:spacing w:after="0" w:line="262" w:lineRule="auto"/>
        <w:rPr>
          <w:sz w:val="20"/>
          <w:szCs w:val="20"/>
          <w:color w:val="auto"/>
        </w:rPr>
      </w:pPr>
      <w:r>
        <w:rPr>
          <w:rFonts w:ascii="Times New Roman" w:cs="Times New Roman" w:eastAsia="Times New Roman" w:hAnsi="Times New Roman"/>
          <w:sz w:val="19"/>
          <w:szCs w:val="19"/>
          <w:i w:val="1"/>
          <w:iCs w:val="1"/>
          <w:color w:val="auto"/>
        </w:rPr>
        <w:t xml:space="preserve">Code3 Revenue. </w:t>
      </w:r>
      <w:r>
        <w:rPr>
          <w:rFonts w:ascii="Times New Roman" w:cs="Times New Roman" w:eastAsia="Times New Roman" w:hAnsi="Times New Roman"/>
          <w:sz w:val="19"/>
          <w:szCs w:val="19"/>
          <w:color w:val="auto"/>
        </w:rPr>
        <w:t>Code3 generates media management revenue in exchange for providing social media</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marketing solutions to its clients. The Company determined that Code3 contracts generally have one performance obligation made up of a series of promises to manage the client's media spend on advertising platforms for the duration of the contract period.</w:t>
      </w:r>
    </w:p>
    <w:p>
      <w:pPr>
        <w:spacing w:after="0" w:line="219"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Code3 recognizes revenue, net of media acquisition costs, over time as media management services are delivered to the customer. Generally, Code3 recognizes revenue using the right to invoice practical expedient, an output method, as Code3's rig ht to revenue corresponds directly with the value delivered to its customer. As a result of the election to use the right to invoice practical expedient, Code3 does not determine the transaction price or aUocate any variable consideration at contract inception. Rather, Code3 recognizes revenue commensurate with the amount to which it has the right to invoice the customer, which is a function of the cost of social media placement plus a management fee, less any applicable discounts . Payment is typically received within I 00 days of revenue recognition.</w:t>
      </w:r>
    </w:p>
    <w:p>
      <w:pPr>
        <w:sectPr>
          <w:pgSz w:w="12240" w:h="15850" w:orient="portrait"/>
          <w:cols w:equalWidth="0" w:num="1">
            <w:col w:w="9365"/>
          </w:cols>
          <w:pgMar w:left="1440" w:top="1392"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100</w:t>
        <w:tab/>
        <w:t>2024 FORM 10-K</w:t>
      </w:r>
    </w:p>
    <w:p>
      <w:pPr>
        <w:sectPr>
          <w:pgSz w:w="12240" w:h="15850" w:orient="portrait"/>
          <w:cols w:equalWidth="0" w:num="1">
            <w:col w:w="9365"/>
          </w:cols>
          <w:pgMar w:left="1440" w:top="1392" w:right="1440" w:bottom="717" w:gutter="0" w:footer="0" w:header="0"/>
          <w:type w:val="continuous"/>
        </w:sectPr>
      </w:pPr>
    </w:p>
    <w:bookmarkStart w:id="116" w:name="page117"/>
    <w:bookmarkEnd w:id="116"/>
    <w:p>
      <w:pPr>
        <w:jc w:val="both"/>
        <w:ind w:left="120" w:right="125"/>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Code3 evaluates whether it is the principal (i.e., presents revenue on a gross basis) or agent (i.e., presents revenue on a net basis) in its contracts. Code3 presents revenue for media management sem·vices, net of media acquisition costs, as an agent, as Code3 does not control the media before placement on social media platforms.</w:t>
      </w:r>
    </w:p>
    <w:p>
      <w:pPr>
        <w:spacing w:after="0" w:line="251" w:lineRule="exact"/>
        <w:rPr>
          <w:sz w:val="20"/>
          <w:szCs w:val="20"/>
          <w:color w:val="auto"/>
        </w:rPr>
      </w:pPr>
    </w:p>
    <w:p>
      <w:pPr>
        <w:jc w:val="both"/>
        <w:ind w:left="120" w:right="125" w:firstLine="13"/>
        <w:spacing w:after="0" w:line="268" w:lineRule="auto"/>
        <w:rPr>
          <w:sz w:val="20"/>
          <w:szCs w:val="20"/>
          <w:color w:val="auto"/>
        </w:rPr>
      </w:pPr>
      <w:r>
        <w:rPr>
          <w:rFonts w:ascii="Times New Roman" w:cs="Times New Roman" w:eastAsia="Times New Roman" w:hAnsi="Times New Roman"/>
          <w:sz w:val="20"/>
          <w:szCs w:val="20"/>
          <w:i w:val="1"/>
          <w:iCs w:val="1"/>
          <w:color w:val="auto"/>
        </w:rPr>
        <w:t xml:space="preserve">World of Good Brands (WGB) Revenue. </w:t>
      </w:r>
      <w:r>
        <w:rPr>
          <w:rFonts w:ascii="Times New Roman" w:cs="Times New Roman" w:eastAsia="Times New Roman" w:hAnsi="Times New Roman"/>
          <w:sz w:val="18"/>
          <w:szCs w:val="18"/>
          <w:color w:val="auto"/>
        </w:rPr>
        <w:t>Revenue is primarily derived from advertisements displayed on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WGB 's online media properties. Revenue is recognized over time as the performance obligation is delivered. Reve!ilue is generally recognized based on an output measure including impressions delivered, cost per c lick or time-based advertisements.</w:t>
      </w:r>
    </w:p>
    <w:p>
      <w:pPr>
        <w:spacing w:after="0" w:line="200" w:lineRule="exact"/>
        <w:rPr>
          <w:sz w:val="20"/>
          <w:szCs w:val="20"/>
          <w:color w:val="auto"/>
        </w:rPr>
      </w:pPr>
    </w:p>
    <w:p>
      <w:pPr>
        <w:spacing w:after="0" w:line="283" w:lineRule="exact"/>
        <w:rPr>
          <w:sz w:val="20"/>
          <w:szCs w:val="20"/>
          <w:color w:val="auto"/>
        </w:rPr>
      </w:pPr>
    </w:p>
    <w:p>
      <w:pPr>
        <w:jc w:val="both"/>
        <w:ind w:left="120" w:right="125" w:hanging="7"/>
        <w:spacing w:after="0" w:line="256" w:lineRule="auto"/>
        <w:rPr>
          <w:sz w:val="20"/>
          <w:szCs w:val="20"/>
          <w:color w:val="auto"/>
        </w:rPr>
      </w:pPr>
      <w:r>
        <w:rPr>
          <w:rFonts w:ascii="Times New Roman" w:cs="Times New Roman" w:eastAsia="Times New Roman" w:hAnsi="Times New Roman"/>
          <w:sz w:val="20"/>
          <w:szCs w:val="20"/>
          <w:i w:val="1"/>
          <w:iCs w:val="1"/>
          <w:color w:val="auto"/>
        </w:rPr>
        <w:t>Society6 Revenue.</w:t>
      </w:r>
      <w:r>
        <w:rPr>
          <w:sz w:val="20"/>
          <w:szCs w:val="20"/>
          <w:color w:val="auto"/>
        </w:rPr>
        <w:t xml:space="preserve"> </w:t>
      </w:r>
      <w:r>
        <w:rPr>
          <w:rFonts w:ascii="Times New Roman" w:cs="Times New Roman" w:eastAsia="Times New Roman" w:hAnsi="Times New Roman"/>
          <w:sz w:val="19"/>
          <w:szCs w:val="19"/>
          <w:color w:val="auto"/>
        </w:rPr>
        <w:t>Revenue is primarjly derived from the sale of products. Each product ordered is generally accounted for as an individual perf01mance obligation. Product revenue, net of discounts and taxes, is recognized when control of the promised good is transferred to the customer.</w:t>
      </w:r>
    </w:p>
    <w:p>
      <w:pPr>
        <w:spacing w:after="0" w:line="254" w:lineRule="exact"/>
        <w:rPr>
          <w:sz w:val="20"/>
          <w:szCs w:val="20"/>
          <w:color w:val="auto"/>
        </w:rPr>
      </w:pPr>
    </w:p>
    <w:p>
      <w:pPr>
        <w:jc w:val="both"/>
        <w:ind w:left="120" w:right="125" w:firstLine="2"/>
        <w:spacing w:after="0" w:line="272" w:lineRule="auto"/>
        <w:rPr>
          <w:sz w:val="20"/>
          <w:szCs w:val="20"/>
          <w:color w:val="auto"/>
        </w:rPr>
      </w:pPr>
      <w:r>
        <w:rPr>
          <w:rFonts w:ascii="Times New Roman" w:cs="Times New Roman" w:eastAsia="Times New Roman" w:hAnsi="Times New Roman"/>
          <w:sz w:val="20"/>
          <w:szCs w:val="20"/>
          <w:i w:val="1"/>
          <w:iCs w:val="1"/>
          <w:color w:val="auto"/>
        </w:rPr>
        <w:t xml:space="preserve">Saatchi Art Revenue. </w:t>
      </w:r>
      <w:r>
        <w:rPr>
          <w:rFonts w:ascii="Times New Roman" w:cs="Times New Roman" w:eastAsia="Times New Roman" w:hAnsi="Times New Roman"/>
          <w:sz w:val="18"/>
          <w:szCs w:val="18"/>
          <w:color w:val="auto"/>
        </w:rPr>
        <w:t>Commissions revenue is p1imarily derived through the sane of artwork through Saatchi's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online art gallery or in- person art fairs. Each individual art piece ordered is generally accounted for as an individual performance obligation. Revenue is recognized net of artist fees when control of the promised good is transferred to the customer.</w:t>
      </w:r>
    </w:p>
    <w:p>
      <w:pPr>
        <w:spacing w:after="0" w:line="200" w:lineRule="exact"/>
        <w:rPr>
          <w:sz w:val="20"/>
          <w:szCs w:val="20"/>
          <w:color w:val="auto"/>
        </w:rPr>
      </w:pPr>
    </w:p>
    <w:p>
      <w:pPr>
        <w:spacing w:after="0" w:line="272" w:lineRule="exact"/>
        <w:rPr>
          <w:sz w:val="20"/>
          <w:szCs w:val="20"/>
          <w:color w:val="auto"/>
        </w:rPr>
      </w:pPr>
    </w:p>
    <w:p>
      <w:pPr>
        <w:jc w:val="both"/>
        <w:ind w:left="120" w:right="105" w:firstLine="8"/>
        <w:spacing w:after="0" w:line="276" w:lineRule="auto"/>
        <w:rPr>
          <w:sz w:val="20"/>
          <w:szCs w:val="20"/>
          <w:color w:val="auto"/>
        </w:rPr>
      </w:pPr>
      <w:r>
        <w:rPr>
          <w:rFonts w:ascii="Times New Roman" w:cs="Times New Roman" w:eastAsia="Times New Roman" w:hAnsi="Times New Roman"/>
          <w:sz w:val="20"/>
          <w:szCs w:val="20"/>
          <w:i w:val="1"/>
          <w:iCs w:val="1"/>
          <w:color w:val="auto"/>
        </w:rPr>
        <w:t xml:space="preserve">Other Revenue. </w:t>
      </w:r>
      <w:r>
        <w:rPr>
          <w:rFonts w:ascii="Times New Roman" w:cs="Times New Roman" w:eastAsia="Times New Roman" w:hAnsi="Times New Roman"/>
          <w:sz w:val="18"/>
          <w:szCs w:val="18"/>
          <w:color w:val="auto"/>
        </w:rPr>
        <w:t>Other revenue primarily includes advertising, c irculation and subscription revenue from Slate,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18"/>
          <w:szCs w:val="18"/>
          <w:color w:val="auto"/>
        </w:rPr>
        <w:t>Decile, Pinna and Foreign Policy. The Company accounts for other advertising revenues consistently with the advertising revenue streams addressed above. Circulation revenue consists of fees that provide customers access to online and print publications. The Company recognizes circulation and subscription revenue ratably over the subscription period beginning on the date that the publication or product is made available to the customer. Circulation revenue contracts are generally annual or monthly subscription contracts that are paid in advance of the delivery of performance obligations.</w:t>
      </w:r>
    </w:p>
    <w:p>
      <w:pPr>
        <w:spacing w:after="0" w:line="200" w:lineRule="exact"/>
        <w:rPr>
          <w:sz w:val="20"/>
          <w:szCs w:val="20"/>
          <w:color w:val="auto"/>
        </w:rPr>
      </w:pPr>
    </w:p>
    <w:p>
      <w:pPr>
        <w:spacing w:after="0" w:line="263" w:lineRule="exact"/>
        <w:rPr>
          <w:sz w:val="20"/>
          <w:szCs w:val="20"/>
          <w:color w:val="auto"/>
        </w:rPr>
      </w:pPr>
    </w:p>
    <w:p>
      <w:pPr>
        <w:jc w:val="both"/>
        <w:ind w:left="120" w:right="125" w:hanging="4"/>
        <w:spacing w:after="0" w:line="259" w:lineRule="auto"/>
        <w:rPr>
          <w:sz w:val="20"/>
          <w:szCs w:val="20"/>
          <w:color w:val="auto"/>
        </w:rPr>
      </w:pPr>
      <w:r>
        <w:rPr>
          <w:rFonts w:ascii="Times New Roman" w:cs="Times New Roman" w:eastAsia="Times New Roman" w:hAnsi="Times New Roman"/>
          <w:sz w:val="21"/>
          <w:szCs w:val="21"/>
          <w:i w:val="1"/>
          <w:iCs w:val="1"/>
          <w:color w:val="auto"/>
        </w:rPr>
        <w:t>Revenue Policy Elections.</w:t>
      </w:r>
      <w:r>
        <w:rPr>
          <w:sz w:val="20"/>
          <w:szCs w:val="20"/>
          <w:color w:val="auto"/>
        </w:rPr>
        <w:t xml:space="preserve"> </w:t>
      </w:r>
      <w:r>
        <w:rPr>
          <w:rFonts w:ascii="Times New Roman" w:cs="Times New Roman" w:eastAsia="Times New Roman" w:hAnsi="Times New Roman"/>
          <w:sz w:val="19"/>
          <w:szCs w:val="19"/>
          <w:color w:val="auto"/>
        </w:rPr>
        <w:t>The Company has elected to account for shipping and handling activities that occur after the customer has obtained control of the good as a fu lfillment cost rather !than as an additional promised service. Therefore, revenue for these performance obligations is recognized when control of the good transfers to the customer, which is when the good! is ready for shipment. The Company accrues the related shipping and handling costs over the period when revenue is recognized.</w:t>
      </w:r>
    </w:p>
    <w:p>
      <w:pPr>
        <w:spacing w:after="0" w:line="264"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The Company has elected to exclude from the measurement of the transactiom price all taxes assessed by a governmental authority that are both imposed on and concurrent with a specific revenue-producing transaction and collected by the entity from a customer.</w:t>
      </w:r>
    </w:p>
    <w:p>
      <w:pPr>
        <w:spacing w:after="0" w:line="248" w:lineRule="exact"/>
        <w:rPr>
          <w:sz w:val="20"/>
          <w:szCs w:val="20"/>
          <w:color w:val="auto"/>
        </w:rPr>
      </w:pPr>
    </w:p>
    <w:p>
      <w:pPr>
        <w:jc w:val="both"/>
        <w:ind w:left="120" w:right="125" w:hanging="5"/>
        <w:spacing w:after="0" w:line="272" w:lineRule="auto"/>
        <w:rPr>
          <w:sz w:val="20"/>
          <w:szCs w:val="20"/>
          <w:color w:val="auto"/>
        </w:rPr>
      </w:pPr>
      <w:r>
        <w:rPr>
          <w:rFonts w:ascii="Times New Roman" w:cs="Times New Roman" w:eastAsia="Times New Roman" w:hAnsi="Times New Roman"/>
          <w:sz w:val="21"/>
          <w:szCs w:val="21"/>
          <w:i w:val="1"/>
          <w:iCs w:val="1"/>
          <w:color w:val="auto"/>
        </w:rPr>
        <w:t>Revenue</w:t>
      </w:r>
      <w:r>
        <w:rPr>
          <w:sz w:val="20"/>
          <w:szCs w:val="20"/>
          <w:color w:val="auto"/>
        </w:rPr>
        <w:t xml:space="preserve"> </w:t>
      </w:r>
      <w:r>
        <w:rPr>
          <w:rFonts w:ascii="Times New Roman" w:cs="Times New Roman" w:eastAsia="Times New Roman" w:hAnsi="Times New Roman"/>
          <w:sz w:val="21"/>
          <w:szCs w:val="21"/>
          <w:i w:val="1"/>
          <w:iCs w:val="1"/>
          <w:color w:val="auto"/>
        </w:rPr>
        <w:t xml:space="preserve">Practical Expedients. </w:t>
      </w:r>
      <w:r>
        <w:rPr>
          <w:rFonts w:ascii="Times New Roman" w:cs="Times New Roman" w:eastAsia="Times New Roman" w:hAnsi="Times New Roman"/>
          <w:sz w:val="18"/>
          <w:szCs w:val="18"/>
          <w:color w:val="auto"/>
        </w:rPr>
        <w:t>The Company does not disclose the value of unsatisfied performance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18"/>
          <w:szCs w:val="18"/>
          <w:color w:val="auto"/>
        </w:rPr>
        <w:t>obligations for (i) contracts with an original expected length of one year or less, (ii) contracts for which the amount of revenue recognized is based on the amount to which the Company has the right to invoice the customer for services performed, (iii) contracts for which the consideration received is a usage-based royalty promised in exchange for a license of intellectual property and (iv) contracts for which variable consideration is allocated entirely to a wholly unsatisfied promise to transfer a distinct good or service that forms part of a single performance obligation.</w:t>
      </w:r>
    </w:p>
    <w:p>
      <w:pPr>
        <w:spacing w:after="0" w:line="200" w:lineRule="exact"/>
        <w:rPr>
          <w:sz w:val="20"/>
          <w:szCs w:val="20"/>
          <w:color w:val="auto"/>
        </w:rPr>
      </w:pPr>
    </w:p>
    <w:p>
      <w:pPr>
        <w:spacing w:after="0" w:line="270" w:lineRule="exact"/>
        <w:rPr>
          <w:sz w:val="20"/>
          <w:szCs w:val="20"/>
          <w:color w:val="auto"/>
        </w:rPr>
      </w:pPr>
    </w:p>
    <w:p>
      <w:pPr>
        <w:jc w:val="both"/>
        <w:ind w:left="120" w:right="125" w:hanging="1"/>
        <w:spacing w:after="0" w:line="261" w:lineRule="auto"/>
        <w:rPr>
          <w:sz w:val="20"/>
          <w:szCs w:val="20"/>
          <w:color w:val="auto"/>
        </w:rPr>
      </w:pPr>
      <w:r>
        <w:rPr>
          <w:rFonts w:ascii="Times New Roman" w:cs="Times New Roman" w:eastAsia="Times New Roman" w:hAnsi="Times New Roman"/>
          <w:sz w:val="21"/>
          <w:szCs w:val="21"/>
          <w:i w:val="1"/>
          <w:iCs w:val="1"/>
          <w:color w:val="auto"/>
        </w:rPr>
        <w:t>Costs to Obtain a Contract.</w:t>
      </w:r>
      <w:r>
        <w:rPr>
          <w:sz w:val="20"/>
          <w:szCs w:val="20"/>
          <w:color w:val="auto"/>
        </w:rPr>
        <w:t xml:space="preserve"> </w:t>
      </w:r>
      <w:r>
        <w:rPr>
          <w:rFonts w:ascii="Times New Roman" w:cs="Times New Roman" w:eastAsia="Times New Roman" w:hAnsi="Times New Roman"/>
          <w:sz w:val="19"/>
          <w:szCs w:val="19"/>
          <w:color w:val="auto"/>
        </w:rPr>
        <w:t>The Company incurs costs to obtain a contract that are both incremental and expected to be recovered, as the costs would not have been inc urred if the contract was not obtained and the revenue from the contract exceeds the associated cost. The revenue g uidance provides a practical expedient to expense sales commissions as incurred in instances where the amortization period is one year or less. The amortization period is defined in the guidance as the contract term, inclusive of any expected contract renewal periods. The Company has elected to apply this practical expedient to all contracts except for third-party contracts in its international education division. In the international education division, costs to obtain a contract are amortized over the applicable amortization period except for cases in which commissions paid on initial</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305"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7"/>
          <w:szCs w:val="17"/>
          <w:color w:val="auto"/>
        </w:rPr>
        <w:t>101</w:t>
      </w:r>
    </w:p>
    <w:p>
      <w:pPr>
        <w:sectPr>
          <w:pgSz w:w="12240" w:h="15850" w:orient="portrait"/>
          <w:cols w:equalWidth="0" w:num="1">
            <w:col w:w="9365"/>
          </w:cols>
          <w:pgMar w:left="1440" w:top="1395" w:right="1440" w:bottom="721" w:gutter="0" w:footer="0" w:header="0"/>
          <w:type w:val="continuous"/>
        </w:sectPr>
      </w:pPr>
    </w:p>
    <w:bookmarkStart w:id="117" w:name="page118"/>
    <w:bookmarkEnd w:id="117"/>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contracts and renewals are commensurate. The Company amortizes these costs to obtain a contract on a straight-line basis over the amortization period. These expenses are included as cost of services or products in the Company's Consolidated S taternents of Operations.</w:t>
      </w:r>
    </w:p>
    <w:p>
      <w:pPr>
        <w:spacing w:after="0" w:line="240"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20"/>
          <w:szCs w:val="20"/>
          <w:color w:val="auto"/>
        </w:rPr>
        <w:t xml:space="preserve">Leases. </w:t>
      </w:r>
      <w:r>
        <w:rPr>
          <w:rFonts w:ascii="Times New Roman" w:cs="Times New Roman" w:eastAsia="Times New Roman" w:hAnsi="Times New Roman"/>
          <w:sz w:val="19"/>
          <w:szCs w:val="19"/>
          <w:color w:val="auto"/>
        </w:rPr>
        <w:t>The Company has operating leases for substantially a ll of its educational facilities, corporate offices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and other facilities used in conducting its business, as well as certain equipment. The Company determines if an arrangement is a lease at inception. Operating leases are included in lease ROU assets, current portion of lease liabilities, and lease liabilities on the Company's Consolidated Balance Sheets. ROU assets represent the Company's right to use an underlying asset for the lease term and lease liabilities represent the Company's obligation to make lease payments arising from the lease. Operating lease ROU assets and liabilities are recognized at the lease commencement date based on the prese111t value of lease payments over the lease term. ROU assets also include any initial direct costs, prepaid lease payments and lease incentives received, when applicable. As most of the Company's leases do not provide an implicit rate, the Company used its incremental borrowing rate based on the information available at the lease commencement date in determining the present value of lease payments. The Company used the incremental borrowing rate on December 31, 2018 for operating leases that commenced prior to that date.</w:t>
      </w:r>
    </w:p>
    <w:p>
      <w:pPr>
        <w:spacing w:after="0" w:line="200" w:lineRule="exact"/>
        <w:rPr>
          <w:sz w:val="20"/>
          <w:szCs w:val="20"/>
          <w:color w:val="auto"/>
        </w:rPr>
      </w:pPr>
    </w:p>
    <w:p>
      <w:pPr>
        <w:spacing w:after="0" w:line="294" w:lineRule="exact"/>
        <w:rPr>
          <w:sz w:val="20"/>
          <w:szCs w:val="20"/>
          <w:color w:val="auto"/>
        </w:rPr>
      </w:pPr>
    </w:p>
    <w:p>
      <w:pPr>
        <w:jc w:val="both"/>
        <w:ind w:left="120" w:right="105" w:firstLine="1"/>
        <w:spacing w:after="0" w:line="263" w:lineRule="auto"/>
        <w:rPr>
          <w:sz w:val="20"/>
          <w:szCs w:val="20"/>
          <w:color w:val="auto"/>
        </w:rPr>
      </w:pPr>
      <w:r>
        <w:rPr>
          <w:rFonts w:ascii="Times New Roman" w:cs="Times New Roman" w:eastAsia="Times New Roman" w:hAnsi="Times New Roman"/>
          <w:sz w:val="19"/>
          <w:szCs w:val="19"/>
          <w:color w:val="auto"/>
        </w:rPr>
        <w:t xml:space="preserve">The Company's lease terms may include options to extend or terminate the lease by one to 10 years or more when it is reasonably certain that the option will be exercised. Leases with a term of </w:t>
      </w:r>
      <w:r>
        <w:rPr>
          <w:rFonts w:ascii="Arial" w:cs="Arial" w:eastAsia="Arial" w:hAnsi="Arial"/>
          <w:sz w:val="18"/>
          <w:szCs w:val="18"/>
          <w:color w:val="auto"/>
        </w:rPr>
        <w:t>12</w:t>
      </w:r>
      <w:r>
        <w:rPr>
          <w:rFonts w:ascii="Times New Roman" w:cs="Times New Roman" w:eastAsia="Times New Roman" w:hAnsi="Times New Roman"/>
          <w:sz w:val="19"/>
          <w:szCs w:val="19"/>
          <w:color w:val="auto"/>
        </w:rPr>
        <w:t xml:space="preserve"> months or less are not recorded on the balance sheet; however, lease expense for these leases is recognized on a straight-nine basis. The Company has elected the practical expedient to not separate lease components from nonlease components. As such, lease expense includes these nonlease components, when applicable. Fixed lease expense is recognized on a straight-line basis over the lease term. Variable lease expense is recognized when incurred. T he Company's lease agreements do not contain any significant residual value guarantees or restrictive covenants. In some instances; the Company subleases its leased real estate facilities </w:t>
      </w:r>
      <w:r>
        <w:rPr>
          <w:rFonts w:ascii="Times New Roman" w:cs="Times New Roman" w:eastAsia="Times New Roman" w:hAnsi="Times New Roman"/>
          <w:sz w:val="18"/>
          <w:szCs w:val="18"/>
          <w:color w:val="auto"/>
        </w:rPr>
        <w:t>to</w:t>
      </w:r>
      <w:r>
        <w:rPr>
          <w:rFonts w:ascii="Times New Roman" w:cs="Times New Roman" w:eastAsia="Times New Roman" w:hAnsi="Times New Roman"/>
          <w:sz w:val="19"/>
          <w:szCs w:val="19"/>
          <w:color w:val="auto"/>
        </w:rPr>
        <w:t xml:space="preserve"> third parties. The Company has several restaurant leases with an entity affiliated with some of CRG's senior managers and some automoti ve leases with an entity affiliated with automotive's minority shareholder.</w:t>
      </w:r>
    </w:p>
    <w:p>
      <w:pPr>
        <w:spacing w:after="0" w:line="200" w:lineRule="exact"/>
        <w:rPr>
          <w:sz w:val="20"/>
          <w:szCs w:val="20"/>
          <w:color w:val="auto"/>
        </w:rPr>
      </w:pPr>
    </w:p>
    <w:p>
      <w:pPr>
        <w:spacing w:after="0" w:line="287"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Finance leases are included in property, plant and equipment, net, accounts payable and accrued liabilities and other liabilities on the Company' s Consolidated Balance Sheets. The Company primarily has finance leases for its vehicle fleet at the healthcare subsidiary and service loaner vehicles at the automotive subsidiary. Service loaner vehicles are generally purchased from the lessor within s ix months of contract commencement and upon purchase, the vehicles are placed into used vehicle inventory at cost. As of December 31, 2024 and 2023, the Company had $10.5 million and $10.9 million, respectively, in net, property, plant and equipment and current finance lease liabilities related to service loaner vehicles at the automotive subsidiary.</w:t>
      </w:r>
    </w:p>
    <w:p>
      <w:pPr>
        <w:spacing w:after="0" w:line="246" w:lineRule="exact"/>
        <w:rPr>
          <w:sz w:val="20"/>
          <w:szCs w:val="20"/>
          <w:color w:val="auto"/>
        </w:rPr>
      </w:pPr>
    </w:p>
    <w:p>
      <w:pPr>
        <w:jc w:val="both"/>
        <w:ind w:left="120" w:right="125" w:hanging="8"/>
        <w:spacing w:after="0" w:line="261" w:lineRule="auto"/>
        <w:rPr>
          <w:sz w:val="20"/>
          <w:szCs w:val="20"/>
          <w:color w:val="auto"/>
        </w:rPr>
      </w:pPr>
      <w:r>
        <w:rPr>
          <w:rFonts w:ascii="Times New Roman" w:cs="Times New Roman" w:eastAsia="Times New Roman" w:hAnsi="Times New Roman"/>
          <w:sz w:val="19"/>
          <w:szCs w:val="19"/>
          <w:b w:val="1"/>
          <w:bCs w:val="1"/>
          <w:color w:val="auto"/>
        </w:rPr>
        <w:t>Pensions and Other Postretirement Benefits.</w:t>
      </w:r>
      <w:r>
        <w:rPr>
          <w:sz w:val="20"/>
          <w:szCs w:val="20"/>
          <w:color w:val="auto"/>
        </w:rPr>
        <w:t xml:space="preserve"> </w:t>
      </w:r>
      <w:r>
        <w:rPr>
          <w:rFonts w:ascii="Times New Roman" w:cs="Times New Roman" w:eastAsia="Times New Roman" w:hAnsi="Times New Roman"/>
          <w:sz w:val="19"/>
          <w:szCs w:val="19"/>
          <w:color w:val="auto"/>
        </w:rPr>
        <w:t>The Company maintains various pension and incentive savings plans. Most of the Company' s employees are covered by these plans. The Company also provides healthcare and life insurance benefits to certain retired employees. These employees become eligible for benefits after meeting age and service requirements.</w:t>
      </w:r>
    </w:p>
    <w:p>
      <w:pPr>
        <w:spacing w:after="0" w:line="200" w:lineRule="exact"/>
        <w:rPr>
          <w:sz w:val="20"/>
          <w:szCs w:val="20"/>
          <w:color w:val="auto"/>
        </w:rPr>
      </w:pPr>
    </w:p>
    <w:p>
      <w:pPr>
        <w:spacing w:after="0" w:line="290" w:lineRule="exact"/>
        <w:rPr>
          <w:sz w:val="20"/>
          <w:szCs w:val="20"/>
          <w:color w:val="auto"/>
        </w:rPr>
      </w:pPr>
    </w:p>
    <w:p>
      <w:pPr>
        <w:jc w:val="both"/>
        <w:ind w:left="120" w:right="105" w:hanging="8"/>
        <w:spacing w:after="0" w:line="258" w:lineRule="auto"/>
        <w:rPr>
          <w:sz w:val="20"/>
          <w:szCs w:val="20"/>
          <w:color w:val="auto"/>
        </w:rPr>
      </w:pPr>
      <w:r>
        <w:rPr>
          <w:rFonts w:ascii="Times New Roman" w:cs="Times New Roman" w:eastAsia="Times New Roman" w:hAnsi="Times New Roman"/>
          <w:sz w:val="19"/>
          <w:szCs w:val="19"/>
          <w:color w:val="auto"/>
        </w:rPr>
        <w:t xml:space="preserve">The Company recognizes the overfunded or underfunded status of a defined benefit postretirement plan as an asset or liability in its Consolidated Balance Sheets and recognizes changes in that funded status in the year in which the changes occur through comprehensive income. The Company measures changes in the funded status of its plans using the projected unit credit method and several actuarial assumptions, the most significant of which are the discount rate, the expected return on plan assets and the rate of compensation increase. The Company uses </w:t>
      </w:r>
      <w:r>
        <w:rPr>
          <w:rFonts w:ascii="Times New Roman" w:cs="Times New Roman" w:eastAsia="Times New Roman" w:hAnsi="Times New Roman"/>
          <w:sz w:val="21"/>
          <w:szCs w:val="21"/>
          <w:color w:val="auto"/>
        </w:rPr>
        <w:t>a</w:t>
      </w:r>
      <w:r>
        <w:rPr>
          <w:rFonts w:ascii="Times New Roman" w:cs="Times New Roman" w:eastAsia="Times New Roman" w:hAnsi="Times New Roman"/>
          <w:sz w:val="19"/>
          <w:szCs w:val="19"/>
          <w:color w:val="auto"/>
        </w:rPr>
        <w:t xml:space="preserve"> measurement date of December 31 for its pension and other postretirement benefit plans.</w:t>
      </w:r>
    </w:p>
    <w:p>
      <w:pPr>
        <w:spacing w:after="0" w:line="243" w:lineRule="exact"/>
        <w:rPr>
          <w:sz w:val="20"/>
          <w:szCs w:val="20"/>
          <w:color w:val="auto"/>
        </w:rPr>
      </w:pPr>
    </w:p>
    <w:p>
      <w:pPr>
        <w:jc w:val="both"/>
        <w:ind w:left="120" w:right="125"/>
        <w:spacing w:after="0" w:line="258" w:lineRule="auto"/>
        <w:rPr>
          <w:sz w:val="20"/>
          <w:szCs w:val="20"/>
          <w:color w:val="auto"/>
        </w:rPr>
      </w:pPr>
      <w:r>
        <w:rPr>
          <w:rFonts w:ascii="Times New Roman" w:cs="Times New Roman" w:eastAsia="Times New Roman" w:hAnsi="Times New Roman"/>
          <w:sz w:val="19"/>
          <w:szCs w:val="19"/>
          <w:b w:val="1"/>
          <w:bCs w:val="1"/>
          <w:color w:val="auto"/>
        </w:rPr>
        <w:t>Self-Insurance.</w:t>
      </w:r>
      <w:r>
        <w:rPr>
          <w:sz w:val="20"/>
          <w:szCs w:val="20"/>
          <w:color w:val="auto"/>
        </w:rPr>
        <w:t xml:space="preserve"> </w:t>
      </w:r>
      <w:r>
        <w:rPr>
          <w:rFonts w:ascii="Times New Roman" w:cs="Times New Roman" w:eastAsia="Times New Roman" w:hAnsi="Times New Roman"/>
          <w:sz w:val="19"/>
          <w:szCs w:val="19"/>
          <w:color w:val="auto"/>
        </w:rPr>
        <w:t>The Company uses a combination of insurance and self-inslllrance for a number of risks, including claims related to employee healthcare and dental care, d isability benefits, workers' compensation, general liability, prope1ty damage and business interruption. Liabilities associated with these plans are estimated based on, among other things, the Company's historical claims experience, severity factors and other actuarial</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303"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102</w:t>
        <w:tab/>
        <w:t>2024 FORM 10-K</w:t>
      </w:r>
    </w:p>
    <w:p>
      <w:pPr>
        <w:sectPr>
          <w:pgSz w:w="12240" w:h="15850" w:orient="portrait"/>
          <w:cols w:equalWidth="0" w:num="1">
            <w:col w:w="9365"/>
          </w:cols>
          <w:pgMar w:left="1440" w:top="1394" w:right="1440" w:bottom="721" w:gutter="0" w:footer="0" w:header="0"/>
          <w:type w:val="continuous"/>
        </w:sectPr>
      </w:pPr>
    </w:p>
    <w:bookmarkStart w:id="118" w:name="page119"/>
    <w:bookmarkEnd w:id="118"/>
    <w:p>
      <w:pPr>
        <w:jc w:val="both"/>
        <w:ind w:left="120" w:right="125"/>
        <w:spacing w:after="0" w:line="24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2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assumptions. The expected loss accruals are based on estimates, and, while the Company believes that the amounts accrued are adequate, the ultimate loss may differ from the amounts provided.</w:t>
      </w:r>
    </w:p>
    <w:p>
      <w:pPr>
        <w:spacing w:after="0" w:line="273"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Income Taxes. 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based on the differences between the fi 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w:t>
      </w:r>
    </w:p>
    <w:p>
      <w:pPr>
        <w:spacing w:after="0" w:line="252" w:lineRule="exact"/>
        <w:rPr>
          <w:sz w:val="20"/>
          <w:szCs w:val="20"/>
          <w:color w:val="auto"/>
        </w:rPr>
      </w:pPr>
    </w:p>
    <w:p>
      <w:pPr>
        <w:jc w:val="both"/>
        <w:ind w:left="120" w:right="105"/>
        <w:spacing w:after="0" w:line="264" w:lineRule="auto"/>
        <w:rPr>
          <w:sz w:val="20"/>
          <w:szCs w:val="20"/>
          <w:color w:val="auto"/>
        </w:rPr>
      </w:pPr>
      <w:r>
        <w:rPr>
          <w:rFonts w:ascii="Times New Roman" w:cs="Times New Roman" w:eastAsia="Times New Roman" w:hAnsi="Times New Roman"/>
          <w:sz w:val="19"/>
          <w:szCs w:val="19"/>
          <w:color w:val="auto"/>
        </w:rPr>
        <w:t>The Company records net deferred tax assets to the extent that it believes these assets will more likely than not be realized. In making such determination, the Company considers all available positive and negative evidence, including future reversals of existing taxable temporary differences, projected future taxable income, tax planning strategies and recent financial operations; this evaluation is made on an ongoing basis. In the event the Company were to determine that it was able to realize net deferred income tax assets in the future in excess of their net recorded amount, the Company would record an adjus.tment to the valuation allowance, which would reduce the provision for income taxes.</w:t>
      </w:r>
    </w:p>
    <w:p>
      <w:pPr>
        <w:spacing w:after="0" w:line="200" w:lineRule="exact"/>
        <w:rPr>
          <w:sz w:val="20"/>
          <w:szCs w:val="20"/>
          <w:color w:val="auto"/>
        </w:rPr>
      </w:pPr>
    </w:p>
    <w:p>
      <w:pPr>
        <w:spacing w:after="0" w:line="281"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recognizes a tax benefit from an uncertain tax position when it is more likely than not that the position wi ll be sustained upon examination, including resolutions of any related appeals or litigat ion processes, based on the technical merits. The Company records a liability for the difference between the benefit recognized and measured for financial statement purposes and the tax position taken or expected to be taken on the Company's tax return. Changes in the estimate are recorded in the period in which such determination is made.</w:t>
      </w:r>
    </w:p>
    <w:p>
      <w:pPr>
        <w:spacing w:after="0" w:line="257" w:lineRule="exact"/>
        <w:rPr>
          <w:sz w:val="20"/>
          <w:szCs w:val="20"/>
          <w:color w:val="auto"/>
        </w:rPr>
      </w:pPr>
    </w:p>
    <w:p>
      <w:pPr>
        <w:jc w:val="both"/>
        <w:ind w:left="120" w:right="125" w:firstLine="1"/>
        <w:spacing w:after="0" w:line="260" w:lineRule="auto"/>
        <w:rPr>
          <w:sz w:val="20"/>
          <w:szCs w:val="20"/>
          <w:color w:val="auto"/>
        </w:rPr>
      </w:pPr>
      <w:r>
        <w:rPr>
          <w:rFonts w:ascii="Times New Roman" w:cs="Times New Roman" w:eastAsia="Times New Roman" w:hAnsi="Times New Roman"/>
          <w:sz w:val="19"/>
          <w:szCs w:val="19"/>
          <w:color w:val="auto"/>
        </w:rPr>
        <w:t>F oreign Currency Translation. Income and expense accounts of the Company's non-U.S. operations where the local currency is the functional currency are translated into U.S. dollars using the current rate method, whereby operating results are converted at the average rate of exchange for the period, and assets and liabilities are converted at the closing rates on the period end date. Gains and losses on translation of these accounts are accumulated and reported as a separate component of equity and other comprehensive income. Gains and losses on foreign currency transactions, including foreign currency denominated intercompany loans on entities with a functional currency in U.S. dollars, are recognized in the Consolidated Statements of Operations.</w:t>
      </w:r>
    </w:p>
    <w:p>
      <w:pPr>
        <w:spacing w:after="0" w:line="250" w:lineRule="exact"/>
        <w:rPr>
          <w:sz w:val="20"/>
          <w:szCs w:val="20"/>
          <w:color w:val="auto"/>
        </w:rPr>
      </w:pPr>
    </w:p>
    <w:p>
      <w:pPr>
        <w:jc w:val="both"/>
        <w:ind w:left="120" w:right="125" w:firstLine="1"/>
        <w:spacing w:after="0" w:line="265" w:lineRule="auto"/>
        <w:rPr>
          <w:sz w:val="20"/>
          <w:szCs w:val="20"/>
          <w:color w:val="auto"/>
        </w:rPr>
      </w:pPr>
      <w:r>
        <w:rPr>
          <w:rFonts w:ascii="Times New Roman" w:cs="Times New Roman" w:eastAsia="Times New Roman" w:hAnsi="Times New Roman"/>
          <w:sz w:val="19"/>
          <w:szCs w:val="19"/>
          <w:color w:val="auto"/>
        </w:rPr>
        <w:t>E quity-Based Compensation. The Company measures compensation expense for awards settled in shares based on the grant date fair value of the award. The Company measures compensation expense for awards settled in cash, or that may be settled in cash, based on the fair value a t each reporting date. The Company recognizes the expense over the requisite service period, which is generally the vesting period of the award. Stock award forfeitures are accounted for as they occur.</w:t>
      </w:r>
    </w:p>
    <w:p>
      <w:pPr>
        <w:spacing w:after="0" w:line="234" w:lineRule="exact"/>
        <w:rPr>
          <w:sz w:val="20"/>
          <w:szCs w:val="20"/>
          <w:color w:val="auto"/>
        </w:rPr>
      </w:pPr>
    </w:p>
    <w:p>
      <w:pPr>
        <w:jc w:val="both"/>
        <w:ind w:left="120" w:right="125" w:firstLine="2"/>
        <w:spacing w:after="0" w:line="263" w:lineRule="auto"/>
        <w:rPr>
          <w:sz w:val="20"/>
          <w:szCs w:val="20"/>
          <w:color w:val="auto"/>
        </w:rPr>
      </w:pPr>
      <w:r>
        <w:rPr>
          <w:rFonts w:ascii="Times New Roman" w:cs="Times New Roman" w:eastAsia="Times New Roman" w:hAnsi="Times New Roman"/>
          <w:sz w:val="19"/>
          <w:szCs w:val="19"/>
          <w:color w:val="auto"/>
        </w:rPr>
        <w:t>Earnings Per Share. Basic earnings per share is calculated under the two-class method. The Company treats restricted stock as a participating security due to its nonforfeitable right to dividends. Under the two-class method, the Company allocates to the participating securities their portion of dividends declared and undistributed earnings to the extent the participating securities may share in the earnings as if all earnings for the period had been distributed. Basic earnings per share is calculated by dividing the income available to common stockholders by the weighted average number of common shares. outstanding during the period. Diluted earnings per share is calculated similarly except that the weighted average number of common shares outstanding during the period includes the dilutive effect of the assumed exercise of options and restricted stock issuable under the Company's stock plans. The dilutive effect of potentially dilutive securities is reflected in diluted earnings per share by application of the treasury stock method.</w:t>
      </w:r>
    </w:p>
    <w:p>
      <w:pPr>
        <w:spacing w:after="0" w:line="200" w:lineRule="exact"/>
        <w:rPr>
          <w:sz w:val="20"/>
          <w:szCs w:val="20"/>
          <w:color w:val="auto"/>
        </w:rPr>
      </w:pPr>
    </w:p>
    <w:p>
      <w:pPr>
        <w:spacing w:after="0" w:line="296" w:lineRule="exact"/>
        <w:rPr>
          <w:sz w:val="20"/>
          <w:szCs w:val="20"/>
          <w:color w:val="auto"/>
        </w:rPr>
      </w:pPr>
    </w:p>
    <w:p>
      <w:pPr>
        <w:jc w:val="both"/>
        <w:ind w:left="120" w:right="105" w:hanging="9"/>
        <w:spacing w:after="0" w:line="257" w:lineRule="auto"/>
        <w:rPr>
          <w:sz w:val="20"/>
          <w:szCs w:val="20"/>
          <w:color w:val="auto"/>
        </w:rPr>
      </w:pPr>
      <w:r>
        <w:rPr>
          <w:rFonts w:ascii="Times New Roman" w:cs="Times New Roman" w:eastAsia="Times New Roman" w:hAnsi="Times New Roman"/>
          <w:sz w:val="19"/>
          <w:szCs w:val="19"/>
          <w:color w:val="auto"/>
        </w:rPr>
        <w:t>Mandatorily</w:t>
      </w:r>
      <w:r>
        <w:rPr>
          <w:sz w:val="20"/>
          <w:szCs w:val="20"/>
          <w:color w:val="auto"/>
        </w:rPr>
        <w:t xml:space="preserve"> </w:t>
      </w:r>
      <w:r>
        <w:rPr>
          <w:rFonts w:ascii="Times New Roman" w:cs="Times New Roman" w:eastAsia="Times New Roman" w:hAnsi="Times New Roman"/>
          <w:sz w:val="19"/>
          <w:szCs w:val="19"/>
          <w:color w:val="auto"/>
        </w:rPr>
        <w:t>Redeemable Noncontro lling Inter est. The mandatorily redeemable noncontrolling interest represents the ownership portion of a group of minority shareholders, consisting of a group of senior managers of the healthcare business, in subsidiaries of Graham Healthcare Group (GHG). The Company established GHC</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92"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103</w:t>
      </w:r>
    </w:p>
    <w:p>
      <w:pPr>
        <w:sectPr>
          <w:pgSz w:w="12240" w:h="15850" w:orient="portrait"/>
          <w:cols w:equalWidth="0" w:num="1">
            <w:col w:w="9365"/>
          </w:cols>
          <w:pgMar w:left="1440" w:top="1392" w:right="1440" w:bottom="721" w:gutter="0" w:footer="0" w:header="0"/>
          <w:type w:val="continuous"/>
        </w:sectPr>
      </w:pPr>
    </w:p>
    <w:bookmarkStart w:id="119" w:name="page120"/>
    <w:bookmarkEnd w:id="119"/>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2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One LLC (GHC One) and GHC Two LLC (GHC Two) as vehicles to invest in a portfolio of healthcare businesses together with the group of senior managers of GHG. As the holder of preferred units, the Company is obligated to contribute 95% of the capital required for the acquisition of ponfolio investments with the remaining 5% of the capital corning from the group of senior managers. The operating agreements of GHC One and GHC Two require the dissolution of the entities on March 31, 2026, and March 3 1, 2029, respectively, at which time the net assets wi ll be distributed to its members. As a preferred unit holder, the Company will receive an amount up to its contributed capital plus a preferred annual return of 8% (guaranteed return) after the group of senior managers has received the redemption of their 5% interest in net assets (manager return). All distributions in excess of the manager and guaranteed return will be paid to common unit holders, which currently comprise the group of senior managers of GHG. The Company may convert its preferred units to common units at any time after which it will receive 80% of all distributions in excess of the manager return, with the remaining 20% of excess distributions going to the group of senior managers as holders of the other common units. The mandatorily redeemable noncontrolling interest is reported as a noncurrent liability at December 31, 2024 and 2023 in the Consolidated Balance Sheets. The Company presents this liability at fair value, which is computed quarterly at the current redemption value. Changes in the redemption value are recorded as interest expense or income in the Company's Consolidated Statement of Operations.</w:t>
      </w:r>
    </w:p>
    <w:p>
      <w:pPr>
        <w:spacing w:after="0" w:line="200" w:lineRule="exact"/>
        <w:rPr>
          <w:sz w:val="20"/>
          <w:szCs w:val="20"/>
          <w:color w:val="auto"/>
        </w:rPr>
      </w:pPr>
    </w:p>
    <w:p>
      <w:pPr>
        <w:spacing w:after="0" w:line="247" w:lineRule="exact"/>
        <w:rPr>
          <w:sz w:val="20"/>
          <w:szCs w:val="20"/>
          <w:color w:val="auto"/>
        </w:rPr>
      </w:pPr>
    </w:p>
    <w:p>
      <w:pPr>
        <w:jc w:val="both"/>
        <w:ind w:left="120" w:right="125" w:hanging="9"/>
        <w:spacing w:after="0" w:line="263" w:lineRule="auto"/>
        <w:rPr>
          <w:sz w:val="20"/>
          <w:szCs w:val="20"/>
          <w:color w:val="auto"/>
        </w:rPr>
      </w:pPr>
      <w:r>
        <w:rPr>
          <w:rFonts w:ascii="Times New Roman" w:cs="Times New Roman" w:eastAsia="Times New Roman" w:hAnsi="Times New Roman"/>
          <w:sz w:val="19"/>
          <w:szCs w:val="19"/>
          <w:color w:val="auto"/>
        </w:rPr>
        <w:t>Redeemable</w:t>
      </w:r>
      <w:r>
        <w:rPr>
          <w:sz w:val="20"/>
          <w:szCs w:val="20"/>
          <w:color w:val="auto"/>
        </w:rPr>
        <w:t xml:space="preserve"> </w:t>
      </w:r>
      <w:r>
        <w:rPr>
          <w:rFonts w:ascii="Times New Roman" w:cs="Times New Roman" w:eastAsia="Times New Roman" w:hAnsi="Times New Roman"/>
          <w:sz w:val="19"/>
          <w:szCs w:val="19"/>
          <w:color w:val="auto"/>
        </w:rPr>
        <w:t>Noncontrolling Inter est. The Company's redeemable noncontrolling interest represents the noncontrolling interest in CSI, which is 87.5% owned; Framebridge, which is 93.4% owned; Impact Medical, which is 50.1 % owned; and Skin Clique, which is 5 l % owned.</w:t>
      </w:r>
    </w:p>
    <w:p>
      <w:pPr>
        <w:spacing w:after="0" w:line="216" w:lineRule="exact"/>
        <w:rPr>
          <w:sz w:val="20"/>
          <w:szCs w:val="20"/>
          <w:color w:val="auto"/>
        </w:rPr>
      </w:pPr>
    </w:p>
    <w:p>
      <w:pPr>
        <w:jc w:val="both"/>
        <w:ind w:left="120" w:right="105"/>
        <w:spacing w:after="0" w:line="262" w:lineRule="auto"/>
        <w:rPr>
          <w:sz w:val="20"/>
          <w:szCs w:val="20"/>
          <w:color w:val="auto"/>
        </w:rPr>
      </w:pPr>
      <w:r>
        <w:rPr>
          <w:rFonts w:ascii="Times New Roman" w:cs="Times New Roman" w:eastAsia="Times New Roman" w:hAnsi="Times New Roman"/>
          <w:sz w:val="19"/>
          <w:szCs w:val="19"/>
          <w:color w:val="auto"/>
        </w:rPr>
        <w:t>CSf's minority shareholders may put up to 50% of their shares to the Company. The first put period began in 2022. A second put period for another tranche of shares began in 2024. ln December 2024, the Company acquired some of the minority-owned shares of CSI for a total estimated amount of $2.0 million. Prior to the redemption, the Company owned 86.7% of CSL [n Decemher 2023, the Company acquired some of the minority-owned shares of CSI for a total amount of $20.0 million. Prior to the redemption, the Company owned 76.5% of CST. In November 2022, a CST minority shareholder put some s hares to the Company, which had a redemption value of $1.2 million. Prior to the redemption, the Company owned 75% of CSI. The minority shareholder of Framebridge has an option to put 20% of the shares to the Company annually starting in 2024. The minority shareholder of Impact Medical has an option to put 10% of the shares to the Company ann ually starting in 2026 and may put all of the shares starting in 2033. The minority shareholders of Skin C lique have the option to put all or a portion of their shares to the Company starting in 2029 and ending in 2032. The Company presents the redeemable noncontrolling interests at the greater of its carrying amount or redemption value at the end of each reporting period in the Consolidated Balance Sheets. Changes in the redemption value are recorded as capital in excess of par value in the Company's Consolidated Balance Sheets.</w:t>
      </w:r>
    </w:p>
    <w:p>
      <w:pPr>
        <w:spacing w:after="0" w:line="200" w:lineRule="exact"/>
        <w:rPr>
          <w:sz w:val="20"/>
          <w:szCs w:val="20"/>
          <w:color w:val="auto"/>
        </w:rPr>
      </w:pPr>
    </w:p>
    <w:p>
      <w:pPr>
        <w:spacing w:after="0" w:line="247" w:lineRule="exact"/>
        <w:rPr>
          <w:sz w:val="20"/>
          <w:szCs w:val="20"/>
          <w:color w:val="auto"/>
        </w:rPr>
      </w:pPr>
    </w:p>
    <w:p>
      <w:pPr>
        <w:jc w:val="both"/>
        <w:ind w:left="120" w:right="125"/>
        <w:spacing w:after="0" w:line="264" w:lineRule="auto"/>
        <w:rPr>
          <w:sz w:val="20"/>
          <w:szCs w:val="20"/>
          <w:color w:val="auto"/>
        </w:rPr>
      </w:pPr>
      <w:r>
        <w:rPr>
          <w:rFonts w:ascii="Times New Roman" w:cs="Times New Roman" w:eastAsia="Times New Roman" w:hAnsi="Times New Roman"/>
          <w:sz w:val="19"/>
          <w:szCs w:val="19"/>
          <w:color w:val="auto"/>
        </w:rPr>
        <w:t>Comprehensive Income. Comprehensive income consists of net income, foreign currency translation adjustments, net changes in cash flow hedges, and pension and other postretirement plan adjustments.</w:t>
      </w:r>
    </w:p>
    <w:p>
      <w:pPr>
        <w:spacing w:after="0" w:line="197" w:lineRule="exact"/>
        <w:rPr>
          <w:sz w:val="20"/>
          <w:szCs w:val="20"/>
          <w:color w:val="auto"/>
        </w:rPr>
      </w:pPr>
    </w:p>
    <w:p>
      <w:pPr>
        <w:jc w:val="both"/>
        <w:ind w:left="120" w:right="125" w:firstLine="3"/>
        <w:spacing w:after="0" w:line="265" w:lineRule="auto"/>
        <w:rPr>
          <w:sz w:val="20"/>
          <w:szCs w:val="20"/>
          <w:color w:val="auto"/>
        </w:rPr>
      </w:pPr>
      <w:r>
        <w:rPr>
          <w:rFonts w:ascii="Times New Roman" w:cs="Times New Roman" w:eastAsia="Times New Roman" w:hAnsi="Times New Roman"/>
          <w:sz w:val="19"/>
          <w:szCs w:val="19"/>
          <w:color w:val="auto"/>
        </w:rPr>
        <w:t>Recently Adopted and Issued Accounting Pronouncements. In November 2023, the Financial Accounting Standards Board (FASB) issued new guidance that requires enhanced disclosures related to reportable segments that includes, among other disclosures, identifying significant segment expenses on an annual and interim basis. The standard was adopted by the Company in the fourth quarter of 2024 and was applied retrospectively to all prior periods presented in the Consolidated Financial Statements.</w:t>
      </w:r>
    </w:p>
    <w:p>
      <w:pPr>
        <w:spacing w:after="0" w:line="196" w:lineRule="exact"/>
        <w:rPr>
          <w:sz w:val="20"/>
          <w:szCs w:val="20"/>
          <w:color w:val="auto"/>
        </w:rPr>
      </w:pPr>
    </w:p>
    <w:p>
      <w:pPr>
        <w:jc w:val="both"/>
        <w:ind w:left="120" w:right="125" w:firstLine="8"/>
        <w:spacing w:after="0" w:line="265" w:lineRule="auto"/>
        <w:rPr>
          <w:sz w:val="20"/>
          <w:szCs w:val="20"/>
          <w:color w:val="auto"/>
        </w:rPr>
      </w:pPr>
      <w:r>
        <w:rPr>
          <w:rFonts w:ascii="Times New Roman" w:cs="Times New Roman" w:eastAsia="Times New Roman" w:hAnsi="Times New Roman"/>
          <w:sz w:val="19"/>
          <w:szCs w:val="19"/>
          <w:color w:val="auto"/>
        </w:rPr>
        <w:t>In December 2023, the FASB issued new guidance that requires enhanced income tax disclosures related to the rate reconciliation, information on income taxes paid and other items. The guidance is effective for annual periods beginning after December I 5, 2024. Early adoption is permitted. The standard permits both prospective and re trospective application. The Company is in the process of evaluating the impact of this new guidance on the disclosures within its Consolidated Financial Statements.</w:t>
      </w:r>
    </w:p>
    <w:p>
      <w:pPr>
        <w:spacing w:after="0" w:line="196" w:lineRule="exact"/>
        <w:rPr>
          <w:sz w:val="20"/>
          <w:szCs w:val="20"/>
          <w:color w:val="auto"/>
        </w:rPr>
      </w:pPr>
    </w:p>
    <w:p>
      <w:pPr>
        <w:jc w:val="both"/>
        <w:ind w:left="120" w:right="125" w:firstLine="10"/>
        <w:spacing w:after="0" w:line="253" w:lineRule="auto"/>
        <w:rPr>
          <w:sz w:val="20"/>
          <w:szCs w:val="20"/>
          <w:color w:val="auto"/>
        </w:rPr>
      </w:pPr>
      <w:r>
        <w:rPr>
          <w:rFonts w:ascii="Times New Roman" w:cs="Times New Roman" w:eastAsia="Times New Roman" w:hAnsi="Times New Roman"/>
          <w:sz w:val="19"/>
          <w:szCs w:val="19"/>
          <w:color w:val="auto"/>
        </w:rPr>
        <w:t>In November 2024, the FASB issued new guidance that requires disclosures about certain significant expense categories including inventory purchases, employee compensation, depreciation, a mortization, and selling</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305"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104</w:t>
        <w:tab/>
        <w:t>2024 FORM 10-K</w:t>
      </w:r>
    </w:p>
    <w:p>
      <w:pPr>
        <w:sectPr>
          <w:pgSz w:w="12240" w:h="15850" w:orient="portrait"/>
          <w:cols w:equalWidth="0" w:num="1">
            <w:col w:w="9365"/>
          </w:cols>
          <w:pgMar w:left="1440" w:top="1392" w:right="1440" w:bottom="721" w:gutter="0" w:footer="0" w:header="0"/>
          <w:type w:val="continuous"/>
        </w:sectPr>
      </w:pPr>
    </w:p>
    <w:bookmarkStart w:id="120" w:name="page121"/>
    <w:bookmarkEnd w:id="120"/>
    <w:p>
      <w:pPr>
        <w:jc w:val="both"/>
        <w:ind w:left="120" w:right="125" w:firstLine="1"/>
        <w:spacing w:after="0" w:line="25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expenses. The guidance is effective for fiscal years beginning after December 15, 2026, and interim periods withirn fiscal years beginning after December 15, 2027. Early adoption is permitted. The Company is in the process of evaluating the impact of U1is new guidance on the disclosures wiLhin its Consolidated Financial Statements.</w:t>
      </w:r>
    </w:p>
    <w:p>
      <w:pPr>
        <w:spacing w:after="0" w:line="200" w:lineRule="exact"/>
        <w:rPr>
          <w:sz w:val="20"/>
          <w:szCs w:val="20"/>
          <w:color w:val="auto"/>
        </w:rPr>
      </w:pPr>
    </w:p>
    <w:p>
      <w:pPr>
        <w:spacing w:after="0" w:line="266" w:lineRule="exact"/>
        <w:rPr>
          <w:sz w:val="20"/>
          <w:szCs w:val="20"/>
          <w:color w:val="auto"/>
        </w:rPr>
      </w:pPr>
    </w:p>
    <w:p>
      <w:pPr>
        <w:jc w:val="both"/>
        <w:ind w:left="120" w:right="125" w:hanging="10"/>
        <w:spacing w:after="0" w:line="247" w:lineRule="auto"/>
        <w:rPr>
          <w:sz w:val="20"/>
          <w:szCs w:val="20"/>
          <w:color w:val="auto"/>
        </w:rPr>
      </w:pPr>
      <w:r>
        <w:rPr>
          <w:rFonts w:ascii="Times New Roman" w:cs="Times New Roman" w:eastAsia="Times New Roman" w:hAnsi="Times New Roman"/>
          <w:sz w:val="19"/>
          <w:szCs w:val="19"/>
          <w:color w:val="auto"/>
        </w:rPr>
        <w:t>Other new accounting pronouncements issued but not effective until after December 31, 2024, are not expected to have a material impact on the Company's Consolidated Financial Statements.</w:t>
      </w:r>
    </w:p>
    <w:p>
      <w:pPr>
        <w:spacing w:after="0" w:line="338" w:lineRule="exact"/>
        <w:rPr>
          <w:sz w:val="20"/>
          <w:szCs w:val="20"/>
          <w:color w:val="auto"/>
        </w:rPr>
      </w:pPr>
    </w:p>
    <w:p>
      <w:pPr>
        <w:ind w:left="120"/>
        <w:spacing w:after="0"/>
        <w:tabs>
          <w:tab w:leader="none" w:pos="440" w:val="left"/>
        </w:tabs>
        <w:rPr>
          <w:sz w:val="20"/>
          <w:szCs w:val="20"/>
          <w:color w:val="auto"/>
        </w:rPr>
      </w:pPr>
      <w:r>
        <w:rPr>
          <w:rFonts w:ascii="Times New Roman" w:cs="Times New Roman" w:eastAsia="Times New Roman" w:hAnsi="Times New Roman"/>
          <w:sz w:val="20"/>
          <w:szCs w:val="20"/>
          <w:b w:val="1"/>
          <w:bCs w:val="1"/>
          <w:color w:val="auto"/>
        </w:rPr>
        <w:t>3.</w:t>
        <w:tab/>
        <w:t>ACQUISITIONS AND DISPOSITIONS OF BUSINESSES</w:t>
      </w:r>
    </w:p>
    <w:p>
      <w:pPr>
        <w:spacing w:after="0" w:line="130" w:lineRule="exact"/>
        <w:rPr>
          <w:sz w:val="20"/>
          <w:szCs w:val="20"/>
          <w:color w:val="auto"/>
        </w:rPr>
      </w:pPr>
    </w:p>
    <w:p>
      <w:pPr>
        <w:jc w:val="both"/>
        <w:ind w:left="120" w:right="125" w:firstLine="1"/>
        <w:spacing w:after="0" w:line="278" w:lineRule="auto"/>
        <w:rPr>
          <w:sz w:val="20"/>
          <w:szCs w:val="20"/>
          <w:color w:val="auto"/>
        </w:rPr>
      </w:pPr>
      <w:r>
        <w:rPr>
          <w:rFonts w:ascii="Times New Roman" w:cs="Times New Roman" w:eastAsia="Times New Roman" w:hAnsi="Times New Roman"/>
          <w:sz w:val="19"/>
          <w:szCs w:val="19"/>
          <w:b w:val="1"/>
          <w:bCs w:val="1"/>
          <w:color w:val="auto"/>
        </w:rPr>
        <w:t xml:space="preserve">Acquisitions. </w:t>
      </w:r>
      <w:r>
        <w:rPr>
          <w:rFonts w:ascii="Times New Roman" w:cs="Times New Roman" w:eastAsia="Times New Roman" w:hAnsi="Times New Roman"/>
          <w:sz w:val="18"/>
          <w:szCs w:val="18"/>
          <w:color w:val="auto"/>
        </w:rPr>
        <w:t>During 2024, the Company acquired two small businesses. The assets and liabilities of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8"/>
          <w:szCs w:val="18"/>
          <w:color w:val="auto"/>
        </w:rPr>
        <w:t>companies acquired were recorded at their estimated fair values at the date of acquisition.</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January 2024, the Company acquired one small business which is included in other businesses.</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May 2024, Kaplan acquired one small business which is included in its international division.</w:t>
      </w:r>
    </w:p>
    <w:p>
      <w:pPr>
        <w:spacing w:after="0" w:line="253" w:lineRule="exact"/>
        <w:rPr>
          <w:sz w:val="20"/>
          <w:szCs w:val="20"/>
          <w:color w:val="auto"/>
        </w:rPr>
      </w:pPr>
    </w:p>
    <w:p>
      <w:pPr>
        <w:jc w:val="both"/>
        <w:ind w:left="120" w:right="105" w:firstLine="1"/>
        <w:spacing w:after="0" w:line="263" w:lineRule="auto"/>
        <w:rPr>
          <w:sz w:val="20"/>
          <w:szCs w:val="20"/>
          <w:color w:val="auto"/>
        </w:rPr>
      </w:pPr>
      <w:r>
        <w:rPr>
          <w:rFonts w:ascii="Times New Roman" w:cs="Times New Roman" w:eastAsia="Times New Roman" w:hAnsi="Times New Roman"/>
          <w:sz w:val="19"/>
          <w:szCs w:val="19"/>
          <w:color w:val="auto"/>
        </w:rPr>
        <w:t>During 2023, the Company acquired five businesses: three in healthcare, one in automotive, and one in other businesses for $83.3 mill ion in cash and contingent consideration and the assumption of floor plan payables. The assets and Liabilities of the companies acquired were recorded at their estimated fair values at the date of acquisition.</w:t>
      </w: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January 2023, GHG acquired two small businesses which are included in healthcare.</w:t>
      </w:r>
    </w:p>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July 2023, the Company acquired one small business which is included in other businesses.</w:t>
      </w:r>
    </w:p>
    <w:p>
      <w:pPr>
        <w:spacing w:after="0" w:line="262" w:lineRule="exact"/>
        <w:rPr>
          <w:sz w:val="20"/>
          <w:szCs w:val="20"/>
          <w:color w:val="auto"/>
        </w:rPr>
      </w:pPr>
    </w:p>
    <w:p>
      <w:pPr>
        <w:jc w:val="both"/>
        <w:ind w:left="120" w:right="125" w:firstLine="10"/>
        <w:spacing w:after="0" w:line="259" w:lineRule="auto"/>
        <w:rPr>
          <w:sz w:val="20"/>
          <w:szCs w:val="20"/>
          <w:color w:val="auto"/>
        </w:rPr>
      </w:pPr>
      <w:r>
        <w:rPr>
          <w:rFonts w:ascii="Times New Roman" w:cs="Times New Roman" w:eastAsia="Times New Roman" w:hAnsi="Times New Roman"/>
          <w:sz w:val="19"/>
          <w:szCs w:val="19"/>
          <w:color w:val="auto"/>
        </w:rPr>
        <w:t xml:space="preserve">ln September 2023, the Company's automotive subsidiary acquired a Toyota automotive dealership, including the real property for the dealership operations. In addition to a cash payment and the assumption of $2.2 million in floor plan payables, the automotive subsidiary borrowed $37.0 million to finance the acquisition. The dealership is operated and managed by an entity affiliated wilth Christopher </w:t>
      </w:r>
      <w:r>
        <w:rPr>
          <w:rFonts w:ascii="Arial" w:cs="Arial" w:eastAsia="Arial" w:hAnsi="Arial"/>
          <w:sz w:val="18"/>
          <w:szCs w:val="18"/>
          <w:color w:val="auto"/>
        </w:rPr>
        <w:t>J.</w:t>
      </w:r>
      <w:r>
        <w:rPr>
          <w:rFonts w:ascii="Times New Roman" w:cs="Times New Roman" w:eastAsia="Times New Roman" w:hAnsi="Times New Roman"/>
          <w:sz w:val="19"/>
          <w:szCs w:val="19"/>
          <w:color w:val="auto"/>
        </w:rPr>
        <w:t xml:space="preserve"> Ourisman, a member of the Ourisman Automotive Group family of dealerships. This acquisition expands the Company's automotive business operations and is included in automotive.</w:t>
      </w:r>
    </w:p>
    <w:p>
      <w:pPr>
        <w:spacing w:after="0" w:line="200" w:lineRule="exact"/>
        <w:rPr>
          <w:sz w:val="20"/>
          <w:szCs w:val="20"/>
          <w:color w:val="auto"/>
        </w:rPr>
      </w:pPr>
    </w:p>
    <w:p>
      <w:pPr>
        <w:spacing w:after="0" w:line="26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December 2023, GHG acquired one small business which is included in healthcare.</w:t>
      </w:r>
    </w:p>
    <w:p>
      <w:pPr>
        <w:spacing w:after="0" w:line="262" w:lineRule="exact"/>
        <w:rPr>
          <w:sz w:val="20"/>
          <w:szCs w:val="20"/>
          <w:color w:val="auto"/>
        </w:rPr>
      </w:pPr>
    </w:p>
    <w:p>
      <w:pPr>
        <w:jc w:val="both"/>
        <w:ind w:left="120" w:right="125" w:firstLine="12"/>
        <w:spacing w:after="0" w:line="254" w:lineRule="auto"/>
        <w:rPr>
          <w:sz w:val="20"/>
          <w:szCs w:val="20"/>
          <w:color w:val="auto"/>
        </w:rPr>
      </w:pPr>
      <w:r>
        <w:rPr>
          <w:rFonts w:ascii="Times New Roman" w:cs="Times New Roman" w:eastAsia="Times New Roman" w:hAnsi="Times New Roman"/>
          <w:sz w:val="19"/>
          <w:szCs w:val="19"/>
          <w:color w:val="auto"/>
        </w:rPr>
        <w:t>During 2022, the Company acquired seven businesses: five in healthcare and two in automotive, for $143.2 million in cash and contingent consideration and the assumption of floor plan payables. The assets and liabilities of the companies acquired were recorded at their estimated fair values at the date of acquisition.</w:t>
      </w:r>
    </w:p>
    <w:p>
      <w:pPr>
        <w:spacing w:after="0" w:line="2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May 2022, GHG acquired two small businesses which are included in healthcare.</w:t>
      </w:r>
    </w:p>
    <w:p>
      <w:pPr>
        <w:spacing w:after="0" w:line="262"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On JLLiy 5, 2022, the Company's automotive subsidiary acquired two automotive dealerships, including the real property for the dealership operations. Tn addition to a cash payment and the assumption of $10.9 million in floor plan payables, the automotive subsidiary borrowed $77.4 million to finance the acquisition. The dealerships are operated and managed by an entity affiliated with Christopher J. Ourisman, a member of the Ourisman Automotive Group family of dealerships. These acquisitions expand the Company's automotive business operations and are included in automotive.</w:t>
      </w:r>
    </w:p>
    <w:p>
      <w:pPr>
        <w:spacing w:after="0" w:line="234" w:lineRule="exact"/>
        <w:rPr>
          <w:sz w:val="20"/>
          <w:szCs w:val="20"/>
          <w:color w:val="auto"/>
        </w:rPr>
      </w:pPr>
    </w:p>
    <w:p>
      <w:pPr>
        <w:jc w:val="both"/>
        <w:ind w:left="120" w:right="105" w:firstLine="10"/>
        <w:spacing w:after="0" w:line="259" w:lineRule="auto"/>
        <w:rPr>
          <w:sz w:val="20"/>
          <w:szCs w:val="20"/>
          <w:color w:val="auto"/>
        </w:rPr>
      </w:pPr>
      <w:r>
        <w:rPr>
          <w:rFonts w:ascii="Times New Roman" w:cs="Times New Roman" w:eastAsia="Times New Roman" w:hAnsi="Times New Roman"/>
          <w:sz w:val="19"/>
          <w:szCs w:val="19"/>
          <w:color w:val="auto"/>
        </w:rPr>
        <w:t>ln July 2022, GHG acquired a 100% interest in a multi-state provider of Applied Behavior Analysis (ABA) clinics, now known as Surpass Behavioral Health. The acquisition is expected to expand the product offerings of the healthcare division and is included in healthcare.</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 August 2022, GHG acquired two small businesses which are included in healthcare.</w:t>
      </w:r>
    </w:p>
    <w:p>
      <w:pPr>
        <w:sectPr>
          <w:pgSz w:w="12240" w:h="15850" w:orient="portrait"/>
          <w:cols w:equalWidth="0" w:num="1">
            <w:col w:w="9365"/>
          </w:cols>
          <w:pgMar w:left="1440" w:top="1398" w:right="1440" w:bottom="721" w:gutter="0" w:footer="0" w:header="0"/>
        </w:sectPr>
      </w:pPr>
    </w:p>
    <w:p>
      <w:pPr>
        <w:spacing w:after="0" w:line="200" w:lineRule="exact"/>
        <w:rPr>
          <w:sz w:val="20"/>
          <w:szCs w:val="20"/>
          <w:color w:val="auto"/>
        </w:rPr>
      </w:pPr>
    </w:p>
    <w:p>
      <w:pPr>
        <w:spacing w:after="0" w:line="326"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105</w:t>
      </w:r>
    </w:p>
    <w:p>
      <w:pPr>
        <w:sectPr>
          <w:pgSz w:w="12240" w:h="15850" w:orient="portrait"/>
          <w:cols w:equalWidth="0" w:num="1">
            <w:col w:w="9365"/>
          </w:cols>
          <w:pgMar w:left="1440" w:top="1398" w:right="1440" w:bottom="721" w:gutter="0" w:footer="0" w:header="0"/>
          <w:type w:val="continuous"/>
        </w:sectPr>
      </w:pPr>
    </w:p>
    <w:bookmarkStart w:id="121" w:name="page122"/>
    <w:bookmarkEnd w:id="121"/>
    <w:p>
      <w:pPr>
        <w:jc w:val="both"/>
        <w:ind w:left="120" w:right="125" w:firstLine="2"/>
        <w:spacing w:after="0" w:line="25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2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Acquisition-related costs for acquisitions that closed during 2023 and 2022 were $ 1.2 million and $ 1.7 million, respectively, a nd were expensed as incurred. The aggregate purchase price of these acquisitions was allocated as follows, based on acquisition date fair values to the following assets and liabilities:</w:t>
      </w:r>
    </w:p>
    <w:p>
      <w:pPr>
        <w:spacing w:after="0" w:line="187"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11"/>
          </w:tcPr>
          <w:p>
            <w:pPr>
              <w:spacing w:after="0"/>
              <w:rPr>
                <w:sz w:val="20"/>
                <w:szCs w:val="20"/>
                <w:color w:val="auto"/>
              </w:rPr>
            </w:pPr>
            <w:r>
              <w:rPr>
                <w:rFonts w:ascii="Times New Roman" w:cs="Times New Roman" w:eastAsia="Times New Roman" w:hAnsi="Times New Roman"/>
                <w:sz w:val="16"/>
                <w:szCs w:val="16"/>
                <w:color w:val="auto"/>
              </w:rPr>
              <w:t>Purchase Price Allocation</w:t>
            </w:r>
          </w:p>
        </w:tc>
      </w:tr>
      <w:tr>
        <w:trPr>
          <w:trHeight w:val="42"/>
        </w:trPr>
        <w:tc>
          <w:tcPr>
            <w:tcW w:w="4820" w:type="dxa"/>
            <w:vAlign w:val="bottom"/>
          </w:tcPr>
          <w:p>
            <w:pPr>
              <w:spacing w:after="0"/>
              <w:rPr>
                <w:sz w:val="3"/>
                <w:szCs w:val="3"/>
                <w:color w:val="auto"/>
              </w:rPr>
            </w:pPr>
          </w:p>
        </w:tc>
        <w:tc>
          <w:tcPr>
            <w:tcW w:w="60" w:type="dxa"/>
            <w:vAlign w:val="bottom"/>
            <w:tcBorders>
              <w:bottom w:val="single" w:sz="8" w:color="181414"/>
            </w:tcBorders>
          </w:tcPr>
          <w:p>
            <w:pPr>
              <w:spacing w:after="0"/>
              <w:rPr>
                <w:sz w:val="3"/>
                <w:szCs w:val="3"/>
                <w:color w:val="auto"/>
              </w:rPr>
            </w:pPr>
          </w:p>
        </w:tc>
        <w:tc>
          <w:tcPr>
            <w:tcW w:w="20" w:type="dxa"/>
            <w:vAlign w:val="bottom"/>
            <w:tcBorders>
              <w:bottom w:val="single" w:sz="8" w:color="181414"/>
            </w:tcBorders>
          </w:tcPr>
          <w:p>
            <w:pPr>
              <w:spacing w:after="0"/>
              <w:rPr>
                <w:sz w:val="3"/>
                <w:szCs w:val="3"/>
                <w:color w:val="auto"/>
              </w:rPr>
            </w:pPr>
          </w:p>
        </w:tc>
        <w:tc>
          <w:tcPr>
            <w:tcW w:w="660" w:type="dxa"/>
            <w:vAlign w:val="bottom"/>
            <w:tcBorders>
              <w:bottom w:val="single" w:sz="8" w:color="181414"/>
            </w:tcBorders>
            <w:gridSpan w:val="3"/>
          </w:tcPr>
          <w:p>
            <w:pPr>
              <w:spacing w:after="0"/>
              <w:rPr>
                <w:sz w:val="3"/>
                <w:szCs w:val="3"/>
                <w:color w:val="auto"/>
              </w:rPr>
            </w:pPr>
          </w:p>
        </w:tc>
        <w:tc>
          <w:tcPr>
            <w:tcW w:w="80" w:type="dxa"/>
            <w:vAlign w:val="bottom"/>
            <w:tcBorders>
              <w:bottom w:val="single" w:sz="8" w:color="181414"/>
            </w:tcBorders>
          </w:tcPr>
          <w:p>
            <w:pPr>
              <w:spacing w:after="0"/>
              <w:rPr>
                <w:sz w:val="3"/>
                <w:szCs w:val="3"/>
                <w:color w:val="auto"/>
              </w:rPr>
            </w:pPr>
          </w:p>
        </w:tc>
        <w:tc>
          <w:tcPr>
            <w:tcW w:w="280" w:type="dxa"/>
            <w:vAlign w:val="bottom"/>
            <w:tcBorders>
              <w:bottom w:val="single" w:sz="8" w:color="181414"/>
            </w:tcBorders>
          </w:tcPr>
          <w:p>
            <w:pPr>
              <w:spacing w:after="0"/>
              <w:rPr>
                <w:sz w:val="3"/>
                <w:szCs w:val="3"/>
                <w:color w:val="auto"/>
              </w:rPr>
            </w:pPr>
          </w:p>
        </w:tc>
        <w:tc>
          <w:tcPr>
            <w:tcW w:w="20" w:type="dxa"/>
            <w:vAlign w:val="bottom"/>
            <w:tcBorders>
              <w:bottom w:val="single" w:sz="8" w:color="181414"/>
            </w:tcBorders>
          </w:tcPr>
          <w:p>
            <w:pPr>
              <w:spacing w:after="0"/>
              <w:rPr>
                <w:sz w:val="3"/>
                <w:szCs w:val="3"/>
                <w:color w:val="auto"/>
              </w:rPr>
            </w:pPr>
          </w:p>
        </w:tc>
        <w:tc>
          <w:tcPr>
            <w:tcW w:w="760" w:type="dxa"/>
            <w:vAlign w:val="bottom"/>
            <w:tcBorders>
              <w:bottom w:val="single" w:sz="8" w:color="181414"/>
            </w:tcBorders>
            <w:gridSpan w:val="2"/>
          </w:tcPr>
          <w:p>
            <w:pPr>
              <w:spacing w:after="0"/>
              <w:rPr>
                <w:sz w:val="3"/>
                <w:szCs w:val="3"/>
                <w:color w:val="auto"/>
              </w:rPr>
            </w:pPr>
          </w:p>
        </w:tc>
        <w:tc>
          <w:tcPr>
            <w:tcW w:w="20" w:type="dxa"/>
            <w:vAlign w:val="bottom"/>
            <w:tcBorders>
              <w:bottom w:val="single" w:sz="8" w:color="181414"/>
            </w:tcBorders>
          </w:tcPr>
          <w:p>
            <w:pPr>
              <w:spacing w:after="0"/>
              <w:rPr>
                <w:sz w:val="3"/>
                <w:szCs w:val="3"/>
                <w:color w:val="auto"/>
              </w:rPr>
            </w:pPr>
          </w:p>
        </w:tc>
        <w:tc>
          <w:tcPr>
            <w:tcW w:w="40" w:type="dxa"/>
            <w:vAlign w:val="bottom"/>
          </w:tcPr>
          <w:p>
            <w:pPr>
              <w:spacing w:after="0"/>
              <w:rPr>
                <w:sz w:val="3"/>
                <w:szCs w:val="3"/>
                <w:color w:val="auto"/>
              </w:rPr>
            </w:pPr>
          </w:p>
        </w:tc>
      </w:tr>
      <w:tr>
        <w:trPr>
          <w:trHeight w:val="185"/>
        </w:trPr>
        <w:tc>
          <w:tcPr>
            <w:tcW w:w="4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80" w:type="dxa"/>
            <w:vAlign w:val="bottom"/>
            <w:gridSpan w:val="11"/>
          </w:tcPr>
          <w:p>
            <w:pPr>
              <w:ind w:left="20"/>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33"/>
        </w:trPr>
        <w:tc>
          <w:tcPr>
            <w:tcW w:w="4820" w:type="dxa"/>
            <w:vAlign w:val="bottom"/>
          </w:tcPr>
          <w:p>
            <w:pPr>
              <w:spacing w:after="0"/>
              <w:rPr>
                <w:sz w:val="2"/>
                <w:szCs w:val="2"/>
                <w:color w:val="auto"/>
              </w:rPr>
            </w:pPr>
          </w:p>
        </w:tc>
        <w:tc>
          <w:tcPr>
            <w:tcW w:w="6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20" w:type="dxa"/>
            <w:vAlign w:val="bottom"/>
            <w:tcBorders>
              <w:bottom w:val="single" w:sz="8" w:color="181414"/>
            </w:tcBorders>
          </w:tcPr>
          <w:p>
            <w:pPr>
              <w:spacing w:after="0"/>
              <w:rPr>
                <w:sz w:val="2"/>
                <w:szCs w:val="2"/>
                <w:color w:val="auto"/>
              </w:rPr>
            </w:pPr>
          </w:p>
        </w:tc>
        <w:tc>
          <w:tcPr>
            <w:tcW w:w="52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28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20" w:type="dxa"/>
            <w:vAlign w:val="bottom"/>
            <w:tcBorders>
              <w:bottom w:val="single" w:sz="8" w:color="181414"/>
            </w:tcBorders>
          </w:tcPr>
          <w:p>
            <w:pPr>
              <w:spacing w:after="0"/>
              <w:rPr>
                <w:sz w:val="2"/>
                <w:szCs w:val="2"/>
                <w:color w:val="auto"/>
              </w:rPr>
            </w:pPr>
          </w:p>
        </w:tc>
        <w:tc>
          <w:tcPr>
            <w:tcW w:w="64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40" w:type="dxa"/>
            <w:vAlign w:val="bottom"/>
          </w:tcPr>
          <w:p>
            <w:pPr>
              <w:spacing w:after="0"/>
              <w:rPr>
                <w:sz w:val="2"/>
                <w:szCs w:val="2"/>
                <w:color w:val="auto"/>
              </w:rPr>
            </w:pPr>
          </w:p>
        </w:tc>
      </w:tr>
      <w:tr>
        <w:trPr>
          <w:trHeight w:val="186"/>
        </w:trPr>
        <w:tc>
          <w:tcPr>
            <w:tcW w:w="48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jc w:val="right"/>
              <w:ind w:right="66"/>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jc w:val="right"/>
              <w:ind w:right="127"/>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32"/>
        </w:trPr>
        <w:tc>
          <w:tcPr>
            <w:tcW w:w="4820" w:type="dxa"/>
            <w:vAlign w:val="bottom"/>
          </w:tcPr>
          <w:p>
            <w:pPr>
              <w:spacing w:after="0"/>
              <w:rPr>
                <w:sz w:val="2"/>
                <w:szCs w:val="2"/>
                <w:color w:val="auto"/>
              </w:rPr>
            </w:pPr>
          </w:p>
        </w:tc>
        <w:tc>
          <w:tcPr>
            <w:tcW w:w="6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120" w:type="dxa"/>
            <w:vAlign w:val="bottom"/>
            <w:tcBorders>
              <w:bottom w:val="single" w:sz="8" w:color="403C3C"/>
            </w:tcBorders>
          </w:tcPr>
          <w:p>
            <w:pPr>
              <w:spacing w:after="0"/>
              <w:rPr>
                <w:sz w:val="2"/>
                <w:szCs w:val="2"/>
                <w:color w:val="auto"/>
              </w:rPr>
            </w:pPr>
          </w:p>
        </w:tc>
        <w:tc>
          <w:tcPr>
            <w:tcW w:w="52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80" w:type="dxa"/>
            <w:vAlign w:val="bottom"/>
            <w:tcBorders>
              <w:bottom w:val="single" w:sz="8" w:color="403C3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120" w:type="dxa"/>
            <w:vAlign w:val="bottom"/>
            <w:tcBorders>
              <w:bottom w:val="single" w:sz="8" w:color="403C3C"/>
            </w:tcBorders>
          </w:tcPr>
          <w:p>
            <w:pPr>
              <w:spacing w:after="0"/>
              <w:rPr>
                <w:sz w:val="2"/>
                <w:szCs w:val="2"/>
                <w:color w:val="auto"/>
              </w:rPr>
            </w:pPr>
          </w:p>
        </w:tc>
        <w:tc>
          <w:tcPr>
            <w:tcW w:w="64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40" w:type="dxa"/>
            <w:vAlign w:val="bottom"/>
          </w:tcPr>
          <w:p>
            <w:pPr>
              <w:spacing w:after="0"/>
              <w:rPr>
                <w:sz w:val="2"/>
                <w:szCs w:val="2"/>
                <w:color w:val="auto"/>
              </w:rPr>
            </w:pPr>
          </w:p>
        </w:tc>
      </w:tr>
      <w:tr>
        <w:trPr>
          <w:trHeight w:val="282"/>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Accounts receivable  ........................... .</w:t>
            </w:r>
          </w:p>
        </w:tc>
        <w:tc>
          <w:tcPr>
            <w:tcW w:w="140" w:type="dxa"/>
            <w:vAlign w:val="bottom"/>
            <w:gridSpan w:val="2"/>
          </w:tcPr>
          <w:p>
            <w:pPr>
              <w:ind w:left="20"/>
              <w:spacing w:after="0"/>
              <w:rPr>
                <w:sz w:val="20"/>
                <w:szCs w:val="20"/>
                <w:color w:val="auto"/>
              </w:rPr>
            </w:pPr>
            <w:r>
              <w:rPr>
                <w:rFonts w:ascii="Times New Roman" w:cs="Times New Roman" w:eastAsia="Times New Roman" w:hAnsi="Times New Roman"/>
                <w:sz w:val="21"/>
                <w:szCs w:val="21"/>
                <w:color w:val="auto"/>
                <w:w w:val="94"/>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3,172</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5"/>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Inventory  . ........................... ....... . .</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5,224</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21,278</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4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Property, plant and equipme nt  ........... ..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29,859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36,255</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Lease right-of-use assets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4,773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Goodwill  ........ . ................ .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45,968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53,946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54"/>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Indefinite-lived intangible assets ... ............... .</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6,300</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4 1,800</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r>
      <w:tr>
        <w:trPr>
          <w:trHeight w:val="232"/>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Amortized intang ible assets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235</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1,200</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assets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404</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income taxes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2,535</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Floor plan payables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(2,215)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(10,908)</w:t>
            </w: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liabilities  . . . .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(935)</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(3,798)</w:t>
            </w: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Current and noncurrent lease liabilities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(1,184)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(5,865)</w:t>
            </w:r>
          </w:p>
        </w:tc>
      </w:tr>
      <w:tr>
        <w:trPr>
          <w:trHeight w:val="23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Redeemable noncontro lling interest  ...... . ........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(2, 164)</w:t>
            </w:r>
          </w:p>
        </w:tc>
      </w:tr>
      <w:tr>
        <w:trPr>
          <w:trHeight w:val="24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Noncontrolling interest  .... . .. . ................. .</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(5 12)</w:t>
            </w:r>
          </w:p>
        </w:tc>
      </w:tr>
      <w:tr>
        <w:trPr>
          <w:trHeight w:val="36"/>
        </w:trPr>
        <w:tc>
          <w:tcPr>
            <w:tcW w:w="48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Borders>
              <w:bottom w:val="single" w:sz="8" w:color="0C0808"/>
            </w:tcBorders>
            <w:gridSpan w:val="2"/>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0C080C"/>
            </w:tcBorders>
          </w:tcPr>
          <w:p>
            <w:pPr>
              <w:spacing w:after="0"/>
              <w:rPr>
                <w:sz w:val="3"/>
                <w:szCs w:val="3"/>
                <w:color w:val="auto"/>
              </w:rPr>
            </w:pPr>
          </w:p>
        </w:tc>
        <w:tc>
          <w:tcPr>
            <w:tcW w:w="64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68"/>
        </w:trPr>
        <w:tc>
          <w:tcPr>
            <w:tcW w:w="48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Aggregate purchase price, net of cash acquired .... .</w:t>
            </w:r>
          </w:p>
        </w:tc>
        <w:tc>
          <w:tcPr>
            <w:tcW w:w="6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$83,324</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3"/>
              </w:rPr>
              <w:t>142,1 16</w:t>
            </w: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r>
      <w:tr>
        <w:trPr>
          <w:trHeight w:val="40"/>
        </w:trPr>
        <w:tc>
          <w:tcPr>
            <w:tcW w:w="48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20" w:type="dxa"/>
            <w:vAlign w:val="bottom"/>
            <w:tcBorders>
              <w:bottom w:val="single" w:sz="8" w:color="504C4C"/>
            </w:tcBorders>
          </w:tcPr>
          <w:p>
            <w:pPr>
              <w:spacing w:after="0"/>
              <w:rPr>
                <w:sz w:val="3"/>
                <w:szCs w:val="3"/>
                <w:color w:val="auto"/>
              </w:rPr>
            </w:pPr>
          </w:p>
        </w:tc>
        <w:tc>
          <w:tcPr>
            <w:tcW w:w="52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504C4C"/>
            </w:tcBorders>
          </w:tcPr>
          <w:p>
            <w:pPr>
              <w:spacing w:after="0"/>
              <w:rPr>
                <w:sz w:val="3"/>
                <w:szCs w:val="3"/>
                <w:color w:val="auto"/>
              </w:rPr>
            </w:pPr>
          </w:p>
        </w:tc>
        <w:tc>
          <w:tcPr>
            <w:tcW w:w="64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r>
    </w:tbl>
    <w:p>
      <w:pPr>
        <w:spacing w:after="0" w:line="323"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Goodwill is calculated as the excess of the consideration transferred over the net assets recognized and represents the estimated future economic benefits arising from other assets acquired that could not be individually identified and separately recognized. The goodwill recorded due to these acquisitions is attributable to the assembled workforces of the acquired companies and expected synergies. T he Company expects to deduct $45.0 million and $39.7 million of goodwill for income tax purposes for the acquisitions completed iin 2023 and 2022, respectively.</w:t>
      </w:r>
    </w:p>
    <w:p>
      <w:pPr>
        <w:spacing w:after="0" w:line="252" w:lineRule="exact"/>
        <w:rPr>
          <w:sz w:val="20"/>
          <w:szCs w:val="20"/>
          <w:color w:val="auto"/>
        </w:rPr>
      </w:pPr>
    </w:p>
    <w:p>
      <w:pPr>
        <w:jc w:val="both"/>
        <w:ind w:left="120" w:right="125" w:hanging="8"/>
        <w:spacing w:after="0" w:line="261" w:lineRule="auto"/>
        <w:rPr>
          <w:sz w:val="20"/>
          <w:szCs w:val="20"/>
          <w:color w:val="auto"/>
        </w:rPr>
      </w:pPr>
      <w:r>
        <w:rPr>
          <w:rFonts w:ascii="Times New Roman" w:cs="Times New Roman" w:eastAsia="Times New Roman" w:hAnsi="Times New Roman"/>
          <w:sz w:val="19"/>
          <w:szCs w:val="19"/>
          <w:color w:val="auto"/>
        </w:rPr>
        <w:t>The acquired companies were consolidated into the Company's financial statements starting on their respective acquisit ion dates. The following unaudited pro forma financial information inc ludes the 2023 acquisitions as if they occurred at the beginning of 2022 and the 2022 acquisitions as if they had occurred at the beginning of</w:t>
      </w:r>
    </w:p>
    <w:p>
      <w:pPr>
        <w:spacing w:after="0" w:line="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202 1:</w:t>
      </w:r>
    </w:p>
    <w:p>
      <w:pPr>
        <w:spacing w:after="0" w:line="21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2023</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2022</w:t>
            </w:r>
          </w:p>
        </w:tc>
      </w:tr>
      <w:tr>
        <w:trPr>
          <w:trHeight w:val="33"/>
        </w:trPr>
        <w:tc>
          <w:tcPr>
            <w:tcW w:w="4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Borders>
              <w:bottom w:val="single" w:sz="8" w:color="181414"/>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181414"/>
            </w:tcBorders>
          </w:tcPr>
          <w:p>
            <w:pPr>
              <w:spacing w:after="0"/>
              <w:rPr>
                <w:sz w:val="2"/>
                <w:szCs w:val="2"/>
                <w:color w:val="auto"/>
              </w:rPr>
            </w:pPr>
          </w:p>
        </w:tc>
      </w:tr>
      <w:tr>
        <w:trPr>
          <w:trHeight w:val="277"/>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Operating revenues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$4,529 ,817</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$4,252,847</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Net income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218,205</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87,571</w:t>
            </w:r>
          </w:p>
        </w:tc>
      </w:tr>
    </w:tbl>
    <w:p>
      <w:pPr>
        <w:spacing w:after="0" w:line="268"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These pro forma results were based on estimates and assumptions, which the Company believes are reasonable, and irnclude the histori cal results of operations of the acquired companies and adjustments for depreciation and amortization of identified assets and the effect of pre-acquisition transaction-related expenses incurred by the Company and the acquired entities. The pro forma information dloes not include efficiencies, cost reductions and synerg ies expected to result from the acquisitions. They are no t the results that would have been realized had these entities been part of the Company during the periods presented and are not necessarily indicative of the Company's consolidated results of operations in future periods.</w:t>
      </w:r>
    </w:p>
    <w:p>
      <w:pPr>
        <w:spacing w:after="0" w:line="263" w:lineRule="exact"/>
        <w:rPr>
          <w:sz w:val="20"/>
          <w:szCs w:val="20"/>
          <w:color w:val="auto"/>
        </w:rPr>
      </w:pPr>
    </w:p>
    <w:p>
      <w:pPr>
        <w:jc w:val="both"/>
        <w:ind w:left="120" w:right="125" w:hanging="9"/>
        <w:spacing w:after="0" w:line="251" w:lineRule="auto"/>
        <w:rPr>
          <w:sz w:val="20"/>
          <w:szCs w:val="20"/>
          <w:color w:val="auto"/>
        </w:rPr>
      </w:pPr>
      <w:r>
        <w:rPr>
          <w:rFonts w:ascii="Times New Roman" w:cs="Times New Roman" w:eastAsia="Times New Roman" w:hAnsi="Times New Roman"/>
          <w:sz w:val="19"/>
          <w:szCs w:val="19"/>
          <w:color w:val="auto"/>
        </w:rPr>
        <w:t>Disposition of Businesses.</w:t>
      </w:r>
      <w:r>
        <w:rPr>
          <w:sz w:val="20"/>
          <w:szCs w:val="20"/>
          <w:color w:val="auto"/>
        </w:rPr>
        <w:t xml:space="preserve"> </w:t>
      </w:r>
      <w:r>
        <w:rPr>
          <w:rFonts w:ascii="Times New Roman" w:cs="Times New Roman" w:eastAsia="Times New Roman" w:hAnsi="Times New Roman"/>
          <w:sz w:val="19"/>
          <w:szCs w:val="19"/>
          <w:color w:val="auto"/>
        </w:rPr>
        <w:t>In June and September 2024, WGB completed the sales of small businesses, which were inc luded in other businesses. In July 2024, Kaplan compl.eted the sale of a sma ll business, Red Marker, which was included in Kaplan International (see Note 16).</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106</w:t>
        <w:tab/>
        <w:t>2024 FORM 10-K</w:t>
      </w:r>
    </w:p>
    <w:p>
      <w:pPr>
        <w:sectPr>
          <w:pgSz w:w="12240" w:h="15850" w:orient="portrait"/>
          <w:cols w:equalWidth="0" w:num="1">
            <w:col w:w="9365"/>
          </w:cols>
          <w:pgMar w:left="1440" w:top="1395" w:right="1440" w:bottom="721" w:gutter="0" w:footer="0" w:header="0"/>
          <w:type w:val="continuous"/>
        </w:sectPr>
      </w:pPr>
    </w:p>
    <w:bookmarkStart w:id="122" w:name="page123"/>
    <w:bookmarkEnd w:id="122"/>
    <w:p>
      <w:pPr>
        <w:jc w:val="both"/>
        <w:ind w:left="120" w:right="125" w:firstLine="10"/>
        <w:spacing w:after="0" w:line="258"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3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In June 2023, the Company entered into an agreement to merge the Pinna business with Realm of Possibility, Inc. (Realm) in return for an additional noncontrolling financial interest in Realm (the Pinna transaction). The Company deconsolidaLed the Pinna subsidiary, which was included in oU1er businesses, and colllinues to account for its interest in Realm under the equity method of accounting (see Notes 4 and 16).</w:t>
      </w:r>
    </w:p>
    <w:p>
      <w:pPr>
        <w:spacing w:after="0" w:line="253" w:lineRule="exact"/>
        <w:rPr>
          <w:sz w:val="20"/>
          <w:szCs w:val="20"/>
          <w:color w:val="auto"/>
        </w:rPr>
      </w:pPr>
    </w:p>
    <w:p>
      <w:pPr>
        <w:jc w:val="both"/>
        <w:ind w:left="120" w:right="125" w:firstLine="1"/>
        <w:spacing w:after="0" w:line="260" w:lineRule="auto"/>
        <w:rPr>
          <w:sz w:val="20"/>
          <w:szCs w:val="20"/>
          <w:color w:val="auto"/>
        </w:rPr>
      </w:pPr>
      <w:r>
        <w:rPr>
          <w:rFonts w:ascii="Times New Roman" w:cs="Times New Roman" w:eastAsia="Times New Roman" w:hAnsi="Times New Roman"/>
          <w:sz w:val="19"/>
          <w:szCs w:val="19"/>
          <w:color w:val="auto"/>
        </w:rPr>
        <w:t>In October 2022, the Company entered into an agreement to merge the CyberVista business with CyberWire, Inc. in return for a noncontrolling financial interest in the merged entity, N2K Networks, Inc. (the CyberVista transaction). The Company deconsolidated the CyberVista subsidiary, which was included in other businesses, and accounts for its continuing interest in N2K Networks under the equity method of accounting (see Notes 4 and 16).</w:t>
      </w:r>
    </w:p>
    <w:p>
      <w:pPr>
        <w:spacing w:after="0" w:line="200" w:lineRule="exact"/>
        <w:rPr>
          <w:sz w:val="20"/>
          <w:szCs w:val="20"/>
          <w:color w:val="auto"/>
        </w:rPr>
      </w:pPr>
    </w:p>
    <w:p>
      <w:pPr>
        <w:spacing w:after="0" w:line="280"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20"/>
          <w:szCs w:val="20"/>
          <w:b w:val="1"/>
          <w:bCs w:val="1"/>
          <w:color w:val="auto"/>
        </w:rPr>
        <w:t>Other Transactions.</w:t>
      </w:r>
      <w:r>
        <w:rPr>
          <w:sz w:val="20"/>
          <w:szCs w:val="20"/>
          <w:color w:val="auto"/>
        </w:rPr>
        <w:t xml:space="preserve"> </w:t>
      </w:r>
      <w:r>
        <w:rPr>
          <w:rFonts w:ascii="Times New Roman" w:cs="Times New Roman" w:eastAsia="Times New Roman" w:hAnsi="Times New Roman"/>
          <w:sz w:val="19"/>
          <w:szCs w:val="19"/>
          <w:color w:val="auto"/>
        </w:rPr>
        <w:t xml:space="preserve">In December 2024, the Company acquired some of the minority-owned shares of CSI for a totaJ estimated amount of $2.0 million. The Company will pay cash of $0.6 million and has entered into a promissory note with the minority owner for the remaining $1.4 mi llion at an interest rate of 5.5% per annum. The note is included in other indebtedness (see Note </w:t>
      </w:r>
      <w:r>
        <w:rPr>
          <w:rFonts w:ascii="Times New Roman" w:cs="Times New Roman" w:eastAsia="Times New Roman" w:hAnsi="Times New Roman"/>
          <w:sz w:val="19"/>
          <w:szCs w:val="19"/>
          <w:b w:val="1"/>
          <w:bCs w:val="1"/>
          <w:color w:val="auto"/>
        </w:rPr>
        <w:t>11)</w:t>
      </w:r>
      <w:r>
        <w:rPr>
          <w:rFonts w:ascii="Times New Roman" w:cs="Times New Roman" w:eastAsia="Times New Roman" w:hAnsi="Times New Roman"/>
          <w:sz w:val="19"/>
          <w:szCs w:val="19"/>
          <w:color w:val="auto"/>
        </w:rPr>
        <w:t xml:space="preserve"> and is due and payable on January 31, 2026. Following the redemption, the Company owns 87.5% of CSI.</w:t>
      </w:r>
    </w:p>
    <w:p>
      <w:pPr>
        <w:spacing w:after="0" w:line="266" w:lineRule="exact"/>
        <w:rPr>
          <w:sz w:val="20"/>
          <w:szCs w:val="20"/>
          <w:color w:val="auto"/>
        </w:rPr>
      </w:pPr>
    </w:p>
    <w:p>
      <w:pPr>
        <w:jc w:val="both"/>
        <w:ind w:left="120" w:right="105" w:firstLine="2"/>
        <w:spacing w:after="0" w:line="261" w:lineRule="auto"/>
        <w:rPr>
          <w:sz w:val="20"/>
          <w:szCs w:val="20"/>
          <w:color w:val="auto"/>
        </w:rPr>
      </w:pPr>
      <w:r>
        <w:rPr>
          <w:rFonts w:ascii="Times New Roman" w:cs="Times New Roman" w:eastAsia="Times New Roman" w:hAnsi="Times New Roman"/>
          <w:sz w:val="19"/>
          <w:szCs w:val="19"/>
          <w:color w:val="auto"/>
        </w:rPr>
        <w:t>In December 2023, the Company acquired some of the minority-owned shares of CSI for a total amount of $20.0 million. The Company paid cash of $5.0 million and entered into a promissory note with the minority owners for the remaining $15.0 million at an interest rate of 8% per annum. The note is included in other indebtedness (see Note 11) and payable in quarterly installments with the final payment due by January 1, 2027. Following the redemption, the Company owned 86.7% of CSI.</w:t>
      </w:r>
    </w:p>
    <w:p>
      <w:pPr>
        <w:spacing w:after="0" w:line="252" w:lineRule="exact"/>
        <w:rPr>
          <w:sz w:val="20"/>
          <w:szCs w:val="20"/>
          <w:color w:val="auto"/>
        </w:rPr>
      </w:pPr>
    </w:p>
    <w:p>
      <w:pPr>
        <w:jc w:val="both"/>
        <w:ind w:left="120" w:right="125" w:firstLine="10"/>
        <w:spacing w:after="0" w:line="261" w:lineRule="auto"/>
        <w:rPr>
          <w:sz w:val="20"/>
          <w:szCs w:val="20"/>
          <w:color w:val="auto"/>
        </w:rPr>
      </w:pPr>
      <w:r>
        <w:rPr>
          <w:rFonts w:ascii="Times New Roman" w:cs="Times New Roman" w:eastAsia="Times New Roman" w:hAnsi="Times New Roman"/>
          <w:sz w:val="19"/>
          <w:szCs w:val="19"/>
          <w:color w:val="auto"/>
        </w:rPr>
        <w:t>In November 2022, a CST minority shareholder put some shares to the Company, which had a redemption value of $1.2 million. Following the redernptiOil; the Company owned 76.5% of CSI.</w:t>
      </w:r>
    </w:p>
    <w:p>
      <w:pPr>
        <w:spacing w:after="0" w:line="250" w:lineRule="exact"/>
        <w:rPr>
          <w:sz w:val="20"/>
          <w:szCs w:val="20"/>
          <w:color w:val="auto"/>
        </w:rPr>
      </w:pPr>
    </w:p>
    <w:p>
      <w:pPr>
        <w:jc w:val="both"/>
        <w:ind w:left="120" w:right="125" w:firstLine="3"/>
        <w:spacing w:after="0" w:line="259" w:lineRule="auto"/>
        <w:rPr>
          <w:sz w:val="20"/>
          <w:szCs w:val="20"/>
          <w:color w:val="auto"/>
        </w:rPr>
      </w:pPr>
      <w:r>
        <w:rPr>
          <w:rFonts w:ascii="Times New Roman" w:cs="Times New Roman" w:eastAsia="Times New Roman" w:hAnsi="Times New Roman"/>
          <w:sz w:val="19"/>
          <w:szCs w:val="19"/>
          <w:color w:val="auto"/>
        </w:rPr>
        <w:t>As of December 31, 2024, the Company holds a controlling financial interest in GHC One and GHC Two and therefore includes the assets, liabilities, results of operations and cash flows in its consolidated financial statements. GHC One acquired CSI and Clarus during 2019. GHC Two acquired Impact Medical during 2021 and Skin Clique and Surpass in 2022. T he Company accounts for the minority ownership of the group of senior managers in GHC One and GHC Two as a mandatorily redeemable noncontrolling interest (see Note 2 and 12).</w:t>
      </w:r>
    </w:p>
    <w:p>
      <w:pPr>
        <w:spacing w:after="0" w:line="238"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20"/>
          <w:szCs w:val="20"/>
          <w:b w:val="1"/>
          <w:bCs w:val="1"/>
          <w:color w:val="auto"/>
        </w:rPr>
        <w:t>Subsequent Event.</w:t>
      </w:r>
      <w:r>
        <w:rPr>
          <w:sz w:val="20"/>
          <w:szCs w:val="20"/>
          <w:color w:val="auto"/>
        </w:rPr>
        <w:t xml:space="preserve"> </w:t>
      </w:r>
      <w:r>
        <w:rPr>
          <w:rFonts w:ascii="Times New Roman" w:cs="Times New Roman" w:eastAsia="Times New Roman" w:hAnsi="Times New Roman"/>
          <w:sz w:val="19"/>
          <w:szCs w:val="19"/>
          <w:color w:val="auto"/>
        </w:rPr>
        <w:t>On February 25, 2025, the Company and a group of minority shareholders entered into an agreement to settle a significant portion of the mandatorily redeemable noncontrolling interest related to GHC One, including CST, for a total of $205 million, which consists of approximate]y $186.25 million in cash and $ 18.75 million in Graham Holdings Company Class B common stock.</w:t>
      </w:r>
    </w:p>
    <w:p>
      <w:pPr>
        <w:spacing w:after="0" w:line="274" w:lineRule="exact"/>
        <w:rPr>
          <w:sz w:val="20"/>
          <w:szCs w:val="20"/>
          <w:color w:val="auto"/>
        </w:rPr>
      </w:pPr>
    </w:p>
    <w:p>
      <w:pPr>
        <w:jc w:val="both"/>
        <w:ind w:left="120" w:right="125" w:hanging="9"/>
        <w:spacing w:after="0" w:line="260" w:lineRule="auto"/>
        <w:rPr>
          <w:sz w:val="20"/>
          <w:szCs w:val="20"/>
          <w:color w:val="auto"/>
        </w:rPr>
      </w:pPr>
      <w:r>
        <w:rPr>
          <w:rFonts w:ascii="Times New Roman" w:cs="Times New Roman" w:eastAsia="Times New Roman" w:hAnsi="Times New Roman"/>
          <w:sz w:val="19"/>
          <w:szCs w:val="19"/>
          <w:color w:val="auto"/>
        </w:rPr>
        <w:t>The settlement agreement resulted in a $66.2 million increase to the mandatorily redeemable noncontrolling interest obligation, which the Company will record as interest expense in the first quarter of 2025. The transaction, which materialized subsequent to year-end, closed on February 25, 2025; the remaining mandatorily redeemable noncontrolling interest obligation related to GHC One and GHC Two was $20.7 million at December 3 1, 2024.</w:t>
      </w:r>
    </w:p>
    <w:p>
      <w:pPr>
        <w:spacing w:after="0" w:line="200" w:lineRule="exact"/>
        <w:rPr>
          <w:sz w:val="20"/>
          <w:szCs w:val="20"/>
          <w:color w:val="auto"/>
        </w:rPr>
      </w:pPr>
    </w:p>
    <w:p>
      <w:pPr>
        <w:spacing w:after="0" w:line="388" w:lineRule="exact"/>
        <w:rPr>
          <w:sz w:val="20"/>
          <w:szCs w:val="20"/>
          <w:color w:val="auto"/>
        </w:rPr>
      </w:pPr>
    </w:p>
    <w:p>
      <w:pPr>
        <w:ind w:left="460" w:hanging="347"/>
        <w:spacing w:after="0"/>
        <w:tabs>
          <w:tab w:leader="none" w:pos="460" w:val="left"/>
        </w:tabs>
        <w:numPr>
          <w:ilvl w:val="0"/>
          <w:numId w:val="7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INVESTMENTS</w:t>
      </w:r>
    </w:p>
    <w:p>
      <w:pPr>
        <w:spacing w:after="0" w:line="139" w:lineRule="exact"/>
        <w:rPr>
          <w:sz w:val="20"/>
          <w:szCs w:val="20"/>
          <w:color w:val="auto"/>
        </w:rPr>
      </w:pPr>
    </w:p>
    <w:p>
      <w:pPr>
        <w:jc w:val="both"/>
        <w:ind w:left="120" w:right="125" w:firstLine="1"/>
        <w:spacing w:after="0" w:line="270" w:lineRule="auto"/>
        <w:rPr>
          <w:sz w:val="20"/>
          <w:szCs w:val="20"/>
          <w:color w:val="auto"/>
        </w:rPr>
      </w:pPr>
      <w:r>
        <w:rPr>
          <w:rFonts w:ascii="Times New Roman" w:cs="Times New Roman" w:eastAsia="Times New Roman" w:hAnsi="Times New Roman"/>
          <w:sz w:val="20"/>
          <w:szCs w:val="20"/>
          <w:b w:val="1"/>
          <w:bCs w:val="1"/>
          <w:color w:val="auto"/>
        </w:rPr>
        <w:t xml:space="preserve">Money Market Investments. </w:t>
      </w:r>
      <w:r>
        <w:rPr>
          <w:rFonts w:ascii="Times New Roman" w:cs="Times New Roman" w:eastAsia="Times New Roman" w:hAnsi="Times New Roman"/>
          <w:sz w:val="18"/>
          <w:szCs w:val="18"/>
          <w:color w:val="auto"/>
        </w:rPr>
        <w:t>As of December 31, 2024 and 2023, the Company had money market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18"/>
          <w:szCs w:val="18"/>
          <w:color w:val="auto"/>
        </w:rPr>
        <w:t>invesLmenLs of $3.9 million and $5.6 million; respecLively, LhaL are classified as cash and cash equivalenLs in the Company's Consolidated Balance Sheets.</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107</w:t>
      </w:r>
    </w:p>
    <w:p>
      <w:pPr>
        <w:sectPr>
          <w:pgSz w:w="12240" w:h="15850" w:orient="portrait"/>
          <w:cols w:equalWidth="0" w:num="1">
            <w:col w:w="9365"/>
          </w:cols>
          <w:pgMar w:left="1440" w:top="1395" w:right="1440" w:bottom="721" w:gutter="0" w:footer="0" w:header="0"/>
          <w:type w:val="continuous"/>
        </w:sectPr>
      </w:pPr>
    </w:p>
    <w:bookmarkStart w:id="123" w:name="page124"/>
    <w:bookmarkEnd w:id="123"/>
    <w:p>
      <w:pPr>
        <w:ind w:left="120" w:right="125" w:firstLine="1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Investments in Marketable Equity S ecurities. Investments in marketable equity securities consist of the following:</w:t>
      </w:r>
    </w:p>
    <w:p>
      <w:pPr>
        <w:spacing w:after="0" w:line="200" w:lineRule="exact"/>
        <w:rPr>
          <w:sz w:val="20"/>
          <w:szCs w:val="20"/>
          <w:color w:val="auto"/>
        </w:rPr>
      </w:pPr>
    </w:p>
    <w:p>
      <w:pPr>
        <w:spacing w:after="0" w:line="24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32"/>
        </w:trPr>
        <w:tc>
          <w:tcPr>
            <w:tcW w:w="4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9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7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Borders>
              <w:top w:val="single" w:sz="8" w:color="3C3C3C"/>
            </w:tcBorders>
          </w:tcPr>
          <w:p>
            <w:pPr>
              <w:jc w:val="right"/>
              <w:ind w:right="140"/>
              <w:spacing w:after="0" w:line="178" w:lineRule="exact"/>
              <w:rPr>
                <w:sz w:val="20"/>
                <w:szCs w:val="20"/>
                <w:color w:val="auto"/>
              </w:rPr>
            </w:pPr>
            <w:r>
              <w:rPr>
                <w:rFonts w:ascii="Times New Roman" w:cs="Times New Roman" w:eastAsia="Times New Roman" w:hAnsi="Times New Roman"/>
                <w:sz w:val="16"/>
                <w:szCs w:val="16"/>
                <w:color w:val="auto"/>
              </w:rPr>
              <w:t>2024</w:t>
            </w:r>
          </w:p>
        </w:tc>
        <w:tc>
          <w:tcPr>
            <w:tcW w:w="180" w:type="dxa"/>
            <w:vAlign w:val="bottom"/>
            <w:tcBorders>
              <w:top w:val="single" w:sz="8" w:color="3C3C3C"/>
            </w:tcBorders>
          </w:tcPr>
          <w:p>
            <w:pPr>
              <w:spacing w:after="0"/>
              <w:rPr>
                <w:sz w:val="16"/>
                <w:szCs w:val="16"/>
                <w:color w:val="auto"/>
              </w:rPr>
            </w:pPr>
          </w:p>
        </w:tc>
        <w:tc>
          <w:tcPr>
            <w:tcW w:w="860" w:type="dxa"/>
            <w:vAlign w:val="bottom"/>
            <w:tcBorders>
              <w:top w:val="single" w:sz="8" w:color="3C3C3C"/>
            </w:tcBorders>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141414"/>
            </w:tcBorders>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Total cost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$227,153</w:t>
            </w:r>
          </w:p>
        </w:tc>
        <w:tc>
          <w:tcPr>
            <w:tcW w:w="180" w:type="dxa"/>
            <w:vAlign w:val="bottom"/>
          </w:tcPr>
          <w:p>
            <w:pPr>
              <w:spacing w:after="0"/>
              <w:rPr>
                <w:sz w:val="23"/>
                <w:szCs w:val="23"/>
                <w:color w:val="auto"/>
              </w:rPr>
            </w:pP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$225,97 1</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Gross unrealized gains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627,760</w:t>
            </w:r>
          </w:p>
        </w:tc>
        <w:tc>
          <w:tcPr>
            <w:tcW w:w="180" w:type="dxa"/>
            <w:vAlign w:val="bottom"/>
          </w:tcPr>
          <w:p>
            <w:pPr>
              <w:spacing w:after="0"/>
              <w:rPr>
                <w:sz w:val="20"/>
                <w:szCs w:val="20"/>
                <w:color w:val="auto"/>
              </w:rPr>
            </w:pPr>
          </w:p>
        </w:tc>
        <w:tc>
          <w:tcPr>
            <w:tcW w:w="8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464,182</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Gross unrealized losses .. ..................... . .. .</w:t>
            </w:r>
          </w:p>
        </w:tc>
        <w:tc>
          <w:tcPr>
            <w:tcW w:w="108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(2,479)</w:t>
            </w:r>
          </w:p>
        </w:tc>
        <w:tc>
          <w:tcPr>
            <w:tcW w:w="1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47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Total Fair Value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$852,434</w:t>
            </w:r>
          </w:p>
        </w:tc>
        <w:tc>
          <w:tcPr>
            <w:tcW w:w="18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$690, 153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342" w:lineRule="exact"/>
        <w:rPr>
          <w:sz w:val="20"/>
          <w:szCs w:val="20"/>
          <w:color w:val="auto"/>
        </w:rPr>
      </w:pPr>
    </w:p>
    <w:p>
      <w:pPr>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 xml:space="preserve">At December 3 1, 2024 and 2023, the Company owned 55,430 s hares in Markel Group </w:t>
      </w:r>
      <w:r>
        <w:rPr>
          <w:rFonts w:ascii="Arial" w:cs="Arial" w:eastAsia="Arial" w:hAnsi="Arial"/>
          <w:sz w:val="24"/>
          <w:szCs w:val="24"/>
          <w:color w:val="auto"/>
        </w:rPr>
        <w:t>r</w:t>
      </w:r>
      <w:r>
        <w:rPr>
          <w:rFonts w:ascii="Times New Roman" w:cs="Times New Roman" w:eastAsia="Times New Roman" w:hAnsi="Times New Roman"/>
          <w:sz w:val="19"/>
          <w:szCs w:val="19"/>
          <w:color w:val="auto"/>
        </w:rPr>
        <w:t>nc. (Markel) valued at $95.7 million and $78.7 million, respectively. The Chief Executive Officer of Markel, Mr. Thomas S. Gayner, is</w:t>
      </w:r>
    </w:p>
    <w:p>
      <w:pPr>
        <w:spacing w:after="0" w:line="4" w:lineRule="exact"/>
        <w:rPr>
          <w:sz w:val="20"/>
          <w:szCs w:val="20"/>
          <w:color w:val="auto"/>
        </w:rPr>
      </w:pPr>
    </w:p>
    <w:p>
      <w:pPr>
        <w:jc w:val="both"/>
        <w:ind w:left="120" w:right="125" w:firstLine="2"/>
        <w:spacing w:after="0" w:line="261" w:lineRule="auto"/>
        <w:tabs>
          <w:tab w:leader="none" w:pos="273"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member of the Company's Board of Directors. As of December 31, 2024, the Company owned 422 Class A and 482,945 Class B shares in Berkshire Hathaway valued at $506.3 million, which exceeded 5% of the Company's total assets.</w:t>
      </w:r>
    </w:p>
    <w:p>
      <w:pPr>
        <w:spacing w:after="0" w:line="250"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The Company purchased $5.0 millio n, $4.6 million, and $42. 1 million, of which $ 1.5 million was settled m Januar y 2023, of marketable equity securities during 2024, 2023 and 2022, respectively .</w:t>
      </w:r>
    </w:p>
    <w:p>
      <w:pPr>
        <w:spacing w:after="0" w:line="259" w:lineRule="exact"/>
        <w:rPr>
          <w:sz w:val="20"/>
          <w:szCs w:val="20"/>
          <w:color w:val="auto"/>
        </w:rPr>
      </w:pPr>
    </w:p>
    <w:p>
      <w:pPr>
        <w:jc w:val="both"/>
        <w:ind w:left="120" w:right="125" w:firstLine="2"/>
        <w:spacing w:after="0" w:line="261" w:lineRule="auto"/>
        <w:rPr>
          <w:sz w:val="20"/>
          <w:szCs w:val="20"/>
          <w:color w:val="auto"/>
        </w:rPr>
      </w:pPr>
      <w:r>
        <w:rPr>
          <w:rFonts w:ascii="Times New Roman" w:cs="Times New Roman" w:eastAsia="Times New Roman" w:hAnsi="Times New Roman"/>
          <w:sz w:val="19"/>
          <w:szCs w:val="19"/>
          <w:color w:val="auto"/>
        </w:rPr>
        <w:t>During 2024, 2023 and 2022, the gross cumulative realized net gains from the sales of marketable equity securities were $20.2 million, $ 13.0 million and $58. 1 million, respectively . The total proceeds from such sales were $23.5 million, $62.0 million and $102.0 million, respectively.</w:t>
      </w:r>
    </w:p>
    <w:p>
      <w:pPr>
        <w:spacing w:after="0" w:line="2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net gain (lo:&gt;:&gt;) on marketable equity :;ecuritie:; compri:;ed the following:</w:t>
      </w:r>
    </w:p>
    <w:p>
      <w:pPr>
        <w:spacing w:after="0" w:line="220"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60" w:type="dxa"/>
            <w:vAlign w:val="bottom"/>
            <w:gridSpan w:val="10"/>
          </w:tcPr>
          <w:p>
            <w:pPr>
              <w:jc w:val="right"/>
              <w:ind w:right="640"/>
              <w:spacing w:after="0"/>
              <w:rPr>
                <w:sz w:val="20"/>
                <w:szCs w:val="20"/>
                <w:color w:val="auto"/>
              </w:rPr>
            </w:pPr>
            <w:r>
              <w:rPr>
                <w:rFonts w:ascii="Times New Roman" w:cs="Times New Roman" w:eastAsia="Times New Roman" w:hAnsi="Times New Roman"/>
                <w:sz w:val="16"/>
                <w:szCs w:val="16"/>
                <w:color w:val="auto"/>
              </w:rPr>
              <w:t>Year E nded December 31</w:t>
            </w:r>
          </w:p>
        </w:tc>
        <w:tc>
          <w:tcPr>
            <w:tcW w:w="0" w:type="dxa"/>
            <w:vAlign w:val="bottom"/>
          </w:tcPr>
          <w:p>
            <w:pPr>
              <w:spacing w:after="0"/>
              <w:rPr>
                <w:sz w:val="1"/>
                <w:szCs w:val="1"/>
                <w:color w:val="auto"/>
              </w:rPr>
            </w:pPr>
          </w:p>
        </w:tc>
      </w:tr>
      <w:tr>
        <w:trPr>
          <w:trHeight w:val="41"/>
        </w:trPr>
        <w:tc>
          <w:tcPr>
            <w:tcW w:w="294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28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60" w:type="dxa"/>
            <w:vAlign w:val="bottom"/>
            <w:tcBorders>
              <w:bottom w:val="single" w:sz="8" w:color="403C3C"/>
            </w:tcBorders>
          </w:tcPr>
          <w:p>
            <w:pPr>
              <w:spacing w:after="0"/>
              <w:rPr>
                <w:sz w:val="3"/>
                <w:szCs w:val="3"/>
                <w:color w:val="auto"/>
              </w:rPr>
            </w:pPr>
          </w:p>
        </w:tc>
        <w:tc>
          <w:tcPr>
            <w:tcW w:w="140" w:type="dxa"/>
            <w:vAlign w:val="bottom"/>
            <w:tcBorders>
              <w:bottom w:val="single" w:sz="8" w:color="403C3C"/>
            </w:tcBorders>
            <w:gridSpan w:val="2"/>
          </w:tcPr>
          <w:p>
            <w:pPr>
              <w:spacing w:after="0"/>
              <w:rPr>
                <w:sz w:val="3"/>
                <w:szCs w:val="3"/>
                <w:color w:val="auto"/>
              </w:rPr>
            </w:pPr>
          </w:p>
        </w:tc>
        <w:tc>
          <w:tcPr>
            <w:tcW w:w="800" w:type="dxa"/>
            <w:vAlign w:val="bottom"/>
            <w:tcBorders>
              <w:bottom w:val="single" w:sz="8" w:color="403C3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940" w:type="dxa"/>
            <w:vAlign w:val="bottom"/>
            <w:gridSpan w:val="2"/>
            <w:vMerge w:val="continue"/>
          </w:tcPr>
          <w:p>
            <w:pPr>
              <w:spacing w:after="0"/>
              <w:rPr>
                <w:sz w:val="16"/>
                <w:szCs w:val="16"/>
                <w:color w:val="auto"/>
              </w:rPr>
            </w:pPr>
          </w:p>
        </w:tc>
        <w:tc>
          <w:tcPr>
            <w:tcW w:w="1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jc w:val="right"/>
              <w:ind w:right="140"/>
              <w:spacing w:after="0" w:line="178" w:lineRule="exact"/>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7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3"/>
          </w:tcPr>
          <w:p>
            <w:pPr>
              <w:jc w:val="right"/>
              <w:ind w:right="240"/>
              <w:spacing w:after="0" w:line="178" w:lineRule="exact"/>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980" w:type="dxa"/>
            <w:vAlign w:val="bottom"/>
            <w:tcBorders>
              <w:bottom w:val="single" w:sz="8" w:color="403C3C"/>
            </w:tcBorders>
          </w:tcPr>
          <w:p>
            <w:pPr>
              <w:spacing w:after="0"/>
              <w:rPr>
                <w:sz w:val="2"/>
                <w:szCs w:val="2"/>
                <w:color w:val="auto"/>
              </w:rPr>
            </w:pPr>
          </w:p>
        </w:tc>
        <w:tc>
          <w:tcPr>
            <w:tcW w:w="3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403C3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800" w:type="dxa"/>
            <w:vAlign w:val="bottom"/>
            <w:tcBorders>
              <w:bottom w:val="single" w:sz="8" w:color="403C3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9"/>
        </w:trPr>
        <w:tc>
          <w:tcPr>
            <w:tcW w:w="4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Gain (loss) on marketable equity securities, net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$181,295</w:t>
            </w:r>
          </w:p>
        </w:tc>
        <w:tc>
          <w:tcPr>
            <w:tcW w:w="280" w:type="dxa"/>
            <w:vAlign w:val="bottom"/>
          </w:tcPr>
          <w:p>
            <w:pPr>
              <w:spacing w:after="0"/>
              <w:rPr>
                <w:sz w:val="22"/>
                <w:szCs w:val="22"/>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7"/>
              </w:rPr>
              <w:t>$ 138,067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$(139,589)</w:t>
            </w:r>
          </w:p>
        </w:tc>
        <w:tc>
          <w:tcPr>
            <w:tcW w:w="0" w:type="dxa"/>
            <w:vAlign w:val="bottom"/>
          </w:tcPr>
          <w:p>
            <w:pPr>
              <w:spacing w:after="0"/>
              <w:rPr>
                <w:sz w:val="1"/>
                <w:szCs w:val="1"/>
                <w:color w:val="auto"/>
              </w:rPr>
            </w:pPr>
          </w:p>
        </w:tc>
      </w:tr>
      <w:tr>
        <w:trPr>
          <w:trHeight w:val="238"/>
        </w:trPr>
        <w:tc>
          <w:tcPr>
            <w:tcW w:w="460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Less: Net (gains) losses in earnings from marketable</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equity securities sold and donated</w:t>
            </w:r>
          </w:p>
        </w:tc>
        <w:tc>
          <w:tcPr>
            <w:tcW w:w="1660" w:type="dxa"/>
            <w:vAlign w:val="bottom"/>
          </w:tcPr>
          <w:p>
            <w:pPr>
              <w:jc w:val="right"/>
              <w:ind w:right="311"/>
              <w:spacing w:after="0"/>
              <w:rPr>
                <w:sz w:val="20"/>
                <w:szCs w:val="20"/>
                <w:color w:val="auto"/>
              </w:rPr>
            </w:pPr>
            <w:r>
              <w:rPr>
                <w:rFonts w:ascii="Times New Roman" w:cs="Times New Roman" w:eastAsia="Times New Roman" w:hAnsi="Times New Roman"/>
                <w:sz w:val="3"/>
                <w:szCs w:val="3"/>
                <w:color w:val="auto"/>
              </w:rPr>
              <w:t>•••0 .00•••••0</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(6,010)</w:t>
            </w:r>
          </w:p>
        </w:tc>
        <w:tc>
          <w:tcPr>
            <w:tcW w:w="940" w:type="dxa"/>
            <w:vAlign w:val="bottom"/>
            <w:gridSpan w:val="4"/>
          </w:tcPr>
          <w:p>
            <w:pPr>
              <w:jc w:val="right"/>
              <w:ind w:right="100"/>
              <w:spacing w:after="0"/>
              <w:rPr>
                <w:sz w:val="20"/>
                <w:szCs w:val="20"/>
                <w:color w:val="auto"/>
              </w:rPr>
            </w:pPr>
            <w:r>
              <w:rPr>
                <w:rFonts w:ascii="Times New Roman" w:cs="Times New Roman" w:eastAsia="Times New Roman" w:hAnsi="Times New Roman"/>
                <w:sz w:val="19"/>
                <w:szCs w:val="19"/>
                <w:color w:val="auto"/>
              </w:rPr>
              <w:t>(5,475)</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27,786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4600" w:type="dxa"/>
            <w:vAlign w:val="bottom"/>
            <w:gridSpan w:val="3"/>
            <w:vMerge w:val="restart"/>
          </w:tcPr>
          <w:p>
            <w:pPr>
              <w:spacing w:after="0"/>
              <w:rPr>
                <w:sz w:val="20"/>
                <w:szCs w:val="20"/>
                <w:color w:val="auto"/>
              </w:rPr>
            </w:pPr>
            <w:r>
              <w:rPr>
                <w:rFonts w:ascii="Times New Roman" w:cs="Times New Roman" w:eastAsia="Times New Roman" w:hAnsi="Times New Roman"/>
                <w:sz w:val="19"/>
                <w:szCs w:val="19"/>
                <w:color w:val="auto"/>
              </w:rPr>
              <w:t>Net unrealized gains (losses) in earnings from</w:t>
            </w: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4600" w:type="dxa"/>
            <w:vAlign w:val="bottom"/>
            <w:gridSpan w:val="3"/>
            <w:vMerge w:val="continue"/>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600" w:type="dxa"/>
            <w:vAlign w:val="bottom"/>
            <w:gridSpan w:val="3"/>
          </w:tcPr>
          <w:p>
            <w:pPr>
              <w:ind w:left="200"/>
              <w:spacing w:after="0"/>
              <w:rPr>
                <w:sz w:val="20"/>
                <w:szCs w:val="20"/>
                <w:color w:val="auto"/>
              </w:rPr>
            </w:pPr>
            <w:r>
              <w:rPr>
                <w:rFonts w:ascii="Times New Roman" w:cs="Times New Roman" w:eastAsia="Times New Roman" w:hAnsi="Times New Roman"/>
                <w:sz w:val="19"/>
                <w:szCs w:val="19"/>
                <w:color w:val="auto"/>
              </w:rPr>
              <w:t>marketable equity securities still held at the end</w:t>
            </w: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294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 xml:space="preserve">of the year  </w:t>
            </w:r>
            <w:r>
              <w:rPr>
                <w:rFonts w:ascii="Times New Roman" w:cs="Times New Roman" w:eastAsia="Times New Roman" w:hAnsi="Times New Roman"/>
                <w:sz w:val="3"/>
                <w:szCs w:val="3"/>
                <w:color w:val="auto"/>
              </w:rPr>
              <w:t>••••••      0       ••     •••••     0 .     0</w:t>
            </w:r>
          </w:p>
        </w:tc>
        <w:tc>
          <w:tcPr>
            <w:tcW w:w="1660" w:type="dxa"/>
            <w:vAlign w:val="bottom"/>
          </w:tcPr>
          <w:p>
            <w:pPr>
              <w:jc w:val="right"/>
              <w:ind w:right="291"/>
              <w:spacing w:after="0"/>
              <w:rPr>
                <w:sz w:val="20"/>
                <w:szCs w:val="20"/>
                <w:color w:val="auto"/>
              </w:rPr>
            </w:pPr>
            <w:r>
              <w:rPr>
                <w:rFonts w:ascii="Times New Roman" w:cs="Times New Roman" w:eastAsia="Times New Roman" w:hAnsi="Times New Roman"/>
                <w:sz w:val="3"/>
                <w:szCs w:val="3"/>
                <w:color w:val="auto"/>
              </w:rPr>
              <w:t>••••••0•••••••</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$175,285</w:t>
            </w:r>
          </w:p>
        </w:tc>
        <w:tc>
          <w:tcPr>
            <w:tcW w:w="280" w:type="dxa"/>
            <w:vAlign w:val="bottom"/>
          </w:tcPr>
          <w:p>
            <w:pPr>
              <w:spacing w:after="0"/>
              <w:rPr>
                <w:sz w:val="21"/>
                <w:szCs w:val="21"/>
                <w:color w:val="auto"/>
              </w:rPr>
            </w:pPr>
          </w:p>
        </w:tc>
        <w:tc>
          <w:tcPr>
            <w:tcW w:w="78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$132,592</w:t>
            </w:r>
          </w:p>
        </w:tc>
        <w:tc>
          <w:tcPr>
            <w:tcW w:w="160" w:type="dxa"/>
            <w:vAlign w:val="bottom"/>
          </w:tcPr>
          <w:p>
            <w:pPr>
              <w:spacing w:after="0"/>
              <w:rPr>
                <w:sz w:val="21"/>
                <w:szCs w:val="21"/>
                <w:color w:val="auto"/>
              </w:rPr>
            </w:pPr>
          </w:p>
        </w:tc>
        <w:tc>
          <w:tcPr>
            <w:tcW w:w="10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$(Ill ,803)</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80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left="120" w:right="105" w:firstLine="2"/>
        <w:spacing w:after="0" w:line="263" w:lineRule="auto"/>
        <w:rPr>
          <w:sz w:val="20"/>
          <w:szCs w:val="20"/>
          <w:color w:val="auto"/>
        </w:rPr>
      </w:pPr>
      <w:r>
        <w:rPr>
          <w:rFonts w:ascii="Times New Roman" w:cs="Times New Roman" w:eastAsia="Times New Roman" w:hAnsi="Times New Roman"/>
          <w:sz w:val="19"/>
          <w:szCs w:val="19"/>
          <w:color w:val="auto"/>
        </w:rPr>
        <w:t xml:space="preserve">Investments </w:t>
      </w:r>
      <w:r>
        <w:rPr>
          <w:rFonts w:ascii="Arial" w:cs="Arial" w:eastAsia="Arial" w:hAnsi="Arial"/>
          <w:sz w:val="19"/>
          <w:szCs w:val="19"/>
          <w:color w:val="auto"/>
        </w:rPr>
        <w:t>in</w:t>
      </w:r>
      <w:r>
        <w:rPr>
          <w:rFonts w:ascii="Times New Roman" w:cs="Times New Roman" w:eastAsia="Times New Roman" w:hAnsi="Times New Roman"/>
          <w:sz w:val="19"/>
          <w:szCs w:val="19"/>
          <w:color w:val="auto"/>
        </w:rPr>
        <w:t xml:space="preserve"> Affiliates. As of December 31, 2024, the Company's healthcare subsidiary held investments </w:t>
      </w:r>
      <w:r>
        <w:rPr>
          <w:rFonts w:ascii="Arial" w:cs="Arial" w:eastAsia="Arial" w:hAnsi="Arial"/>
          <w:sz w:val="19"/>
          <w:szCs w:val="19"/>
          <w:color w:val="auto"/>
        </w:rPr>
        <w:t>in</w:t>
      </w:r>
      <w:r>
        <w:rPr>
          <w:rFonts w:ascii="Times New Roman" w:cs="Times New Roman" w:eastAsia="Times New Roman" w:hAnsi="Times New Roman"/>
          <w:sz w:val="19"/>
          <w:szCs w:val="19"/>
          <w:color w:val="auto"/>
        </w:rPr>
        <w:t xml:space="preserve"> several affiliates that GHG actively manages; GHG held a 40% interest in each of the following affiliates: Residential Home Health lllinois, Residential Hospice lllinois, Mary Free Bed at Home, and Allegheny Health Network (AHN) Healthcare at Home. During the first quarter of 2022, GHG invested an additional $18.5 million in the Residential Home Health 111inois and Residential Hospice 111inois affi liates to fund their acquisition of certain home health and hospice assets of the NorthShore University HealthSystem. The transaction diluted GHG's interest in Residential Hospice lllinois resulting in a $0.6 million gain on sale of investment in affiliate (see Note 16). For the years ended December 31, 2024, 2023 and 2022, GHG recorded $17.5 million, $ 15.6 million and $13.9 million, respectively, in revenue for services provided to its affiliates.</w:t>
      </w:r>
    </w:p>
    <w:p>
      <w:pPr>
        <w:spacing w:after="0" w:line="260"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 xml:space="preserve">As of December 31, 2024, the Company held an approximate 18% interest in Intersection Holdings, LLC (Intersection), and accounts for its investment under the equity method. The Company holds two of the </w:t>
      </w:r>
      <w:r>
        <w:rPr>
          <w:rFonts w:ascii="Arial" w:cs="Arial" w:eastAsia="Arial" w:hAnsi="Arial"/>
          <w:sz w:val="17"/>
          <w:szCs w:val="17"/>
          <w:color w:val="auto"/>
        </w:rPr>
        <w:t>lO</w:t>
      </w:r>
      <w:r>
        <w:rPr>
          <w:rFonts w:ascii="Times New Roman" w:cs="Times New Roman" w:eastAsia="Times New Roman" w:hAnsi="Times New Roman"/>
          <w:sz w:val="19"/>
          <w:szCs w:val="19"/>
          <w:color w:val="auto"/>
        </w:rPr>
        <w:t xml:space="preserve"> seats of Intersection's governing board, which allows the Company to exercise significant influence over Intersection. In Apri l 2023, the Company loaned Intersection $30.0 million, which is repayable over five years at an interest rate of 9% per annum. The outstanding balance on this loan was $25.7 million as of December 31, 2024. The loan is repayable by May 2028.</w:t>
      </w: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300"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108</w:t>
        <w:tab/>
        <w:t>2024 FORM 10-K</w:t>
      </w:r>
    </w:p>
    <w:p>
      <w:pPr>
        <w:sectPr>
          <w:pgSz w:w="12240" w:h="15850" w:orient="portrait"/>
          <w:cols w:equalWidth="0" w:num="1">
            <w:col w:w="9365"/>
          </w:cols>
          <w:pgMar w:left="1440" w:top="1395" w:right="1440" w:bottom="721" w:gutter="0" w:footer="0" w:header="0"/>
          <w:type w:val="continuous"/>
        </w:sectPr>
      </w:pPr>
    </w:p>
    <w:bookmarkStart w:id="124" w:name="page125"/>
    <w:bookmarkEnd w:id="124"/>
    <w:p>
      <w:pPr>
        <w:jc w:val="both"/>
        <w:ind w:left="120" w:right="12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32">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As of December 31, 2024, the Company held a 50.4% interest in N2K Networks on a fully dilu ted basis, and accounts for its investment under the equity method. The Company holds two of the five seats of N2K Networks' governing board with the other shareholders retaining substantive participation rights to control the financial and operating decisions of N2K Networks through their representation on the board. In May 2024, the Company entered into a convertible promissory note agreement to loan N2K Networks $2.0 million. The convertible promissory note bears interest at a rate of 12% per annum and, subject to conversion provisions, all unpaid interest and principal are due by May 2027. In the third quarter of 2024, the Company recorded an impairment charge of $ 14.4 million on its investment in N2K Networks as a result of the investee exiting a significant product offering following losses incurred in the current and prior year.</w:t>
      </w:r>
    </w:p>
    <w:p>
      <w:pPr>
        <w:spacing w:after="0" w:line="263" w:lineRule="exact"/>
        <w:rPr>
          <w:sz w:val="20"/>
          <w:szCs w:val="20"/>
          <w:color w:val="auto"/>
        </w:rPr>
      </w:pPr>
    </w:p>
    <w:p>
      <w:pPr>
        <w:jc w:val="both"/>
        <w:ind w:left="120" w:right="125" w:firstLine="10"/>
        <w:spacing w:after="0" w:line="261" w:lineRule="auto"/>
        <w:rPr>
          <w:sz w:val="20"/>
          <w:szCs w:val="20"/>
          <w:color w:val="auto"/>
        </w:rPr>
      </w:pPr>
      <w:r>
        <w:rPr>
          <w:rFonts w:ascii="Times New Roman" w:cs="Times New Roman" w:eastAsia="Times New Roman" w:hAnsi="Times New Roman"/>
          <w:sz w:val="19"/>
          <w:szCs w:val="19"/>
          <w:color w:val="auto"/>
        </w:rPr>
        <w:t>In June 2023, the Company entered into an agreement to merge the Pinna business with Realm in return for an additional noncontrolling financial interest in Realm. The Company held an equity interest in Rea[m prior to the merger transaction, which was accounted for under the equity method. Following the merger transaction, the Company's convertible note in Realm was conve1ted into equity and the Company also made an additional investment in Realm. As of December 31, 2024, the Company held a 41.4% interest in Realm on a fully diluted basis, and continues to account for its investment under the equity method.</w:t>
      </w:r>
    </w:p>
    <w:p>
      <w:pPr>
        <w:spacing w:after="0" w:line="253" w:lineRule="exact"/>
        <w:rPr>
          <w:sz w:val="20"/>
          <w:szCs w:val="20"/>
          <w:color w:val="auto"/>
        </w:rPr>
      </w:pPr>
    </w:p>
    <w:p>
      <w:pPr>
        <w:jc w:val="both"/>
        <w:ind w:left="120" w:right="125" w:hanging="10"/>
        <w:spacing w:after="0" w:line="250" w:lineRule="auto"/>
        <w:rPr>
          <w:sz w:val="20"/>
          <w:szCs w:val="20"/>
          <w:color w:val="auto"/>
        </w:rPr>
      </w:pPr>
      <w:r>
        <w:rPr>
          <w:rFonts w:ascii="Times New Roman" w:cs="Times New Roman" w:eastAsia="Times New Roman" w:hAnsi="Times New Roman"/>
          <w:sz w:val="19"/>
          <w:szCs w:val="19"/>
          <w:color w:val="auto"/>
        </w:rPr>
        <w:t>The Company</w:t>
      </w:r>
      <w:r>
        <w:rPr>
          <w:sz w:val="20"/>
          <w:szCs w:val="20"/>
          <w:color w:val="auto"/>
        </w:rPr>
        <w:t xml:space="preserve"> </w:t>
      </w:r>
      <w:r>
        <w:rPr>
          <w:rFonts w:ascii="Times New Roman" w:cs="Times New Roman" w:eastAsia="Times New Roman" w:hAnsi="Times New Roman"/>
          <w:sz w:val="19"/>
          <w:szCs w:val="19"/>
          <w:color w:val="auto"/>
        </w:rPr>
        <w:t>had $38.0 million and $36.9 million in its investment accou nt that represents cumulative undistributed income in its investments in affiliates as of December 31, 2024 and 2023, respectively.</w:t>
      </w:r>
    </w:p>
    <w:p>
      <w:pPr>
        <w:spacing w:after="0" w:line="260"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Additionally, Kaplan International Holdings Limited (KIHL) held a 45% interest in a joint venture formed with University of York. KJHL loaned the joint venture £22 million, which is repayable over 25 years at an interest rate of7% and guaranteed by the University of York. The outstanding balance on this loan was £ 19.3 million as of December 3 1, 2024. The loan is repayable by December 204 1.</w:t>
      </w:r>
    </w:p>
    <w:p>
      <w:pPr>
        <w:spacing w:after="0" w:line="261"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 xml:space="preserve">Cost M ethod Investments. T he Company held investments without readily determinable fair values </w:t>
      </w:r>
      <w:r>
        <w:rPr>
          <w:rFonts w:ascii="Times New Roman" w:cs="Times New Roman" w:eastAsia="Times New Roman" w:hAnsi="Times New Roman"/>
          <w:sz w:val="18"/>
          <w:szCs w:val="18"/>
          <w:color w:val="auto"/>
        </w:rPr>
        <w:t>in</w:t>
      </w:r>
      <w:r>
        <w:rPr>
          <w:rFonts w:ascii="Times New Roman" w:cs="Times New Roman" w:eastAsia="Times New Roman" w:hAnsi="Times New Roman"/>
          <w:sz w:val="19"/>
          <w:szCs w:val="19"/>
          <w:color w:val="auto"/>
        </w:rPr>
        <w:t xml:space="preserve"> a number of equity securities that are accounted for as cost method investments, which are recorded at cost, less impairment, and adjusted for observable price changes for identical or similar investments of the same issuer. The carrying value of these investments was $74.8 million and $74.0 million as of December 31, 2024 and 2023, respectively. During the year ended December 31, 2024, the Company recorded losses of $1.7 million to those equity securities based on observable transactions. During the years ended December 31, 2024, 2023 and 2022, the Company recorded gains of $0.2 million, $3.1 millio n a nd $6.9 million, respectively, to those equity securities based on observable transactions. For the years ended December 3 1, 2024, 2023 and 2022, the Company recorded impairment losses of $0.7 million, $0.5 million and $1.3 million, respectively, to those securities.</w:t>
      </w:r>
    </w:p>
    <w:p>
      <w:pPr>
        <w:spacing w:after="0" w:line="200" w:lineRule="exact"/>
        <w:rPr>
          <w:sz w:val="20"/>
          <w:szCs w:val="20"/>
          <w:color w:val="auto"/>
        </w:rPr>
      </w:pPr>
    </w:p>
    <w:p>
      <w:pPr>
        <w:spacing w:after="0" w:line="399" w:lineRule="exact"/>
        <w:rPr>
          <w:sz w:val="20"/>
          <w:szCs w:val="20"/>
          <w:color w:val="auto"/>
        </w:rPr>
      </w:pPr>
    </w:p>
    <w:p>
      <w:pPr>
        <w:ind w:left="120" w:right="465" w:hanging="8"/>
        <w:spacing w:after="0" w:line="239" w:lineRule="auto"/>
        <w:tabs>
          <w:tab w:leader="none" w:pos="311"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ACCOUNTS RECEIVABLE, ACCOUNTS PAYABLE, VEHICLE FLOOR PLAN PAYABLE AND ACCR UED LIABILITIES</w:t>
      </w:r>
    </w:p>
    <w:p>
      <w:pPr>
        <w:spacing w:after="0" w:line="1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Accounts receivable consist of the following:</w:t>
      </w:r>
    </w:p>
    <w:p>
      <w:pPr>
        <w:spacing w:after="0" w:line="210"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color w:val="auto"/>
        </w:rPr>
        <w:t>As o f December 31</w:t>
      </w:r>
    </w:p>
    <w:p>
      <w:pPr>
        <w:spacing w:after="0" w:line="55"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900" w:type="dxa"/>
            <w:vAlign w:val="bottom"/>
          </w:tcPr>
          <w:p>
            <w:pPr>
              <w:spacing w:after="0"/>
              <w:rPr>
                <w:sz w:val="20"/>
                <w:szCs w:val="20"/>
                <w:color w:val="auto"/>
              </w:rPr>
            </w:pPr>
            <w:r>
              <w:rPr>
                <w:rFonts w:ascii="Arial" w:cs="Arial" w:eastAsia="Arial" w:hAnsi="Arial"/>
                <w:sz w:val="15"/>
                <w:szCs w:val="15"/>
                <w:color w:val="auto"/>
              </w:rPr>
              <w:t>(in thousands)</w:t>
            </w:r>
          </w:p>
        </w:tc>
        <w:tc>
          <w:tcPr>
            <w:tcW w:w="780" w:type="dxa"/>
            <w:vAlign w:val="bottom"/>
            <w:gridSpan w:val="2"/>
          </w:tcPr>
          <w:p>
            <w:pPr>
              <w:jc w:val="right"/>
              <w:ind w:right="220"/>
              <w:spacing w:after="0"/>
              <w:rPr>
                <w:sz w:val="20"/>
                <w:szCs w:val="20"/>
                <w:color w:val="auto"/>
              </w:rPr>
            </w:pPr>
            <w:r>
              <w:rPr>
                <w:rFonts w:ascii="Arial" w:cs="Arial" w:eastAsia="Arial" w:hAnsi="Arial"/>
                <w:sz w:val="16"/>
                <w:szCs w:val="16"/>
                <w:color w:val="auto"/>
              </w:rPr>
              <w:t>2024</w:t>
            </w:r>
          </w:p>
        </w:tc>
        <w:tc>
          <w:tcPr>
            <w:tcW w:w="1040" w:type="dxa"/>
            <w:vAlign w:val="bottom"/>
            <w:gridSpan w:val="3"/>
          </w:tcPr>
          <w:p>
            <w:pPr>
              <w:jc w:val="right"/>
              <w:ind w:right="220"/>
              <w:spacing w:after="0"/>
              <w:rPr>
                <w:sz w:val="20"/>
                <w:szCs w:val="20"/>
                <w:color w:val="auto"/>
              </w:rPr>
            </w:pPr>
            <w:r>
              <w:rPr>
                <w:rFonts w:ascii="Arial" w:cs="Arial" w:eastAsia="Arial" w:hAnsi="Arial"/>
                <w:sz w:val="16"/>
                <w:szCs w:val="16"/>
                <w:color w:val="auto"/>
              </w:rPr>
              <w:t>2023</w:t>
            </w:r>
          </w:p>
        </w:tc>
        <w:tc>
          <w:tcPr>
            <w:tcW w:w="0" w:type="dxa"/>
            <w:vAlign w:val="bottom"/>
          </w:tcPr>
          <w:p>
            <w:pPr>
              <w:spacing w:after="0"/>
              <w:rPr>
                <w:sz w:val="1"/>
                <w:szCs w:val="1"/>
                <w:color w:val="auto"/>
              </w:rPr>
            </w:pPr>
          </w:p>
        </w:tc>
      </w:tr>
      <w:tr>
        <w:trPr>
          <w:trHeight w:val="41"/>
        </w:trPr>
        <w:tc>
          <w:tcPr>
            <w:tcW w:w="49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Receivables from contracts with customers, less</w:t>
            </w:r>
          </w:p>
        </w:tc>
        <w:tc>
          <w:tcPr>
            <w:tcW w:w="20" w:type="dxa"/>
            <w:vAlign w:val="bottom"/>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49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49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estimated c redit losses of $23,719 and $24,667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$477,827</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$496,172</w:t>
            </w:r>
          </w:p>
        </w:tc>
        <w:tc>
          <w:tcPr>
            <w:tcW w:w="0" w:type="dxa"/>
            <w:vAlign w:val="bottom"/>
          </w:tcPr>
          <w:p>
            <w:pPr>
              <w:spacing w:after="0"/>
              <w:rPr>
                <w:sz w:val="1"/>
                <w:szCs w:val="1"/>
                <w:color w:val="auto"/>
              </w:rPr>
            </w:pPr>
          </w:p>
        </w:tc>
      </w:tr>
      <w:tr>
        <w:trPr>
          <w:trHeight w:val="246"/>
        </w:trPr>
        <w:tc>
          <w:tcPr>
            <w:tcW w:w="4900" w:type="dxa"/>
            <w:vAlign w:val="bottom"/>
          </w:tcPr>
          <w:p>
            <w:pPr>
              <w:spacing w:after="0"/>
              <w:rPr>
                <w:sz w:val="20"/>
                <w:szCs w:val="20"/>
                <w:color w:val="auto"/>
              </w:rPr>
            </w:pPr>
            <w:r>
              <w:rPr>
                <w:rFonts w:ascii="Times New Roman" w:cs="Times New Roman" w:eastAsia="Times New Roman" w:hAnsi="Times New Roman"/>
                <w:sz w:val="19"/>
                <w:szCs w:val="19"/>
                <w:color w:val="auto"/>
              </w:rPr>
              <w:t>Other receivables . . ....... . ..... ... . ...... . ..... .</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36,599</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28,915</w:t>
            </w:r>
          </w:p>
        </w:tc>
        <w:tc>
          <w:tcPr>
            <w:tcW w:w="0" w:type="dxa"/>
            <w:vAlign w:val="bottom"/>
          </w:tcPr>
          <w:p>
            <w:pPr>
              <w:spacing w:after="0"/>
              <w:rPr>
                <w:sz w:val="1"/>
                <w:szCs w:val="1"/>
                <w:color w:val="auto"/>
              </w:rPr>
            </w:pPr>
          </w:p>
        </w:tc>
      </w:tr>
      <w:tr>
        <w:trPr>
          <w:trHeight w:val="317"/>
        </w:trPr>
        <w:tc>
          <w:tcPr>
            <w:tcW w:w="490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$514,426</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$525,087</w:t>
            </w: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20" w:type="dxa"/>
            <w:vAlign w:val="bottom"/>
            <w:tcBorders>
              <w:bottom w:val="single" w:sz="8" w:color="504C4C"/>
            </w:tcBorders>
          </w:tcPr>
          <w:p>
            <w:pPr>
              <w:spacing w:after="0"/>
              <w:rPr>
                <w:sz w:val="8"/>
                <w:szCs w:val="8"/>
                <w:color w:val="auto"/>
              </w:rPr>
            </w:pPr>
          </w:p>
        </w:tc>
        <w:tc>
          <w:tcPr>
            <w:tcW w:w="760" w:type="dxa"/>
            <w:vAlign w:val="bottom"/>
            <w:tcBorders>
              <w:bottom w:val="single" w:sz="8" w:color="504C4C"/>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Borders>
              <w:bottom w:val="single" w:sz="8" w:color="504C4C"/>
            </w:tcBorders>
          </w:tcPr>
          <w:p>
            <w:pPr>
              <w:spacing w:after="0"/>
              <w:rPr>
                <w:sz w:val="8"/>
                <w:szCs w:val="8"/>
                <w:color w:val="auto"/>
              </w:rPr>
            </w:pPr>
          </w:p>
        </w:tc>
        <w:tc>
          <w:tcPr>
            <w:tcW w:w="740" w:type="dxa"/>
            <w:vAlign w:val="bottom"/>
            <w:tcBorders>
              <w:bottom w:val="single" w:sz="8" w:color="504C4C"/>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109</w:t>
      </w:r>
    </w:p>
    <w:p>
      <w:pPr>
        <w:sectPr>
          <w:pgSz w:w="12240" w:h="15850" w:orient="portrait"/>
          <w:cols w:equalWidth="0" w:num="1">
            <w:col w:w="9365"/>
          </w:cols>
          <w:pgMar w:left="1440" w:top="1395" w:right="1440" w:bottom="721" w:gutter="0" w:footer="0" w:header="0"/>
          <w:type w:val="continuous"/>
        </w:sectPr>
      </w:pPr>
    </w:p>
    <w:bookmarkStart w:id="125" w:name="page126"/>
    <w:bookmarkEnd w:id="125"/>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3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The changes in estimated credit losses were </w:t>
      </w:r>
      <w:r>
        <w:rPr>
          <w:rFonts w:ascii="Times New Roman" w:cs="Times New Roman" w:eastAsia="Times New Roman" w:hAnsi="Times New Roman"/>
          <w:sz w:val="21"/>
          <w:szCs w:val="21"/>
          <w:color w:val="auto"/>
        </w:rPr>
        <w:t>as</w:t>
      </w:r>
      <w:r>
        <w:rPr>
          <w:rFonts w:ascii="Times New Roman" w:cs="Times New Roman" w:eastAsia="Times New Roman" w:hAnsi="Times New Roman"/>
          <w:sz w:val="19"/>
          <w:szCs w:val="19"/>
          <w:color w:val="auto"/>
        </w:rPr>
        <w:t xml:space="preserve"> follows:</w:t>
      </w:r>
    </w:p>
    <w:p>
      <w:pPr>
        <w:spacing w:after="0" w:line="230" w:lineRule="exact"/>
        <w:rPr>
          <w:sz w:val="20"/>
          <w:szCs w:val="20"/>
          <w:color w:val="auto"/>
        </w:rPr>
      </w:pPr>
    </w:p>
    <w:tbl>
      <w:tblPr>
        <w:tblLayout w:type="fixed"/>
        <w:tblInd w:w="920" w:type="dxa"/>
        <w:tblCellMar>
          <w:top w:w="0" w:type="dxa"/>
          <w:left w:w="0" w:type="dxa"/>
          <w:bottom w:w="0" w:type="dxa"/>
          <w:right w:w="0" w:type="dxa"/>
        </w:tblCellMar>
      </w:tblPr>
      <w:tr>
        <w:trPr>
          <w:trHeight w:val="131"/>
        </w:trPr>
        <w:tc>
          <w:tcPr>
            <w:tcW w:w="2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color w:val="auto"/>
              </w:rPr>
              <w:t>Addition.~-</w:t>
            </w: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63"/>
        </w:trPr>
        <w:tc>
          <w:tcPr>
            <w:tcW w:w="2300" w:type="dxa"/>
            <w:vAlign w:val="bottom"/>
          </w:tcPr>
          <w:p>
            <w:pPr>
              <w:spacing w:after="0"/>
              <w:rPr>
                <w:sz w:val="14"/>
                <w:szCs w:val="14"/>
                <w:color w:val="auto"/>
              </w:rPr>
            </w:pPr>
          </w:p>
        </w:tc>
        <w:tc>
          <w:tcPr>
            <w:tcW w:w="2060" w:type="dxa"/>
            <w:vAlign w:val="bottom"/>
            <w:gridSpan w:val="2"/>
          </w:tcPr>
          <w:p>
            <w:pPr>
              <w:jc w:val="center"/>
              <w:ind w:left="1239"/>
              <w:spacing w:after="0" w:line="163" w:lineRule="exact"/>
              <w:rPr>
                <w:sz w:val="20"/>
                <w:szCs w:val="20"/>
                <w:color w:val="auto"/>
              </w:rPr>
            </w:pPr>
            <w:r>
              <w:rPr>
                <w:rFonts w:ascii="Times New Roman" w:cs="Times New Roman" w:eastAsia="Times New Roman" w:hAnsi="Times New Roman"/>
                <w:sz w:val="16"/>
                <w:szCs w:val="16"/>
                <w:color w:val="auto"/>
              </w:rPr>
              <w:t>Balance at</w:t>
            </w:r>
          </w:p>
        </w:tc>
        <w:tc>
          <w:tcPr>
            <w:tcW w:w="300" w:type="dxa"/>
            <w:vAlign w:val="bottom"/>
          </w:tcPr>
          <w:p>
            <w:pPr>
              <w:spacing w:after="0"/>
              <w:rPr>
                <w:sz w:val="14"/>
                <w:szCs w:val="14"/>
                <w:color w:val="auto"/>
              </w:rPr>
            </w:pPr>
          </w:p>
        </w:tc>
        <w:tc>
          <w:tcPr>
            <w:tcW w:w="1080" w:type="dxa"/>
            <w:vAlign w:val="bottom"/>
            <w:gridSpan w:val="2"/>
          </w:tcPr>
          <w:p>
            <w:pPr>
              <w:jc w:val="center"/>
              <w:ind w:right="320"/>
              <w:spacing w:after="0" w:line="163" w:lineRule="exact"/>
              <w:rPr>
                <w:sz w:val="20"/>
                <w:szCs w:val="20"/>
                <w:color w:val="auto"/>
              </w:rPr>
            </w:pPr>
            <w:r>
              <w:rPr>
                <w:rFonts w:ascii="Times New Roman" w:cs="Times New Roman" w:eastAsia="Times New Roman" w:hAnsi="Times New Roman"/>
                <w:sz w:val="16"/>
                <w:szCs w:val="16"/>
                <w:color w:val="auto"/>
              </w:rPr>
              <w:t>Charged to</w:t>
            </w:r>
          </w:p>
        </w:tc>
        <w:tc>
          <w:tcPr>
            <w:tcW w:w="760" w:type="dxa"/>
            <w:vAlign w:val="bottom"/>
          </w:tcPr>
          <w:p>
            <w:pPr>
              <w:spacing w:after="0"/>
              <w:rPr>
                <w:sz w:val="14"/>
                <w:szCs w:val="14"/>
                <w:color w:val="auto"/>
              </w:rPr>
            </w:pPr>
          </w:p>
        </w:tc>
        <w:tc>
          <w:tcPr>
            <w:tcW w:w="1020" w:type="dxa"/>
            <w:vAlign w:val="bottom"/>
            <w:gridSpan w:val="2"/>
          </w:tcPr>
          <w:p>
            <w:pPr>
              <w:jc w:val="center"/>
              <w:ind w:left="219"/>
              <w:spacing w:after="0" w:line="163" w:lineRule="exact"/>
              <w:rPr>
                <w:sz w:val="20"/>
                <w:szCs w:val="20"/>
                <w:color w:val="auto"/>
              </w:rPr>
            </w:pPr>
            <w:r>
              <w:rPr>
                <w:rFonts w:ascii="Times New Roman" w:cs="Times New Roman" w:eastAsia="Times New Roman" w:hAnsi="Times New Roman"/>
                <w:sz w:val="16"/>
                <w:szCs w:val="16"/>
                <w:color w:val="auto"/>
              </w:rPr>
              <w:t>Balance at</w:t>
            </w:r>
          </w:p>
        </w:tc>
      </w:tr>
      <w:tr>
        <w:trPr>
          <w:trHeight w:val="162"/>
        </w:trPr>
        <w:tc>
          <w:tcPr>
            <w:tcW w:w="2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Beginning</w:t>
            </w:r>
          </w:p>
        </w:tc>
        <w:tc>
          <w:tcPr>
            <w:tcW w:w="300" w:type="dxa"/>
            <w:vAlign w:val="bottom"/>
          </w:tcPr>
          <w:p>
            <w:pPr>
              <w:spacing w:after="0"/>
              <w:rPr>
                <w:sz w:val="14"/>
                <w:szCs w:val="14"/>
                <w:color w:val="auto"/>
              </w:rPr>
            </w:pPr>
          </w:p>
        </w:tc>
        <w:tc>
          <w:tcPr>
            <w:tcW w:w="1080" w:type="dxa"/>
            <w:vAlign w:val="bottom"/>
            <w:gridSpan w:val="2"/>
          </w:tcPr>
          <w:p>
            <w:pPr>
              <w:jc w:val="center"/>
              <w:ind w:right="300"/>
              <w:spacing w:after="0" w:line="162" w:lineRule="exact"/>
              <w:rPr>
                <w:sz w:val="20"/>
                <w:szCs w:val="20"/>
                <w:color w:val="auto"/>
              </w:rPr>
            </w:pPr>
            <w:r>
              <w:rPr>
                <w:rFonts w:ascii="Times New Roman" w:cs="Times New Roman" w:eastAsia="Times New Roman" w:hAnsi="Times New Roman"/>
                <w:sz w:val="16"/>
                <w:szCs w:val="16"/>
                <w:color w:val="auto"/>
              </w:rPr>
              <w:t>Costs and</w:t>
            </w: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End of</w:t>
            </w:r>
          </w:p>
        </w:tc>
      </w:tr>
      <w:tr>
        <w:trPr>
          <w:trHeight w:val="179"/>
        </w:trPr>
        <w:tc>
          <w:tcPr>
            <w:tcW w:w="23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 thousands)</w:t>
            </w:r>
          </w:p>
        </w:tc>
        <w:tc>
          <w:tcPr>
            <w:tcW w:w="1340" w:type="dxa"/>
            <w:vAlign w:val="bottom"/>
          </w:tcPr>
          <w:p>
            <w:pPr>
              <w:spacing w:after="0"/>
              <w:rPr>
                <w:sz w:val="15"/>
                <w:szCs w:val="15"/>
                <w:color w:val="auto"/>
              </w:rPr>
            </w:pPr>
          </w:p>
        </w:tc>
        <w:tc>
          <w:tcPr>
            <w:tcW w:w="7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of Period</w:t>
            </w:r>
          </w:p>
        </w:tc>
        <w:tc>
          <w:tcPr>
            <w:tcW w:w="300" w:type="dxa"/>
            <w:vAlign w:val="bottom"/>
          </w:tcPr>
          <w:p>
            <w:pPr>
              <w:spacing w:after="0"/>
              <w:rPr>
                <w:sz w:val="15"/>
                <w:szCs w:val="15"/>
                <w:color w:val="auto"/>
              </w:rPr>
            </w:pPr>
          </w:p>
        </w:tc>
        <w:tc>
          <w:tcPr>
            <w:tcW w:w="1080" w:type="dxa"/>
            <w:vAlign w:val="bottom"/>
            <w:gridSpan w:val="2"/>
          </w:tcPr>
          <w:p>
            <w:pPr>
              <w:jc w:val="center"/>
              <w:ind w:right="300"/>
              <w:spacing w:after="0" w:line="179" w:lineRule="exact"/>
              <w:rPr>
                <w:sz w:val="20"/>
                <w:szCs w:val="20"/>
                <w:color w:val="auto"/>
              </w:rPr>
            </w:pPr>
            <w:r>
              <w:rPr>
                <w:rFonts w:ascii="Times New Roman" w:cs="Times New Roman" w:eastAsia="Times New Roman" w:hAnsi="Times New Roman"/>
                <w:sz w:val="16"/>
                <w:szCs w:val="16"/>
                <w:color w:val="auto"/>
              </w:rPr>
              <w:t>Expenses</w:t>
            </w:r>
          </w:p>
        </w:tc>
        <w:tc>
          <w:tcPr>
            <w:tcW w:w="76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Deductions</w:t>
            </w:r>
          </w:p>
        </w:tc>
        <w:tc>
          <w:tcPr>
            <w:tcW w:w="300" w:type="dxa"/>
            <w:vAlign w:val="bottom"/>
          </w:tcPr>
          <w:p>
            <w:pPr>
              <w:spacing w:after="0"/>
              <w:rPr>
                <w:sz w:val="15"/>
                <w:szCs w:val="15"/>
                <w:color w:val="auto"/>
              </w:rPr>
            </w:pPr>
          </w:p>
        </w:tc>
        <w:tc>
          <w:tcPr>
            <w:tcW w:w="7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Period</w:t>
            </w:r>
          </w:p>
        </w:tc>
      </w:tr>
      <w:tr>
        <w:trPr>
          <w:trHeight w:val="33"/>
        </w:trPr>
        <w:tc>
          <w:tcPr>
            <w:tcW w:w="2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Borders>
              <w:bottom w:val="single" w:sz="8" w:color="181414"/>
            </w:tcBorders>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Borders>
              <w:bottom w:val="single" w:sz="8" w:color="181414"/>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181414"/>
            </w:tcBorders>
          </w:tcPr>
          <w:p>
            <w:pPr>
              <w:spacing w:after="0"/>
              <w:rPr>
                <w:sz w:val="2"/>
                <w:szCs w:val="2"/>
                <w:color w:val="auto"/>
              </w:rPr>
            </w:pPr>
          </w:p>
        </w:tc>
      </w:tr>
    </w:tbl>
    <w:p>
      <w:pPr>
        <w:spacing w:after="0" w:line="50" w:lineRule="exact"/>
        <w:rPr>
          <w:sz w:val="20"/>
          <w:szCs w:val="20"/>
          <w:color w:val="auto"/>
        </w:rPr>
      </w:pPr>
    </w:p>
    <w:tbl>
      <w:tblPr>
        <w:tblLayout w:type="fixed"/>
        <w:tblInd w:w="920" w:type="dxa"/>
        <w:tblCellMar>
          <w:top w:w="0" w:type="dxa"/>
          <w:left w:w="0" w:type="dxa"/>
          <w:bottom w:w="0" w:type="dxa"/>
          <w:right w:w="0" w:type="dxa"/>
        </w:tblCellMar>
      </w:tblPr>
      <w:tr>
        <w:trPr>
          <w:trHeight w:val="218"/>
        </w:trPr>
        <w:tc>
          <w:tcPr>
            <w:tcW w:w="440" w:type="dxa"/>
            <w:vAlign w:val="bottom"/>
          </w:tcPr>
          <w:p>
            <w:pPr>
              <w:spacing w:after="0"/>
              <w:rPr>
                <w:sz w:val="20"/>
                <w:szCs w:val="20"/>
                <w:color w:val="auto"/>
              </w:rPr>
            </w:pPr>
            <w:r>
              <w:rPr>
                <w:rFonts w:ascii="Times New Roman" w:cs="Times New Roman" w:eastAsia="Times New Roman" w:hAnsi="Times New Roman"/>
                <w:sz w:val="19"/>
                <w:szCs w:val="19"/>
                <w:color w:val="auto"/>
              </w:rPr>
              <w:t>2024</w:t>
            </w:r>
          </w:p>
        </w:tc>
        <w:tc>
          <w:tcPr>
            <w:tcW w:w="3080" w:type="dxa"/>
            <w:vAlign w:val="bottom"/>
          </w:tcPr>
          <w:p>
            <w:pPr>
              <w:ind w:left="60"/>
              <w:spacing w:after="0"/>
              <w:rPr>
                <w:sz w:val="20"/>
                <w:szCs w:val="20"/>
                <w:color w:val="auto"/>
              </w:rPr>
            </w:pPr>
            <w:r>
              <w:rPr>
                <w:rFonts w:ascii="Arial" w:cs="Arial" w:eastAsia="Arial" w:hAnsi="Arial"/>
                <w:sz w:val="18"/>
                <w:szCs w:val="18"/>
                <w:color w:val="auto"/>
              </w:rPr>
              <w:t>. ............................</w:t>
            </w:r>
          </w:p>
        </w:tc>
        <w:tc>
          <w:tcPr>
            <w:tcW w:w="10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$24,667</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$3,591</w:t>
            </w: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$(4,539)</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$23,719</w:t>
            </w:r>
          </w:p>
        </w:tc>
      </w:t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9"/>
                <w:szCs w:val="19"/>
                <w:color w:val="auto"/>
              </w:rPr>
              <w:t>2023</w:t>
            </w:r>
          </w:p>
        </w:tc>
        <w:tc>
          <w:tcPr>
            <w:tcW w:w="3080" w:type="dxa"/>
            <w:vAlign w:val="bottom"/>
          </w:tcPr>
          <w:p>
            <w:pPr>
              <w:ind w:left="60"/>
              <w:spacing w:after="0"/>
              <w:rPr>
                <w:sz w:val="20"/>
                <w:szCs w:val="20"/>
                <w:color w:val="auto"/>
              </w:rPr>
            </w:pPr>
            <w:r>
              <w:rPr>
                <w:rFonts w:ascii="Arial" w:cs="Arial" w:eastAsia="Arial" w:hAnsi="Arial"/>
                <w:sz w:val="18"/>
                <w:szCs w:val="18"/>
                <w:color w:val="auto"/>
              </w:rPr>
              <w:t>. .. ... . .. . .... . ........ . .. . . .</w:t>
            </w:r>
          </w:p>
        </w:tc>
        <w:tc>
          <w:tcPr>
            <w:tcW w:w="10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21,387</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6,045</w:t>
            </w: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(2,765)</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24,667</w:t>
            </w:r>
          </w:p>
        </w:tc>
      </w:t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19"/>
                <w:szCs w:val="19"/>
                <w:color w:val="auto"/>
              </w:rPr>
              <w:t>2022</w:t>
            </w:r>
          </w:p>
        </w:tc>
        <w:tc>
          <w:tcPr>
            <w:tcW w:w="3080" w:type="dxa"/>
            <w:vAlign w:val="bottom"/>
          </w:tcPr>
          <w:p>
            <w:pPr>
              <w:ind w:left="60"/>
              <w:spacing w:after="0"/>
              <w:rPr>
                <w:sz w:val="20"/>
                <w:szCs w:val="20"/>
                <w:color w:val="auto"/>
              </w:rPr>
            </w:pPr>
            <w:r>
              <w:rPr>
                <w:rFonts w:ascii="Times New Roman" w:cs="Times New Roman" w:eastAsia="Times New Roman" w:hAnsi="Times New Roman"/>
                <w:sz w:val="3"/>
                <w:szCs w:val="3"/>
                <w:color w:val="auto"/>
              </w:rPr>
              <w:t>•••••••0•••••••••••••••••••••</w:t>
            </w:r>
          </w:p>
        </w:tc>
        <w:tc>
          <w:tcPr>
            <w:tcW w:w="1020" w:type="dxa"/>
            <w:vAlign w:val="bottom"/>
          </w:tcPr>
          <w:p>
            <w:pPr>
              <w:jc w:val="right"/>
              <w:ind w:right="126"/>
              <w:spacing w:after="0"/>
              <w:rPr>
                <w:sz w:val="20"/>
                <w:szCs w:val="20"/>
                <w:color w:val="auto"/>
              </w:rPr>
            </w:pPr>
            <w:r>
              <w:rPr>
                <w:rFonts w:ascii="Times New Roman" w:cs="Times New Roman" w:eastAsia="Times New Roman" w:hAnsi="Times New Roman"/>
                <w:sz w:val="19"/>
                <w:szCs w:val="19"/>
                <w:color w:val="auto"/>
              </w:rPr>
              <w:t>21,836</w:t>
            </w:r>
          </w:p>
        </w:tc>
        <w:tc>
          <w:tcPr>
            <w:tcW w:w="1040" w:type="dxa"/>
            <w:vAlign w:val="bottom"/>
          </w:tcPr>
          <w:p>
            <w:pPr>
              <w:jc w:val="right"/>
              <w:ind w:right="166"/>
              <w:spacing w:after="0"/>
              <w:rPr>
                <w:sz w:val="20"/>
                <w:szCs w:val="20"/>
                <w:color w:val="auto"/>
              </w:rPr>
            </w:pPr>
            <w:r>
              <w:rPr>
                <w:rFonts w:ascii="Times New Roman" w:cs="Times New Roman" w:eastAsia="Times New Roman" w:hAnsi="Times New Roman"/>
                <w:sz w:val="19"/>
                <w:szCs w:val="19"/>
                <w:color w:val="auto"/>
              </w:rPr>
              <w:t>2,958</w:t>
            </w:r>
          </w:p>
        </w:tc>
        <w:tc>
          <w:tcPr>
            <w:tcW w:w="1080" w:type="dxa"/>
            <w:vAlign w:val="bottom"/>
          </w:tcPr>
          <w:p>
            <w:pPr>
              <w:jc w:val="right"/>
              <w:ind w:right="66"/>
              <w:spacing w:after="0"/>
              <w:rPr>
                <w:sz w:val="20"/>
                <w:szCs w:val="20"/>
                <w:color w:val="auto"/>
              </w:rPr>
            </w:pPr>
            <w:r>
              <w:rPr>
                <w:rFonts w:ascii="Times New Roman" w:cs="Times New Roman" w:eastAsia="Times New Roman" w:hAnsi="Times New Roman"/>
                <w:sz w:val="19"/>
                <w:szCs w:val="19"/>
                <w:color w:val="auto"/>
              </w:rPr>
              <w:t>(3,407)</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21,387</w:t>
            </w:r>
          </w:p>
        </w:tc>
      </w:tr>
    </w:tbl>
    <w:p>
      <w:pPr>
        <w:spacing w:after="0" w:line="2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Accounts payable, vehicle floor plan payable and accrued liabilitEes consist of the following:</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color w:val="auto"/>
              </w:rPr>
              <w:t>As o0f December 31</w:t>
            </w:r>
          </w:p>
        </w:tc>
        <w:tc>
          <w:tcPr>
            <w:tcW w:w="0" w:type="dxa"/>
            <w:vAlign w:val="bottom"/>
          </w:tcPr>
          <w:p>
            <w:pPr>
              <w:spacing w:after="0"/>
              <w:rPr>
                <w:sz w:val="1"/>
                <w:szCs w:val="1"/>
                <w:color w:val="auto"/>
              </w:rPr>
            </w:pPr>
          </w:p>
        </w:tc>
      </w:tr>
      <w:tr>
        <w:trPr>
          <w:trHeight w:val="41"/>
        </w:trPr>
        <w:tc>
          <w:tcPr>
            <w:tcW w:w="47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3"/>
                <w:szCs w:val="3"/>
                <w:color w:val="auto"/>
              </w:rPr>
            </w:pPr>
          </w:p>
        </w:tc>
        <w:tc>
          <w:tcPr>
            <w:tcW w:w="760" w:type="dxa"/>
            <w:vAlign w:val="bottom"/>
            <w:tcBorders>
              <w:bottom w:val="single" w:sz="8" w:color="404040"/>
            </w:tcBorders>
          </w:tcPr>
          <w:p>
            <w:pPr>
              <w:spacing w:after="0"/>
              <w:rPr>
                <w:sz w:val="3"/>
                <w:szCs w:val="3"/>
                <w:color w:val="auto"/>
              </w:rPr>
            </w:pPr>
          </w:p>
        </w:tc>
        <w:tc>
          <w:tcPr>
            <w:tcW w:w="300" w:type="dxa"/>
            <w:vAlign w:val="bottom"/>
            <w:tcBorders>
              <w:bottom w:val="single" w:sz="8" w:color="404040"/>
            </w:tcBorders>
          </w:tcPr>
          <w:p>
            <w:pPr>
              <w:spacing w:after="0"/>
              <w:rPr>
                <w:sz w:val="3"/>
                <w:szCs w:val="3"/>
                <w:color w:val="auto"/>
              </w:rPr>
            </w:pPr>
          </w:p>
        </w:tc>
        <w:tc>
          <w:tcPr>
            <w:tcW w:w="740" w:type="dxa"/>
            <w:vAlign w:val="bottom"/>
            <w:tcBorders>
              <w:bottom w:val="single" w:sz="8" w:color="404040"/>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780" w:type="dxa"/>
            <w:vAlign w:val="bottom"/>
            <w:vMerge w:val="continue"/>
          </w:tcPr>
          <w:p>
            <w:pPr>
              <w:spacing w:after="0"/>
              <w:rPr>
                <w:sz w:val="16"/>
                <w:szCs w:val="16"/>
                <w:color w:val="auto"/>
              </w:rPr>
            </w:pPr>
          </w:p>
        </w:tc>
        <w:tc>
          <w:tcPr>
            <w:tcW w:w="900" w:type="dxa"/>
            <w:vAlign w:val="bottom"/>
            <w:gridSpan w:val="2"/>
          </w:tcPr>
          <w:p>
            <w:pPr>
              <w:jc w:val="right"/>
              <w:ind w:right="139"/>
              <w:spacing w:after="0"/>
              <w:rPr>
                <w:sz w:val="20"/>
                <w:szCs w:val="20"/>
                <w:color w:val="auto"/>
              </w:rPr>
            </w:pPr>
            <w:r>
              <w:rPr>
                <w:rFonts w:ascii="Arial" w:cs="Arial" w:eastAsia="Arial" w:hAnsi="Arial"/>
                <w:sz w:val="14"/>
                <w:szCs w:val="14"/>
                <w:color w:val="auto"/>
              </w:rPr>
              <w:t>2024</w:t>
            </w: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32"/>
        </w:trPr>
        <w:tc>
          <w:tcPr>
            <w:tcW w:w="478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Borders>
              <w:bottom w:val="single" w:sz="8" w:color="282828"/>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Accounts payable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$ 160,384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$ 154,484</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Vehicle floor plan payable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147,884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148,300</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Accrued compensation and related benefits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172,915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154,580</w:t>
            </w:r>
          </w:p>
        </w:tc>
        <w:tc>
          <w:tcPr>
            <w:tcW w:w="0" w:type="dxa"/>
            <w:vAlign w:val="bottom"/>
          </w:tcPr>
          <w:p>
            <w:pPr>
              <w:spacing w:after="0"/>
              <w:rPr>
                <w:sz w:val="1"/>
                <w:szCs w:val="1"/>
                <w:color w:val="auto"/>
              </w:rPr>
            </w:pPr>
          </w:p>
        </w:tc>
      </w:tr>
      <w:tr>
        <w:trPr>
          <w:trHeight w:val="238"/>
        </w:trPr>
        <w:tc>
          <w:tcPr>
            <w:tcW w:w="4780" w:type="dxa"/>
            <w:vAlign w:val="bottom"/>
          </w:tcPr>
          <w:p>
            <w:pPr>
              <w:spacing w:after="0"/>
              <w:rPr>
                <w:sz w:val="20"/>
                <w:szCs w:val="20"/>
                <w:color w:val="auto"/>
              </w:rPr>
            </w:pPr>
            <w:r>
              <w:rPr>
                <w:rFonts w:ascii="Times New Roman" w:cs="Times New Roman" w:eastAsia="Times New Roman" w:hAnsi="Times New Roman"/>
                <w:sz w:val="19"/>
                <w:szCs w:val="19"/>
                <w:color w:val="auto"/>
              </w:rPr>
              <w:t>Other accrued liabilities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231,322</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237,157</w:t>
            </w:r>
          </w:p>
        </w:tc>
        <w:tc>
          <w:tcPr>
            <w:tcW w:w="0" w:type="dxa"/>
            <w:vAlign w:val="bottom"/>
          </w:tcPr>
          <w:p>
            <w:pPr>
              <w:spacing w:after="0"/>
              <w:rPr>
                <w:sz w:val="1"/>
                <w:szCs w:val="1"/>
                <w:color w:val="auto"/>
              </w:rPr>
            </w:pPr>
          </w:p>
        </w:tc>
      </w:tr>
      <w:tr>
        <w:trPr>
          <w:trHeight w:val="315"/>
        </w:trPr>
        <w:tc>
          <w:tcPr>
            <w:tcW w:w="478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$712,505</w:t>
            </w: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$694,521</w:t>
            </w:r>
          </w:p>
        </w:tc>
        <w:tc>
          <w:tcPr>
            <w:tcW w:w="0" w:type="dxa"/>
            <w:vAlign w:val="bottom"/>
          </w:tcPr>
          <w:p>
            <w:pPr>
              <w:spacing w:after="0"/>
              <w:rPr>
                <w:sz w:val="1"/>
                <w:szCs w:val="1"/>
                <w:color w:val="auto"/>
              </w:rPr>
            </w:pPr>
          </w:p>
        </w:tc>
      </w:tr>
    </w:tbl>
    <w:p>
      <w:pPr>
        <w:spacing w:after="0" w:line="3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Cash overdrafts of $0.5 million are included in accounts payable at December 31, 2023.</w:t>
      </w:r>
    </w:p>
    <w:p>
      <w:pPr>
        <w:spacing w:after="0" w:line="268" w:lineRule="exact"/>
        <w:rPr>
          <w:sz w:val="20"/>
          <w:szCs w:val="20"/>
          <w:color w:val="auto"/>
        </w:rPr>
      </w:pPr>
    </w:p>
    <w:p>
      <w:pPr>
        <w:jc w:val="both"/>
        <w:ind w:left="120" w:right="125" w:firstLine="2"/>
        <w:spacing w:after="0" w:line="262" w:lineRule="auto"/>
        <w:rPr>
          <w:sz w:val="20"/>
          <w:szCs w:val="20"/>
          <w:color w:val="auto"/>
        </w:rPr>
      </w:pPr>
      <w:r>
        <w:rPr>
          <w:rFonts w:ascii="Times New Roman" w:cs="Times New Roman" w:eastAsia="Times New Roman" w:hAnsi="Times New Roman"/>
          <w:sz w:val="19"/>
          <w:szCs w:val="19"/>
          <w:color w:val="auto"/>
        </w:rPr>
        <w:t>The Company finances new, used and service loaner vehicle inventory through standardized floor plan facilities with T ruist Bank and Toyota Motor Credit Corporation (Truist and Toyota floor plan facility) and Ford Motor Credit Company (Ford floor plan facility). On September 26, 2023, the Company entered into a credit agreement with T ruist Bank (see Note 11) to, among other things, establish a new revolving floor plan credit facility with an aggregate capacity of $1 15.0 million. The T mist and Toyota floor plan facility bears interest at variable rates that are based on Secured Overnight Financing Rate (SOFR) plus 1.25% per annum. In connection with the establishment of the Truist and Toyota floor plan facility, the previous Truist floor plan facility, dated July 5, 2022, was repaid and terminated. At December 31 , 2024, the floor plan facilities bore interest at variable rates that are based on SOFR and prime-based interest rates. The weighted average interest rate for the floor plan faci li ties was 6.7%, 6.2% and 3.2% for the years ended December 3 1, 2024, 2023 and 2022, respectively. The Company incurred floor plan interest expense of $ ll.5 million, $6.6 million and $ 1.6 million during 2024, 2023 and 2022, respectively, which is included in interest expense in the Consolidated Statements of Operations. Changes in the vehicle floor plan payable are reported as cash flows from financing activities in the Consolidated Statements of Cash Flows.</w:t>
      </w:r>
    </w:p>
    <w:p>
      <w:pPr>
        <w:spacing w:after="0" w:line="200" w:lineRule="exact"/>
        <w:rPr>
          <w:sz w:val="20"/>
          <w:szCs w:val="20"/>
          <w:color w:val="auto"/>
        </w:rPr>
      </w:pPr>
    </w:p>
    <w:p>
      <w:pPr>
        <w:spacing w:after="0" w:line="304" w:lineRule="exact"/>
        <w:rPr>
          <w:sz w:val="20"/>
          <w:szCs w:val="20"/>
          <w:color w:val="auto"/>
        </w:rPr>
      </w:pPr>
    </w:p>
    <w:p>
      <w:pPr>
        <w:jc w:val="both"/>
        <w:ind w:left="120" w:right="125" w:firstLine="1"/>
        <w:spacing w:after="0" w:line="258" w:lineRule="auto"/>
        <w:rPr>
          <w:sz w:val="20"/>
          <w:szCs w:val="20"/>
          <w:color w:val="auto"/>
        </w:rPr>
      </w:pPr>
      <w:r>
        <w:rPr>
          <w:rFonts w:ascii="Times New Roman" w:cs="Times New Roman" w:eastAsia="Times New Roman" w:hAnsi="Times New Roman"/>
          <w:sz w:val="19"/>
          <w:szCs w:val="19"/>
          <w:color w:val="auto"/>
        </w:rPr>
        <w:t>The floor plan facilities are collateralized by vehicle inventory and other assets of the relevant dealership subsidiary, and contain a number of covenants, including, among others, covenants restricting the dealership subsidiary with respect to the creation of liens and changes in ownership, officers and key management personnel. T he Company was incompliance with all of these restrictive covenants as of December 31, 2024.</w:t>
      </w:r>
    </w:p>
    <w:p>
      <w:pPr>
        <w:spacing w:after="0" w:line="26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 xml:space="preserve">The floor plan interest expense related to the vehicle floor plan arrangements is offset by amounts received from manufacturers in the form of floor plan assistance capitalized in inventory and recorded against cost of goods sold in the Consolidated Statements of Operations when the associated inventory is sold. For the years ended December 3 1, 2024, 2023 and 2022, the Company recognized a reduction in cost of goods sold of $9.3 million, </w:t>
      </w:r>
      <w:r>
        <w:rPr>
          <w:rFonts w:ascii="Arial" w:cs="Arial" w:eastAsia="Arial" w:hAnsi="Arial"/>
          <w:sz w:val="17"/>
          <w:szCs w:val="17"/>
          <w:color w:val="auto"/>
        </w:rPr>
        <w:t xml:space="preserve">$6.7 </w:t>
      </w:r>
      <w:r>
        <w:rPr>
          <w:rFonts w:ascii="Times New Roman" w:cs="Times New Roman" w:eastAsia="Times New Roman" w:hAnsi="Times New Roman"/>
          <w:sz w:val="18"/>
          <w:szCs w:val="18"/>
          <w:color w:val="auto"/>
        </w:rPr>
        <w:t>million and</w:t>
      </w:r>
      <w:r>
        <w:rPr>
          <w:rFonts w:ascii="Arial" w:cs="Arial" w:eastAsia="Arial" w:hAnsi="Arial"/>
          <w:sz w:val="17"/>
          <w:szCs w:val="17"/>
          <w:color w:val="auto"/>
        </w:rPr>
        <w:t xml:space="preserve"> $4.6 </w:t>
      </w:r>
      <w:r>
        <w:rPr>
          <w:rFonts w:ascii="Times New Roman" w:cs="Times New Roman" w:eastAsia="Times New Roman" w:hAnsi="Times New Roman"/>
          <w:sz w:val="18"/>
          <w:szCs w:val="18"/>
          <w:color w:val="auto"/>
        </w:rPr>
        <w:t>rniUion, respectively, related to manufacture r floor plan assistance .</w:t>
      </w:r>
    </w:p>
    <w:p>
      <w:pPr>
        <w:sectPr>
          <w:pgSz w:w="12240" w:h="15850" w:orient="portrait"/>
          <w:cols w:equalWidth="0" w:num="1">
            <w:col w:w="9365"/>
          </w:cols>
          <w:pgMar w:left="1440" w:top="1368"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110</w:t>
        <w:tab/>
        <w:t>2024 FORM 10-K</w:t>
      </w:r>
    </w:p>
    <w:p>
      <w:pPr>
        <w:sectPr>
          <w:pgSz w:w="12240" w:h="15850" w:orient="portrait"/>
          <w:cols w:equalWidth="0" w:num="1">
            <w:col w:w="9365"/>
          </w:cols>
          <w:pgMar w:left="1440" w:top="1368" w:right="1440" w:bottom="721" w:gutter="0" w:footer="0" w:header="0"/>
          <w:type w:val="continuous"/>
        </w:sectPr>
      </w:pPr>
    </w:p>
    <w:bookmarkStart w:id="126" w:name="page127"/>
    <w:bookmarkEnd w:id="126"/>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Activity related to floor plan facilities associated with new vehicles is as follows:</w:t>
      </w:r>
    </w:p>
    <w:p>
      <w:pPr>
        <w:spacing w:after="0" w:line="134" w:lineRule="exact"/>
        <w:rPr>
          <w:sz w:val="20"/>
          <w:szCs w:val="20"/>
          <w:color w:val="auto"/>
        </w:rPr>
      </w:pPr>
    </w:p>
    <w:tbl>
      <w:tblPr>
        <w:tblLayout w:type="fixed"/>
        <w:tblInd w:w="1320" w:type="dxa"/>
        <w:tblCellMar>
          <w:top w:w="0" w:type="dxa"/>
          <w:left w:w="0" w:type="dxa"/>
          <w:bottom w:w="0" w:type="dxa"/>
          <w:right w:w="0" w:type="dxa"/>
        </w:tblCellMar>
      </w:tblPr>
      <w:tr>
        <w:trPr>
          <w:trHeight w:val="195"/>
        </w:trPr>
        <w:tc>
          <w:tcPr>
            <w:tcW w:w="46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98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2024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47"/>
              <w:spacing w:after="0"/>
              <w:rPr>
                <w:sz w:val="20"/>
                <w:szCs w:val="20"/>
                <w:color w:val="auto"/>
              </w:rPr>
            </w:pPr>
            <w:r>
              <w:rPr>
                <w:rFonts w:ascii="Times New Roman" w:cs="Times New Roman" w:eastAsia="Times New Roman" w:hAnsi="Times New Roman"/>
                <w:sz w:val="17"/>
                <w:szCs w:val="17"/>
                <w:color w:val="auto"/>
              </w:rPr>
              <w:t>2023</w:t>
            </w:r>
          </w:p>
        </w:tc>
        <w:tc>
          <w:tcPr>
            <w:tcW w:w="60" w:type="dxa"/>
            <w:vAlign w:val="bottom"/>
          </w:tcPr>
          <w:p>
            <w:pPr>
              <w:spacing w:after="0"/>
              <w:rPr>
                <w:sz w:val="17"/>
                <w:szCs w:val="17"/>
                <w:color w:val="auto"/>
              </w:rPr>
            </w:pPr>
          </w:p>
        </w:tc>
      </w:tr>
      <w:tr>
        <w:trPr>
          <w:trHeight w:val="30"/>
        </w:trPr>
        <w:tc>
          <w:tcPr>
            <w:tcW w:w="4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Borders>
              <w:bottom w:val="single" w:sz="8" w:color="302C2C"/>
            </w:tcBorders>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302C2C"/>
            </w:tcBorders>
          </w:tcPr>
          <w:p>
            <w:pPr>
              <w:spacing w:after="0"/>
              <w:rPr>
                <w:sz w:val="2"/>
                <w:szCs w:val="2"/>
                <w:color w:val="auto"/>
              </w:rPr>
            </w:pPr>
          </w:p>
        </w:tc>
        <w:tc>
          <w:tcPr>
            <w:tcW w:w="720" w:type="dxa"/>
            <w:vAlign w:val="bottom"/>
            <w:tcBorders>
              <w:bottom w:val="single" w:sz="8" w:color="302C2C"/>
            </w:tcBorders>
          </w:tcPr>
          <w:p>
            <w:pPr>
              <w:spacing w:after="0"/>
              <w:rPr>
                <w:sz w:val="2"/>
                <w:szCs w:val="2"/>
                <w:color w:val="auto"/>
              </w:rPr>
            </w:pPr>
          </w:p>
        </w:tc>
        <w:tc>
          <w:tcPr>
            <w:tcW w:w="60" w:type="dxa"/>
            <w:vAlign w:val="bottom"/>
          </w:tcPr>
          <w:p>
            <w:pPr>
              <w:spacing w:after="0"/>
              <w:rPr>
                <w:sz w:val="2"/>
                <w:szCs w:val="2"/>
                <w:color w:val="auto"/>
              </w:rPr>
            </w:pPr>
          </w:p>
        </w:tc>
      </w:tr>
      <w:tr>
        <w:trPr>
          <w:trHeight w:val="278"/>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Obligations outstanding at the beginning of the year .. .</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$ 128,929</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69,190</w:t>
            </w:r>
          </w:p>
        </w:tc>
      </w:tr>
      <w:tr>
        <w:trPr>
          <w:trHeight w:val="248"/>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Additions  ......... . ... . .. ... . . ..............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733,304</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646,083</w:t>
            </w:r>
          </w:p>
        </w:tc>
        <w:tc>
          <w:tcPr>
            <w:tcW w:w="60" w:type="dxa"/>
            <w:vAlign w:val="bottom"/>
          </w:tcPr>
          <w:p>
            <w:pPr>
              <w:spacing w:after="0"/>
              <w:rPr>
                <w:sz w:val="21"/>
                <w:szCs w:val="21"/>
                <w:color w:val="auto"/>
              </w:rPr>
            </w:pPr>
          </w:p>
        </w:tc>
      </w:tr>
      <w:tr>
        <w:trPr>
          <w:trHeight w:val="229"/>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Settlements  .................................. .</w:t>
            </w: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(728,782)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(586,344)</w:t>
            </w:r>
          </w:p>
        </w:tc>
      </w:tr>
      <w:tr>
        <w:trPr>
          <w:trHeight w:val="315"/>
        </w:trPr>
        <w:tc>
          <w:tcPr>
            <w:tcW w:w="4640" w:type="dxa"/>
            <w:vAlign w:val="bottom"/>
          </w:tcPr>
          <w:p>
            <w:pPr>
              <w:spacing w:after="0"/>
              <w:rPr>
                <w:sz w:val="20"/>
                <w:szCs w:val="20"/>
                <w:color w:val="auto"/>
              </w:rPr>
            </w:pPr>
            <w:r>
              <w:rPr>
                <w:rFonts w:ascii="Times New Roman" w:cs="Times New Roman" w:eastAsia="Times New Roman" w:hAnsi="Times New Roman"/>
                <w:sz w:val="19"/>
                <w:szCs w:val="19"/>
                <w:color w:val="auto"/>
              </w:rPr>
              <w:t>Obligations outstanding at the end of the year ....... .</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$ 133,451</w:t>
            </w:r>
          </w:p>
        </w:tc>
        <w:tc>
          <w:tcPr>
            <w:tcW w:w="160" w:type="dxa"/>
            <w:vAlign w:val="bottom"/>
          </w:tcPr>
          <w:p>
            <w:pPr>
              <w:spacing w:after="0"/>
              <w:rPr>
                <w:sz w:val="24"/>
                <w:szCs w:val="24"/>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128,929</w:t>
            </w:r>
          </w:p>
        </w:tc>
        <w:tc>
          <w:tcPr>
            <w:tcW w:w="60" w:type="dxa"/>
            <w:vAlign w:val="bottom"/>
          </w:tcPr>
          <w:p>
            <w:pPr>
              <w:spacing w:after="0"/>
              <w:rPr>
                <w:sz w:val="24"/>
                <w:szCs w:val="24"/>
                <w:color w:val="auto"/>
              </w:rPr>
            </w:pPr>
          </w:p>
        </w:tc>
      </w:tr>
    </w:tbl>
    <w:p>
      <w:pPr>
        <w:spacing w:after="0" w:line="200" w:lineRule="exact"/>
        <w:rPr>
          <w:sz w:val="20"/>
          <w:szCs w:val="20"/>
          <w:color w:val="auto"/>
        </w:rPr>
      </w:pPr>
    </w:p>
    <w:p>
      <w:pPr>
        <w:spacing w:after="0" w:line="219" w:lineRule="exact"/>
        <w:rPr>
          <w:sz w:val="20"/>
          <w:szCs w:val="20"/>
          <w:color w:val="auto"/>
        </w:rPr>
      </w:pPr>
    </w:p>
    <w:p>
      <w:pPr>
        <w:ind w:left="120" w:right="4325" w:hanging="10"/>
        <w:spacing w:after="0" w:line="327" w:lineRule="auto"/>
        <w:rPr>
          <w:sz w:val="20"/>
          <w:szCs w:val="20"/>
          <w:color w:val="auto"/>
        </w:rPr>
      </w:pPr>
      <w:r>
        <w:rPr>
          <w:rFonts w:ascii="Times New Roman" w:cs="Times New Roman" w:eastAsia="Times New Roman" w:hAnsi="Times New Roman"/>
          <w:sz w:val="20"/>
          <w:szCs w:val="20"/>
          <w:color w:val="auto"/>
        </w:rPr>
        <w:t xml:space="preserve">6. INVENTORIES AND CONTRACTS IN PROGRESS </w:t>
      </w:r>
      <w:r>
        <w:rPr>
          <w:rFonts w:ascii="Times New Roman" w:cs="Times New Roman" w:eastAsia="Times New Roman" w:hAnsi="Times New Roman"/>
          <w:sz w:val="19"/>
          <w:szCs w:val="19"/>
          <w:color w:val="auto"/>
        </w:rPr>
        <w:t>Inventories and contracts in progress consist of the following:</w:t>
      </w:r>
    </w:p>
    <w:p>
      <w:pPr>
        <w:spacing w:after="0" w:line="7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11"/>
          </w:tcPr>
          <w:p>
            <w:pPr>
              <w:jc w:val="right"/>
              <w:ind w:right="32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top w:val="single" w:sz="8" w:color="181414"/>
            </w:tcBorders>
          </w:tcPr>
          <w:p>
            <w:pPr>
              <w:jc w:val="right"/>
              <w:spacing w:after="0" w:line="191" w:lineRule="exact"/>
              <w:rPr>
                <w:sz w:val="20"/>
                <w:szCs w:val="20"/>
                <w:color w:val="auto"/>
              </w:rPr>
            </w:pPr>
            <w:r>
              <w:rPr>
                <w:rFonts w:ascii="Times New Roman" w:cs="Times New Roman" w:eastAsia="Times New Roman" w:hAnsi="Times New Roman"/>
                <w:sz w:val="17"/>
                <w:szCs w:val="17"/>
                <w:color w:val="auto"/>
              </w:rPr>
              <w:t>2024</w:t>
            </w:r>
          </w:p>
        </w:tc>
        <w:tc>
          <w:tcPr>
            <w:tcW w:w="20" w:type="dxa"/>
            <w:vAlign w:val="bottom"/>
            <w:tcBorders>
              <w:top w:val="single" w:sz="8" w:color="181414"/>
            </w:tcBorders>
          </w:tcPr>
          <w:p>
            <w:pPr>
              <w:spacing w:after="0"/>
              <w:rPr>
                <w:sz w:val="17"/>
                <w:szCs w:val="17"/>
                <w:color w:val="auto"/>
              </w:rPr>
            </w:pPr>
          </w:p>
        </w:tc>
        <w:tc>
          <w:tcPr>
            <w:tcW w:w="140" w:type="dxa"/>
            <w:vAlign w:val="bottom"/>
            <w:tcBorders>
              <w:top w:val="single" w:sz="8" w:color="181414"/>
            </w:tcBorders>
          </w:tcPr>
          <w:p>
            <w:pPr>
              <w:spacing w:after="0"/>
              <w:rPr>
                <w:sz w:val="17"/>
                <w:szCs w:val="17"/>
                <w:color w:val="auto"/>
              </w:rPr>
            </w:pPr>
          </w:p>
        </w:tc>
        <w:tc>
          <w:tcPr>
            <w:tcW w:w="120" w:type="dxa"/>
            <w:vAlign w:val="bottom"/>
            <w:tcBorders>
              <w:top w:val="single" w:sz="8" w:color="181414"/>
            </w:tcBorders>
          </w:tcPr>
          <w:p>
            <w:pPr>
              <w:spacing w:after="0"/>
              <w:rPr>
                <w:sz w:val="17"/>
                <w:szCs w:val="17"/>
                <w:color w:val="auto"/>
              </w:rPr>
            </w:pPr>
          </w:p>
        </w:tc>
        <w:tc>
          <w:tcPr>
            <w:tcW w:w="20" w:type="dxa"/>
            <w:vAlign w:val="bottom"/>
            <w:tcBorders>
              <w:top w:val="single" w:sz="8" w:color="181414"/>
            </w:tcBorders>
          </w:tcPr>
          <w:p>
            <w:pPr>
              <w:spacing w:after="0"/>
              <w:rPr>
                <w:sz w:val="17"/>
                <w:szCs w:val="17"/>
                <w:color w:val="auto"/>
              </w:rPr>
            </w:pPr>
          </w:p>
        </w:tc>
        <w:tc>
          <w:tcPr>
            <w:tcW w:w="120" w:type="dxa"/>
            <w:vAlign w:val="bottom"/>
            <w:tcBorders>
              <w:top w:val="single" w:sz="8" w:color="181414"/>
            </w:tcBorders>
          </w:tcPr>
          <w:p>
            <w:pPr>
              <w:spacing w:after="0"/>
              <w:rPr>
                <w:sz w:val="17"/>
                <w:szCs w:val="17"/>
                <w:color w:val="auto"/>
              </w:rPr>
            </w:pPr>
          </w:p>
        </w:tc>
        <w:tc>
          <w:tcPr>
            <w:tcW w:w="20" w:type="dxa"/>
            <w:vAlign w:val="bottom"/>
            <w:tcBorders>
              <w:top w:val="single" w:sz="8" w:color="181414"/>
            </w:tcBorders>
          </w:tcPr>
          <w:p>
            <w:pPr>
              <w:spacing w:after="0"/>
              <w:rPr>
                <w:sz w:val="17"/>
                <w:szCs w:val="17"/>
                <w:color w:val="auto"/>
              </w:rPr>
            </w:pPr>
          </w:p>
        </w:tc>
        <w:tc>
          <w:tcPr>
            <w:tcW w:w="100" w:type="dxa"/>
            <w:vAlign w:val="bottom"/>
            <w:tcBorders>
              <w:top w:val="single" w:sz="8" w:color="181414"/>
            </w:tcBorders>
          </w:tcPr>
          <w:p>
            <w:pPr>
              <w:spacing w:after="0"/>
              <w:rPr>
                <w:sz w:val="17"/>
                <w:szCs w:val="17"/>
                <w:color w:val="auto"/>
              </w:rPr>
            </w:pPr>
          </w:p>
        </w:tc>
        <w:tc>
          <w:tcPr>
            <w:tcW w:w="660" w:type="dxa"/>
            <w:vAlign w:val="bottom"/>
            <w:tcBorders>
              <w:top w:val="single" w:sz="8" w:color="181414"/>
            </w:tcBorders>
          </w:tcPr>
          <w:p>
            <w:pPr>
              <w:jc w:val="right"/>
              <w:ind w:right="126"/>
              <w:spacing w:after="0"/>
              <w:rPr>
                <w:sz w:val="20"/>
                <w:szCs w:val="20"/>
                <w:color w:val="auto"/>
              </w:rPr>
            </w:pPr>
            <w:r>
              <w:rPr>
                <w:rFonts w:ascii="Times New Roman" w:cs="Times New Roman" w:eastAsia="Times New Roman" w:hAnsi="Times New Roman"/>
                <w:sz w:val="17"/>
                <w:szCs w:val="17"/>
                <w:color w:val="auto"/>
              </w:rPr>
              <w:t>2023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5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140" w:type="dxa"/>
            <w:vAlign w:val="bottom"/>
            <w:tcBorders>
              <w:bottom w:val="single" w:sz="8" w:color="403C3C"/>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Raw materials</w:t>
            </w:r>
          </w:p>
        </w:tc>
        <w:tc>
          <w:tcPr>
            <w:tcW w:w="140" w:type="dxa"/>
            <w:vAlign w:val="bottom"/>
          </w:tcPr>
          <w:p>
            <w:pPr>
              <w:spacing w:after="0"/>
              <w:rPr>
                <w:sz w:val="23"/>
                <w:szCs w:val="23"/>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46,058</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63,884</w:t>
            </w:r>
          </w:p>
        </w:tc>
        <w:tc>
          <w:tcPr>
            <w:tcW w:w="0" w:type="dxa"/>
            <w:vAlign w:val="bottom"/>
          </w:tcPr>
          <w:p>
            <w:pPr>
              <w:spacing w:after="0"/>
              <w:rPr>
                <w:sz w:val="1"/>
                <w:szCs w:val="1"/>
                <w:color w:val="auto"/>
              </w:rPr>
            </w:pPr>
          </w:p>
        </w:tc>
      </w:tr>
      <w:tr>
        <w:trPr>
          <w:trHeight w:val="234"/>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Work-in-process  ............................... .</w:t>
            </w:r>
          </w:p>
        </w:tc>
        <w:tc>
          <w:tcPr>
            <w:tcW w:w="14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12,685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15,387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Finished goods ................................. .</w:t>
            </w:r>
          </w:p>
        </w:tc>
        <w:tc>
          <w:tcPr>
            <w:tcW w:w="14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234,344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215,283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Contracts in progress ................ . ........... .</w:t>
            </w:r>
          </w:p>
        </w:tc>
        <w:tc>
          <w:tcPr>
            <w:tcW w:w="140" w:type="dxa"/>
            <w:vAlign w:val="bottom"/>
          </w:tcPr>
          <w:p>
            <w:pPr>
              <w:spacing w:after="0"/>
              <w:rPr>
                <w:sz w:val="20"/>
                <w:szCs w:val="20"/>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2,721</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2,657</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$295,808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297,211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8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7. PROPERTY, PLANT AND EQUWMENT</w:t>
            </w: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bottom w:val="single" w:sz="8" w:color="504C4C"/>
            </w:tcBorders>
          </w:tcPr>
          <w:p>
            <w:pPr>
              <w:spacing w:after="0"/>
              <w:rPr>
                <w:sz w:val="9"/>
                <w:szCs w:val="9"/>
                <w:color w:val="auto"/>
              </w:rPr>
            </w:pPr>
          </w:p>
        </w:tc>
        <w:tc>
          <w:tcPr>
            <w:tcW w:w="600" w:type="dxa"/>
            <w:vAlign w:val="bottom"/>
            <w:tcBorders>
              <w:bottom w:val="single" w:sz="8" w:color="504C4C"/>
            </w:tcBorders>
          </w:tcPr>
          <w:p>
            <w:pPr>
              <w:spacing w:after="0"/>
              <w:rPr>
                <w:sz w:val="9"/>
                <w:szCs w:val="9"/>
                <w:color w:val="auto"/>
              </w:rPr>
            </w:pPr>
          </w:p>
        </w:tc>
        <w:tc>
          <w:tcPr>
            <w:tcW w:w="20" w:type="dxa"/>
            <w:vAlign w:val="bottom"/>
            <w:tcBorders>
              <w:bottom w:val="single" w:sz="8" w:color="504C4C"/>
            </w:tcBorders>
          </w:tcPr>
          <w:p>
            <w:pPr>
              <w:spacing w:after="0"/>
              <w:rPr>
                <w:sz w:val="9"/>
                <w:szCs w:val="9"/>
                <w:color w:val="auto"/>
              </w:rPr>
            </w:pPr>
          </w:p>
        </w:tc>
        <w:tc>
          <w:tcPr>
            <w:tcW w:w="140" w:type="dxa"/>
            <w:vAlign w:val="bottom"/>
            <w:tcBorders>
              <w:bottom w:val="single" w:sz="8" w:color="504C4C"/>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504C4C"/>
            </w:tcBorders>
          </w:tcPr>
          <w:p>
            <w:pPr>
              <w:spacing w:after="0"/>
              <w:rPr>
                <w:sz w:val="9"/>
                <w:szCs w:val="9"/>
                <w:color w:val="auto"/>
              </w:rPr>
            </w:pPr>
          </w:p>
        </w:tc>
        <w:tc>
          <w:tcPr>
            <w:tcW w:w="660" w:type="dxa"/>
            <w:vAlign w:val="bottom"/>
            <w:tcBorders>
              <w:bottom w:val="single" w:sz="8" w:color="504C4C"/>
            </w:tcBorders>
          </w:tcPr>
          <w:p>
            <w:pPr>
              <w:spacing w:after="0"/>
              <w:rPr>
                <w:sz w:val="9"/>
                <w:szCs w:val="9"/>
                <w:color w:val="auto"/>
              </w:rPr>
            </w:pPr>
          </w:p>
        </w:tc>
        <w:tc>
          <w:tcPr>
            <w:tcW w:w="20" w:type="dxa"/>
            <w:vAlign w:val="bottom"/>
            <w:tcBorders>
              <w:bottom w:val="single" w:sz="8" w:color="504C4C"/>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4"/>
        </w:trPr>
        <w:tc>
          <w:tcPr>
            <w:tcW w:w="58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5820" w:type="dxa"/>
            <w:vAlign w:val="bottom"/>
          </w:tcPr>
          <w:p>
            <w:pPr>
              <w:spacing w:after="0"/>
              <w:rPr>
                <w:sz w:val="20"/>
                <w:szCs w:val="20"/>
                <w:color w:val="auto"/>
              </w:rPr>
            </w:pPr>
            <w:r>
              <w:rPr>
                <w:rFonts w:ascii="Times New Roman" w:cs="Times New Roman" w:eastAsia="Times New Roman" w:hAnsi="Times New Roman"/>
                <w:sz w:val="19"/>
                <w:szCs w:val="19"/>
                <w:color w:val="auto"/>
              </w:rPr>
              <w:t>Property, plant and equipment consist of the following:</w:t>
            </w: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11"/>
          </w:tcPr>
          <w:p>
            <w:pPr>
              <w:jc w:val="right"/>
              <w:ind w:right="46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41"/>
        </w:trPr>
        <w:tc>
          <w:tcPr>
            <w:tcW w:w="5820" w:type="dxa"/>
            <w:vAlign w:val="bottom"/>
            <w:vMerge w:val="restart"/>
          </w:tcPr>
          <w:p>
            <w:pPr>
              <w:ind w:left="1200"/>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Borders>
              <w:bottom w:val="single" w:sz="8" w:color="403C3C"/>
            </w:tcBorders>
          </w:tcPr>
          <w:p>
            <w:pPr>
              <w:spacing w:after="0"/>
              <w:rPr>
                <w:sz w:val="3"/>
                <w:szCs w:val="3"/>
                <w:color w:val="auto"/>
              </w:rPr>
            </w:pPr>
          </w:p>
        </w:tc>
        <w:tc>
          <w:tcPr>
            <w:tcW w:w="760" w:type="dxa"/>
            <w:vAlign w:val="bottom"/>
            <w:tcBorders>
              <w:bottom w:val="single" w:sz="8" w:color="403C3C"/>
            </w:tcBorders>
            <w:gridSpan w:val="3"/>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40" w:type="dxa"/>
            <w:vAlign w:val="bottom"/>
            <w:tcBorders>
              <w:bottom w:val="single" w:sz="8" w:color="403C3C"/>
            </w:tcBorders>
          </w:tcPr>
          <w:p>
            <w:pPr>
              <w:spacing w:after="0"/>
              <w:rPr>
                <w:sz w:val="3"/>
                <w:szCs w:val="3"/>
                <w:color w:val="auto"/>
              </w:rPr>
            </w:pPr>
          </w:p>
        </w:tc>
        <w:tc>
          <w:tcPr>
            <w:tcW w:w="12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2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5820" w:type="dxa"/>
            <w:vAlign w:val="bottom"/>
            <w:vMerge w:val="continue"/>
          </w:tcPr>
          <w:p>
            <w:pPr>
              <w:spacing w:after="0"/>
              <w:rPr>
                <w:sz w:val="18"/>
                <w:szCs w:val="18"/>
                <w:color w:val="auto"/>
              </w:rPr>
            </w:pPr>
          </w:p>
        </w:tc>
        <w:tc>
          <w:tcPr>
            <w:tcW w:w="140" w:type="dxa"/>
            <w:vAlign w:val="bottom"/>
            <w:tcBorders>
              <w:bottom w:val="single" w:sz="8" w:color="403C3C"/>
            </w:tcBorders>
          </w:tcPr>
          <w:p>
            <w:pPr>
              <w:spacing w:after="0"/>
              <w:rPr>
                <w:sz w:val="18"/>
                <w:szCs w:val="18"/>
                <w:color w:val="auto"/>
              </w:rPr>
            </w:pPr>
          </w:p>
        </w:tc>
        <w:tc>
          <w:tcPr>
            <w:tcW w:w="760" w:type="dxa"/>
            <w:vAlign w:val="bottom"/>
            <w:tcBorders>
              <w:bottom w:val="single" w:sz="8" w:color="403C3C"/>
            </w:tcBorders>
            <w:gridSpan w:val="3"/>
          </w:tcPr>
          <w:p>
            <w:pPr>
              <w:ind w:left="140"/>
              <w:spacing w:after="0" w:line="191" w:lineRule="exact"/>
              <w:rPr>
                <w:sz w:val="20"/>
                <w:szCs w:val="20"/>
                <w:color w:val="auto"/>
              </w:rPr>
            </w:pPr>
            <w:r>
              <w:rPr>
                <w:rFonts w:ascii="Times New Roman" w:cs="Times New Roman" w:eastAsia="Times New Roman" w:hAnsi="Times New Roman"/>
                <w:sz w:val="17"/>
                <w:szCs w:val="17"/>
                <w:color w:val="auto"/>
              </w:rPr>
              <w:t>2024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403C3C"/>
            </w:tcBorders>
          </w:tcPr>
          <w:p>
            <w:pPr>
              <w:spacing w:after="0"/>
              <w:rPr>
                <w:sz w:val="18"/>
                <w:szCs w:val="18"/>
                <w:color w:val="auto"/>
              </w:rPr>
            </w:pPr>
          </w:p>
        </w:tc>
        <w:tc>
          <w:tcPr>
            <w:tcW w:w="20" w:type="dxa"/>
            <w:vAlign w:val="bottom"/>
            <w:tcBorders>
              <w:bottom w:val="single" w:sz="8" w:color="403C3C"/>
            </w:tcBorders>
          </w:tcPr>
          <w:p>
            <w:pPr>
              <w:spacing w:after="0"/>
              <w:rPr>
                <w:sz w:val="18"/>
                <w:szCs w:val="18"/>
                <w:color w:val="auto"/>
              </w:rPr>
            </w:pPr>
          </w:p>
        </w:tc>
        <w:tc>
          <w:tcPr>
            <w:tcW w:w="100" w:type="dxa"/>
            <w:vAlign w:val="bottom"/>
            <w:tcBorders>
              <w:bottom w:val="single" w:sz="8" w:color="403C3C"/>
            </w:tcBorders>
          </w:tcPr>
          <w:p>
            <w:pPr>
              <w:spacing w:after="0"/>
              <w:rPr>
                <w:sz w:val="18"/>
                <w:szCs w:val="18"/>
                <w:color w:val="auto"/>
              </w:rPr>
            </w:pPr>
          </w:p>
        </w:tc>
        <w:tc>
          <w:tcPr>
            <w:tcW w:w="660" w:type="dxa"/>
            <w:vAlign w:val="bottom"/>
            <w:tcBorders>
              <w:bottom w:val="single" w:sz="8" w:color="403C3C"/>
            </w:tcBorders>
          </w:tcPr>
          <w:p>
            <w:pPr>
              <w:jc w:val="right"/>
              <w:ind w:right="206"/>
              <w:spacing w:after="0" w:line="191" w:lineRule="exact"/>
              <w:rPr>
                <w:sz w:val="20"/>
                <w:szCs w:val="20"/>
                <w:color w:val="auto"/>
              </w:rPr>
            </w:pPr>
            <w:r>
              <w:rPr>
                <w:rFonts w:ascii="Times New Roman" w:cs="Times New Roman" w:eastAsia="Times New Roman" w:hAnsi="Times New Roman"/>
                <w:sz w:val="17"/>
                <w:szCs w:val="17"/>
                <w:color w:val="auto"/>
                <w:w w:val="99"/>
              </w:rPr>
              <w:t>2023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2"/>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Land . . .. . ........ . .... . ...... . ............ .</w:t>
            </w:r>
          </w:p>
        </w:tc>
        <w:tc>
          <w:tcPr>
            <w:tcW w:w="140" w:type="dxa"/>
            <w:vAlign w:val="bottom"/>
          </w:tcPr>
          <w:p>
            <w:pPr>
              <w:spacing w:after="0"/>
              <w:rPr>
                <w:sz w:val="20"/>
                <w:szCs w:val="20"/>
                <w:color w:val="auto"/>
              </w:rPr>
            </w:pPr>
            <w:r>
              <w:rPr>
                <w:rFonts w:ascii="Times New Roman" w:cs="Times New Roman" w:eastAsia="Times New Roman" w:hAnsi="Times New Roman"/>
                <w:sz w:val="21"/>
                <w:szCs w:val="21"/>
                <w:color w:val="auto"/>
              </w:rPr>
              <w:t>$</w:t>
            </w:r>
          </w:p>
        </w:tc>
        <w:tc>
          <w:tcPr>
            <w:tcW w:w="780" w:type="dxa"/>
            <w:vAlign w:val="bottom"/>
            <w:gridSpan w:val="4"/>
          </w:tcPr>
          <w:p>
            <w:pPr>
              <w:ind w:left="120"/>
              <w:spacing w:after="0"/>
              <w:rPr>
                <w:sz w:val="20"/>
                <w:szCs w:val="20"/>
                <w:color w:val="auto"/>
              </w:rPr>
            </w:pPr>
            <w:r>
              <w:rPr>
                <w:rFonts w:ascii="Times New Roman" w:cs="Times New Roman" w:eastAsia="Times New Roman" w:hAnsi="Times New Roman"/>
                <w:sz w:val="19"/>
                <w:szCs w:val="19"/>
                <w:color w:val="auto"/>
              </w:rPr>
              <w:t>100,274</w:t>
            </w:r>
          </w:p>
        </w:tc>
        <w:tc>
          <w:tcPr>
            <w:tcW w:w="140" w:type="dxa"/>
            <w:vAlign w:val="bottom"/>
          </w:tcPr>
          <w:p>
            <w:pPr>
              <w:spacing w:after="0"/>
              <w:rPr>
                <w:sz w:val="24"/>
                <w:szCs w:val="24"/>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98,332</w:t>
            </w:r>
          </w:p>
        </w:tc>
        <w:tc>
          <w:tcPr>
            <w:tcW w:w="0" w:type="dxa"/>
            <w:vAlign w:val="bottom"/>
          </w:tcPr>
          <w:p>
            <w:pPr>
              <w:spacing w:after="0"/>
              <w:rPr>
                <w:sz w:val="1"/>
                <w:szCs w:val="1"/>
                <w:color w:val="auto"/>
              </w:rPr>
            </w:pPr>
          </w:p>
        </w:tc>
      </w:tr>
      <w:tr>
        <w:trPr>
          <w:trHeight w:val="234"/>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Buildings  ...... ..... .... ......... .......... .</w:t>
            </w:r>
          </w:p>
        </w:tc>
        <w:tc>
          <w:tcPr>
            <w:tcW w:w="140" w:type="dxa"/>
            <w:vAlign w:val="bottom"/>
          </w:tcPr>
          <w:p>
            <w:pPr>
              <w:spacing w:after="0"/>
              <w:rPr>
                <w:sz w:val="20"/>
                <w:szCs w:val="20"/>
                <w:color w:val="auto"/>
              </w:rPr>
            </w:pP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248,978</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238,776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Machinery, equipment and fixtures ..... . ........ .</w:t>
            </w:r>
          </w:p>
        </w:tc>
        <w:tc>
          <w:tcPr>
            <w:tcW w:w="140" w:type="dxa"/>
            <w:vAlign w:val="bottom"/>
          </w:tcPr>
          <w:p>
            <w:pPr>
              <w:spacing w:after="0"/>
              <w:rPr>
                <w:sz w:val="19"/>
                <w:szCs w:val="19"/>
                <w:color w:val="auto"/>
              </w:rPr>
            </w:pPr>
          </w:p>
        </w:tc>
        <w:tc>
          <w:tcPr>
            <w:tcW w:w="760" w:type="dxa"/>
            <w:vAlign w:val="bottom"/>
            <w:gridSpan w:val="3"/>
          </w:tcPr>
          <w:p>
            <w:pPr>
              <w:ind w:left="100"/>
              <w:spacing w:after="0"/>
              <w:rPr>
                <w:sz w:val="20"/>
                <w:szCs w:val="20"/>
                <w:color w:val="auto"/>
              </w:rPr>
            </w:pPr>
            <w:r>
              <w:rPr>
                <w:rFonts w:ascii="Times New Roman" w:cs="Times New Roman" w:eastAsia="Times New Roman" w:hAnsi="Times New Roman"/>
                <w:sz w:val="19"/>
                <w:szCs w:val="19"/>
                <w:color w:val="auto"/>
              </w:rPr>
              <w:t>533,781</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6"/>
              </w:rPr>
              <w:t>521 ,773</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Leasehold improvements ...................... .</w:t>
            </w:r>
          </w:p>
        </w:tc>
        <w:tc>
          <w:tcPr>
            <w:tcW w:w="140" w:type="dxa"/>
            <w:vAlign w:val="bottom"/>
          </w:tcPr>
          <w:p>
            <w:pPr>
              <w:spacing w:after="0"/>
              <w:rPr>
                <w:sz w:val="20"/>
                <w:szCs w:val="20"/>
                <w:color w:val="auto"/>
              </w:rPr>
            </w:pPr>
          </w:p>
        </w:tc>
        <w:tc>
          <w:tcPr>
            <w:tcW w:w="760" w:type="dxa"/>
            <w:vAlign w:val="bottom"/>
            <w:gridSpan w:val="3"/>
          </w:tcPr>
          <w:p>
            <w:pPr>
              <w:ind w:left="120"/>
              <w:spacing w:after="0"/>
              <w:rPr>
                <w:sz w:val="20"/>
                <w:szCs w:val="20"/>
                <w:color w:val="auto"/>
              </w:rPr>
            </w:pPr>
            <w:r>
              <w:rPr>
                <w:rFonts w:ascii="Times New Roman" w:cs="Times New Roman" w:eastAsia="Times New Roman" w:hAnsi="Times New Roman"/>
                <w:sz w:val="19"/>
                <w:szCs w:val="19"/>
                <w:color w:val="auto"/>
              </w:rPr>
              <w:t>185,674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225,004</w:t>
            </w:r>
          </w:p>
        </w:tc>
        <w:tc>
          <w:tcPr>
            <w:tcW w:w="0" w:type="dxa"/>
            <w:vAlign w:val="bottom"/>
          </w:tcPr>
          <w:p>
            <w:pPr>
              <w:spacing w:after="0"/>
              <w:rPr>
                <w:sz w:val="1"/>
                <w:szCs w:val="1"/>
                <w:color w:val="auto"/>
              </w:rPr>
            </w:pPr>
          </w:p>
        </w:tc>
      </w:tr>
      <w:tr>
        <w:trPr>
          <w:trHeight w:val="248"/>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Construction in progress  .. . ................... .</w:t>
            </w:r>
          </w:p>
        </w:tc>
        <w:tc>
          <w:tcPr>
            <w:tcW w:w="140" w:type="dxa"/>
            <w:vAlign w:val="bottom"/>
          </w:tcPr>
          <w:p>
            <w:pPr>
              <w:spacing w:after="0"/>
              <w:rPr>
                <w:sz w:val="21"/>
                <w:szCs w:val="21"/>
                <w:color w:val="auto"/>
              </w:rPr>
            </w:pPr>
          </w:p>
        </w:tc>
        <w:tc>
          <w:tcPr>
            <w:tcW w:w="920" w:type="dxa"/>
            <w:vAlign w:val="bottom"/>
            <w:gridSpan w:val="5"/>
          </w:tcPr>
          <w:p>
            <w:pPr>
              <w:jc w:val="right"/>
              <w:ind w:right="140"/>
              <w:spacing w:after="0"/>
              <w:rPr>
                <w:sz w:val="20"/>
                <w:szCs w:val="20"/>
                <w:color w:val="auto"/>
              </w:rPr>
            </w:pPr>
            <w:r>
              <w:rPr>
                <w:rFonts w:ascii="Times New Roman" w:cs="Times New Roman" w:eastAsia="Times New Roman" w:hAnsi="Times New Roman"/>
                <w:sz w:val="19"/>
                <w:szCs w:val="19"/>
                <w:color w:val="auto"/>
              </w:rPr>
              <w:t>30,864</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36,217</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900" w:type="dxa"/>
            <w:vAlign w:val="bottom"/>
            <w:tcBorders>
              <w:bottom w:val="single" w:sz="8" w:color="504C4C"/>
            </w:tcBorders>
            <w:gridSpan w:val="4"/>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504C4C"/>
            </w:tcBorders>
          </w:tcPr>
          <w:p>
            <w:pPr>
              <w:spacing w:after="0"/>
              <w:rPr>
                <w:sz w:val="2"/>
                <w:szCs w:val="2"/>
                <w:color w:val="auto"/>
              </w:rPr>
            </w:pPr>
          </w:p>
        </w:tc>
        <w:tc>
          <w:tcPr>
            <w:tcW w:w="780" w:type="dxa"/>
            <w:vAlign w:val="bottom"/>
            <w:tcBorders>
              <w:bottom w:val="single" w:sz="8" w:color="504C4C"/>
            </w:tcBorders>
            <w:gridSpan w:val="3"/>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2"/>
                <w:szCs w:val="22"/>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1,099,571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w w:val="86"/>
              </w:rPr>
              <w:t>1, 120, 102</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582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Less: accumulated depreciation  ................ .</w:t>
            </w:r>
          </w:p>
        </w:tc>
        <w:tc>
          <w:tcPr>
            <w:tcW w:w="140" w:type="dxa"/>
            <w:vAlign w:val="bottom"/>
          </w:tcPr>
          <w:p>
            <w:pPr>
              <w:spacing w:after="0"/>
              <w:rPr>
                <w:sz w:val="21"/>
                <w:szCs w:val="21"/>
                <w:color w:val="auto"/>
              </w:rPr>
            </w:pPr>
          </w:p>
        </w:tc>
        <w:tc>
          <w:tcPr>
            <w:tcW w:w="920" w:type="dxa"/>
            <w:vAlign w:val="bottom"/>
            <w:gridSpan w:val="5"/>
          </w:tcPr>
          <w:p>
            <w:pPr>
              <w:jc w:val="right"/>
              <w:ind w:right="100"/>
              <w:spacing w:after="0"/>
              <w:rPr>
                <w:sz w:val="20"/>
                <w:szCs w:val="20"/>
                <w:color w:val="auto"/>
              </w:rPr>
            </w:pPr>
            <w:r>
              <w:rPr>
                <w:rFonts w:ascii="Times New Roman" w:cs="Times New Roman" w:eastAsia="Times New Roman" w:hAnsi="Times New Roman"/>
                <w:sz w:val="19"/>
                <w:szCs w:val="19"/>
                <w:color w:val="auto"/>
              </w:rPr>
              <w:t>(550,207)</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(559,788)</w:t>
            </w:r>
          </w:p>
        </w:tc>
        <w:tc>
          <w:tcPr>
            <w:tcW w:w="0" w:type="dxa"/>
            <w:vAlign w:val="bottom"/>
          </w:tcPr>
          <w:p>
            <w:pPr>
              <w:spacing w:after="0"/>
              <w:rPr>
                <w:sz w:val="1"/>
                <w:szCs w:val="1"/>
                <w:color w:val="auto"/>
              </w:rPr>
            </w:pPr>
          </w:p>
        </w:tc>
      </w:tr>
      <w:tr>
        <w:trPr>
          <w:trHeight w:val="36"/>
        </w:trPr>
        <w:tc>
          <w:tcPr>
            <w:tcW w:w="5820" w:type="dxa"/>
            <w:vAlign w:val="bottom"/>
          </w:tcPr>
          <w:p>
            <w:pPr>
              <w:spacing w:after="0"/>
              <w:rPr>
                <w:sz w:val="3"/>
                <w:szCs w:val="3"/>
                <w:color w:val="auto"/>
              </w:rPr>
            </w:pPr>
          </w:p>
        </w:tc>
        <w:tc>
          <w:tcPr>
            <w:tcW w:w="140" w:type="dxa"/>
            <w:vAlign w:val="bottom"/>
            <w:tcBorders>
              <w:bottom w:val="single" w:sz="8" w:color="343030"/>
            </w:tcBorders>
          </w:tcPr>
          <w:p>
            <w:pPr>
              <w:spacing w:after="0"/>
              <w:rPr>
                <w:sz w:val="3"/>
                <w:szCs w:val="3"/>
                <w:color w:val="auto"/>
              </w:rPr>
            </w:pPr>
          </w:p>
        </w:tc>
        <w:tc>
          <w:tcPr>
            <w:tcW w:w="780" w:type="dxa"/>
            <w:vAlign w:val="bottom"/>
            <w:tcBorders>
              <w:bottom w:val="single" w:sz="8" w:color="343030"/>
            </w:tcBorders>
            <w:gridSpan w:val="4"/>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120" w:type="dxa"/>
            <w:vAlign w:val="bottom"/>
            <w:tcBorders>
              <w:bottom w:val="single" w:sz="8" w:color="343030"/>
            </w:tcBorders>
          </w:tcPr>
          <w:p>
            <w:pPr>
              <w:spacing w:after="0"/>
              <w:rPr>
                <w:sz w:val="3"/>
                <w:szCs w:val="3"/>
                <w:color w:val="auto"/>
              </w:rPr>
            </w:pPr>
          </w:p>
        </w:tc>
        <w:tc>
          <w:tcPr>
            <w:tcW w:w="20" w:type="dxa"/>
            <w:vAlign w:val="bottom"/>
            <w:tcBorders>
              <w:bottom w:val="single" w:sz="8" w:color="343030"/>
            </w:tcBorders>
          </w:tcPr>
          <w:p>
            <w:pPr>
              <w:spacing w:after="0"/>
              <w:rPr>
                <w:sz w:val="3"/>
                <w:szCs w:val="3"/>
                <w:color w:val="auto"/>
              </w:rPr>
            </w:pPr>
          </w:p>
        </w:tc>
        <w:tc>
          <w:tcPr>
            <w:tcW w:w="100" w:type="dxa"/>
            <w:vAlign w:val="bottom"/>
            <w:tcBorders>
              <w:bottom w:val="single" w:sz="8" w:color="343030"/>
            </w:tcBorders>
          </w:tcPr>
          <w:p>
            <w:pPr>
              <w:spacing w:after="0"/>
              <w:rPr>
                <w:sz w:val="3"/>
                <w:szCs w:val="3"/>
                <w:color w:val="auto"/>
              </w:rPr>
            </w:pPr>
          </w:p>
        </w:tc>
        <w:tc>
          <w:tcPr>
            <w:tcW w:w="660" w:type="dxa"/>
            <w:vAlign w:val="bottom"/>
            <w:tcBorders>
              <w:bottom w:val="single" w:sz="8" w:color="343030"/>
            </w:tcBorders>
          </w:tcPr>
          <w:p>
            <w:pPr>
              <w:spacing w:after="0"/>
              <w:rPr>
                <w:sz w:val="3"/>
                <w:szCs w:val="3"/>
                <w:color w:val="auto"/>
              </w:rPr>
            </w:pPr>
          </w:p>
        </w:tc>
        <w:tc>
          <w:tcPr>
            <w:tcW w:w="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5820" w:type="dxa"/>
            <w:vAlign w:val="bottom"/>
          </w:tcPr>
          <w:p>
            <w:pPr>
              <w:spacing w:after="0"/>
              <w:rPr>
                <w:sz w:val="22"/>
                <w:szCs w:val="22"/>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4"/>
          </w:tcPr>
          <w:p>
            <w:pPr>
              <w:ind w:left="100"/>
              <w:spacing w:after="0"/>
              <w:rPr>
                <w:sz w:val="20"/>
                <w:szCs w:val="20"/>
                <w:color w:val="auto"/>
              </w:rPr>
            </w:pPr>
            <w:r>
              <w:rPr>
                <w:rFonts w:ascii="Times New Roman" w:cs="Times New Roman" w:eastAsia="Times New Roman" w:hAnsi="Times New Roman"/>
                <w:sz w:val="19"/>
                <w:szCs w:val="19"/>
                <w:color w:val="auto"/>
              </w:rPr>
              <w:t>549,364</w:t>
            </w:r>
          </w:p>
        </w:tc>
        <w:tc>
          <w:tcPr>
            <w:tcW w:w="140" w:type="dxa"/>
            <w:vAlign w:val="bottom"/>
          </w:tcPr>
          <w:p>
            <w:pPr>
              <w:spacing w:after="0"/>
              <w:rPr>
                <w:sz w:val="22"/>
                <w:szCs w:val="22"/>
                <w:color w:val="auto"/>
              </w:rPr>
            </w:pPr>
          </w:p>
        </w:tc>
        <w:tc>
          <w:tcPr>
            <w:tcW w:w="26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560,314</w:t>
            </w:r>
          </w:p>
        </w:tc>
        <w:tc>
          <w:tcPr>
            <w:tcW w:w="0" w:type="dxa"/>
            <w:vAlign w:val="bottom"/>
          </w:tcPr>
          <w:p>
            <w:pPr>
              <w:spacing w:after="0"/>
              <w:rPr>
                <w:sz w:val="1"/>
                <w:szCs w:val="1"/>
                <w:color w:val="auto"/>
              </w:rPr>
            </w:pPr>
          </w:p>
        </w:tc>
      </w:tr>
      <w:tr>
        <w:trPr>
          <w:trHeight w:val="50"/>
        </w:trPr>
        <w:tc>
          <w:tcPr>
            <w:tcW w:w="5820" w:type="dxa"/>
            <w:vAlign w:val="bottom"/>
          </w:tcPr>
          <w:p>
            <w:pPr>
              <w:spacing w:after="0"/>
              <w:rPr>
                <w:sz w:val="4"/>
                <w:szCs w:val="4"/>
                <w:color w:val="auto"/>
              </w:rPr>
            </w:pPr>
          </w:p>
        </w:tc>
        <w:tc>
          <w:tcPr>
            <w:tcW w:w="140" w:type="dxa"/>
            <w:vAlign w:val="bottom"/>
            <w:tcBorders>
              <w:bottom w:val="single" w:sz="8" w:color="0C0808"/>
            </w:tcBorders>
          </w:tcPr>
          <w:p>
            <w:pPr>
              <w:spacing w:after="0"/>
              <w:rPr>
                <w:sz w:val="4"/>
                <w:szCs w:val="4"/>
                <w:color w:val="auto"/>
              </w:rPr>
            </w:pPr>
          </w:p>
        </w:tc>
        <w:tc>
          <w:tcPr>
            <w:tcW w:w="14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60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12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100" w:type="dxa"/>
            <w:vAlign w:val="bottom"/>
            <w:tcBorders>
              <w:bottom w:val="single" w:sz="8" w:color="0C0808"/>
            </w:tcBorders>
          </w:tcPr>
          <w:p>
            <w:pPr>
              <w:spacing w:after="0"/>
              <w:rPr>
                <w:sz w:val="4"/>
                <w:szCs w:val="4"/>
                <w:color w:val="auto"/>
              </w:rPr>
            </w:pPr>
          </w:p>
        </w:tc>
        <w:tc>
          <w:tcPr>
            <w:tcW w:w="66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Depreciation expense was $87.0 million, $86.1 million, and $73.3 million in 2024, 2023 and 2022, respectively.</w:t>
      </w:r>
    </w:p>
    <w:p>
      <w:pPr>
        <w:spacing w:after="0" w:line="200" w:lineRule="exact"/>
        <w:rPr>
          <w:sz w:val="20"/>
          <w:szCs w:val="20"/>
          <w:color w:val="auto"/>
        </w:rPr>
      </w:pPr>
    </w:p>
    <w:p>
      <w:pPr>
        <w:ind w:left="120" w:right="125"/>
        <w:spacing w:after="0" w:line="252" w:lineRule="auto"/>
        <w:rPr>
          <w:sz w:val="20"/>
          <w:szCs w:val="20"/>
          <w:color w:val="auto"/>
        </w:rPr>
      </w:pPr>
      <w:r>
        <w:rPr>
          <w:rFonts w:ascii="Times New Roman" w:cs="Times New Roman" w:eastAsia="Times New Roman" w:hAnsi="Times New Roman"/>
          <w:sz w:val="19"/>
          <w:szCs w:val="19"/>
          <w:color w:val="auto"/>
        </w:rPr>
        <w:t>The Company recorded property, plant and equipment impairment charges of $0.3 million in 2023. The Company estimated the fair value of the prope1ty, plant and equipment using income and market approaches.</w:t>
      </w:r>
    </w:p>
    <w:p>
      <w:pPr>
        <w:spacing w:after="0" w:line="27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8. LEASES</w:t>
      </w:r>
    </w:p>
    <w:p>
      <w:pPr>
        <w:spacing w:after="0" w:line="111" w:lineRule="exact"/>
        <w:rPr>
          <w:sz w:val="20"/>
          <w:szCs w:val="20"/>
          <w:color w:val="auto"/>
        </w:rPr>
      </w:pPr>
    </w:p>
    <w:p>
      <w:pPr>
        <w:ind w:left="120"/>
        <w:spacing w:after="0"/>
        <w:tabs>
          <w:tab w:leader="none" w:pos="1840" w:val="left"/>
        </w:tabs>
        <w:rPr>
          <w:sz w:val="20"/>
          <w:szCs w:val="20"/>
          <w:color w:val="auto"/>
        </w:rPr>
      </w:pPr>
      <w:r>
        <w:rPr>
          <w:rFonts w:ascii="Times New Roman" w:cs="Times New Roman" w:eastAsia="Times New Roman" w:hAnsi="Times New Roman"/>
          <w:sz w:val="19"/>
          <w:szCs w:val="19"/>
          <w:color w:val="auto"/>
        </w:rPr>
        <w:t>Operating Leases.</w:t>
        <w:tab/>
        <w:t>The components of operating lease expense were as follows:</w:t>
      </w:r>
    </w:p>
    <w:p>
      <w:pPr>
        <w:spacing w:after="0" w:line="153"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4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20" w:type="dxa"/>
            <w:vAlign w:val="bottom"/>
            <w:gridSpan w:val="11"/>
          </w:tcPr>
          <w:p>
            <w:pPr>
              <w:jc w:val="center"/>
              <w:ind w:right="80"/>
              <w:spacing w:after="0"/>
              <w:rPr>
                <w:sz w:val="20"/>
                <w:szCs w:val="20"/>
                <w:color w:val="auto"/>
              </w:rPr>
            </w:pPr>
            <w:r>
              <w:rPr>
                <w:rFonts w:ascii="Times New Roman" w:cs="Times New Roman" w:eastAsia="Times New Roman" w:hAnsi="Times New Roman"/>
                <w:sz w:val="16"/>
                <w:szCs w:val="16"/>
                <w:color w:val="auto"/>
              </w:rPr>
              <w:t>Year End ed December 31</w:t>
            </w:r>
          </w:p>
        </w:tc>
        <w:tc>
          <w:tcPr>
            <w:tcW w:w="0" w:type="dxa"/>
            <w:vAlign w:val="bottom"/>
          </w:tcPr>
          <w:p>
            <w:pPr>
              <w:spacing w:after="0"/>
              <w:rPr>
                <w:sz w:val="1"/>
                <w:szCs w:val="1"/>
                <w:color w:val="auto"/>
              </w:rPr>
            </w:pPr>
          </w:p>
        </w:tc>
      </w:tr>
      <w:tr>
        <w:trPr>
          <w:trHeight w:val="42"/>
        </w:trPr>
        <w:tc>
          <w:tcPr>
            <w:tcW w:w="466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28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28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46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Borders>
              <w:bottom w:val="single" w:sz="8" w:color="403C3C"/>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rPr>
              <w:t>2024</w:t>
            </w: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403C3C"/>
            </w:tcBorders>
          </w:tcPr>
          <w:p>
            <w:pPr>
              <w:spacing w:after="0"/>
              <w:rPr>
                <w:sz w:val="18"/>
                <w:szCs w:val="18"/>
                <w:color w:val="auto"/>
              </w:rPr>
            </w:pPr>
          </w:p>
        </w:tc>
        <w:tc>
          <w:tcPr>
            <w:tcW w:w="640" w:type="dxa"/>
            <w:vAlign w:val="bottom"/>
            <w:tcBorders>
              <w:bottom w:val="single" w:sz="8" w:color="403C3C"/>
            </w:tcBorders>
          </w:tcPr>
          <w:p>
            <w:pPr>
              <w:jc w:val="right"/>
              <w:ind w:right="106"/>
              <w:spacing w:after="0" w:line="191" w:lineRule="exact"/>
              <w:rPr>
                <w:sz w:val="20"/>
                <w:szCs w:val="20"/>
                <w:color w:val="auto"/>
              </w:rPr>
            </w:pPr>
            <w:r>
              <w:rPr>
                <w:rFonts w:ascii="Times New Roman" w:cs="Times New Roman" w:eastAsia="Times New Roman" w:hAnsi="Times New Roman"/>
                <w:sz w:val="17"/>
                <w:szCs w:val="17"/>
                <w:color w:val="auto"/>
              </w:rPr>
              <w:t>2023</w:t>
            </w:r>
          </w:p>
        </w:tc>
        <w:tc>
          <w:tcPr>
            <w:tcW w:w="20" w:type="dxa"/>
            <w:vAlign w:val="bottom"/>
            <w:tcBorders>
              <w:bottom w:val="single" w:sz="8" w:color="403C3C"/>
            </w:tcBorders>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bottom w:val="single" w:sz="8" w:color="403C3C"/>
            </w:tcBorders>
          </w:tcPr>
          <w:p>
            <w:pPr>
              <w:spacing w:after="0"/>
              <w:rPr>
                <w:sz w:val="18"/>
                <w:szCs w:val="18"/>
                <w:color w:val="auto"/>
              </w:rPr>
            </w:pPr>
          </w:p>
        </w:tc>
        <w:tc>
          <w:tcPr>
            <w:tcW w:w="640" w:type="dxa"/>
            <w:vAlign w:val="bottom"/>
            <w:tcBorders>
              <w:bottom w:val="single" w:sz="8" w:color="403C3C"/>
            </w:tcBorders>
          </w:tcPr>
          <w:p>
            <w:pPr>
              <w:jc w:val="right"/>
              <w:ind w:right="106"/>
              <w:spacing w:after="0" w:line="191" w:lineRule="exact"/>
              <w:rPr>
                <w:sz w:val="20"/>
                <w:szCs w:val="20"/>
                <w:color w:val="auto"/>
              </w:rPr>
            </w:pPr>
            <w:r>
              <w:rPr>
                <w:rFonts w:ascii="Times New Roman" w:cs="Times New Roman" w:eastAsia="Times New Roman" w:hAnsi="Times New Roman"/>
                <w:sz w:val="17"/>
                <w:szCs w:val="17"/>
                <w:color w:val="auto"/>
              </w:rPr>
              <w:t>2022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3"/>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Operating lease cost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87,204</w:t>
            </w:r>
          </w:p>
        </w:tc>
        <w:tc>
          <w:tcPr>
            <w:tcW w:w="280" w:type="dxa"/>
            <w:vAlign w:val="bottom"/>
          </w:tcPr>
          <w:p>
            <w:pPr>
              <w:spacing w:after="0"/>
              <w:rPr>
                <w:sz w:val="23"/>
                <w:szCs w:val="23"/>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89,994</w:t>
            </w:r>
          </w:p>
        </w:tc>
        <w:tc>
          <w:tcPr>
            <w:tcW w:w="280" w:type="dxa"/>
            <w:vAlign w:val="bottom"/>
          </w:tcPr>
          <w:p>
            <w:pPr>
              <w:spacing w:after="0"/>
              <w:rPr>
                <w:sz w:val="23"/>
                <w:szCs w:val="23"/>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9 1,6 13</w:t>
            </w: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Short-term and month-to-month lease cost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47,048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44,457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30,754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Variable lease cost  . ............. . ............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9"/>
                <w:szCs w:val="19"/>
                <w:color w:val="auto"/>
              </w:rPr>
              <w:t>20,410</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23,080</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21,265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Sublease income .. .. ..... ..... .. ..... ........ .</w:t>
            </w:r>
          </w:p>
        </w:tc>
        <w:tc>
          <w:tcPr>
            <w:tcW w:w="1040" w:type="dxa"/>
            <w:vAlign w:val="bottom"/>
            <w:gridSpan w:val="3"/>
          </w:tcPr>
          <w:p>
            <w:pPr>
              <w:jc w:val="right"/>
              <w:ind w:right="220"/>
              <w:spacing w:after="0"/>
              <w:rPr>
                <w:sz w:val="20"/>
                <w:szCs w:val="20"/>
                <w:color w:val="auto"/>
              </w:rPr>
            </w:pPr>
            <w:r>
              <w:rPr>
                <w:rFonts w:ascii="Times New Roman" w:cs="Times New Roman" w:eastAsia="Times New Roman" w:hAnsi="Times New Roman"/>
                <w:sz w:val="19"/>
                <w:szCs w:val="19"/>
                <w:color w:val="auto"/>
              </w:rPr>
              <w:t>(9,135)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3"/>
          </w:tcPr>
          <w:p>
            <w:pPr>
              <w:jc w:val="right"/>
              <w:ind w:right="240"/>
              <w:spacing w:after="0"/>
              <w:rPr>
                <w:sz w:val="20"/>
                <w:szCs w:val="20"/>
                <w:color w:val="auto"/>
              </w:rPr>
            </w:pPr>
            <w:r>
              <w:rPr>
                <w:rFonts w:ascii="Times New Roman" w:cs="Times New Roman" w:eastAsia="Times New Roman" w:hAnsi="Times New Roman"/>
                <w:sz w:val="19"/>
                <w:szCs w:val="19"/>
                <w:color w:val="auto"/>
              </w:rPr>
              <w:t>(16,035)</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(14,734)</w:t>
            </w:r>
          </w:p>
        </w:tc>
        <w:tc>
          <w:tcPr>
            <w:tcW w:w="0" w:type="dxa"/>
            <w:vAlign w:val="bottom"/>
          </w:tcPr>
          <w:p>
            <w:pPr>
              <w:spacing w:after="0"/>
              <w:rPr>
                <w:sz w:val="1"/>
                <w:szCs w:val="1"/>
                <w:color w:val="auto"/>
              </w:rPr>
            </w:pPr>
          </w:p>
        </w:tc>
      </w:tr>
      <w:tr>
        <w:trPr>
          <w:trHeight w:val="36"/>
        </w:trPr>
        <w:tc>
          <w:tcPr>
            <w:tcW w:w="466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gridSpan w:val="2"/>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640" w:type="dxa"/>
            <w:vAlign w:val="bottom"/>
            <w:tcBorders>
              <w:bottom w:val="single" w:sz="8" w:color="0C0808"/>
            </w:tcBorders>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4660" w:type="dxa"/>
            <w:vAlign w:val="bottom"/>
          </w:tcPr>
          <w:p>
            <w:pPr>
              <w:spacing w:after="0"/>
              <w:rPr>
                <w:sz w:val="20"/>
                <w:szCs w:val="20"/>
                <w:color w:val="auto"/>
              </w:rPr>
            </w:pPr>
            <w:r>
              <w:rPr>
                <w:rFonts w:ascii="Times New Roman" w:cs="Times New Roman" w:eastAsia="Times New Roman" w:hAnsi="Times New Roman"/>
                <w:sz w:val="19"/>
                <w:szCs w:val="19"/>
                <w:color w:val="auto"/>
              </w:rPr>
              <w:t>Total net lease cost  .......... . ...... .. ....... .</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$145,527</w:t>
            </w:r>
          </w:p>
        </w:tc>
        <w:tc>
          <w:tcPr>
            <w:tcW w:w="2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96"/>
              </w:rPr>
              <w:t>14 1,496</w:t>
            </w:r>
          </w:p>
        </w:tc>
        <w:tc>
          <w:tcPr>
            <w:tcW w:w="2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128,898</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
        </w:trPr>
        <w:tc>
          <w:tcPr>
            <w:tcW w:w="466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740" w:type="dxa"/>
            <w:vAlign w:val="bottom"/>
            <w:tcBorders>
              <w:bottom w:val="single" w:sz="8" w:color="504C4C"/>
            </w:tcBorders>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64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640" w:type="dxa"/>
            <w:vAlign w:val="bottom"/>
            <w:tcBorders>
              <w:bottom w:val="single" w:sz="8" w:color="504C4C"/>
            </w:tcBorders>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85" w:right="1440" w:bottom="721" w:gutter="0" w:footer="0" w:header="0"/>
        </w:sectPr>
      </w:pPr>
    </w:p>
    <w:p>
      <w:pPr>
        <w:spacing w:after="0" w:line="370"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tab/>
        <w:t>Ill</w:t>
      </w:r>
    </w:p>
    <w:p>
      <w:pPr>
        <w:sectPr>
          <w:pgSz w:w="12240" w:h="15850" w:orient="portrait"/>
          <w:cols w:equalWidth="0" w:num="1">
            <w:col w:w="9365"/>
          </w:cols>
          <w:pgMar w:left="1440" w:top="1385" w:right="1440" w:bottom="721" w:gutter="0" w:footer="0" w:header="0"/>
          <w:type w:val="continuous"/>
        </w:sectPr>
      </w:pPr>
    </w:p>
    <w:bookmarkStart w:id="127" w:name="page128"/>
    <w:bookmarkEnd w:id="127"/>
    <w:p>
      <w:pPr>
        <w:jc w:val="both"/>
        <w:ind w:left="120" w:right="125"/>
        <w:spacing w:after="0" w:line="23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3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The Company recorded impairment charges of </w:t>
      </w:r>
      <w:r>
        <w:rPr>
          <w:rFonts w:ascii="Times New Roman" w:cs="Times New Roman" w:eastAsia="Times New Roman" w:hAnsi="Times New Roman"/>
          <w:sz w:val="20"/>
          <w:szCs w:val="20"/>
          <w:color w:val="auto"/>
        </w:rPr>
        <w:t>$0.6</w:t>
      </w:r>
      <w:r>
        <w:rPr>
          <w:rFonts w:ascii="Times New Roman" w:cs="Times New Roman" w:eastAsia="Times New Roman" w:hAnsi="Times New Roman"/>
          <w:sz w:val="19"/>
          <w:szCs w:val="19"/>
          <w:color w:val="auto"/>
        </w:rPr>
        <w:t xml:space="preserve"> million and </w:t>
      </w:r>
      <w:r>
        <w:rPr>
          <w:rFonts w:ascii="Times New Roman" w:cs="Times New Roman" w:eastAsia="Times New Roman" w:hAnsi="Times New Roman"/>
          <w:sz w:val="20"/>
          <w:szCs w:val="20"/>
          <w:color w:val="auto"/>
        </w:rPr>
        <w:t>$0.8</w:t>
      </w:r>
      <w:r>
        <w:rPr>
          <w:rFonts w:ascii="Times New Roman" w:cs="Times New Roman" w:eastAsia="Times New Roman" w:hAnsi="Times New Roman"/>
          <w:sz w:val="19"/>
          <w:szCs w:val="19"/>
          <w:color w:val="auto"/>
        </w:rPr>
        <w:t xml:space="preserve"> million in </w:t>
      </w:r>
      <w:r>
        <w:rPr>
          <w:rFonts w:ascii="Times New Roman" w:cs="Times New Roman" w:eastAsia="Times New Roman" w:hAnsi="Times New Roman"/>
          <w:sz w:val="20"/>
          <w:szCs w:val="20"/>
          <w:color w:val="auto"/>
        </w:rPr>
        <w:t>2024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2023,</w:t>
      </w:r>
      <w:r>
        <w:rPr>
          <w:rFonts w:ascii="Times New Roman" w:cs="Times New Roman" w:eastAsia="Times New Roman" w:hAnsi="Times New Roman"/>
          <w:sz w:val="19"/>
          <w:szCs w:val="19"/>
          <w:color w:val="auto"/>
        </w:rPr>
        <w:t xml:space="preserve"> respectively. The Company estimated the fair value of the ROU assets using an income approach.</w:t>
      </w:r>
    </w:p>
    <w:p>
      <w:pPr>
        <w:spacing w:after="0" w:line="26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Supplemental information related to operating leases was as follows:</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2640" w:type="dxa"/>
            <w:vAlign w:val="bottom"/>
            <w:gridSpan w:val="3"/>
          </w:tcPr>
          <w:p>
            <w:pPr>
              <w:jc w:val="right"/>
              <w:ind w:right="359"/>
              <w:spacing w:after="0"/>
              <w:rPr>
                <w:sz w:val="20"/>
                <w:szCs w:val="20"/>
                <w:color w:val="auto"/>
              </w:rPr>
            </w:pPr>
            <w:r>
              <w:rPr>
                <w:rFonts w:ascii="Times New Roman" w:cs="Times New Roman" w:eastAsia="Times New Roman" w:hAnsi="Times New Roman"/>
                <w:sz w:val="16"/>
                <w:szCs w:val="16"/>
                <w:color w:val="auto"/>
              </w:rPr>
              <w:t>Year E nded December 31</w:t>
            </w:r>
          </w:p>
        </w:tc>
      </w:tr>
      <w:tr>
        <w:trPr>
          <w:trHeight w:val="33"/>
        </w:trPr>
        <w:tc>
          <w:tcPr>
            <w:tcW w:w="4880" w:type="dxa"/>
            <w:vAlign w:val="bottom"/>
          </w:tcPr>
          <w:p>
            <w:pPr>
              <w:spacing w:after="0"/>
              <w:rPr>
                <w:sz w:val="2"/>
                <w:szCs w:val="2"/>
                <w:color w:val="auto"/>
              </w:rPr>
            </w:pPr>
          </w:p>
        </w:tc>
        <w:tc>
          <w:tcPr>
            <w:tcW w:w="800" w:type="dxa"/>
            <w:vAlign w:val="bottom"/>
            <w:tcBorders>
              <w:bottom w:val="single" w:sz="8" w:color="141414"/>
            </w:tcBorders>
          </w:tcPr>
          <w:p>
            <w:pPr>
              <w:spacing w:after="0"/>
              <w:rPr>
                <w:sz w:val="2"/>
                <w:szCs w:val="2"/>
                <w:color w:val="auto"/>
              </w:rPr>
            </w:pPr>
          </w:p>
        </w:tc>
        <w:tc>
          <w:tcPr>
            <w:tcW w:w="1100" w:type="dxa"/>
            <w:vAlign w:val="bottom"/>
            <w:tcBorders>
              <w:bottom w:val="single" w:sz="8" w:color="141414"/>
            </w:tcBorders>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r>
      <w:tr>
        <w:trPr>
          <w:trHeight w:val="186"/>
        </w:trPr>
        <w:tc>
          <w:tcPr>
            <w:tcW w:w="48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0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2024</w:t>
            </w:r>
          </w:p>
        </w:tc>
        <w:tc>
          <w:tcPr>
            <w:tcW w:w="110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rPr>
              <w:t>2023</w:t>
            </w:r>
          </w:p>
        </w:tc>
        <w:tc>
          <w:tcPr>
            <w:tcW w:w="7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2022</w:t>
            </w:r>
          </w:p>
        </w:tc>
      </w:tr>
      <w:tr>
        <w:trPr>
          <w:trHeight w:val="32"/>
        </w:trPr>
        <w:tc>
          <w:tcPr>
            <w:tcW w:w="48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40" w:type="dxa"/>
            <w:vAlign w:val="bottom"/>
            <w:tcBorders>
              <w:bottom w:val="single" w:sz="8" w:color="403C3C"/>
            </w:tcBorders>
          </w:tcPr>
          <w:p>
            <w:pPr>
              <w:spacing w:after="0"/>
              <w:rPr>
                <w:sz w:val="2"/>
                <w:szCs w:val="2"/>
                <w:color w:val="auto"/>
              </w:rPr>
            </w:pPr>
          </w:p>
        </w:tc>
      </w:tr>
    </w:tbl>
    <w:p>
      <w:pPr>
        <w:spacing w:after="0" w:line="4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0"/>
          <w:szCs w:val="20"/>
          <w:color w:val="auto"/>
        </w:rPr>
        <w:t>Cash Flow Information:</w:t>
      </w:r>
    </w:p>
    <w:p>
      <w:pPr>
        <w:spacing w:after="0" w:line="18"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56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Operating cash flows from operating leases</w:t>
            </w: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660" w:type="dxa"/>
            <w:vAlign w:val="bottom"/>
          </w:tcPr>
          <w:p>
            <w:pPr>
              <w:ind w:left="1400"/>
              <w:spacing w:after="0"/>
              <w:rPr>
                <w:sz w:val="20"/>
                <w:szCs w:val="20"/>
                <w:color w:val="auto"/>
              </w:rPr>
            </w:pPr>
            <w:r>
              <w:rPr>
                <w:rFonts w:ascii="Times New Roman" w:cs="Times New Roman" w:eastAsia="Times New Roman" w:hAnsi="Times New Roman"/>
                <w:sz w:val="19"/>
                <w:szCs w:val="19"/>
                <w:color w:val="auto"/>
              </w:rPr>
              <w:t>(payments)  . . . . . . . . . . . . . . . . . . . . . . . . . . . . . .</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$86,210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$94,630</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100,207</w:t>
            </w:r>
          </w:p>
        </w:tc>
        <w:tc>
          <w:tcPr>
            <w:tcW w:w="0" w:type="dxa"/>
            <w:vAlign w:val="bottom"/>
          </w:tcPr>
          <w:p>
            <w:pPr>
              <w:spacing w:after="0"/>
              <w:rPr>
                <w:sz w:val="1"/>
                <w:szCs w:val="1"/>
                <w:color w:val="auto"/>
              </w:rPr>
            </w:pPr>
          </w:p>
        </w:tc>
      </w:tr>
      <w:tr>
        <w:trPr>
          <w:trHeight w:val="236"/>
        </w:trPr>
        <w:tc>
          <w:tcPr>
            <w:tcW w:w="56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Right-of-use assets obtained in exchange for new</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660" w:type="dxa"/>
            <w:vAlign w:val="bottom"/>
          </w:tcPr>
          <w:p>
            <w:pPr>
              <w:ind w:left="1400"/>
              <w:spacing w:after="0"/>
              <w:rPr>
                <w:sz w:val="20"/>
                <w:szCs w:val="20"/>
                <w:color w:val="auto"/>
              </w:rPr>
            </w:pPr>
            <w:r>
              <w:rPr>
                <w:rFonts w:ascii="Times New Roman" w:cs="Times New Roman" w:eastAsia="Times New Roman" w:hAnsi="Times New Roman"/>
                <w:sz w:val="19"/>
                <w:szCs w:val="19"/>
                <w:color w:val="auto"/>
              </w:rPr>
              <w:t>operating lease liabilities (noncash) . . . . . . . . . . .</w:t>
            </w:r>
          </w:p>
        </w:tc>
        <w:tc>
          <w:tcPr>
            <w:tcW w:w="78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55,283</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38,967</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81,838</w:t>
            </w:r>
          </w:p>
        </w:tc>
        <w:tc>
          <w:tcPr>
            <w:tcW w:w="0" w:type="dxa"/>
            <w:vAlign w:val="bottom"/>
          </w:tcPr>
          <w:p>
            <w:pPr>
              <w:spacing w:after="0"/>
              <w:rPr>
                <w:sz w:val="1"/>
                <w:szCs w:val="1"/>
                <w:color w:val="auto"/>
              </w:rPr>
            </w:pPr>
          </w:p>
        </w:tc>
      </w:tr>
      <w:tr>
        <w:trPr>
          <w:trHeight w:val="393"/>
        </w:trPr>
        <w:tc>
          <w:tcPr>
            <w:tcW w:w="5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right"/>
              <w:ind w:right="162"/>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33"/>
        </w:trPr>
        <w:tc>
          <w:tcPr>
            <w:tcW w:w="5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30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660" w:type="dxa"/>
            <w:vAlign w:val="bottom"/>
            <w:tcBorders>
              <w:bottom w:val="single" w:sz="8" w:color="181414"/>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5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2024</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02"/>
              <w:spacing w:after="0"/>
              <w:rPr>
                <w:sz w:val="20"/>
                <w:szCs w:val="20"/>
                <w:color w:val="auto"/>
              </w:rPr>
            </w:pPr>
            <w:r>
              <w:rPr>
                <w:rFonts w:ascii="Times New Roman" w:cs="Times New Roman" w:eastAsia="Times New Roman" w:hAnsi="Times New Roman"/>
                <w:sz w:val="16"/>
                <w:szCs w:val="16"/>
                <w:color w:val="auto"/>
              </w:rPr>
              <w:t>2023</w:t>
            </w:r>
          </w:p>
        </w:tc>
        <w:tc>
          <w:tcPr>
            <w:tcW w:w="0" w:type="dxa"/>
            <w:vAlign w:val="bottom"/>
          </w:tcPr>
          <w:p>
            <w:pPr>
              <w:spacing w:after="0"/>
              <w:rPr>
                <w:sz w:val="1"/>
                <w:szCs w:val="1"/>
                <w:color w:val="auto"/>
              </w:rPr>
            </w:pPr>
          </w:p>
        </w:tc>
      </w:tr>
      <w:tr>
        <w:trPr>
          <w:trHeight w:val="332"/>
        </w:trPr>
        <w:tc>
          <w:tcPr>
            <w:tcW w:w="5660" w:type="dxa"/>
            <w:vAlign w:val="bottom"/>
          </w:tcPr>
          <w:p>
            <w:pPr>
              <w:ind w:left="800"/>
              <w:spacing w:after="0"/>
              <w:rPr>
                <w:sz w:val="20"/>
                <w:szCs w:val="20"/>
                <w:color w:val="auto"/>
              </w:rPr>
            </w:pPr>
            <w:r>
              <w:rPr>
                <w:rFonts w:ascii="Times New Roman" w:cs="Times New Roman" w:eastAsia="Times New Roman" w:hAnsi="Times New Roman"/>
                <w:sz w:val="20"/>
                <w:szCs w:val="20"/>
                <w:color w:val="auto"/>
              </w:rPr>
              <w:t>Balance Sheet Information:</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6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Lease right-of-use assets</w:t>
            </w:r>
          </w:p>
        </w:tc>
        <w:tc>
          <w:tcPr>
            <w:tcW w:w="7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$388,419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409,183</w:t>
            </w:r>
          </w:p>
        </w:tc>
        <w:tc>
          <w:tcPr>
            <w:tcW w:w="0" w:type="dxa"/>
            <w:vAlign w:val="bottom"/>
          </w:tcPr>
          <w:p>
            <w:pPr>
              <w:spacing w:after="0"/>
              <w:rPr>
                <w:sz w:val="1"/>
                <w:szCs w:val="1"/>
                <w:color w:val="auto"/>
              </w:rPr>
            </w:pPr>
          </w:p>
        </w:tc>
      </w:tr>
      <w:tr>
        <w:trPr>
          <w:trHeight w:val="362"/>
        </w:trPr>
        <w:tc>
          <w:tcPr>
            <w:tcW w:w="6440" w:type="dxa"/>
            <w:vAlign w:val="bottom"/>
            <w:gridSpan w:val="2"/>
          </w:tcPr>
          <w:p>
            <w:pPr>
              <w:ind w:left="1200"/>
              <w:spacing w:after="0"/>
              <w:rPr>
                <w:sz w:val="20"/>
                <w:szCs w:val="20"/>
                <w:color w:val="auto"/>
              </w:rPr>
            </w:pPr>
            <w:r>
              <w:rPr>
                <w:rFonts w:ascii="Times New Roman" w:cs="Times New Roman" w:eastAsia="Times New Roman" w:hAnsi="Times New Roman"/>
                <w:sz w:val="19"/>
                <w:szCs w:val="19"/>
                <w:color w:val="auto"/>
              </w:rPr>
              <w:t>Current lease liabilities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58,239</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64,247</w:t>
            </w:r>
          </w:p>
        </w:tc>
        <w:tc>
          <w:tcPr>
            <w:tcW w:w="0" w:type="dxa"/>
            <w:vAlign w:val="bottom"/>
          </w:tcPr>
          <w:p>
            <w:pPr>
              <w:spacing w:after="0"/>
              <w:rPr>
                <w:sz w:val="1"/>
                <w:szCs w:val="1"/>
                <w:color w:val="auto"/>
              </w:rPr>
            </w:pPr>
          </w:p>
        </w:tc>
      </w:tr>
      <w:tr>
        <w:trPr>
          <w:trHeight w:val="238"/>
        </w:trPr>
        <w:tc>
          <w:tcPr>
            <w:tcW w:w="56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Noncurrent lease liabilities</w:t>
            </w:r>
          </w:p>
        </w:tc>
        <w:tc>
          <w:tcPr>
            <w:tcW w:w="78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362,885</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376,677</w:t>
            </w:r>
          </w:p>
        </w:tc>
        <w:tc>
          <w:tcPr>
            <w:tcW w:w="0" w:type="dxa"/>
            <w:vAlign w:val="bottom"/>
          </w:tcPr>
          <w:p>
            <w:pPr>
              <w:spacing w:after="0"/>
              <w:rPr>
                <w:sz w:val="1"/>
                <w:szCs w:val="1"/>
                <w:color w:val="auto"/>
              </w:rPr>
            </w:pPr>
          </w:p>
        </w:tc>
      </w:tr>
      <w:tr>
        <w:trPr>
          <w:trHeight w:val="34"/>
        </w:trPr>
        <w:tc>
          <w:tcPr>
            <w:tcW w:w="6440" w:type="dxa"/>
            <w:vAlign w:val="bottom"/>
            <w:gridSpan w:val="2"/>
            <w:vMerge w:val="restart"/>
          </w:tcPr>
          <w:p>
            <w:pPr>
              <w:ind w:left="1600"/>
              <w:spacing w:after="0"/>
              <w:rPr>
                <w:sz w:val="20"/>
                <w:szCs w:val="20"/>
                <w:color w:val="auto"/>
              </w:rPr>
            </w:pPr>
            <w:r>
              <w:rPr>
                <w:rFonts w:ascii="Times New Roman" w:cs="Times New Roman" w:eastAsia="Times New Roman" w:hAnsi="Times New Roman"/>
                <w:sz w:val="20"/>
                <w:szCs w:val="20"/>
                <w:color w:val="auto"/>
              </w:rPr>
              <w:t>Total lease liabilities  . . .........................</w:t>
            </w:r>
          </w:p>
        </w:tc>
        <w:tc>
          <w:tcPr>
            <w:tcW w:w="80" w:type="dxa"/>
            <w:vAlign w:val="bottom"/>
          </w:tcPr>
          <w:p>
            <w:pPr>
              <w:spacing w:after="0"/>
              <w:rPr>
                <w:sz w:val="2"/>
                <w:szCs w:val="2"/>
                <w:color w:val="auto"/>
              </w:rPr>
            </w:pPr>
          </w:p>
        </w:tc>
        <w:tc>
          <w:tcPr>
            <w:tcW w:w="760" w:type="dxa"/>
            <w:vAlign w:val="bottom"/>
            <w:tcBorders>
              <w:bottom w:val="single" w:sz="8" w:color="0C080C"/>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Borders>
              <w:bottom w:val="single" w:sz="8" w:color="0C0808"/>
            </w:tcBorders>
          </w:tcPr>
          <w:p>
            <w:pPr>
              <w:spacing w:after="0"/>
              <w:rPr>
                <w:sz w:val="2"/>
                <w:szCs w:val="2"/>
                <w:color w:val="auto"/>
              </w:rPr>
            </w:pPr>
          </w:p>
        </w:tc>
        <w:tc>
          <w:tcPr>
            <w:tcW w:w="660" w:type="dxa"/>
            <w:vAlign w:val="bottom"/>
            <w:tcBorders>
              <w:bottom w:val="single" w:sz="8" w:color="0C0808"/>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5660" w:type="dxa"/>
            <w:vAlign w:val="bottom"/>
            <w:vMerge w:val="continue"/>
          </w:tcPr>
          <w:p>
            <w:pPr>
              <w:spacing w:after="0"/>
              <w:rPr>
                <w:sz w:val="23"/>
                <w:szCs w:val="23"/>
                <w:color w:val="auto"/>
              </w:rPr>
            </w:pPr>
          </w:p>
        </w:tc>
        <w:tc>
          <w:tcPr>
            <w:tcW w:w="780" w:type="dxa"/>
            <w:vAlign w:val="bottom"/>
          </w:tcPr>
          <w:p>
            <w:pPr>
              <w:jc w:val="right"/>
              <w:ind w:right="124"/>
              <w:spacing w:after="0"/>
              <w:rPr>
                <w:sz w:val="20"/>
                <w:szCs w:val="20"/>
                <w:color w:val="auto"/>
              </w:rPr>
            </w:pPr>
            <w:r>
              <w:rPr>
                <w:rFonts w:ascii="Times New Roman" w:cs="Times New Roman" w:eastAsia="Times New Roman" w:hAnsi="Times New Roman"/>
                <w:sz w:val="20"/>
                <w:szCs w:val="20"/>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$421,124</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440,924</w:t>
            </w:r>
          </w:p>
        </w:tc>
        <w:tc>
          <w:tcPr>
            <w:tcW w:w="0" w:type="dxa"/>
            <w:vAlign w:val="bottom"/>
          </w:tcPr>
          <w:p>
            <w:pPr>
              <w:spacing w:after="0"/>
              <w:rPr>
                <w:sz w:val="1"/>
                <w:szCs w:val="1"/>
                <w:color w:val="auto"/>
              </w:rPr>
            </w:pPr>
          </w:p>
        </w:tc>
      </w:tr>
      <w:tr>
        <w:trPr>
          <w:trHeight w:val="42"/>
        </w:trPr>
        <w:tc>
          <w:tcPr>
            <w:tcW w:w="5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300" w:type="dxa"/>
            <w:vAlign w:val="bottom"/>
            <w:tcBorders>
              <w:bottom w:val="single" w:sz="8" w:color="0C0808"/>
            </w:tcBorders>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66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6440" w:type="dxa"/>
            <w:vAlign w:val="bottom"/>
            <w:gridSpan w:val="2"/>
          </w:tcPr>
          <w:p>
            <w:pPr>
              <w:jc w:val="right"/>
              <w:ind w:right="124"/>
              <w:spacing w:after="0"/>
              <w:rPr>
                <w:sz w:val="20"/>
                <w:szCs w:val="20"/>
                <w:color w:val="auto"/>
              </w:rPr>
            </w:pPr>
            <w:r>
              <w:rPr>
                <w:rFonts w:ascii="Times New Roman" w:cs="Times New Roman" w:eastAsia="Times New Roman" w:hAnsi="Times New Roman"/>
                <w:sz w:val="19"/>
                <w:szCs w:val="19"/>
                <w:color w:val="auto"/>
              </w:rPr>
              <w:t>Weighted average remaining lease term (years)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10 .4</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w:t>
            </w:r>
          </w:p>
        </w:tc>
        <w:tc>
          <w:tcPr>
            <w:tcW w:w="0" w:type="dxa"/>
            <w:vAlign w:val="bottom"/>
          </w:tcPr>
          <w:p>
            <w:pPr>
              <w:spacing w:after="0"/>
              <w:rPr>
                <w:sz w:val="1"/>
                <w:szCs w:val="1"/>
                <w:color w:val="auto"/>
              </w:rPr>
            </w:pPr>
          </w:p>
        </w:tc>
      </w:tr>
      <w:tr>
        <w:trPr>
          <w:trHeight w:val="238"/>
        </w:trPr>
        <w:tc>
          <w:tcPr>
            <w:tcW w:w="6440" w:type="dxa"/>
            <w:vAlign w:val="bottom"/>
            <w:gridSpan w:val="2"/>
          </w:tcPr>
          <w:p>
            <w:pPr>
              <w:jc w:val="right"/>
              <w:ind w:right="124"/>
              <w:spacing w:after="0"/>
              <w:rPr>
                <w:sz w:val="20"/>
                <w:szCs w:val="20"/>
                <w:color w:val="auto"/>
              </w:rPr>
            </w:pPr>
            <w:r>
              <w:rPr>
                <w:rFonts w:ascii="Times New Roman" w:cs="Times New Roman" w:eastAsia="Times New Roman" w:hAnsi="Times New Roman"/>
                <w:sz w:val="19"/>
                <w:szCs w:val="19"/>
                <w:color w:val="auto"/>
              </w:rPr>
              <w:t>Weighted average discount rate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w:t>
            </w:r>
          </w:p>
        </w:tc>
        <w:tc>
          <w:tcPr>
            <w:tcW w:w="0" w:type="dxa"/>
            <w:vAlign w:val="bottom"/>
          </w:tcPr>
          <w:p>
            <w:pPr>
              <w:spacing w:after="0"/>
              <w:rPr>
                <w:sz w:val="1"/>
                <w:szCs w:val="1"/>
                <w:color w:val="auto"/>
              </w:rPr>
            </w:pPr>
          </w:p>
        </w:tc>
      </w:tr>
      <w:tr>
        <w:trPr>
          <w:trHeight w:val="477"/>
        </w:trPr>
        <w:tc>
          <w:tcPr>
            <w:tcW w:w="6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At December 3 1, </w:t>
            </w:r>
            <w:r>
              <w:rPr>
                <w:rFonts w:ascii="Times New Roman" w:cs="Times New Roman" w:eastAsia="Times New Roman" w:hAnsi="Times New Roman"/>
                <w:sz w:val="20"/>
                <w:szCs w:val="20"/>
                <w:color w:val="auto"/>
              </w:rPr>
              <w:t>2024,</w:t>
            </w:r>
            <w:r>
              <w:rPr>
                <w:rFonts w:ascii="Times New Roman" w:cs="Times New Roman" w:eastAsia="Times New Roman" w:hAnsi="Times New Roman"/>
                <w:sz w:val="19"/>
                <w:szCs w:val="19"/>
                <w:color w:val="auto"/>
              </w:rPr>
              <w:t xml:space="preserve"> maturities of operating lease liabilities were as follows:</w:t>
            </w: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5660" w:type="dxa"/>
            <w:vAlign w:val="bottom"/>
          </w:tcPr>
          <w:p>
            <w:pPr>
              <w:ind w:left="1200"/>
              <w:spacing w:after="0"/>
              <w:rPr>
                <w:sz w:val="20"/>
                <w:szCs w:val="20"/>
                <w:color w:val="auto"/>
              </w:rPr>
            </w:pPr>
            <w:r>
              <w:rPr>
                <w:rFonts w:ascii="Times New Roman" w:cs="Times New Roman" w:eastAsia="Times New Roman" w:hAnsi="Times New Roman"/>
                <w:sz w:val="16"/>
                <w:szCs w:val="16"/>
                <w:color w:val="auto"/>
              </w:rPr>
              <w:t>(in thousands)</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gridSpan w:val="4"/>
          </w:tcPr>
          <w:p>
            <w:pPr>
              <w:jc w:val="right"/>
              <w:ind w:right="302"/>
              <w:spacing w:after="0"/>
              <w:rPr>
                <w:sz w:val="20"/>
                <w:szCs w:val="20"/>
                <w:color w:val="auto"/>
              </w:rPr>
            </w:pPr>
            <w:r>
              <w:rPr>
                <w:rFonts w:ascii="Times New Roman" w:cs="Times New Roman" w:eastAsia="Times New Roman" w:hAnsi="Times New Roman"/>
                <w:sz w:val="16"/>
                <w:szCs w:val="16"/>
                <w:color w:val="auto"/>
              </w:rPr>
              <w:t>Decem ber 31,2024</w:t>
            </w:r>
          </w:p>
        </w:tc>
        <w:tc>
          <w:tcPr>
            <w:tcW w:w="0" w:type="dxa"/>
            <w:vAlign w:val="bottom"/>
          </w:tcPr>
          <w:p>
            <w:pPr>
              <w:spacing w:after="0"/>
              <w:rPr>
                <w:sz w:val="1"/>
                <w:szCs w:val="1"/>
                <w:color w:val="auto"/>
              </w:rPr>
            </w:pPr>
          </w:p>
        </w:tc>
      </w:tr>
      <w:tr>
        <w:trPr>
          <w:trHeight w:val="332"/>
        </w:trPr>
        <w:tc>
          <w:tcPr>
            <w:tcW w:w="644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auto"/>
              </w:rPr>
              <w:t>2025 ............... . .............................. .</w:t>
            </w:r>
          </w:p>
        </w:tc>
        <w:tc>
          <w:tcPr>
            <w:tcW w:w="1880" w:type="dxa"/>
            <w:vAlign w:val="bottom"/>
            <w:gridSpan w:val="5"/>
          </w:tcPr>
          <w:p>
            <w:pPr>
              <w:jc w:val="right"/>
              <w:ind w:right="542"/>
              <w:spacing w:after="0"/>
              <w:rPr>
                <w:sz w:val="20"/>
                <w:szCs w:val="20"/>
                <w:color w:val="auto"/>
              </w:rPr>
            </w:pPr>
            <w:r>
              <w:rPr>
                <w:rFonts w:ascii="Times New Roman" w:cs="Times New Roman" w:eastAsia="Times New Roman" w:hAnsi="Times New Roman"/>
                <w:sz w:val="20"/>
                <w:szCs w:val="20"/>
                <w:color w:val="auto"/>
              </w:rPr>
              <w:t>$  73,339</w:t>
            </w:r>
          </w:p>
        </w:tc>
        <w:tc>
          <w:tcPr>
            <w:tcW w:w="0" w:type="dxa"/>
            <w:vAlign w:val="bottom"/>
          </w:tcPr>
          <w:p>
            <w:pPr>
              <w:spacing w:after="0"/>
              <w:rPr>
                <w:sz w:val="1"/>
                <w:szCs w:val="1"/>
                <w:color w:val="auto"/>
              </w:rPr>
            </w:pPr>
          </w:p>
        </w:tc>
      </w:tr>
      <w:tr>
        <w:trPr>
          <w:trHeight w:val="229"/>
        </w:trPr>
        <w:tc>
          <w:tcPr>
            <w:tcW w:w="6440" w:type="dxa"/>
            <w:vAlign w:val="bottom"/>
            <w:gridSpan w:val="2"/>
          </w:tcPr>
          <w:p>
            <w:pPr>
              <w:jc w:val="right"/>
              <w:ind w:right="24"/>
              <w:spacing w:after="0" w:line="229" w:lineRule="exact"/>
              <w:rPr>
                <w:sz w:val="20"/>
                <w:szCs w:val="20"/>
                <w:color w:val="auto"/>
              </w:rPr>
            </w:pPr>
            <w:r>
              <w:rPr>
                <w:rFonts w:ascii="Times New Roman" w:cs="Times New Roman" w:eastAsia="Times New Roman" w:hAnsi="Times New Roman"/>
                <w:sz w:val="20"/>
                <w:szCs w:val="20"/>
                <w:color w:val="auto"/>
              </w:rPr>
              <w:t>2026 ............... . ................. . ............ .</w:t>
            </w:r>
          </w:p>
        </w:tc>
        <w:tc>
          <w:tcPr>
            <w:tcW w:w="1880" w:type="dxa"/>
            <w:vAlign w:val="bottom"/>
            <w:gridSpan w:val="5"/>
          </w:tcPr>
          <w:p>
            <w:pPr>
              <w:jc w:val="right"/>
              <w:ind w:right="542"/>
              <w:spacing w:after="0" w:line="229" w:lineRule="exact"/>
              <w:rPr>
                <w:sz w:val="20"/>
                <w:szCs w:val="20"/>
                <w:color w:val="auto"/>
              </w:rPr>
            </w:pPr>
            <w:r>
              <w:rPr>
                <w:rFonts w:ascii="Times New Roman" w:cs="Times New Roman" w:eastAsia="Times New Roman" w:hAnsi="Times New Roman"/>
                <w:sz w:val="20"/>
                <w:szCs w:val="20"/>
                <w:color w:val="auto"/>
              </w:rPr>
              <w:t>72,629</w:t>
            </w:r>
          </w:p>
        </w:tc>
        <w:tc>
          <w:tcPr>
            <w:tcW w:w="0" w:type="dxa"/>
            <w:vAlign w:val="bottom"/>
          </w:tcPr>
          <w:p>
            <w:pPr>
              <w:spacing w:after="0"/>
              <w:rPr>
                <w:sz w:val="1"/>
                <w:szCs w:val="1"/>
                <w:color w:val="auto"/>
              </w:rPr>
            </w:pPr>
          </w:p>
        </w:tc>
      </w:tr>
      <w:tr>
        <w:trPr>
          <w:trHeight w:val="238"/>
        </w:trPr>
        <w:tc>
          <w:tcPr>
            <w:tcW w:w="64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2027 .............................................. .</w:t>
            </w:r>
          </w:p>
        </w:tc>
        <w:tc>
          <w:tcPr>
            <w:tcW w:w="1880" w:type="dxa"/>
            <w:vAlign w:val="bottom"/>
            <w:gridSpan w:val="5"/>
          </w:tcPr>
          <w:p>
            <w:pPr>
              <w:jc w:val="right"/>
              <w:ind w:right="542"/>
              <w:spacing w:after="0"/>
              <w:rPr>
                <w:sz w:val="20"/>
                <w:szCs w:val="20"/>
                <w:color w:val="auto"/>
              </w:rPr>
            </w:pPr>
            <w:r>
              <w:rPr>
                <w:rFonts w:ascii="Times New Roman" w:cs="Times New Roman" w:eastAsia="Times New Roman" w:hAnsi="Times New Roman"/>
                <w:sz w:val="20"/>
                <w:szCs w:val="20"/>
                <w:color w:val="auto"/>
              </w:rPr>
              <w:t>64,432</w:t>
            </w:r>
          </w:p>
        </w:tc>
        <w:tc>
          <w:tcPr>
            <w:tcW w:w="0" w:type="dxa"/>
            <w:vAlign w:val="bottom"/>
          </w:tcPr>
          <w:p>
            <w:pPr>
              <w:spacing w:after="0"/>
              <w:rPr>
                <w:sz w:val="1"/>
                <w:szCs w:val="1"/>
                <w:color w:val="auto"/>
              </w:rPr>
            </w:pPr>
          </w:p>
        </w:tc>
      </w:tr>
      <w:tr>
        <w:trPr>
          <w:trHeight w:val="248"/>
        </w:trPr>
        <w:tc>
          <w:tcPr>
            <w:tcW w:w="644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auto"/>
              </w:rPr>
              <w:t>2028 ............... . ................. .. ........... .</w:t>
            </w:r>
          </w:p>
        </w:tc>
        <w:tc>
          <w:tcPr>
            <w:tcW w:w="1880" w:type="dxa"/>
            <w:vAlign w:val="bottom"/>
            <w:gridSpan w:val="5"/>
          </w:tcPr>
          <w:p>
            <w:pPr>
              <w:jc w:val="right"/>
              <w:ind w:right="542"/>
              <w:spacing w:after="0"/>
              <w:rPr>
                <w:sz w:val="20"/>
                <w:szCs w:val="20"/>
                <w:color w:val="auto"/>
              </w:rPr>
            </w:pPr>
            <w:r>
              <w:rPr>
                <w:rFonts w:ascii="Times New Roman" w:cs="Times New Roman" w:eastAsia="Times New Roman" w:hAnsi="Times New Roman"/>
                <w:sz w:val="20"/>
                <w:szCs w:val="20"/>
                <w:color w:val="auto"/>
              </w:rPr>
              <w:t>53,599</w:t>
            </w:r>
          </w:p>
        </w:tc>
        <w:tc>
          <w:tcPr>
            <w:tcW w:w="0" w:type="dxa"/>
            <w:vAlign w:val="bottom"/>
          </w:tcPr>
          <w:p>
            <w:pPr>
              <w:spacing w:after="0"/>
              <w:rPr>
                <w:sz w:val="1"/>
                <w:szCs w:val="1"/>
                <w:color w:val="auto"/>
              </w:rPr>
            </w:pPr>
          </w:p>
        </w:tc>
      </w:tr>
      <w:tr>
        <w:trPr>
          <w:trHeight w:val="238"/>
        </w:trPr>
        <w:tc>
          <w:tcPr>
            <w:tcW w:w="6440" w:type="dxa"/>
            <w:vAlign w:val="bottom"/>
            <w:gridSpan w:val="2"/>
          </w:tcPr>
          <w:p>
            <w:pPr>
              <w:jc w:val="right"/>
              <w:ind w:right="24"/>
              <w:spacing w:after="0"/>
              <w:rPr>
                <w:sz w:val="20"/>
                <w:szCs w:val="20"/>
                <w:color w:val="auto"/>
              </w:rPr>
            </w:pPr>
            <w:r>
              <w:rPr>
                <w:rFonts w:ascii="Times New Roman" w:cs="Times New Roman" w:eastAsia="Times New Roman" w:hAnsi="Times New Roman"/>
                <w:sz w:val="20"/>
                <w:szCs w:val="20"/>
                <w:color w:val="auto"/>
              </w:rPr>
              <w:t>2029 .......... . .... . .... . ......................... .</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47,271</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440" w:type="dxa"/>
            <w:vAlign w:val="bottom"/>
            <w:gridSpan w:val="2"/>
          </w:tcPr>
          <w:p>
            <w:pPr>
              <w:ind w:left="1200"/>
              <w:spacing w:after="0"/>
              <w:rPr>
                <w:sz w:val="20"/>
                <w:szCs w:val="20"/>
                <w:color w:val="auto"/>
              </w:rPr>
            </w:pPr>
            <w:r>
              <w:rPr>
                <w:rFonts w:ascii="Times New Roman" w:cs="Times New Roman" w:eastAsia="Times New Roman" w:hAnsi="Times New Roman"/>
                <w:sz w:val="19"/>
                <w:szCs w:val="19"/>
                <w:color w:val="auto"/>
              </w:rPr>
              <w:t>Thereafter  ......................................... .</w:t>
            </w:r>
          </w:p>
        </w:tc>
        <w:tc>
          <w:tcPr>
            <w:tcW w:w="1880" w:type="dxa"/>
            <w:vAlign w:val="bottom"/>
            <w:gridSpan w:val="5"/>
          </w:tcPr>
          <w:p>
            <w:pPr>
              <w:jc w:val="right"/>
              <w:ind w:right="542"/>
              <w:spacing w:after="0"/>
              <w:rPr>
                <w:sz w:val="20"/>
                <w:szCs w:val="20"/>
                <w:color w:val="auto"/>
              </w:rPr>
            </w:pPr>
            <w:r>
              <w:rPr>
                <w:rFonts w:ascii="Times New Roman" w:cs="Times New Roman" w:eastAsia="Times New Roman" w:hAnsi="Times New Roman"/>
                <w:sz w:val="20"/>
                <w:szCs w:val="20"/>
                <w:color w:val="auto"/>
              </w:rPr>
              <w:t>256,558</w:t>
            </w:r>
          </w:p>
        </w:tc>
        <w:tc>
          <w:tcPr>
            <w:tcW w:w="0" w:type="dxa"/>
            <w:vAlign w:val="bottom"/>
          </w:tcPr>
          <w:p>
            <w:pPr>
              <w:spacing w:after="0"/>
              <w:rPr>
                <w:sz w:val="1"/>
                <w:szCs w:val="1"/>
                <w:color w:val="auto"/>
              </w:rPr>
            </w:pPr>
          </w:p>
        </w:tc>
      </w:tr>
      <w:tr>
        <w:trPr>
          <w:trHeight w:val="322"/>
        </w:trPr>
        <w:tc>
          <w:tcPr>
            <w:tcW w:w="6440" w:type="dxa"/>
            <w:vAlign w:val="bottom"/>
            <w:gridSpan w:val="2"/>
          </w:tcPr>
          <w:p>
            <w:pPr>
              <w:ind w:left="1200"/>
              <w:spacing w:after="0"/>
              <w:rPr>
                <w:sz w:val="20"/>
                <w:szCs w:val="20"/>
                <w:color w:val="auto"/>
              </w:rPr>
            </w:pPr>
            <w:r>
              <w:rPr>
                <w:rFonts w:ascii="Arial" w:cs="Arial" w:eastAsia="Arial" w:hAnsi="Arial"/>
                <w:sz w:val="18"/>
                <w:szCs w:val="18"/>
                <w:color w:val="auto"/>
              </w:rPr>
              <w:t>Total payments  .................................... .</w:t>
            </w:r>
          </w:p>
        </w:tc>
        <w:tc>
          <w:tcPr>
            <w:tcW w:w="1880" w:type="dxa"/>
            <w:vAlign w:val="bottom"/>
            <w:gridSpan w:val="5"/>
          </w:tcPr>
          <w:p>
            <w:pPr>
              <w:jc w:val="right"/>
              <w:ind w:right="542"/>
              <w:spacing w:after="0"/>
              <w:rPr>
                <w:sz w:val="20"/>
                <w:szCs w:val="20"/>
                <w:color w:val="auto"/>
              </w:rPr>
            </w:pPr>
            <w:r>
              <w:rPr>
                <w:rFonts w:ascii="Times New Roman" w:cs="Times New Roman" w:eastAsia="Times New Roman" w:hAnsi="Times New Roman"/>
                <w:sz w:val="19"/>
                <w:szCs w:val="19"/>
                <w:color w:val="auto"/>
              </w:rPr>
              <w:t>567,828</w:t>
            </w:r>
          </w:p>
        </w:tc>
        <w:tc>
          <w:tcPr>
            <w:tcW w:w="0" w:type="dxa"/>
            <w:vAlign w:val="bottom"/>
          </w:tcPr>
          <w:p>
            <w:pPr>
              <w:spacing w:after="0"/>
              <w:rPr>
                <w:sz w:val="1"/>
                <w:szCs w:val="1"/>
                <w:color w:val="auto"/>
              </w:rPr>
            </w:pPr>
          </w:p>
        </w:tc>
      </w:tr>
      <w:tr>
        <w:trPr>
          <w:trHeight w:val="231"/>
        </w:trPr>
        <w:tc>
          <w:tcPr>
            <w:tcW w:w="6440" w:type="dxa"/>
            <w:vAlign w:val="bottom"/>
            <w:gridSpan w:val="2"/>
          </w:tcPr>
          <w:p>
            <w:pPr>
              <w:ind w:left="1200"/>
              <w:spacing w:after="0"/>
              <w:rPr>
                <w:sz w:val="20"/>
                <w:szCs w:val="20"/>
                <w:color w:val="auto"/>
              </w:rPr>
            </w:pPr>
            <w:r>
              <w:rPr>
                <w:rFonts w:ascii="Times New Roman" w:cs="Times New Roman" w:eastAsia="Times New Roman" w:hAnsi="Times New Roman"/>
                <w:sz w:val="19"/>
                <w:szCs w:val="19"/>
                <w:color w:val="auto"/>
              </w:rPr>
              <w:t>Less: Imputed interest  . . .... . . . ....................... .</w:t>
            </w:r>
          </w:p>
        </w:tc>
        <w:tc>
          <w:tcPr>
            <w:tcW w:w="1880" w:type="dxa"/>
            <w:vAlign w:val="bottom"/>
            <w:gridSpan w:val="5"/>
          </w:tcPr>
          <w:p>
            <w:pPr>
              <w:jc w:val="right"/>
              <w:ind w:right="482"/>
              <w:spacing w:after="0"/>
              <w:rPr>
                <w:sz w:val="20"/>
                <w:szCs w:val="20"/>
                <w:color w:val="auto"/>
              </w:rPr>
            </w:pPr>
            <w:r>
              <w:rPr>
                <w:rFonts w:ascii="Times New Roman" w:cs="Times New Roman" w:eastAsia="Times New Roman" w:hAnsi="Times New Roman"/>
                <w:sz w:val="20"/>
                <w:szCs w:val="20"/>
                <w:color w:val="auto"/>
              </w:rPr>
              <w:t>(146,704)</w:t>
            </w:r>
          </w:p>
        </w:tc>
        <w:tc>
          <w:tcPr>
            <w:tcW w:w="0" w:type="dxa"/>
            <w:vAlign w:val="bottom"/>
          </w:tcPr>
          <w:p>
            <w:pPr>
              <w:spacing w:after="0"/>
              <w:rPr>
                <w:sz w:val="1"/>
                <w:szCs w:val="1"/>
                <w:color w:val="auto"/>
              </w:rPr>
            </w:pPr>
          </w:p>
        </w:tc>
      </w:tr>
      <w:tr>
        <w:trPr>
          <w:trHeight w:val="336"/>
        </w:trPr>
        <w:tc>
          <w:tcPr>
            <w:tcW w:w="6440" w:type="dxa"/>
            <w:vAlign w:val="bottom"/>
            <w:gridSpan w:val="2"/>
          </w:tcPr>
          <w:p>
            <w:pPr>
              <w:ind w:left="1200"/>
              <w:spacing w:after="0"/>
              <w:rPr>
                <w:sz w:val="20"/>
                <w:szCs w:val="20"/>
                <w:color w:val="auto"/>
              </w:rPr>
            </w:pPr>
            <w:r>
              <w:rPr>
                <w:rFonts w:ascii="Times New Roman" w:cs="Times New Roman" w:eastAsia="Times New Roman" w:hAnsi="Times New Roman"/>
                <w:sz w:val="20"/>
                <w:szCs w:val="20"/>
                <w:color w:val="auto"/>
              </w:rPr>
              <w:t>Total  .... .. ........ . .............................. .</w:t>
            </w:r>
          </w:p>
        </w:tc>
        <w:tc>
          <w:tcPr>
            <w:tcW w:w="1880" w:type="dxa"/>
            <w:vAlign w:val="bottom"/>
            <w:gridSpan w:val="5"/>
          </w:tcPr>
          <w:p>
            <w:pPr>
              <w:jc w:val="right"/>
              <w:ind w:right="542"/>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421,124</w:t>
            </w:r>
          </w:p>
        </w:tc>
        <w:tc>
          <w:tcPr>
            <w:tcW w:w="0" w:type="dxa"/>
            <w:vAlign w:val="bottom"/>
          </w:tcPr>
          <w:p>
            <w:pPr>
              <w:spacing w:after="0"/>
              <w:rPr>
                <w:sz w:val="1"/>
                <w:szCs w:val="1"/>
                <w:color w:val="auto"/>
              </w:rPr>
            </w:pPr>
          </w:p>
        </w:tc>
      </w:tr>
    </w:tbl>
    <w:p>
      <w:pPr>
        <w:spacing w:after="0" w:line="369" w:lineRule="exact"/>
        <w:rPr>
          <w:sz w:val="20"/>
          <w:szCs w:val="20"/>
          <w:color w:val="auto"/>
        </w:rPr>
      </w:pPr>
    </w:p>
    <w:p>
      <w:pPr>
        <w:jc w:val="both"/>
        <w:ind w:left="120" w:right="125" w:firstLine="1"/>
        <w:spacing w:after="0" w:line="243" w:lineRule="auto"/>
        <w:rPr>
          <w:sz w:val="20"/>
          <w:szCs w:val="20"/>
          <w:color w:val="auto"/>
        </w:rPr>
      </w:pPr>
      <w:r>
        <w:rPr>
          <w:rFonts w:ascii="Times New Roman" w:cs="Times New Roman" w:eastAsia="Times New Roman" w:hAnsi="Times New Roman"/>
          <w:sz w:val="19"/>
          <w:szCs w:val="19"/>
          <w:color w:val="auto"/>
        </w:rPr>
        <w:t xml:space="preserve">As of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the Company has entered into operating leases, including restaurant and other facilities, that have not yet commenced and have minimum lease payments of </w:t>
      </w:r>
      <w:r>
        <w:rPr>
          <w:rFonts w:ascii="Times New Roman" w:cs="Times New Roman" w:eastAsia="Times New Roman" w:hAnsi="Times New Roman"/>
          <w:sz w:val="20"/>
          <w:szCs w:val="20"/>
          <w:color w:val="auto"/>
        </w:rPr>
        <w:t>$ 14.0</w:t>
      </w:r>
      <w:r>
        <w:rPr>
          <w:rFonts w:ascii="Times New Roman" w:cs="Times New Roman" w:eastAsia="Times New Roman" w:hAnsi="Times New Roman"/>
          <w:sz w:val="19"/>
          <w:szCs w:val="19"/>
          <w:color w:val="auto"/>
        </w:rPr>
        <w:t xml:space="preserve"> million. These operating leases will commence in fiscal year </w:t>
      </w:r>
      <w:r>
        <w:rPr>
          <w:rFonts w:ascii="Times New Roman" w:cs="Times New Roman" w:eastAsia="Times New Roman" w:hAnsi="Times New Roman"/>
          <w:sz w:val="20"/>
          <w:szCs w:val="20"/>
          <w:color w:val="auto"/>
        </w:rPr>
        <w:t>2025</w:t>
      </w:r>
      <w:r>
        <w:rPr>
          <w:rFonts w:ascii="Times New Roman" w:cs="Times New Roman" w:eastAsia="Times New Roman" w:hAnsi="Times New Roman"/>
          <w:sz w:val="19"/>
          <w:szCs w:val="19"/>
          <w:color w:val="auto"/>
        </w:rPr>
        <w:t xml:space="preserve"> with contractual lease terms of </w:t>
      </w:r>
      <w:r>
        <w:rPr>
          <w:rFonts w:ascii="Times New Roman" w:cs="Times New Roman" w:eastAsia="Times New Roman" w:hAnsi="Times New Roman"/>
          <w:sz w:val="20"/>
          <w:szCs w:val="20"/>
          <w:color w:val="auto"/>
        </w:rPr>
        <w:t>5</w:t>
      </w:r>
      <w:r>
        <w:rPr>
          <w:rFonts w:ascii="Times New Roman" w:cs="Times New Roman" w:eastAsia="Times New Roman" w:hAnsi="Times New Roman"/>
          <w:sz w:val="19"/>
          <w:szCs w:val="19"/>
          <w:color w:val="auto"/>
        </w:rPr>
        <w:t xml:space="preserve"> to </w:t>
      </w:r>
      <w:r>
        <w:rPr>
          <w:rFonts w:ascii="Times New Roman" w:cs="Times New Roman" w:eastAsia="Times New Roman" w:hAnsi="Times New Roman"/>
          <w:sz w:val="20"/>
          <w:szCs w:val="20"/>
          <w:color w:val="auto"/>
        </w:rPr>
        <w:t>21</w:t>
      </w:r>
      <w:r>
        <w:rPr>
          <w:rFonts w:ascii="Times New Roman" w:cs="Times New Roman" w:eastAsia="Times New Roman" w:hAnsi="Times New Roman"/>
          <w:sz w:val="19"/>
          <w:szCs w:val="19"/>
          <w:color w:val="auto"/>
        </w:rPr>
        <w:t xml:space="preserve"> years.</w:t>
      </w:r>
    </w:p>
    <w:p>
      <w:pPr>
        <w:sectPr>
          <w:pgSz w:w="12240" w:h="15850" w:orient="portrait"/>
          <w:cols w:equalWidth="0" w:num="1">
            <w:col w:w="9365"/>
          </w:cols>
          <w:pgMar w:left="1440" w:top="1385"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112</w:t>
        <w:tab/>
        <w:t>2024 FORM 10-K</w:t>
      </w:r>
    </w:p>
    <w:p>
      <w:pPr>
        <w:sectPr>
          <w:pgSz w:w="12240" w:h="15850" w:orient="portrait"/>
          <w:cols w:equalWidth="0" w:num="1">
            <w:col w:w="9365"/>
          </w:cols>
          <w:pgMar w:left="1440" w:top="1385" w:right="1440" w:bottom="719" w:gutter="0" w:footer="0" w:header="0"/>
          <w:type w:val="continuous"/>
        </w:sectPr>
      </w:pPr>
    </w:p>
    <w:bookmarkStart w:id="128" w:name="page129"/>
    <w:bookmarkEnd w:id="128"/>
    <w:p>
      <w:pPr>
        <w:ind w:left="120"/>
        <w:spacing w:after="0"/>
        <w:tabs>
          <w:tab w:leader="none" w:pos="1640" w:val="left"/>
        </w:tabs>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3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Finance Leases.</w:t>
        <w:tab/>
        <w:t>The components of fi nancing lease expense were as follows:</w:t>
      </w:r>
    </w:p>
    <w:p>
      <w:pPr>
        <w:spacing w:after="0" w:line="189"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5180" w:type="dxa"/>
            <w:vAlign w:val="bottom"/>
          </w:tcPr>
          <w:p>
            <w:pPr>
              <w:spacing w:after="0"/>
              <w:rPr>
                <w:sz w:val="16"/>
                <w:szCs w:val="16"/>
                <w:color w:val="auto"/>
              </w:rPr>
            </w:pPr>
          </w:p>
        </w:tc>
        <w:tc>
          <w:tcPr>
            <w:tcW w:w="2340" w:type="dxa"/>
            <w:vAlign w:val="bottom"/>
            <w:gridSpan w:val="3"/>
          </w:tcPr>
          <w:p>
            <w:pPr>
              <w:jc w:val="right"/>
              <w:ind w:right="241"/>
              <w:spacing w:after="0"/>
              <w:rPr>
                <w:sz w:val="20"/>
                <w:szCs w:val="20"/>
                <w:color w:val="auto"/>
              </w:rPr>
            </w:pPr>
            <w:r>
              <w:rPr>
                <w:rFonts w:ascii="Times New Roman" w:cs="Times New Roman" w:eastAsia="Times New Roman" w:hAnsi="Times New Roman"/>
                <w:sz w:val="16"/>
                <w:szCs w:val="16"/>
                <w:color w:val="auto"/>
              </w:rPr>
              <w:t xml:space="preserve">Yl'.ar F.nderl Oecember </w:t>
            </w:r>
            <w:r>
              <w:rPr>
                <w:rFonts w:ascii="Arial" w:cs="Arial" w:eastAsia="Arial" w:hAnsi="Arial"/>
                <w:sz w:val="10"/>
                <w:szCs w:val="10"/>
                <w:color w:val="auto"/>
              </w:rPr>
              <w:t>~1</w:t>
            </w:r>
          </w:p>
        </w:tc>
      </w:tr>
      <w:tr>
        <w:trPr>
          <w:trHeight w:val="51"/>
        </w:trPr>
        <w:tc>
          <w:tcPr>
            <w:tcW w:w="5180" w:type="dxa"/>
            <w:vAlign w:val="bottom"/>
          </w:tcPr>
          <w:p>
            <w:pPr>
              <w:spacing w:after="0"/>
              <w:rPr>
                <w:sz w:val="4"/>
                <w:szCs w:val="4"/>
                <w:color w:val="auto"/>
              </w:rPr>
            </w:pPr>
          </w:p>
        </w:tc>
        <w:tc>
          <w:tcPr>
            <w:tcW w:w="660" w:type="dxa"/>
            <w:vAlign w:val="bottom"/>
            <w:tcBorders>
              <w:bottom w:val="single" w:sz="8" w:color="403C3C"/>
            </w:tcBorders>
          </w:tcPr>
          <w:p>
            <w:pPr>
              <w:spacing w:after="0"/>
              <w:rPr>
                <w:sz w:val="4"/>
                <w:szCs w:val="4"/>
                <w:color w:val="auto"/>
              </w:rPr>
            </w:pPr>
          </w:p>
        </w:tc>
        <w:tc>
          <w:tcPr>
            <w:tcW w:w="980" w:type="dxa"/>
            <w:vAlign w:val="bottom"/>
            <w:tcBorders>
              <w:bottom w:val="single" w:sz="8" w:color="403C3C"/>
            </w:tcBorders>
          </w:tcPr>
          <w:p>
            <w:pPr>
              <w:spacing w:after="0"/>
              <w:rPr>
                <w:sz w:val="4"/>
                <w:szCs w:val="4"/>
                <w:color w:val="auto"/>
              </w:rPr>
            </w:pPr>
          </w:p>
        </w:tc>
        <w:tc>
          <w:tcPr>
            <w:tcW w:w="700" w:type="dxa"/>
            <w:vAlign w:val="bottom"/>
            <w:tcBorders>
              <w:bottom w:val="single" w:sz="8" w:color="403C3C"/>
            </w:tcBorders>
          </w:tcPr>
          <w:p>
            <w:pPr>
              <w:spacing w:after="0"/>
              <w:rPr>
                <w:sz w:val="4"/>
                <w:szCs w:val="4"/>
                <w:color w:val="auto"/>
              </w:rPr>
            </w:pPr>
          </w:p>
        </w:tc>
      </w:tr>
      <w:tr>
        <w:trPr>
          <w:trHeight w:val="186"/>
        </w:trPr>
        <w:tc>
          <w:tcPr>
            <w:tcW w:w="51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rPr>
              <w:t>2023</w:t>
            </w:r>
          </w:p>
        </w:tc>
        <w:tc>
          <w:tcPr>
            <w:tcW w:w="70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auto"/>
              </w:rPr>
              <w:t>2022</w:t>
            </w:r>
          </w:p>
        </w:tc>
      </w:tr>
      <w:tr>
        <w:trPr>
          <w:trHeight w:val="32"/>
        </w:trPr>
        <w:tc>
          <w:tcPr>
            <w:tcW w:w="5180" w:type="dxa"/>
            <w:vAlign w:val="bottom"/>
          </w:tcPr>
          <w:p>
            <w:pPr>
              <w:spacing w:after="0"/>
              <w:rPr>
                <w:sz w:val="2"/>
                <w:szCs w:val="2"/>
                <w:color w:val="auto"/>
              </w:rPr>
            </w:pPr>
          </w:p>
        </w:tc>
        <w:tc>
          <w:tcPr>
            <w:tcW w:w="660" w:type="dxa"/>
            <w:vAlign w:val="bottom"/>
            <w:tcBorders>
              <w:bottom w:val="single" w:sz="8" w:color="403C3C"/>
            </w:tcBorders>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tcPr>
          <w:p>
            <w:pPr>
              <w:spacing w:after="0"/>
              <w:rPr>
                <w:sz w:val="2"/>
                <w:szCs w:val="2"/>
                <w:color w:val="auto"/>
              </w:rPr>
            </w:pPr>
          </w:p>
        </w:tc>
      </w:tr>
    </w:tbl>
    <w:p>
      <w:pPr>
        <w:spacing w:after="0" w:line="52"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5860" w:type="dxa"/>
            <w:vAlign w:val="bottom"/>
          </w:tcPr>
          <w:p>
            <w:pPr>
              <w:ind w:left="820"/>
              <w:spacing w:after="0"/>
              <w:rPr>
                <w:sz w:val="20"/>
                <w:szCs w:val="20"/>
                <w:color w:val="auto"/>
              </w:rPr>
            </w:pPr>
            <w:r>
              <w:rPr>
                <w:rFonts w:ascii="Times New Roman" w:cs="Times New Roman" w:eastAsia="Times New Roman" w:hAnsi="Times New Roman"/>
                <w:sz w:val="19"/>
                <w:szCs w:val="19"/>
                <w:color w:val="auto"/>
              </w:rPr>
              <w:t>Finance lease cost:</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Amortization of right-of-use assets  ..... ..........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$ 8,431</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$5,687</w:t>
            </w:r>
          </w:p>
        </w:tc>
        <w:tc>
          <w:tcPr>
            <w:tcW w:w="100" w:type="dxa"/>
            <w:vAlign w:val="bottom"/>
          </w:tcPr>
          <w:p>
            <w:pPr>
              <w:spacing w:after="0"/>
              <w:rPr>
                <w:sz w:val="21"/>
                <w:szCs w:val="21"/>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$2,351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5860" w:type="dxa"/>
            <w:vAlign w:val="bottom"/>
          </w:tcPr>
          <w:p>
            <w:pPr>
              <w:ind w:left="1200"/>
              <w:spacing w:after="0" w:line="187" w:lineRule="exact"/>
              <w:rPr>
                <w:sz w:val="20"/>
                <w:szCs w:val="20"/>
                <w:color w:val="auto"/>
              </w:rPr>
            </w:pPr>
            <w:r>
              <w:rPr>
                <w:rFonts w:ascii="Times New Roman" w:cs="Times New Roman" w:eastAsia="Times New Roman" w:hAnsi="Times New Roman"/>
                <w:sz w:val="19"/>
                <w:szCs w:val="19"/>
                <w:color w:val="auto"/>
              </w:rPr>
              <w:t>Interest on lease liabilities  .. . ................... .</w:t>
            </w:r>
          </w:p>
        </w:tc>
        <w:tc>
          <w:tcPr>
            <w:tcW w:w="780" w:type="dxa"/>
            <w:vAlign w:val="bottom"/>
            <w:gridSpan w:val="2"/>
          </w:tcPr>
          <w:p>
            <w:pPr>
              <w:jc w:val="center"/>
              <w:ind w:left="185"/>
              <w:spacing w:after="0" w:line="187" w:lineRule="exact"/>
              <w:rPr>
                <w:sz w:val="20"/>
                <w:szCs w:val="20"/>
                <w:color w:val="auto"/>
              </w:rPr>
            </w:pPr>
            <w:r>
              <w:rPr>
                <w:rFonts w:ascii="Times New Roman" w:cs="Times New Roman" w:eastAsia="Times New Roman" w:hAnsi="Times New Roman"/>
                <w:sz w:val="19"/>
                <w:szCs w:val="19"/>
                <w:color w:val="auto"/>
              </w:rPr>
              <w:t>1,456</w:t>
            </w:r>
          </w:p>
        </w:tc>
        <w:tc>
          <w:tcPr>
            <w:tcW w:w="840" w:type="dxa"/>
            <w:vAlign w:val="bottom"/>
            <w:gridSpan w:val="5"/>
          </w:tcPr>
          <w:p>
            <w:pPr>
              <w:jc w:val="right"/>
              <w:ind w:right="20"/>
              <w:spacing w:after="0" w:line="187" w:lineRule="exact"/>
              <w:rPr>
                <w:sz w:val="20"/>
                <w:szCs w:val="20"/>
                <w:color w:val="auto"/>
              </w:rPr>
            </w:pPr>
            <w:r>
              <w:rPr>
                <w:rFonts w:ascii="Times New Roman" w:cs="Times New Roman" w:eastAsia="Times New Roman" w:hAnsi="Times New Roman"/>
                <w:sz w:val="19"/>
                <w:szCs w:val="19"/>
                <w:color w:val="auto"/>
              </w:rPr>
              <w:t>989</w:t>
            </w:r>
          </w:p>
        </w:tc>
        <w:tc>
          <w:tcPr>
            <w:tcW w:w="100" w:type="dxa"/>
            <w:vAlign w:val="bottom"/>
          </w:tcPr>
          <w:p>
            <w:pPr>
              <w:spacing w:after="0"/>
              <w:rPr>
                <w:sz w:val="16"/>
                <w:szCs w:val="16"/>
                <w:color w:val="auto"/>
              </w:rPr>
            </w:pPr>
          </w:p>
        </w:tc>
        <w:tc>
          <w:tcPr>
            <w:tcW w:w="740" w:type="dxa"/>
            <w:vAlign w:val="bottom"/>
            <w:gridSpan w:val="2"/>
          </w:tcPr>
          <w:p>
            <w:pPr>
              <w:jc w:val="right"/>
              <w:spacing w:after="0" w:line="187" w:lineRule="exact"/>
              <w:rPr>
                <w:sz w:val="20"/>
                <w:szCs w:val="20"/>
                <w:color w:val="auto"/>
              </w:rPr>
            </w:pPr>
            <w:r>
              <w:rPr>
                <w:rFonts w:ascii="Times New Roman" w:cs="Times New Roman" w:eastAsia="Times New Roman" w:hAnsi="Times New Roman"/>
                <w:sz w:val="19"/>
                <w:szCs w:val="19"/>
                <w:color w:val="auto"/>
              </w:rPr>
              <w:t>317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860" w:type="dxa"/>
            <w:vAlign w:val="bottom"/>
            <w:vMerge w:val="restart"/>
          </w:tcPr>
          <w:p>
            <w:pPr>
              <w:ind w:left="1600"/>
              <w:spacing w:after="0"/>
              <w:rPr>
                <w:sz w:val="20"/>
                <w:szCs w:val="20"/>
                <w:color w:val="auto"/>
              </w:rPr>
            </w:pPr>
            <w:r>
              <w:rPr>
                <w:rFonts w:ascii="Times New Roman" w:cs="Times New Roman" w:eastAsia="Times New Roman" w:hAnsi="Times New Roman"/>
                <w:sz w:val="19"/>
                <w:szCs w:val="19"/>
                <w:color w:val="auto"/>
              </w:rPr>
              <w:t>Finance lease cost .........................</w:t>
            </w:r>
          </w:p>
        </w:tc>
        <w:tc>
          <w:tcPr>
            <w:tcW w:w="120" w:type="dxa"/>
            <w:vAlign w:val="bottom"/>
          </w:tcPr>
          <w:p>
            <w:pPr>
              <w:spacing w:after="0"/>
              <w:rPr>
                <w:sz w:val="2"/>
                <w:szCs w:val="2"/>
                <w:color w:val="auto"/>
              </w:rPr>
            </w:pPr>
          </w:p>
        </w:tc>
        <w:tc>
          <w:tcPr>
            <w:tcW w:w="660" w:type="dxa"/>
            <w:vAlign w:val="bottom"/>
            <w:tcBorders>
              <w:bottom w:val="single" w:sz="8" w:color="7C7C7C"/>
            </w:tcBorders>
          </w:tcPr>
          <w:p>
            <w:pPr>
              <w:spacing w:after="0"/>
              <w:rPr>
                <w:sz w:val="2"/>
                <w:szCs w:val="2"/>
                <w:color w:val="auto"/>
              </w:rPr>
            </w:pPr>
          </w:p>
        </w:tc>
        <w:tc>
          <w:tcPr>
            <w:tcW w:w="80" w:type="dxa"/>
            <w:vAlign w:val="bottom"/>
            <w:tcBorders>
              <w:bottom w:val="single" w:sz="8" w:color="7C7C7C"/>
            </w:tcBorders>
          </w:tcPr>
          <w:p>
            <w:pPr>
              <w:spacing w:after="0"/>
              <w:rPr>
                <w:sz w:val="2"/>
                <w:szCs w:val="2"/>
                <w:color w:val="auto"/>
              </w:rPr>
            </w:pPr>
          </w:p>
        </w:tc>
        <w:tc>
          <w:tcPr>
            <w:tcW w:w="60" w:type="dxa"/>
            <w:vAlign w:val="bottom"/>
            <w:tcBorders>
              <w:bottom w:val="single" w:sz="8" w:color="7C7C7C"/>
            </w:tcBorders>
          </w:tcPr>
          <w:p>
            <w:pPr>
              <w:spacing w:after="0"/>
              <w:rPr>
                <w:sz w:val="2"/>
                <w:szCs w:val="2"/>
                <w:color w:val="auto"/>
              </w:rPr>
            </w:pPr>
          </w:p>
        </w:tc>
        <w:tc>
          <w:tcPr>
            <w:tcW w:w="800" w:type="dxa"/>
            <w:vAlign w:val="bottom"/>
            <w:gridSpan w:val="4"/>
            <w:vMerge w:val="restart"/>
          </w:tcPr>
          <w:p>
            <w:pPr>
              <w:jc w:val="right"/>
              <w:ind w:right="100"/>
              <w:spacing w:after="0" w:line="137" w:lineRule="exact"/>
              <w:rPr>
                <w:sz w:val="20"/>
                <w:szCs w:val="20"/>
                <w:color w:val="auto"/>
              </w:rPr>
            </w:pPr>
            <w:r>
              <w:rPr>
                <w:rFonts w:ascii="Times New Roman" w:cs="Times New Roman" w:eastAsia="Times New Roman" w:hAnsi="Times New Roman"/>
                <w:sz w:val="12"/>
                <w:szCs w:val="12"/>
                <w:color w:val="auto"/>
              </w:rPr>
              <w:t>---</w:t>
            </w:r>
          </w:p>
        </w:tc>
        <w:tc>
          <w:tcPr>
            <w:tcW w:w="760" w:type="dxa"/>
            <w:vAlign w:val="bottom"/>
            <w:gridSpan w:val="3"/>
            <w:vMerge w:val="restart"/>
          </w:tcPr>
          <w:p>
            <w:pPr>
              <w:jc w:val="center"/>
              <w:ind w:left="87"/>
              <w:spacing w:after="0" w:line="137" w:lineRule="exact"/>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93"/>
        </w:trPr>
        <w:tc>
          <w:tcPr>
            <w:tcW w:w="5860" w:type="dxa"/>
            <w:vAlign w:val="bottom"/>
            <w:vMerge w:val="continue"/>
          </w:tcPr>
          <w:p>
            <w:pPr>
              <w:spacing w:after="0"/>
              <w:rPr>
                <w:sz w:val="8"/>
                <w:szCs w:val="8"/>
                <w:color w:val="auto"/>
              </w:rPr>
            </w:pPr>
          </w:p>
        </w:tc>
        <w:tc>
          <w:tcPr>
            <w:tcW w:w="780" w:type="dxa"/>
            <w:vAlign w:val="bottom"/>
            <w:gridSpan w:val="2"/>
            <w:vMerge w:val="restart"/>
          </w:tcPr>
          <w:p>
            <w:pPr>
              <w:jc w:val="center"/>
              <w:ind w:left="185"/>
              <w:spacing w:after="0"/>
              <w:rPr>
                <w:sz w:val="20"/>
                <w:szCs w:val="20"/>
                <w:color w:val="auto"/>
              </w:rPr>
            </w:pPr>
            <w:r>
              <w:rPr>
                <w:rFonts w:ascii="Times New Roman" w:cs="Times New Roman" w:eastAsia="Times New Roman" w:hAnsi="Times New Roman"/>
                <w:sz w:val="19"/>
                <w:szCs w:val="19"/>
                <w:color w:val="auto"/>
              </w:rPr>
              <w:t>9,887</w:t>
            </w: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800" w:type="dxa"/>
            <w:vAlign w:val="bottom"/>
            <w:gridSpan w:val="4"/>
            <w:vMerge w:val="continue"/>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860" w:type="dxa"/>
            <w:vAlign w:val="bottom"/>
            <w:vMerge w:val="continue"/>
          </w:tcPr>
          <w:p>
            <w:pPr>
              <w:ind w:left="5620"/>
              <w:spacing w:after="0" w:line="178" w:lineRule="exact"/>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vMerge w:val="continue"/>
          </w:tcPr>
          <w:p>
            <w:pPr>
              <w:spacing w:after="0"/>
              <w:rPr>
                <w:sz w:val="19"/>
                <w:szCs w:val="19"/>
                <w:color w:val="auto"/>
              </w:rPr>
            </w:pP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6,676</w:t>
            </w:r>
          </w:p>
        </w:tc>
        <w:tc>
          <w:tcPr>
            <w:tcW w:w="10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2,668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Variable lease cost  ................................ .</w:t>
            </w: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9"/>
                <w:szCs w:val="19"/>
                <w:color w:val="auto"/>
              </w:rPr>
              <w:t>216</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133</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5860" w:type="dxa"/>
            <w:vAlign w:val="bottom"/>
            <w:vMerge w:val="restart"/>
          </w:tcPr>
          <w:p>
            <w:pPr>
              <w:ind w:left="800"/>
              <w:spacing w:after="0"/>
              <w:rPr>
                <w:sz w:val="20"/>
                <w:szCs w:val="20"/>
                <w:color w:val="auto"/>
              </w:rPr>
            </w:pPr>
            <w:r>
              <w:rPr>
                <w:rFonts w:ascii="Times New Roman" w:cs="Times New Roman" w:eastAsia="Times New Roman" w:hAnsi="Times New Roman"/>
                <w:sz w:val="19"/>
                <w:szCs w:val="19"/>
                <w:color w:val="auto"/>
              </w:rPr>
              <w:t>Total net lease cost  .... . ...... . ...................</w:t>
            </w:r>
          </w:p>
        </w:tc>
        <w:tc>
          <w:tcPr>
            <w:tcW w:w="120" w:type="dxa"/>
            <w:vAlign w:val="bottom"/>
          </w:tcPr>
          <w:p>
            <w:pPr>
              <w:spacing w:after="0"/>
              <w:rPr>
                <w:sz w:val="2"/>
                <w:szCs w:val="2"/>
                <w:color w:val="auto"/>
              </w:rPr>
            </w:pPr>
          </w:p>
        </w:tc>
        <w:tc>
          <w:tcPr>
            <w:tcW w:w="660" w:type="dxa"/>
            <w:vAlign w:val="bottom"/>
            <w:tcBorders>
              <w:bottom w:val="single" w:sz="8" w:color="0C0808"/>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5860" w:type="dxa"/>
            <w:vAlign w:val="bottom"/>
            <w:vMerge w:val="continue"/>
          </w:tcPr>
          <w:p>
            <w:pPr>
              <w:ind w:left="5620"/>
              <w:spacing w:after="0"/>
              <w:rPr>
                <w:sz w:val="20"/>
                <w:szCs w:val="20"/>
                <w:color w:val="auto"/>
              </w:rPr>
            </w:pPr>
            <w:r>
              <w:rPr>
                <w:rFonts w:ascii="Times New Roman" w:cs="Times New Roman" w:eastAsia="Times New Roman" w:hAnsi="Times New Roman"/>
                <w:sz w:val="19"/>
                <w:szCs w:val="19"/>
                <w:color w:val="auto"/>
              </w:rPr>
              <w:t>.</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$10,103</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$6,809</w:t>
            </w:r>
          </w:p>
        </w:tc>
        <w:tc>
          <w:tcPr>
            <w:tcW w:w="1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6"/>
        </w:trPr>
        <w:tc>
          <w:tcPr>
            <w:tcW w:w="58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Supplemental informat ion related to finance leases was as follows:</w:t>
            </w:r>
          </w:p>
        </w:tc>
        <w:tc>
          <w:tcPr>
            <w:tcW w:w="120" w:type="dxa"/>
            <w:vAlign w:val="bottom"/>
          </w:tcPr>
          <w:p>
            <w:pPr>
              <w:spacing w:after="0"/>
              <w:rPr>
                <w:sz w:val="6"/>
                <w:szCs w:val="6"/>
                <w:color w:val="auto"/>
              </w:rPr>
            </w:pPr>
          </w:p>
        </w:tc>
        <w:tc>
          <w:tcPr>
            <w:tcW w:w="660" w:type="dxa"/>
            <w:vAlign w:val="bottom"/>
            <w:tcBorders>
              <w:bottom w:val="single" w:sz="8" w:color="504C4C"/>
            </w:tcBorders>
          </w:tcPr>
          <w:p>
            <w:pPr>
              <w:spacing w:after="0"/>
              <w:rPr>
                <w:sz w:val="6"/>
                <w:szCs w:val="6"/>
                <w:color w:val="auto"/>
              </w:rPr>
            </w:pPr>
          </w:p>
        </w:tc>
        <w:tc>
          <w:tcPr>
            <w:tcW w:w="940" w:type="dxa"/>
            <w:vAlign w:val="bottom"/>
            <w:gridSpan w:val="6"/>
            <w:vMerge w:val="restart"/>
          </w:tcPr>
          <w:p>
            <w:pPr>
              <w:jc w:val="right"/>
              <w:ind w:right="100"/>
              <w:spacing w:after="0" w:line="204"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vMerge w:val="restart"/>
          </w:tcPr>
          <w:p>
            <w:pPr>
              <w:jc w:val="center"/>
              <w:ind w:left="87"/>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07"/>
        </w:trPr>
        <w:tc>
          <w:tcPr>
            <w:tcW w:w="586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gridSpan w:val="6"/>
            <w:vMerge w:val="continue"/>
          </w:tcPr>
          <w:p>
            <w:pPr>
              <w:spacing w:after="0"/>
              <w:rPr>
                <w:sz w:val="9"/>
                <w:szCs w:val="9"/>
                <w:color w:val="auto"/>
              </w:rPr>
            </w:pPr>
          </w:p>
        </w:tc>
        <w:tc>
          <w:tcPr>
            <w:tcW w:w="76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9"/>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gridSpan w:val="10"/>
          </w:tcPr>
          <w:p>
            <w:pPr>
              <w:ind w:left="24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42"/>
        </w:trPr>
        <w:tc>
          <w:tcPr>
            <w:tcW w:w="5860" w:type="dxa"/>
            <w:vAlign w:val="bottom"/>
          </w:tcPr>
          <w:p>
            <w:pPr>
              <w:spacing w:after="0"/>
              <w:rPr>
                <w:sz w:val="3"/>
                <w:szCs w:val="3"/>
                <w:color w:val="auto"/>
              </w:rPr>
            </w:pPr>
          </w:p>
        </w:tc>
        <w:tc>
          <w:tcPr>
            <w:tcW w:w="120" w:type="dxa"/>
            <w:vAlign w:val="bottom"/>
            <w:tcBorders>
              <w:bottom w:val="single" w:sz="8" w:color="181414"/>
            </w:tcBorders>
          </w:tcPr>
          <w:p>
            <w:pPr>
              <w:spacing w:after="0"/>
              <w:rPr>
                <w:sz w:val="3"/>
                <w:szCs w:val="3"/>
                <w:color w:val="auto"/>
              </w:rPr>
            </w:pPr>
          </w:p>
        </w:tc>
        <w:tc>
          <w:tcPr>
            <w:tcW w:w="660" w:type="dxa"/>
            <w:vAlign w:val="bottom"/>
            <w:tcBorders>
              <w:bottom w:val="single" w:sz="8" w:color="181414"/>
            </w:tcBorders>
          </w:tcPr>
          <w:p>
            <w:pPr>
              <w:spacing w:after="0"/>
              <w:rPr>
                <w:sz w:val="3"/>
                <w:szCs w:val="3"/>
                <w:color w:val="auto"/>
              </w:rPr>
            </w:pPr>
          </w:p>
        </w:tc>
        <w:tc>
          <w:tcPr>
            <w:tcW w:w="80" w:type="dxa"/>
            <w:vAlign w:val="bottom"/>
            <w:tcBorders>
              <w:bottom w:val="single" w:sz="8" w:color="181414"/>
            </w:tcBorders>
          </w:tcPr>
          <w:p>
            <w:pPr>
              <w:spacing w:after="0"/>
              <w:rPr>
                <w:sz w:val="3"/>
                <w:szCs w:val="3"/>
                <w:color w:val="auto"/>
              </w:rPr>
            </w:pPr>
          </w:p>
        </w:tc>
        <w:tc>
          <w:tcPr>
            <w:tcW w:w="60" w:type="dxa"/>
            <w:vAlign w:val="bottom"/>
            <w:tcBorders>
              <w:bottom w:val="single" w:sz="8" w:color="181414"/>
            </w:tcBorders>
          </w:tcPr>
          <w:p>
            <w:pPr>
              <w:spacing w:after="0"/>
              <w:rPr>
                <w:sz w:val="3"/>
                <w:szCs w:val="3"/>
                <w:color w:val="auto"/>
              </w:rPr>
            </w:pPr>
          </w:p>
        </w:tc>
        <w:tc>
          <w:tcPr>
            <w:tcW w:w="40" w:type="dxa"/>
            <w:vAlign w:val="bottom"/>
            <w:tcBorders>
              <w:bottom w:val="single" w:sz="8" w:color="181414"/>
            </w:tcBorders>
          </w:tcPr>
          <w:p>
            <w:pPr>
              <w:spacing w:after="0"/>
              <w:rPr>
                <w:sz w:val="3"/>
                <w:szCs w:val="3"/>
                <w:color w:val="auto"/>
              </w:rPr>
            </w:pPr>
          </w:p>
        </w:tc>
        <w:tc>
          <w:tcPr>
            <w:tcW w:w="560" w:type="dxa"/>
            <w:vAlign w:val="bottom"/>
            <w:tcBorders>
              <w:bottom w:val="single" w:sz="8" w:color="181414"/>
            </w:tcBorders>
          </w:tcPr>
          <w:p>
            <w:pPr>
              <w:spacing w:after="0"/>
              <w:rPr>
                <w:sz w:val="3"/>
                <w:szCs w:val="3"/>
                <w:color w:val="auto"/>
              </w:rPr>
            </w:pPr>
          </w:p>
        </w:tc>
        <w:tc>
          <w:tcPr>
            <w:tcW w:w="100" w:type="dxa"/>
            <w:vAlign w:val="bottom"/>
            <w:tcBorders>
              <w:bottom w:val="single" w:sz="8" w:color="181414"/>
            </w:tcBorders>
          </w:tcPr>
          <w:p>
            <w:pPr>
              <w:spacing w:after="0"/>
              <w:rPr>
                <w:sz w:val="3"/>
                <w:szCs w:val="3"/>
                <w:color w:val="auto"/>
              </w:rPr>
            </w:pPr>
          </w:p>
        </w:tc>
        <w:tc>
          <w:tcPr>
            <w:tcW w:w="100" w:type="dxa"/>
            <w:vAlign w:val="bottom"/>
            <w:tcBorders>
              <w:bottom w:val="single" w:sz="8" w:color="181414"/>
            </w:tcBorders>
          </w:tcPr>
          <w:p>
            <w:pPr>
              <w:spacing w:after="0"/>
              <w:rPr>
                <w:sz w:val="3"/>
                <w:szCs w:val="3"/>
                <w:color w:val="auto"/>
              </w:rPr>
            </w:pPr>
          </w:p>
        </w:tc>
        <w:tc>
          <w:tcPr>
            <w:tcW w:w="100" w:type="dxa"/>
            <w:vAlign w:val="bottom"/>
            <w:tcBorders>
              <w:bottom w:val="single" w:sz="8" w:color="181414"/>
            </w:tcBorders>
          </w:tcPr>
          <w:p>
            <w:pPr>
              <w:spacing w:after="0"/>
              <w:rPr>
                <w:sz w:val="3"/>
                <w:szCs w:val="3"/>
                <w:color w:val="auto"/>
              </w:rPr>
            </w:pPr>
          </w:p>
        </w:tc>
        <w:tc>
          <w:tcPr>
            <w:tcW w:w="640" w:type="dxa"/>
            <w:vAlign w:val="bottom"/>
            <w:tcBorders>
              <w:bottom w:val="single" w:sz="8" w:color="181414"/>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860" w:type="dxa"/>
            <w:vAlign w:val="bottom"/>
          </w:tcPr>
          <w:p>
            <w:pPr>
              <w:ind w:left="800"/>
              <w:spacing w:after="0"/>
              <w:rPr>
                <w:sz w:val="20"/>
                <w:szCs w:val="20"/>
                <w:color w:val="auto"/>
              </w:rPr>
            </w:pPr>
            <w:r>
              <w:rPr>
                <w:rFonts w:ascii="Times New Roman" w:cs="Times New Roman" w:eastAsia="Times New Roman" w:hAnsi="Times New Roman"/>
                <w:sz w:val="16"/>
                <w:szCs w:val="16"/>
                <w:color w:val="auto"/>
              </w:rPr>
              <w:t>(in thousands)</w:t>
            </w:r>
          </w:p>
        </w:tc>
        <w:tc>
          <w:tcPr>
            <w:tcW w:w="7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2-023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left="107"/>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5860" w:type="dxa"/>
            <w:vAlign w:val="bottom"/>
            <w:vMerge w:val="restart"/>
          </w:tcPr>
          <w:p>
            <w:pPr>
              <w:ind w:left="800"/>
              <w:spacing w:after="0"/>
              <w:rPr>
                <w:sz w:val="20"/>
                <w:szCs w:val="20"/>
                <w:color w:val="auto"/>
              </w:rPr>
            </w:pPr>
            <w:r>
              <w:rPr>
                <w:rFonts w:ascii="Times New Roman" w:cs="Times New Roman" w:eastAsia="Times New Roman" w:hAnsi="Times New Roman"/>
                <w:sz w:val="19"/>
                <w:szCs w:val="19"/>
                <w:color w:val="auto"/>
              </w:rPr>
              <w:t>Cash Flow Information:</w:t>
            </w: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Borders>
              <w:bottom w:val="single" w:sz="8" w:color="181414"/>
            </w:tcBorders>
          </w:tcPr>
          <w:p>
            <w:pPr>
              <w:spacing w:after="0"/>
              <w:rPr>
                <w:sz w:val="2"/>
                <w:szCs w:val="2"/>
                <w:color w:val="auto"/>
              </w:rPr>
            </w:pPr>
          </w:p>
        </w:tc>
        <w:tc>
          <w:tcPr>
            <w:tcW w:w="100" w:type="dxa"/>
            <w:vAlign w:val="bottom"/>
            <w:tcBorders>
              <w:bottom w:val="single" w:sz="8" w:color="181414"/>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8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Operating cash flows from finance leases  . . . . . . . . . .</w:t>
            </w:r>
          </w:p>
        </w:tc>
        <w:tc>
          <w:tcPr>
            <w:tcW w:w="7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1,456</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    989</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317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Financing cash flows from finance leases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1400"/>
              <w:spacing w:after="0"/>
              <w:rPr>
                <w:sz w:val="20"/>
                <w:szCs w:val="20"/>
                <w:color w:val="auto"/>
              </w:rPr>
            </w:pPr>
            <w:r>
              <w:rPr>
                <w:rFonts w:ascii="Times New Roman" w:cs="Times New Roman" w:eastAsia="Times New Roman" w:hAnsi="Times New Roman"/>
                <w:sz w:val="19"/>
                <w:szCs w:val="19"/>
                <w:color w:val="auto"/>
              </w:rPr>
              <w:t>(payments)  . . . . . . . . . . . . . . . . . . . . . . . . . . . . . . . .</w:t>
            </w:r>
          </w:p>
        </w:tc>
        <w:tc>
          <w:tcPr>
            <w:tcW w:w="78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13,425</w:t>
            </w:r>
          </w:p>
        </w:tc>
        <w:tc>
          <w:tcPr>
            <w:tcW w:w="8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10,376</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Right-of-use assets obtained in exchange for new</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860" w:type="dxa"/>
            <w:vAlign w:val="bottom"/>
          </w:tcPr>
          <w:p>
            <w:pPr>
              <w:ind w:left="1400"/>
              <w:spacing w:after="0"/>
              <w:rPr>
                <w:sz w:val="20"/>
                <w:szCs w:val="20"/>
                <w:color w:val="auto"/>
              </w:rPr>
            </w:pPr>
            <w:r>
              <w:rPr>
                <w:rFonts w:ascii="Times New Roman" w:cs="Times New Roman" w:eastAsia="Times New Roman" w:hAnsi="Times New Roman"/>
                <w:sz w:val="19"/>
                <w:szCs w:val="19"/>
                <w:color w:val="auto"/>
              </w:rPr>
              <w:t>finance lease liabilities (noncash)  . . . . . . . . . . . . . .</w:t>
            </w:r>
          </w:p>
        </w:tc>
        <w:tc>
          <w:tcPr>
            <w:tcW w:w="780" w:type="dxa"/>
            <w:vAlign w:val="bottom"/>
            <w:gridSpan w:val="2"/>
          </w:tcPr>
          <w:p>
            <w:pPr>
              <w:ind w:left="120"/>
              <w:spacing w:after="0"/>
              <w:rPr>
                <w:sz w:val="20"/>
                <w:szCs w:val="20"/>
                <w:color w:val="auto"/>
              </w:rPr>
            </w:pPr>
            <w:r>
              <w:rPr>
                <w:rFonts w:ascii="Times New Roman" w:cs="Times New Roman" w:eastAsia="Times New Roman" w:hAnsi="Times New Roman"/>
                <w:sz w:val="19"/>
                <w:szCs w:val="19"/>
                <w:color w:val="auto"/>
              </w:rPr>
              <w:t>12,569</w:t>
            </w:r>
          </w:p>
        </w:tc>
        <w:tc>
          <w:tcPr>
            <w:tcW w:w="8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20,265</w:t>
            </w:r>
          </w:p>
        </w:tc>
        <w:tc>
          <w:tcPr>
            <w:tcW w:w="10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gridSpan w:val="6"/>
          </w:tcPr>
          <w:p>
            <w:pPr>
              <w:ind w:left="6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42"/>
        </w:trPr>
        <w:tc>
          <w:tcPr>
            <w:tcW w:w="5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Borders>
              <w:bottom w:val="single" w:sz="8" w:color="403C3C"/>
            </w:tcBorders>
            <w:gridSpan w:val="3"/>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5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gridSpan w:val="4"/>
          </w:tcPr>
          <w:p>
            <w:pPr>
              <w:ind w:left="240"/>
              <w:spacing w:after="0" w:line="177" w:lineRule="exact"/>
              <w:rPr>
                <w:sz w:val="20"/>
                <w:szCs w:val="20"/>
                <w:color w:val="auto"/>
              </w:rPr>
            </w:pPr>
            <w:r>
              <w:rPr>
                <w:rFonts w:ascii="Times New Roman" w:cs="Times New Roman" w:eastAsia="Times New Roman" w:hAnsi="Times New Roman"/>
                <w:sz w:val="16"/>
                <w:szCs w:val="16"/>
                <w:color w:val="auto"/>
              </w:rPr>
              <w:t>2024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2"/>
          </w:tcPr>
          <w:p>
            <w:pPr>
              <w:jc w:val="right"/>
              <w:ind w:right="160"/>
              <w:spacing w:after="0" w:line="177" w:lineRule="exact"/>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5860" w:type="dxa"/>
            <w:vAlign w:val="bottom"/>
            <w:vMerge w:val="restart"/>
          </w:tcPr>
          <w:p>
            <w:pPr>
              <w:ind w:left="800"/>
              <w:spacing w:after="0"/>
              <w:rPr>
                <w:sz w:val="20"/>
                <w:szCs w:val="20"/>
                <w:color w:val="auto"/>
              </w:rPr>
            </w:pPr>
            <w:r>
              <w:rPr>
                <w:rFonts w:ascii="Times New Roman" w:cs="Times New Roman" w:eastAsia="Times New Roman" w:hAnsi="Times New Roman"/>
                <w:sz w:val="19"/>
                <w:szCs w:val="19"/>
                <w:color w:val="auto"/>
              </w:rPr>
              <w:t>Bala nce S heet Information:</w:t>
            </w: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Borders>
              <w:bottom w:val="single" w:sz="8" w:color="181414"/>
            </w:tcBorders>
          </w:tcPr>
          <w:p>
            <w:pPr>
              <w:spacing w:after="0"/>
              <w:rPr>
                <w:sz w:val="3"/>
                <w:szCs w:val="3"/>
                <w:color w:val="auto"/>
              </w:rPr>
            </w:pPr>
          </w:p>
        </w:tc>
        <w:tc>
          <w:tcPr>
            <w:tcW w:w="40" w:type="dxa"/>
            <w:vAlign w:val="bottom"/>
            <w:tcBorders>
              <w:bottom w:val="single" w:sz="8" w:color="181414"/>
            </w:tcBorders>
          </w:tcPr>
          <w:p>
            <w:pPr>
              <w:spacing w:after="0"/>
              <w:rPr>
                <w:sz w:val="3"/>
                <w:szCs w:val="3"/>
                <w:color w:val="auto"/>
              </w:rPr>
            </w:pPr>
          </w:p>
        </w:tc>
        <w:tc>
          <w:tcPr>
            <w:tcW w:w="560" w:type="dxa"/>
            <w:vAlign w:val="bottom"/>
            <w:tcBorders>
              <w:bottom w:val="single" w:sz="8" w:color="181414"/>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bottom w:val="single" w:sz="8" w:color="181414"/>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5860" w:type="dxa"/>
            <w:vAlign w:val="bottom"/>
            <w:vMerge w:val="continue"/>
          </w:tcPr>
          <w:p>
            <w:pPr>
              <w:spacing w:after="0"/>
              <w:rPr>
                <w:sz w:val="23"/>
                <w:szCs w:val="23"/>
                <w:color w:val="auto"/>
              </w:rPr>
            </w:pPr>
          </w:p>
        </w:tc>
        <w:tc>
          <w:tcPr>
            <w:tcW w:w="1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9"/>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Property, plant and equipment, net</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9"/>
                <w:szCs w:val="19"/>
                <w:color w:val="auto"/>
              </w:rPr>
              <w:t>$21,716</w:t>
            </w:r>
          </w:p>
        </w:tc>
        <w:tc>
          <w:tcPr>
            <w:tcW w:w="10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$22,831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2"/>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Current lease liabilities  . ... . .... . .... . .................</w:t>
            </w:r>
          </w:p>
        </w:tc>
        <w:tc>
          <w:tcPr>
            <w:tcW w:w="120" w:type="dxa"/>
            <w:vAlign w:val="bottom"/>
          </w:tcPr>
          <w:p>
            <w:pPr>
              <w:spacing w:after="0"/>
              <w:rPr>
                <w:sz w:val="24"/>
                <w:szCs w:val="24"/>
                <w:color w:val="auto"/>
              </w:rPr>
            </w:pPr>
          </w:p>
        </w:tc>
        <w:tc>
          <w:tcPr>
            <w:tcW w:w="6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9"/>
                <w:szCs w:val="19"/>
                <w:color w:val="auto"/>
              </w:rPr>
              <w:t>$18,028</w:t>
            </w: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$17,357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1200"/>
              <w:spacing w:after="0"/>
              <w:rPr>
                <w:sz w:val="20"/>
                <w:szCs w:val="20"/>
                <w:color w:val="auto"/>
              </w:rPr>
            </w:pPr>
            <w:r>
              <w:rPr>
                <w:rFonts w:ascii="Times New Roman" w:cs="Times New Roman" w:eastAsia="Times New Roman" w:hAnsi="Times New Roman"/>
                <w:sz w:val="19"/>
                <w:szCs w:val="19"/>
                <w:color w:val="auto"/>
              </w:rPr>
              <w:t>Noncurrent lease liabilities  . .......... .. .. .. . ...........</w:t>
            </w:r>
          </w:p>
        </w:tc>
        <w:tc>
          <w:tcPr>
            <w:tcW w:w="120" w:type="dxa"/>
            <w:vAlign w:val="bottom"/>
          </w:tcPr>
          <w:p>
            <w:pPr>
              <w:spacing w:after="0"/>
              <w:rPr>
                <w:sz w:val="19"/>
                <w:szCs w:val="19"/>
                <w:color w:val="auto"/>
              </w:rPr>
            </w:pPr>
          </w:p>
        </w:tc>
        <w:tc>
          <w:tcPr>
            <w:tcW w:w="6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83"/>
              </w:rPr>
              <w:t>.</w:t>
            </w:r>
          </w:p>
        </w:tc>
        <w:tc>
          <w:tcPr>
            <w:tcW w:w="840" w:type="dxa"/>
            <w:vAlign w:val="bottom"/>
            <w:gridSpan w:val="5"/>
          </w:tcPr>
          <w:p>
            <w:pPr>
              <w:jc w:val="right"/>
              <w:ind w:right="100"/>
              <w:spacing w:after="0"/>
              <w:rPr>
                <w:sz w:val="20"/>
                <w:szCs w:val="20"/>
                <w:color w:val="auto"/>
              </w:rPr>
            </w:pPr>
            <w:r>
              <w:rPr>
                <w:rFonts w:ascii="Times New Roman" w:cs="Times New Roman" w:eastAsia="Times New Roman" w:hAnsi="Times New Roman"/>
                <w:sz w:val="19"/>
                <w:szCs w:val="19"/>
                <w:color w:val="auto"/>
              </w:rPr>
              <w:t>5,049</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6,571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5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504C4C"/>
            </w:tcBorders>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5860" w:type="dxa"/>
            <w:vAlign w:val="bottom"/>
          </w:tcPr>
          <w:p>
            <w:pPr>
              <w:ind w:left="1600"/>
              <w:spacing w:after="0"/>
              <w:rPr>
                <w:sz w:val="20"/>
                <w:szCs w:val="20"/>
                <w:color w:val="auto"/>
              </w:rPr>
            </w:pPr>
            <w:r>
              <w:rPr>
                <w:rFonts w:ascii="Times New Roman" w:cs="Times New Roman" w:eastAsia="Times New Roman" w:hAnsi="Times New Roman"/>
                <w:sz w:val="19"/>
                <w:szCs w:val="19"/>
                <w:color w:val="auto"/>
              </w:rPr>
              <w:t>Tota l lease lia bilities  .. ...........................</w:t>
            </w:r>
          </w:p>
        </w:tc>
        <w:tc>
          <w:tcPr>
            <w:tcW w:w="120" w:type="dxa"/>
            <w:vAlign w:val="bottom"/>
          </w:tcPr>
          <w:p>
            <w:pPr>
              <w:spacing w:after="0"/>
              <w:rPr>
                <w:sz w:val="23"/>
                <w:szCs w:val="23"/>
                <w:color w:val="auto"/>
              </w:rPr>
            </w:pPr>
          </w:p>
        </w:tc>
        <w:tc>
          <w:tcPr>
            <w:tcW w:w="6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$23,077</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$23,928</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3"/>
        </w:trPr>
        <w:tc>
          <w:tcPr>
            <w:tcW w:w="5860" w:type="dxa"/>
            <w:vAlign w:val="bottom"/>
            <w:vMerge w:val="restart"/>
          </w:tcPr>
          <w:p>
            <w:pPr>
              <w:ind w:left="800"/>
              <w:spacing w:after="0"/>
              <w:rPr>
                <w:sz w:val="20"/>
                <w:szCs w:val="20"/>
                <w:color w:val="auto"/>
              </w:rPr>
            </w:pPr>
            <w:r>
              <w:rPr>
                <w:rFonts w:ascii="Times New Roman" w:cs="Times New Roman" w:eastAsia="Times New Roman" w:hAnsi="Times New Roman"/>
                <w:sz w:val="19"/>
                <w:szCs w:val="19"/>
                <w:color w:val="auto"/>
              </w:rPr>
              <w:t>Weighted average remaining lease term (years) .................</w:t>
            </w: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Borders>
              <w:bottom w:val="single" w:sz="8" w:color="504C4C"/>
            </w:tcBorders>
            <w:gridSpan w:val="3"/>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740" w:type="dxa"/>
            <w:vAlign w:val="bottom"/>
            <w:tcBorders>
              <w:bottom w:val="single" w:sz="8" w:color="504C4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58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860" w:type="dxa"/>
            <w:vAlign w:val="bottom"/>
          </w:tcPr>
          <w:p>
            <w:pPr>
              <w:ind w:left="800"/>
              <w:spacing w:after="0"/>
              <w:rPr>
                <w:sz w:val="20"/>
                <w:szCs w:val="20"/>
                <w:color w:val="auto"/>
              </w:rPr>
            </w:pPr>
            <w:r>
              <w:rPr>
                <w:rFonts w:ascii="Times New Roman" w:cs="Times New Roman" w:eastAsia="Times New Roman" w:hAnsi="Times New Roman"/>
                <w:sz w:val="19"/>
                <w:szCs w:val="19"/>
                <w:color w:val="auto"/>
              </w:rPr>
              <w:t>Weighted average discount rate  .............................</w:t>
            </w:r>
          </w:p>
        </w:tc>
        <w:tc>
          <w:tcPr>
            <w:tcW w:w="120" w:type="dxa"/>
            <w:vAlign w:val="bottom"/>
          </w:tcPr>
          <w:p>
            <w:pPr>
              <w:spacing w:after="0"/>
              <w:rPr>
                <w:sz w:val="21"/>
                <w:szCs w:val="21"/>
                <w:color w:val="auto"/>
              </w:rPr>
            </w:pPr>
          </w:p>
        </w:tc>
        <w:tc>
          <w:tcPr>
            <w:tcW w:w="660" w:type="dxa"/>
            <w:vAlign w:val="bottom"/>
          </w:tcPr>
          <w:p>
            <w:pPr>
              <w:jc w:val="center"/>
              <w:ind w:left="86"/>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At December 31, 2024, maturities of finance lease liabilities were as follows:</w:t>
      </w:r>
    </w:p>
    <w:p>
      <w:pPr>
        <w:spacing w:after="0" w:line="218"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1980" w:type="dxa"/>
            <w:vAlign w:val="bottom"/>
          </w:tcPr>
          <w:p>
            <w:pPr>
              <w:spacing w:after="0"/>
              <w:rPr>
                <w:sz w:val="20"/>
                <w:szCs w:val="20"/>
                <w:color w:val="auto"/>
              </w:rPr>
            </w:pPr>
            <w:r>
              <w:rPr>
                <w:rFonts w:ascii="Times New Roman" w:cs="Times New Roman" w:eastAsia="Times New Roman" w:hAnsi="Times New Roman"/>
                <w:sz w:val="16"/>
                <w:szCs w:val="16"/>
                <w:color w:val="auto"/>
              </w:rPr>
              <w:t>(in thousand s)</w:t>
            </w:r>
          </w:p>
        </w:tc>
        <w:tc>
          <w:tcPr>
            <w:tcW w:w="330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December 31, 2024</w:t>
            </w:r>
          </w:p>
        </w:tc>
        <w:tc>
          <w:tcPr>
            <w:tcW w:w="0" w:type="dxa"/>
            <w:vAlign w:val="bottom"/>
          </w:tcPr>
          <w:p>
            <w:pPr>
              <w:spacing w:after="0"/>
              <w:rPr>
                <w:sz w:val="1"/>
                <w:szCs w:val="1"/>
                <w:color w:val="auto"/>
              </w:rPr>
            </w:pPr>
          </w:p>
        </w:tc>
      </w:tr>
      <w:tr>
        <w:trPr>
          <w:trHeight w:val="323"/>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auto"/>
              </w:rPr>
              <w:t>2025 ............. . .</w:t>
            </w:r>
          </w:p>
        </w:tc>
        <w:tc>
          <w:tcPr>
            <w:tcW w:w="3300" w:type="dxa"/>
            <w:vAlign w:val="bottom"/>
          </w:tcPr>
          <w:p>
            <w:pPr>
              <w:spacing w:after="0"/>
              <w:rPr>
                <w:sz w:val="20"/>
                <w:szCs w:val="20"/>
                <w:color w:val="auto"/>
              </w:rPr>
            </w:pPr>
            <w:r>
              <w:rPr>
                <w:rFonts w:ascii="Times New Roman" w:cs="Times New Roman" w:eastAsia="Times New Roman" w:hAnsi="Times New Roman"/>
                <w:sz w:val="19"/>
                <w:szCs w:val="19"/>
                <w:color w:val="auto"/>
              </w:rPr>
              <w:t>- ........... . ................. . .</w:t>
            </w: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$ 18,5 11</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auto"/>
              </w:rPr>
              <w:t>2026 ... . . ...... .. ..</w:t>
            </w:r>
          </w:p>
        </w:tc>
        <w:tc>
          <w:tcPr>
            <w:tcW w:w="3300" w:type="dxa"/>
            <w:vAlign w:val="bottom"/>
          </w:tcPr>
          <w:p>
            <w:pPr>
              <w:spacing w:after="0"/>
              <w:rPr>
                <w:sz w:val="20"/>
                <w:szCs w:val="20"/>
                <w:color w:val="auto"/>
              </w:rPr>
            </w:pPr>
            <w:r>
              <w:rPr>
                <w:rFonts w:ascii="Times New Roman" w:cs="Times New Roman" w:eastAsia="Times New Roman" w:hAnsi="Times New Roman"/>
                <w:sz w:val="19"/>
                <w:szCs w:val="19"/>
                <w:color w:val="auto"/>
              </w:rPr>
              <w:t>-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3,966</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auto"/>
              </w:rPr>
              <w:t>2027 ...............</w:t>
            </w:r>
          </w:p>
        </w:tc>
        <w:tc>
          <w:tcPr>
            <w:tcW w:w="3300" w:type="dxa"/>
            <w:vAlign w:val="bottom"/>
          </w:tcPr>
          <w:p>
            <w:pPr>
              <w:spacing w:after="0"/>
              <w:rPr>
                <w:sz w:val="20"/>
                <w:szCs w:val="20"/>
                <w:color w:val="auto"/>
              </w:rPr>
            </w:pPr>
            <w:r>
              <w:rPr>
                <w:rFonts w:ascii="Times New Roman" w:cs="Times New Roman" w:eastAsia="Times New Roman" w:hAnsi="Times New Roman"/>
                <w:sz w:val="19"/>
                <w:szCs w:val="19"/>
                <w:color w:val="auto"/>
              </w:rPr>
              <w:t>-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1,242</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auto"/>
              </w:rPr>
              <w:t>2028 . . .... . . . ......</w:t>
            </w:r>
          </w:p>
        </w:tc>
        <w:tc>
          <w:tcPr>
            <w:tcW w:w="3300" w:type="dxa"/>
            <w:vAlign w:val="bottom"/>
          </w:tcPr>
          <w:p>
            <w:pPr>
              <w:spacing w:after="0"/>
              <w:rPr>
                <w:sz w:val="20"/>
                <w:szCs w:val="20"/>
                <w:color w:val="auto"/>
              </w:rPr>
            </w:pPr>
            <w:r>
              <w:rPr>
                <w:rFonts w:ascii="Times New Roman" w:cs="Times New Roman" w:eastAsia="Times New Roman" w:hAnsi="Times New Roman"/>
                <w:sz w:val="19"/>
                <w:szCs w:val="19"/>
                <w:color w:val="auto"/>
              </w:rPr>
              <w:t>-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980" w:type="dxa"/>
            <w:vAlign w:val="bottom"/>
          </w:tcPr>
          <w:p>
            <w:pPr>
              <w:spacing w:after="0"/>
              <w:rPr>
                <w:sz w:val="20"/>
                <w:szCs w:val="20"/>
                <w:color w:val="auto"/>
              </w:rPr>
            </w:pPr>
            <w:r>
              <w:rPr>
                <w:rFonts w:ascii="Times New Roman" w:cs="Times New Roman" w:eastAsia="Times New Roman" w:hAnsi="Times New Roman"/>
                <w:sz w:val="19"/>
                <w:szCs w:val="19"/>
                <w:color w:val="auto"/>
              </w:rPr>
              <w:t>2029 ............. . .</w:t>
            </w:r>
          </w:p>
        </w:tc>
        <w:tc>
          <w:tcPr>
            <w:tcW w:w="3300" w:type="dxa"/>
            <w:vAlign w:val="bottom"/>
          </w:tcPr>
          <w:p>
            <w:pPr>
              <w:spacing w:after="0"/>
              <w:rPr>
                <w:sz w:val="20"/>
                <w:szCs w:val="20"/>
                <w:color w:val="auto"/>
              </w:rPr>
            </w:pPr>
            <w:r>
              <w:rPr>
                <w:rFonts w:ascii="Times New Roman" w:cs="Times New Roman" w:eastAsia="Times New Roman" w:hAnsi="Times New Roman"/>
                <w:sz w:val="19"/>
                <w:szCs w:val="19"/>
                <w:color w:val="auto"/>
              </w:rPr>
              <w:t>- .... .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19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Total payments  . ....</w:t>
            </w:r>
          </w:p>
        </w:tc>
        <w:tc>
          <w:tcPr>
            <w:tcW w:w="3300" w:type="dxa"/>
            <w:vAlign w:val="bottom"/>
          </w:tcPr>
          <w:p>
            <w:pPr>
              <w:spacing w:after="0"/>
              <w:rPr>
                <w:sz w:val="2"/>
                <w:szCs w:val="2"/>
                <w:color w:val="auto"/>
              </w:rPr>
            </w:pPr>
          </w:p>
        </w:tc>
        <w:tc>
          <w:tcPr>
            <w:tcW w:w="480" w:type="dxa"/>
            <w:vAlign w:val="bottom"/>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1980" w:type="dxa"/>
            <w:vAlign w:val="bottom"/>
            <w:vMerge w:val="continue"/>
          </w:tcPr>
          <w:p>
            <w:pPr>
              <w:spacing w:after="0"/>
              <w:rPr>
                <w:sz w:val="23"/>
                <w:szCs w:val="23"/>
                <w:color w:val="auto"/>
              </w:rPr>
            </w:pPr>
          </w:p>
        </w:tc>
        <w:tc>
          <w:tcPr>
            <w:tcW w:w="3300" w:type="dxa"/>
            <w:vAlign w:val="bottom"/>
          </w:tcPr>
          <w:p>
            <w:pPr>
              <w:spacing w:after="0"/>
              <w:rPr>
                <w:sz w:val="20"/>
                <w:szCs w:val="20"/>
                <w:color w:val="auto"/>
              </w:rPr>
            </w:pPr>
            <w:r>
              <w:rPr>
                <w:rFonts w:ascii="Times New Roman" w:cs="Times New Roman" w:eastAsia="Times New Roman" w:hAnsi="Times New Roman"/>
                <w:sz w:val="19"/>
                <w:szCs w:val="19"/>
                <w:color w:val="auto"/>
              </w:rPr>
              <w:t>. .... . . .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23,740</w:t>
            </w:r>
          </w:p>
        </w:tc>
        <w:tc>
          <w:tcPr>
            <w:tcW w:w="3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5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Less: Imputed interest  ................................ .</w:t>
            </w:r>
          </w:p>
        </w:tc>
        <w:tc>
          <w:tcPr>
            <w:tcW w:w="1440" w:type="dxa"/>
            <w:vAlign w:val="bottom"/>
            <w:gridSpan w:val="3"/>
          </w:tcPr>
          <w:p>
            <w:pPr>
              <w:jc w:val="right"/>
              <w:ind w:right="260"/>
              <w:spacing w:after="0"/>
              <w:rPr>
                <w:sz w:val="20"/>
                <w:szCs w:val="20"/>
                <w:color w:val="auto"/>
              </w:rPr>
            </w:pPr>
            <w:r>
              <w:rPr>
                <w:rFonts w:ascii="Times New Roman" w:cs="Times New Roman" w:eastAsia="Times New Roman" w:hAnsi="Times New Roman"/>
                <w:sz w:val="19"/>
                <w:szCs w:val="19"/>
                <w:color w:val="auto"/>
              </w:rPr>
              <w:t>(663)</w:t>
            </w:r>
          </w:p>
        </w:tc>
        <w:tc>
          <w:tcPr>
            <w:tcW w:w="0" w:type="dxa"/>
            <w:vAlign w:val="bottom"/>
          </w:tcPr>
          <w:p>
            <w:pPr>
              <w:spacing w:after="0"/>
              <w:rPr>
                <w:sz w:val="1"/>
                <w:szCs w:val="1"/>
                <w:color w:val="auto"/>
              </w:rPr>
            </w:pPr>
          </w:p>
        </w:tc>
      </w:tr>
      <w:tr>
        <w:trPr>
          <w:trHeight w:val="315"/>
        </w:trPr>
        <w:tc>
          <w:tcPr>
            <w:tcW w:w="52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Total  .. ... .... ... ... . ... .......................... .</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$23,077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87"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113</w:t>
      </w:r>
    </w:p>
    <w:p>
      <w:pPr>
        <w:sectPr>
          <w:pgSz w:w="12240" w:h="15850" w:orient="portrait"/>
          <w:cols w:equalWidth="0" w:num="1">
            <w:col w:w="9365"/>
          </w:cols>
          <w:pgMar w:left="1440" w:top="1387" w:right="1440" w:bottom="719" w:gutter="0" w:footer="0" w:header="0"/>
          <w:type w:val="continuous"/>
        </w:sectPr>
      </w:pPr>
    </w:p>
    <w:bookmarkStart w:id="129" w:name="page130"/>
    <w:bookmarkEnd w:id="129"/>
    <w:p>
      <w:pPr>
        <w:ind w:left="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9. GOODWILL AND OTHER INT ANGffiLE ASSETS</w:t>
      </w:r>
    </w:p>
    <w:p>
      <w:pPr>
        <w:spacing w:after="0" w:line="137"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ln the fourth quarter of 2024, as a result of reduced enrollments at Mander Portman Woodward (MPW), due partly to the recent U.K. government elimination of the Value Added Tax (VAT) exemption on private school tuition, the Company recorded an intangible asset impairment charge of $22.9 million. The Company estimated the fair value of this indefinite-lived intangible asset by utilizing a discounted cash flow model. The carrying value of the indefinite-lived intangible asset exceeded its estimated fair value, resulting in an intangible asset impair ment charge for the amount by which the carrying value exceeded its estimated fair value. MPW is included in Kaplan International.</w:t>
      </w:r>
    </w:p>
    <w:p>
      <w:pPr>
        <w:spacing w:after="0" w:line="200" w:lineRule="exact"/>
        <w:rPr>
          <w:sz w:val="20"/>
          <w:szCs w:val="20"/>
          <w:color w:val="auto"/>
        </w:rPr>
      </w:pPr>
    </w:p>
    <w:p>
      <w:pPr>
        <w:spacing w:after="0" w:line="297"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In the second quarter of 2024, as a result of substantial digital advertising revenue declines and continued operating losses at WGB, the Company performed an interim review of the goodwill and intangible assets at the WGB reporting unit. As a result of the impairment review, tlhe Company recorded goodwill and amortized intangible asset impairment charges totaling $26.3 million. The Company estimated the fair value of the reporting unit and amortized intangible asset by utilizing a discounted cash flow model. The carrying value of the reporting unit and amortized intangible asset exceeded their estimated fair values, resulting in goodwill and intangible asset impairment charges for the amount by which the carrying values exceeded their estimated fair values. WGB is included in other businesses.</w:t>
      </w:r>
    </w:p>
    <w:p>
      <w:pPr>
        <w:spacing w:after="0" w:line="200" w:lineRule="exact"/>
        <w:rPr>
          <w:sz w:val="20"/>
          <w:szCs w:val="20"/>
          <w:color w:val="auto"/>
        </w:rPr>
      </w:pPr>
    </w:p>
    <w:p>
      <w:pPr>
        <w:spacing w:after="0" w:line="295" w:lineRule="exact"/>
        <w:rPr>
          <w:sz w:val="20"/>
          <w:szCs w:val="20"/>
          <w:color w:val="auto"/>
        </w:rPr>
      </w:pPr>
    </w:p>
    <w:p>
      <w:pPr>
        <w:jc w:val="both"/>
        <w:ind w:left="120" w:right="125" w:firstLine="11"/>
        <w:spacing w:after="0" w:line="262" w:lineRule="auto"/>
        <w:rPr>
          <w:sz w:val="20"/>
          <w:szCs w:val="20"/>
          <w:color w:val="auto"/>
        </w:rPr>
      </w:pPr>
      <w:r>
        <w:rPr>
          <w:rFonts w:ascii="Times New Roman" w:cs="Times New Roman" w:eastAsia="Times New Roman" w:hAnsi="Times New Roman"/>
          <w:sz w:val="19"/>
          <w:szCs w:val="19"/>
          <w:color w:val="auto"/>
        </w:rPr>
        <w:t>In the third quarter of 2023, due to continued sustained weakness in demand for certain Dekko power and data products primarily in the commercial office space market, the Company performed an interim review of the goodwill of the Dekko reporting unit. As a result of the impairment review, the Company recorded a $47.8 million goodwill impairment charge. Also in the third quarter of 2023, as a result of the substantial digital advertising revenue declines and continued significant operating losses at WGB, the Company performed an interim review of the goodwill of the WGB reporting unit. As a result of the impairment review, the Company recorded a $50.2 million goodwill impairment charge. The Company estimated the fair value of the reporting units by utilizing a discounted cash flow model. The carrying value of the reporting units exceeded their estimated fair values, resulting in goodwill impairment charges for the amount by which the carrying values exceeded their estimated fair values after taking into account the effect of deferred income taxes. Dekko is included in manufacturing and WGB is included in other businesses.</w:t>
      </w:r>
    </w:p>
    <w:p>
      <w:pPr>
        <w:spacing w:after="0" w:line="200" w:lineRule="exact"/>
        <w:rPr>
          <w:sz w:val="20"/>
          <w:szCs w:val="20"/>
          <w:color w:val="auto"/>
        </w:rPr>
      </w:pPr>
    </w:p>
    <w:p>
      <w:pPr>
        <w:spacing w:after="0" w:line="295"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 xml:space="preserve">In the fourth quarter of 2022, as a result of the weakened current outlook for digital advertising and consumer demand for </w:t>
      </w:r>
      <w:r>
        <w:rPr>
          <w:rFonts w:ascii="Times New Roman" w:cs="Times New Roman" w:eastAsia="Times New Roman" w:hAnsi="Times New Roman"/>
          <w:sz w:val="18"/>
          <w:szCs w:val="18"/>
          <w:color w:val="auto"/>
        </w:rPr>
        <w:t>art</w:t>
      </w:r>
      <w:r>
        <w:rPr>
          <w:rFonts w:ascii="Times New Roman" w:cs="Times New Roman" w:eastAsia="Times New Roman" w:hAnsi="Times New Roman"/>
          <w:sz w:val="19"/>
          <w:szCs w:val="19"/>
          <w:color w:val="auto"/>
        </w:rPr>
        <w:t xml:space="preserve"> and related goods following substantial declines in revenues and significant operating losses at the Leaf businesses, the Company recorded goodwill and amortized intangible asset impairment charges of $ 129.0 million at the Leaf Media (renamed WGB) and Leaf M arketplace (includes Society6 and Saatchi Art) reporting units. The Company estimated the fair value of the reporting units and amortized intangible assets by utilizing a discounted cash flow model. The carrying values of the reporting units and amortized intangible assets exceeded their estimated fair values, resulting in goodwill and intangible asset impairment charges for the amount by which the carrying values exceeded their estimated fair values after taking into account the effect of deferred income taxes. WGB, Society6 and Saatchi Art (collectively the Leaf businesses) are included in other businesses.</w:t>
      </w:r>
    </w:p>
    <w:p>
      <w:pPr>
        <w:spacing w:after="0" w:line="200" w:lineRule="exact"/>
        <w:rPr>
          <w:sz w:val="20"/>
          <w:szCs w:val="20"/>
          <w:color w:val="auto"/>
        </w:rPr>
      </w:pPr>
    </w:p>
    <w:p>
      <w:pPr>
        <w:spacing w:after="0" w:line="287" w:lineRule="exact"/>
        <w:rPr>
          <w:sz w:val="20"/>
          <w:szCs w:val="20"/>
          <w:color w:val="auto"/>
        </w:rPr>
      </w:pPr>
    </w:p>
    <w:p>
      <w:pPr>
        <w:jc w:val="both"/>
        <w:ind w:left="120" w:right="125" w:firstLine="12"/>
        <w:spacing w:after="0" w:line="257" w:lineRule="auto"/>
        <w:rPr>
          <w:sz w:val="20"/>
          <w:szCs w:val="20"/>
          <w:color w:val="auto"/>
        </w:rPr>
      </w:pPr>
      <w:r>
        <w:rPr>
          <w:rFonts w:ascii="Times New Roman" w:cs="Times New Roman" w:eastAsia="Times New Roman" w:hAnsi="Times New Roman"/>
          <w:sz w:val="19"/>
          <w:szCs w:val="19"/>
          <w:color w:val="auto"/>
        </w:rPr>
        <w:t>Amortization of intangible assets for the years ended December 31, 2024, 2023 and 2022, was $37.1 million, $50.0 million and $58.9 million, respectively. Amortization of intangible assets is estimated to be approxi mately $28 mil lion in 2025, $20 million in 2026, $5 million in 2027, $2 million in 2028 and $2 million in 2029.</w:t>
      </w:r>
    </w:p>
    <w:p>
      <w:pPr>
        <w:sectPr>
          <w:pgSz w:w="12240" w:h="15850" w:orient="portrait"/>
          <w:cols w:equalWidth="0" w:num="1">
            <w:col w:w="9365"/>
          </w:cols>
          <w:pgMar w:left="1440" w:top="1356"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114</w:t>
        <w:tab/>
        <w:t>2024 FORM 10-K</w:t>
      </w:r>
    </w:p>
    <w:p>
      <w:pPr>
        <w:sectPr>
          <w:pgSz w:w="12240" w:h="15850" w:orient="portrait"/>
          <w:cols w:equalWidth="0" w:num="1">
            <w:col w:w="9365"/>
          </w:cols>
          <w:pgMar w:left="1440" w:top="1356" w:right="1440" w:bottom="721" w:gutter="0" w:footer="0" w:header="0"/>
          <w:type w:val="continuous"/>
        </w:sectPr>
      </w:pPr>
    </w:p>
    <w:bookmarkStart w:id="130" w:name="page131"/>
    <w:bookmarkEnd w:id="130"/>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3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changes in the carrying amount of goodwill, by segment, were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Television</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Other</w:t>
            </w: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700" w:type="dxa"/>
            <w:vAlign w:val="bottom"/>
            <w:gridSpan w:val="2"/>
          </w:tcPr>
          <w:p>
            <w:pPr>
              <w:spacing w:after="0" w:line="179" w:lineRule="exact"/>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2"/>
          </w:tcPr>
          <w:p>
            <w:pPr>
              <w:jc w:val="right"/>
              <w:ind w:right="240"/>
              <w:spacing w:after="0" w:line="179" w:lineRule="exact"/>
              <w:rPr>
                <w:sz w:val="20"/>
                <w:szCs w:val="20"/>
                <w:color w:val="auto"/>
              </w:rPr>
            </w:pPr>
            <w:r>
              <w:rPr>
                <w:rFonts w:ascii="Times New Roman" w:cs="Times New Roman" w:eastAsia="Times New Roman" w:hAnsi="Times New Roman"/>
                <w:sz w:val="16"/>
                <w:szCs w:val="16"/>
                <w:color w:val="auto"/>
              </w:rPr>
              <w:t>Education</w:t>
            </w:r>
          </w:p>
        </w:tc>
        <w:tc>
          <w:tcPr>
            <w:tcW w:w="980" w:type="dxa"/>
            <w:vAlign w:val="bottom"/>
            <w:gridSpan w:val="5"/>
          </w:tcPr>
          <w:p>
            <w:pPr>
              <w:jc w:val="center"/>
              <w:spacing w:after="0" w:line="179" w:lineRule="exact"/>
              <w:rPr>
                <w:sz w:val="20"/>
                <w:szCs w:val="20"/>
                <w:color w:val="auto"/>
              </w:rPr>
            </w:pPr>
            <w:r>
              <w:rPr>
                <w:rFonts w:ascii="Times New Roman" w:cs="Times New Roman" w:eastAsia="Times New Roman" w:hAnsi="Times New Roman"/>
                <w:sz w:val="16"/>
                <w:szCs w:val="16"/>
                <w:color w:val="auto"/>
              </w:rPr>
              <w:t>Broadcasting</w:t>
            </w:r>
          </w:p>
        </w:tc>
        <w:tc>
          <w:tcPr>
            <w:tcW w:w="180" w:type="dxa"/>
            <w:vAlign w:val="bottom"/>
          </w:tcPr>
          <w:p>
            <w:pPr>
              <w:spacing w:after="0"/>
              <w:rPr>
                <w:sz w:val="15"/>
                <w:szCs w:val="15"/>
                <w:color w:val="auto"/>
              </w:rPr>
            </w:pPr>
          </w:p>
        </w:tc>
        <w:tc>
          <w:tcPr>
            <w:tcW w:w="1220" w:type="dxa"/>
            <w:vAlign w:val="bottom"/>
            <w:gridSpan w:val="6"/>
          </w:tcPr>
          <w:p>
            <w:pPr>
              <w:ind w:left="20"/>
              <w:spacing w:after="0" w:line="179" w:lineRule="exact"/>
              <w:rPr>
                <w:sz w:val="20"/>
                <w:szCs w:val="20"/>
                <w:color w:val="auto"/>
              </w:rPr>
            </w:pPr>
            <w:r>
              <w:rPr>
                <w:rFonts w:ascii="Times New Roman" w:cs="Times New Roman" w:eastAsia="Times New Roman" w:hAnsi="Times New Roman"/>
                <w:sz w:val="16"/>
                <w:szCs w:val="16"/>
                <w:color w:val="auto"/>
              </w:rPr>
              <w:t>Manufacturing</w:t>
            </w:r>
          </w:p>
        </w:tc>
        <w:tc>
          <w:tcPr>
            <w:tcW w:w="20" w:type="dxa"/>
            <w:vAlign w:val="bottom"/>
          </w:tcPr>
          <w:p>
            <w:pPr>
              <w:spacing w:after="0"/>
              <w:rPr>
                <w:sz w:val="15"/>
                <w:szCs w:val="15"/>
                <w:color w:val="auto"/>
              </w:rPr>
            </w:pPr>
          </w:p>
        </w:tc>
        <w:tc>
          <w:tcPr>
            <w:tcW w:w="900" w:type="dxa"/>
            <w:vAlign w:val="bottom"/>
            <w:gridSpan w:val="4"/>
          </w:tcPr>
          <w:p>
            <w:pPr>
              <w:jc w:val="right"/>
              <w:ind w:right="140"/>
              <w:spacing w:after="0" w:line="179" w:lineRule="exact"/>
              <w:rPr>
                <w:sz w:val="20"/>
                <w:szCs w:val="20"/>
                <w:color w:val="auto"/>
              </w:rPr>
            </w:pPr>
            <w:r>
              <w:rPr>
                <w:rFonts w:ascii="Times New Roman" w:cs="Times New Roman" w:eastAsia="Times New Roman" w:hAnsi="Times New Roman"/>
                <w:sz w:val="16"/>
                <w:szCs w:val="16"/>
                <w:color w:val="auto"/>
              </w:rPr>
              <w:t>Healthcarc</w:t>
            </w:r>
          </w:p>
        </w:tc>
        <w:tc>
          <w:tcPr>
            <w:tcW w:w="1060" w:type="dxa"/>
            <w:vAlign w:val="bottom"/>
            <w:gridSpan w:val="6"/>
          </w:tcPr>
          <w:p>
            <w:pPr>
              <w:jc w:val="center"/>
              <w:ind w:right="140"/>
              <w:spacing w:after="0" w:line="179" w:lineRule="exact"/>
              <w:rPr>
                <w:sz w:val="20"/>
                <w:szCs w:val="20"/>
                <w:color w:val="auto"/>
              </w:rPr>
            </w:pPr>
            <w:r>
              <w:rPr>
                <w:rFonts w:ascii="Times New Roman" w:cs="Times New Roman" w:eastAsia="Times New Roman" w:hAnsi="Times New Roman"/>
                <w:sz w:val="16"/>
                <w:szCs w:val="16"/>
                <w:color w:val="auto"/>
              </w:rPr>
              <w:t>Automotive</w:t>
            </w:r>
          </w:p>
        </w:tc>
        <w:tc>
          <w:tcPr>
            <w:tcW w:w="1020" w:type="dxa"/>
            <w:vAlign w:val="bottom"/>
            <w:gridSpan w:val="3"/>
          </w:tcPr>
          <w:p>
            <w:pPr>
              <w:jc w:val="center"/>
              <w:ind w:right="180"/>
              <w:spacing w:after="0" w:line="179" w:lineRule="exact"/>
              <w:rPr>
                <w:sz w:val="20"/>
                <w:szCs w:val="20"/>
                <w:color w:val="auto"/>
              </w:rPr>
            </w:pPr>
            <w:r>
              <w:rPr>
                <w:rFonts w:ascii="Times New Roman" w:cs="Times New Roman" w:eastAsia="Times New Roman" w:hAnsi="Times New Roman"/>
                <w:sz w:val="16"/>
                <w:szCs w:val="16"/>
                <w:color w:val="auto"/>
              </w:rPr>
              <w:t>Businesses</w:t>
            </w:r>
          </w:p>
        </w:tc>
        <w:tc>
          <w:tcPr>
            <w:tcW w:w="960" w:type="dxa"/>
            <w:vAlign w:val="bottom"/>
            <w:gridSpan w:val="2"/>
          </w:tcPr>
          <w:p>
            <w:pPr>
              <w:jc w:val="right"/>
              <w:ind w:right="340"/>
              <w:spacing w:after="0" w:line="179" w:lineRule="exact"/>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r>
        <w:trPr>
          <w:trHeight w:val="42"/>
        </w:trPr>
        <w:tc>
          <w:tcPr>
            <w:tcW w:w="980" w:type="dxa"/>
            <w:vAlign w:val="bottom"/>
            <w:tcBorders>
              <w:bottom w:val="single" w:sz="8" w:color="403C3C"/>
            </w:tcBorders>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403C3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8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40" w:type="dxa"/>
            <w:vAlign w:val="bottom"/>
            <w:tcBorders>
              <w:bottom w:val="single" w:sz="8" w:color="403C3C"/>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4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403C3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9"/>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As of</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December 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2022</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Goodwill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$ 1, 145,502</w:t>
            </w:r>
          </w:p>
        </w:tc>
        <w:tc>
          <w:tcPr>
            <w:tcW w:w="1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$190,815</w:t>
            </w:r>
          </w:p>
        </w:tc>
        <w:tc>
          <w:tcPr>
            <w:tcW w:w="8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$234,993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w w:val="99"/>
              </w:rPr>
              <w:t>$ 135,870</w:t>
            </w:r>
          </w:p>
        </w:tc>
        <w:tc>
          <w:tcPr>
            <w:tcW w:w="12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84,697</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25 1,2 16</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$2,043,093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Accumulated</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impairment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losses .....</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(331, 151)</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6"/>
          </w:tcPr>
          <w:p>
            <w:pPr>
              <w:jc w:val="right"/>
              <w:ind w:right="100"/>
              <w:spacing w:after="0"/>
              <w:rPr>
                <w:sz w:val="20"/>
                <w:szCs w:val="20"/>
                <w:color w:val="auto"/>
              </w:rPr>
            </w:pPr>
            <w:r>
              <w:rPr>
                <w:rFonts w:ascii="Times New Roman" w:cs="Times New Roman" w:eastAsia="Times New Roman" w:hAnsi="Times New Roman"/>
                <w:sz w:val="19"/>
                <w:szCs w:val="19"/>
                <w:color w:val="auto"/>
              </w:rPr>
              <w:t>(34,302)</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(116,687)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(482,140)</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gridSpan w:val="3"/>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gridSpan w:val="3"/>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3"/>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814,351</w:t>
            </w:r>
          </w:p>
        </w:tc>
        <w:tc>
          <w:tcPr>
            <w:tcW w:w="1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190,815</w:t>
            </w:r>
          </w:p>
        </w:tc>
        <w:tc>
          <w:tcPr>
            <w:tcW w:w="80" w:type="dxa"/>
            <w:vAlign w:val="bottom"/>
          </w:tcPr>
          <w:p>
            <w:pPr>
              <w:spacing w:after="0"/>
              <w:rPr>
                <w:sz w:val="23"/>
                <w:szCs w:val="23"/>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200,691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135,870</w:t>
            </w: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gridSpan w:val="4"/>
          </w:tcPr>
          <w:p>
            <w:pPr>
              <w:jc w:val="center"/>
              <w:spacing w:after="0"/>
              <w:rPr>
                <w:sz w:val="20"/>
                <w:szCs w:val="20"/>
                <w:color w:val="auto"/>
              </w:rPr>
            </w:pPr>
            <w:r>
              <w:rPr>
                <w:rFonts w:ascii="Times New Roman" w:cs="Times New Roman" w:eastAsia="Times New Roman" w:hAnsi="Times New Roman"/>
                <w:sz w:val="19"/>
                <w:szCs w:val="19"/>
                <w:color w:val="auto"/>
              </w:rPr>
              <w:t>84,697</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jc w:val="center"/>
              <w:ind w:right="7"/>
              <w:spacing w:after="0"/>
              <w:rPr>
                <w:sz w:val="20"/>
                <w:szCs w:val="20"/>
                <w:color w:val="auto"/>
              </w:rPr>
            </w:pPr>
            <w:r>
              <w:rPr>
                <w:rFonts w:ascii="Times New Roman" w:cs="Times New Roman" w:eastAsia="Times New Roman" w:hAnsi="Times New Roman"/>
                <w:sz w:val="19"/>
                <w:szCs w:val="19"/>
                <w:color w:val="auto"/>
              </w:rPr>
              <w:t>134,529</w:t>
            </w:r>
          </w:p>
        </w:tc>
        <w:tc>
          <w:tcPr>
            <w:tcW w:w="180" w:type="dxa"/>
            <w:vAlign w:val="bottom"/>
          </w:tcPr>
          <w:p>
            <w:pPr>
              <w:spacing w:after="0"/>
              <w:rPr>
                <w:sz w:val="23"/>
                <w:szCs w:val="23"/>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1,560,953</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Measurement</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0C0808"/>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100C0C"/>
            </w:tcBorders>
          </w:tcPr>
          <w:p>
            <w:pPr>
              <w:spacing w:after="0"/>
              <w:rPr>
                <w:sz w:val="3"/>
                <w:szCs w:val="3"/>
                <w:color w:val="auto"/>
              </w:rPr>
            </w:pPr>
          </w:p>
        </w:tc>
        <w:tc>
          <w:tcPr>
            <w:tcW w:w="20" w:type="dxa"/>
            <w:vAlign w:val="bottom"/>
            <w:tcBorders>
              <w:bottom w:val="single" w:sz="8" w:color="100C0C"/>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7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period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adjus tment .....</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(2,217)</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(2,217)</w:t>
            </w:r>
          </w:p>
        </w:tc>
        <w:tc>
          <w:tcPr>
            <w:tcW w:w="0" w:type="dxa"/>
            <w:vAlign w:val="bottom"/>
          </w:tcPr>
          <w:p>
            <w:pPr>
              <w:spacing w:after="0"/>
              <w:rPr>
                <w:sz w:val="1"/>
                <w:szCs w:val="1"/>
                <w:color w:val="auto"/>
              </w:rPr>
            </w:pPr>
          </w:p>
        </w:tc>
      </w:tr>
      <w:tr>
        <w:trPr>
          <w:trHeight w:val="263"/>
        </w:trPr>
        <w:tc>
          <w:tcPr>
            <w:tcW w:w="1700" w:type="dxa"/>
            <w:vAlign w:val="bottom"/>
            <w:gridSpan w:val="2"/>
          </w:tcPr>
          <w:p>
            <w:pPr>
              <w:spacing w:after="0" w:line="263" w:lineRule="exact"/>
              <w:rPr>
                <w:sz w:val="20"/>
                <w:szCs w:val="20"/>
                <w:color w:val="auto"/>
              </w:rPr>
            </w:pPr>
            <w:r>
              <w:rPr>
                <w:rFonts w:ascii="Times New Roman" w:cs="Times New Roman" w:eastAsia="Times New Roman" w:hAnsi="Times New Roman"/>
                <w:sz w:val="19"/>
                <w:szCs w:val="19"/>
                <w:color w:val="auto"/>
              </w:rPr>
              <w:t xml:space="preserve">Acqui sitions  </w:t>
            </w:r>
            <w:r>
              <w:rPr>
                <w:rFonts w:ascii="Arial" w:cs="Arial" w:eastAsia="Arial" w:hAnsi="Arial"/>
                <w:sz w:val="23"/>
                <w:szCs w:val="23"/>
                <w:color w:val="auto"/>
              </w:rPr>
              <w:t>.....</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1,385</w:t>
            </w:r>
          </w:p>
        </w:tc>
        <w:tc>
          <w:tcPr>
            <w:tcW w:w="120" w:type="dxa"/>
            <w:vAlign w:val="bottom"/>
          </w:tcPr>
          <w:p>
            <w:pPr>
              <w:spacing w:after="0"/>
              <w:rPr>
                <w:sz w:val="22"/>
                <w:szCs w:val="22"/>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44,583</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45,968</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Impairment  ..... .</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6"/>
          </w:tcPr>
          <w:p>
            <w:pPr>
              <w:jc w:val="right"/>
              <w:ind w:right="100"/>
              <w:spacing w:after="0"/>
              <w:rPr>
                <w:sz w:val="20"/>
                <w:szCs w:val="20"/>
                <w:color w:val="auto"/>
              </w:rPr>
            </w:pPr>
            <w:r>
              <w:rPr>
                <w:rFonts w:ascii="Times New Roman" w:cs="Times New Roman" w:eastAsia="Times New Roman" w:hAnsi="Times New Roman"/>
                <w:sz w:val="19"/>
                <w:szCs w:val="19"/>
                <w:color w:val="auto"/>
              </w:rPr>
              <w:t>(47,760)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(50,239)</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(97,999)</w:t>
            </w:r>
          </w:p>
        </w:tc>
        <w:tc>
          <w:tcPr>
            <w:tcW w:w="0" w:type="dxa"/>
            <w:vAlign w:val="bottom"/>
          </w:tcPr>
          <w:p>
            <w:pPr>
              <w:spacing w:after="0"/>
              <w:rPr>
                <w:sz w:val="1"/>
                <w:szCs w:val="1"/>
                <w:color w:val="auto"/>
              </w:rPr>
            </w:pP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Foreig n curTency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exchange rate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changes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18,489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18,489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As of</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170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December 3 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2023</w:t>
            </w: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Goodwill</w:t>
            </w: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w w:val="94"/>
              </w:rPr>
              <w:t>1, 163,991</w:t>
            </w:r>
          </w:p>
        </w:tc>
        <w:tc>
          <w:tcPr>
            <w:tcW w:w="120" w:type="dxa"/>
            <w:vAlign w:val="bottom"/>
          </w:tcPr>
          <w:p>
            <w:pPr>
              <w:spacing w:after="0"/>
              <w:rPr>
                <w:sz w:val="20"/>
                <w:szCs w:val="20"/>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190,815</w:t>
            </w:r>
          </w:p>
        </w:tc>
        <w:tc>
          <w:tcPr>
            <w:tcW w:w="80" w:type="dxa"/>
            <w:vAlign w:val="bottom"/>
          </w:tcPr>
          <w:p>
            <w:pPr>
              <w:spacing w:after="0"/>
              <w:rPr>
                <w:sz w:val="20"/>
                <w:szCs w:val="20"/>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234,993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135,038</w:t>
            </w:r>
          </w:p>
        </w:tc>
        <w:tc>
          <w:tcPr>
            <w:tcW w:w="120" w:type="dxa"/>
            <w:vAlign w:val="bottom"/>
          </w:tcPr>
          <w:p>
            <w:pPr>
              <w:spacing w:after="0"/>
              <w:rPr>
                <w:sz w:val="20"/>
                <w:szCs w:val="20"/>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129,280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251 ,2 16</w:t>
            </w:r>
          </w:p>
        </w:tc>
        <w:tc>
          <w:tcPr>
            <w:tcW w:w="18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2, 105,333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Accumulated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impairment</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700" w:type="dxa"/>
            <w:vAlign w:val="bottom"/>
            <w:gridSpan w:val="2"/>
          </w:tcPr>
          <w:p>
            <w:pPr>
              <w:ind w:left="620"/>
              <w:spacing w:after="0"/>
              <w:rPr>
                <w:sz w:val="20"/>
                <w:szCs w:val="20"/>
                <w:color w:val="auto"/>
              </w:rPr>
            </w:pPr>
            <w:r>
              <w:rPr>
                <w:rFonts w:ascii="Times New Roman" w:cs="Times New Roman" w:eastAsia="Times New Roman" w:hAnsi="Times New Roman"/>
                <w:sz w:val="19"/>
                <w:szCs w:val="19"/>
                <w:color w:val="auto"/>
              </w:rPr>
              <w:t>losses .....</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(331' 151)</w:t>
            </w: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40" w:type="dxa"/>
            <w:vAlign w:val="bottom"/>
            <w:gridSpan w:val="6"/>
          </w:tcPr>
          <w:p>
            <w:pPr>
              <w:jc w:val="right"/>
              <w:ind w:right="100"/>
              <w:spacing w:after="0"/>
              <w:rPr>
                <w:sz w:val="20"/>
                <w:szCs w:val="20"/>
                <w:color w:val="auto"/>
              </w:rPr>
            </w:pPr>
            <w:r>
              <w:rPr>
                <w:rFonts w:ascii="Times New Roman" w:cs="Times New Roman" w:eastAsia="Times New Roman" w:hAnsi="Times New Roman"/>
                <w:sz w:val="19"/>
                <w:szCs w:val="19"/>
                <w:color w:val="auto"/>
              </w:rPr>
              <w:t>(82,062)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(166,926)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(580,139)</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900" w:type="dxa"/>
            <w:vAlign w:val="bottom"/>
            <w:tcBorders>
              <w:bottom w:val="single" w:sz="8" w:color="0C0808"/>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gridSpan w:val="3"/>
          </w:tcPr>
          <w:p>
            <w:pPr>
              <w:spacing w:after="0"/>
              <w:rPr>
                <w:sz w:val="2"/>
                <w:szCs w:val="2"/>
                <w:color w:val="auto"/>
              </w:rPr>
            </w:pPr>
          </w:p>
        </w:tc>
        <w:tc>
          <w:tcPr>
            <w:tcW w:w="760" w:type="dxa"/>
            <w:vAlign w:val="bottom"/>
            <w:tcBorders>
              <w:bottom w:val="single" w:sz="8" w:color="0C080C"/>
            </w:tcBorders>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740" w:type="dxa"/>
            <w:vAlign w:val="bottom"/>
            <w:tcBorders>
              <w:bottom w:val="single" w:sz="8" w:color="100C0C"/>
            </w:tcBorders>
          </w:tcPr>
          <w:p>
            <w:pPr>
              <w:spacing w:after="0"/>
              <w:rPr>
                <w:sz w:val="2"/>
                <w:szCs w:val="2"/>
                <w:color w:val="auto"/>
              </w:rPr>
            </w:pPr>
          </w:p>
        </w:tc>
        <w:tc>
          <w:tcPr>
            <w:tcW w:w="20" w:type="dxa"/>
            <w:vAlign w:val="bottom"/>
            <w:tcBorders>
              <w:bottom w:val="single" w:sz="8" w:color="100C0C"/>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 w:type="dxa"/>
            <w:vAlign w:val="bottom"/>
            <w:gridSpan w:val="2"/>
          </w:tcPr>
          <w:p>
            <w:pPr>
              <w:spacing w:after="0"/>
              <w:rPr>
                <w:sz w:val="2"/>
                <w:szCs w:val="2"/>
                <w:color w:val="auto"/>
              </w:rPr>
            </w:pPr>
          </w:p>
        </w:tc>
        <w:tc>
          <w:tcPr>
            <w:tcW w:w="740" w:type="dxa"/>
            <w:vAlign w:val="bottom"/>
            <w:tcBorders>
              <w:bottom w:val="single" w:sz="8" w:color="0C080C"/>
            </w:tcBorders>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3"/>
          </w:tcPr>
          <w:p>
            <w:pPr>
              <w:spacing w:after="0"/>
              <w:rPr>
                <w:sz w:val="2"/>
                <w:szCs w:val="2"/>
                <w:color w:val="auto"/>
              </w:rPr>
            </w:pPr>
          </w:p>
        </w:tc>
        <w:tc>
          <w:tcPr>
            <w:tcW w:w="740" w:type="dxa"/>
            <w:vAlign w:val="bottom"/>
            <w:tcBorders>
              <w:bottom w:val="single" w:sz="8" w:color="0C0808"/>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C080C"/>
            </w:tcBorders>
          </w:tcPr>
          <w:p>
            <w:pPr>
              <w:spacing w:after="0"/>
              <w:rPr>
                <w:sz w:val="2"/>
                <w:szCs w:val="2"/>
                <w:color w:val="auto"/>
              </w:rPr>
            </w:pPr>
          </w:p>
        </w:tc>
        <w:tc>
          <w:tcPr>
            <w:tcW w:w="740" w:type="dxa"/>
            <w:vAlign w:val="bottom"/>
            <w:tcBorders>
              <w:bottom w:val="single" w:sz="8" w:color="0C080C"/>
            </w:tcBorders>
          </w:tcPr>
          <w:p>
            <w:pPr>
              <w:spacing w:after="0"/>
              <w:rPr>
                <w:sz w:val="2"/>
                <w:szCs w:val="2"/>
                <w:color w:val="auto"/>
              </w:rPr>
            </w:pPr>
          </w:p>
        </w:tc>
        <w:tc>
          <w:tcPr>
            <w:tcW w:w="180" w:type="dxa"/>
            <w:vAlign w:val="bottom"/>
          </w:tcPr>
          <w:p>
            <w:pPr>
              <w:spacing w:after="0"/>
              <w:rPr>
                <w:sz w:val="2"/>
                <w:szCs w:val="2"/>
                <w:color w:val="auto"/>
              </w:rPr>
            </w:pPr>
          </w:p>
        </w:tc>
        <w:tc>
          <w:tcPr>
            <w:tcW w:w="900" w:type="dxa"/>
            <w:vAlign w:val="bottom"/>
            <w:tcBorders>
              <w:bottom w:val="single" w:sz="8" w:color="0C080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20" w:type="dxa"/>
            <w:vAlign w:val="bottom"/>
            <w:gridSpan w:val="3"/>
          </w:tcPr>
          <w:p>
            <w:pPr>
              <w:ind w:left="240"/>
              <w:spacing w:after="0"/>
              <w:rPr>
                <w:sz w:val="20"/>
                <w:szCs w:val="20"/>
                <w:color w:val="auto"/>
              </w:rPr>
            </w:pPr>
            <w:r>
              <w:rPr>
                <w:rFonts w:ascii="Times New Roman" w:cs="Times New Roman" w:eastAsia="Times New Roman" w:hAnsi="Times New Roman"/>
                <w:sz w:val="19"/>
                <w:szCs w:val="19"/>
                <w:color w:val="auto"/>
              </w:rPr>
              <w:t>832,840</w:t>
            </w:r>
          </w:p>
        </w:tc>
        <w:tc>
          <w:tcPr>
            <w:tcW w:w="120" w:type="dxa"/>
            <w:vAlign w:val="bottom"/>
          </w:tcPr>
          <w:p>
            <w:pPr>
              <w:spacing w:after="0"/>
              <w:rPr>
                <w:sz w:val="22"/>
                <w:szCs w:val="22"/>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190,815</w:t>
            </w:r>
          </w:p>
        </w:tc>
        <w:tc>
          <w:tcPr>
            <w:tcW w:w="80" w:type="dxa"/>
            <w:vAlign w:val="bottom"/>
          </w:tcPr>
          <w:p>
            <w:pPr>
              <w:spacing w:after="0"/>
              <w:rPr>
                <w:sz w:val="22"/>
                <w:szCs w:val="22"/>
                <w:color w:val="auto"/>
              </w:rPr>
            </w:pPr>
          </w:p>
        </w:tc>
        <w:tc>
          <w:tcPr>
            <w:tcW w:w="108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152,931</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135,038</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4"/>
          </w:tcPr>
          <w:p>
            <w:pPr>
              <w:jc w:val="center"/>
              <w:ind w:left="28"/>
              <w:spacing w:after="0"/>
              <w:rPr>
                <w:sz w:val="20"/>
                <w:szCs w:val="20"/>
                <w:color w:val="auto"/>
              </w:rPr>
            </w:pPr>
            <w:r>
              <w:rPr>
                <w:rFonts w:ascii="Times New Roman" w:cs="Times New Roman" w:eastAsia="Times New Roman" w:hAnsi="Times New Roman"/>
                <w:sz w:val="19"/>
                <w:szCs w:val="19"/>
                <w:color w:val="auto"/>
              </w:rPr>
              <w:t>129,280</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jc w:val="center"/>
              <w:ind w:right="27"/>
              <w:spacing w:after="0"/>
              <w:rPr>
                <w:sz w:val="20"/>
                <w:szCs w:val="20"/>
                <w:color w:val="auto"/>
              </w:rPr>
            </w:pPr>
            <w:r>
              <w:rPr>
                <w:rFonts w:ascii="Times New Roman" w:cs="Times New Roman" w:eastAsia="Times New Roman" w:hAnsi="Times New Roman"/>
                <w:sz w:val="19"/>
                <w:szCs w:val="19"/>
                <w:color w:val="auto"/>
              </w:rPr>
              <w:t>84,290</w:t>
            </w:r>
          </w:p>
        </w:tc>
        <w:tc>
          <w:tcPr>
            <w:tcW w:w="180" w:type="dxa"/>
            <w:vAlign w:val="bottom"/>
          </w:tcPr>
          <w:p>
            <w:pPr>
              <w:spacing w:after="0"/>
              <w:rPr>
                <w:sz w:val="22"/>
                <w:szCs w:val="22"/>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1,525,194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1700" w:type="dxa"/>
            <w:vAlign w:val="bottom"/>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900" w:type="dxa"/>
            <w:vAlign w:val="bottom"/>
            <w:tcBorders>
              <w:bottom w:val="single" w:sz="8" w:color="0C0808"/>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100C0C"/>
            </w:tcBorders>
          </w:tcPr>
          <w:p>
            <w:pPr>
              <w:spacing w:after="0"/>
              <w:rPr>
                <w:sz w:val="3"/>
                <w:szCs w:val="3"/>
                <w:color w:val="auto"/>
              </w:rPr>
            </w:pPr>
          </w:p>
        </w:tc>
        <w:tc>
          <w:tcPr>
            <w:tcW w:w="20" w:type="dxa"/>
            <w:vAlign w:val="bottom"/>
            <w:tcBorders>
              <w:bottom w:val="single" w:sz="8" w:color="100C0C"/>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Acquisitions</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4,300</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4,300</w:t>
            </w:r>
          </w:p>
        </w:tc>
        <w:tc>
          <w:tcPr>
            <w:tcW w:w="0" w:type="dxa"/>
            <w:vAlign w:val="bottom"/>
          </w:tcPr>
          <w:p>
            <w:pPr>
              <w:spacing w:after="0"/>
              <w:rPr>
                <w:sz w:val="1"/>
                <w:szCs w:val="1"/>
                <w:color w:val="auto"/>
              </w:rPr>
            </w:pPr>
          </w:p>
        </w:tc>
      </w:tr>
      <w:tr>
        <w:trPr>
          <w:trHeight w:val="248"/>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Impairment</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9"/>
                <w:szCs w:val="19"/>
                <w:color w:val="auto"/>
              </w:rPr>
              <w:t>(7,502)</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(7,502)</w:t>
            </w:r>
          </w:p>
        </w:tc>
        <w:tc>
          <w:tcPr>
            <w:tcW w:w="0" w:type="dxa"/>
            <w:vAlign w:val="bottom"/>
          </w:tcPr>
          <w:p>
            <w:pPr>
              <w:spacing w:after="0"/>
              <w:rPr>
                <w:sz w:val="1"/>
                <w:szCs w:val="1"/>
                <w:color w:val="auto"/>
              </w:rPr>
            </w:pP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Dispositions</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(1,684)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(1,684)</w:t>
            </w:r>
          </w:p>
        </w:tc>
        <w:tc>
          <w:tcPr>
            <w:tcW w:w="0" w:type="dxa"/>
            <w:vAlign w:val="bottom"/>
          </w:tcPr>
          <w:p>
            <w:pPr>
              <w:spacing w:after="0"/>
              <w:rPr>
                <w:sz w:val="1"/>
                <w:szCs w:val="1"/>
                <w:color w:val="auto"/>
              </w:rPr>
            </w:pPr>
          </w:p>
        </w:tc>
      </w:tr>
      <w:tr>
        <w:trPr>
          <w:trHeight w:val="238"/>
        </w:trPr>
        <w:tc>
          <w:tcPr>
            <w:tcW w:w="17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F oreign currency</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exch an ge rate</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changes .......</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(20,272)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(20,272)</w:t>
            </w:r>
          </w:p>
        </w:tc>
        <w:tc>
          <w:tcPr>
            <w:tcW w:w="0" w:type="dxa"/>
            <w:vAlign w:val="bottom"/>
          </w:tcPr>
          <w:p>
            <w:pPr>
              <w:spacing w:after="0"/>
              <w:rPr>
                <w:sz w:val="1"/>
                <w:szCs w:val="1"/>
                <w:color w:val="auto"/>
              </w:rPr>
            </w:pPr>
          </w:p>
        </w:tc>
      </w:tr>
      <w:tr>
        <w:trPr>
          <w:trHeight w:val="36"/>
        </w:trPr>
        <w:tc>
          <w:tcPr>
            <w:tcW w:w="170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As of</w:t>
            </w: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900" w:type="dxa"/>
            <w:vAlign w:val="bottom"/>
            <w:tcBorders>
              <w:bottom w:val="single" w:sz="8" w:color="0C0808"/>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100C0C"/>
            </w:tcBorders>
          </w:tcPr>
          <w:p>
            <w:pPr>
              <w:spacing w:after="0"/>
              <w:rPr>
                <w:sz w:val="3"/>
                <w:szCs w:val="3"/>
                <w:color w:val="auto"/>
              </w:rPr>
            </w:pPr>
          </w:p>
        </w:tc>
        <w:tc>
          <w:tcPr>
            <w:tcW w:w="20" w:type="dxa"/>
            <w:vAlign w:val="bottom"/>
            <w:tcBorders>
              <w:bottom w:val="single" w:sz="8" w:color="100C0C"/>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C0C"/>
            </w:tcBorders>
          </w:tcPr>
          <w:p>
            <w:pPr>
              <w:spacing w:after="0"/>
              <w:rPr>
                <w:sz w:val="3"/>
                <w:szCs w:val="3"/>
                <w:color w:val="auto"/>
              </w:rPr>
            </w:pPr>
          </w:p>
        </w:tc>
        <w:tc>
          <w:tcPr>
            <w:tcW w:w="20" w:type="dxa"/>
            <w:vAlign w:val="bottom"/>
            <w:tcBorders>
              <w:bottom w:val="single" w:sz="8" w:color="0C0C0C"/>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C0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C0C"/>
            </w:tcBorders>
          </w:tcPr>
          <w:p>
            <w:pPr>
              <w:spacing w:after="0"/>
              <w:rPr>
                <w:sz w:val="3"/>
                <w:szCs w:val="3"/>
                <w:color w:val="auto"/>
              </w:rPr>
            </w:pPr>
          </w:p>
        </w:tc>
        <w:tc>
          <w:tcPr>
            <w:tcW w:w="740" w:type="dxa"/>
            <w:vAlign w:val="bottom"/>
            <w:tcBorders>
              <w:bottom w:val="single" w:sz="8" w:color="0C0C0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0C0C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170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200"/>
              <w:spacing w:after="0"/>
              <w:rPr>
                <w:sz w:val="20"/>
                <w:szCs w:val="20"/>
                <w:color w:val="auto"/>
              </w:rPr>
            </w:pPr>
            <w:r>
              <w:rPr>
                <w:rFonts w:ascii="Times New Roman" w:cs="Times New Roman" w:eastAsia="Times New Roman" w:hAnsi="Times New Roman"/>
                <w:sz w:val="19"/>
                <w:szCs w:val="19"/>
                <w:color w:val="auto"/>
              </w:rPr>
              <w:t>December 31,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9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2024</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Goodwill . . . .</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1,146,335</w:t>
            </w:r>
          </w:p>
        </w:tc>
        <w:tc>
          <w:tcPr>
            <w:tcW w:w="120" w:type="dxa"/>
            <w:vAlign w:val="bottom"/>
          </w:tcPr>
          <w:p>
            <w:pPr>
              <w:spacing w:after="0"/>
              <w:rPr>
                <w:sz w:val="21"/>
                <w:szCs w:val="21"/>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190,815</w:t>
            </w:r>
          </w:p>
        </w:tc>
        <w:tc>
          <w:tcPr>
            <w:tcW w:w="80" w:type="dxa"/>
            <w:vAlign w:val="bottom"/>
          </w:tcPr>
          <w:p>
            <w:pPr>
              <w:spacing w:after="0"/>
              <w:rPr>
                <w:sz w:val="21"/>
                <w:szCs w:val="21"/>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234,993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135,038</w:t>
            </w:r>
          </w:p>
        </w:tc>
        <w:tc>
          <w:tcPr>
            <w:tcW w:w="120" w:type="dxa"/>
            <w:vAlign w:val="bottom"/>
          </w:tcPr>
          <w:p>
            <w:pPr>
              <w:spacing w:after="0"/>
              <w:rPr>
                <w:sz w:val="21"/>
                <w:szCs w:val="21"/>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129,280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251,216</w:t>
            </w:r>
          </w:p>
        </w:tc>
        <w:tc>
          <w:tcPr>
            <w:tcW w:w="1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2,087,677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Accumulated</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impairment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170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losses .....</w:t>
            </w:r>
          </w:p>
        </w:tc>
        <w:tc>
          <w:tcPr>
            <w:tcW w:w="1140" w:type="dxa"/>
            <w:vAlign w:val="bottom"/>
            <w:gridSpan w:val="4"/>
          </w:tcPr>
          <w:p>
            <w:pPr>
              <w:jc w:val="right"/>
              <w:ind w:right="80"/>
              <w:spacing w:after="0"/>
              <w:rPr>
                <w:sz w:val="20"/>
                <w:szCs w:val="20"/>
                <w:color w:val="auto"/>
              </w:rPr>
            </w:pPr>
            <w:r>
              <w:rPr>
                <w:rFonts w:ascii="Times New Roman" w:cs="Times New Roman" w:eastAsia="Times New Roman" w:hAnsi="Times New Roman"/>
                <w:sz w:val="19"/>
                <w:szCs w:val="19"/>
                <w:color w:val="auto"/>
              </w:rPr>
              <w:t>(331,151)</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6"/>
          </w:tcPr>
          <w:p>
            <w:pPr>
              <w:jc w:val="right"/>
              <w:ind w:right="100"/>
              <w:spacing w:after="0"/>
              <w:rPr>
                <w:sz w:val="20"/>
                <w:szCs w:val="20"/>
                <w:color w:val="auto"/>
              </w:rPr>
            </w:pPr>
            <w:r>
              <w:rPr>
                <w:rFonts w:ascii="Times New Roman" w:cs="Times New Roman" w:eastAsia="Times New Roman" w:hAnsi="Times New Roman"/>
                <w:sz w:val="19"/>
                <w:szCs w:val="19"/>
                <w:color w:val="auto"/>
              </w:rPr>
              <w:t>(82,062)</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(174,428)</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(587,641)</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gridSpan w:val="3"/>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gridSpan w:val="3"/>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gridSpan w:val="2"/>
          </w:tcPr>
          <w:p>
            <w:pPr>
              <w:spacing w:after="0"/>
              <w:rPr>
                <w:sz w:val="3"/>
                <w:szCs w:val="3"/>
                <w:color w:val="auto"/>
              </w:rPr>
            </w:pPr>
          </w:p>
        </w:tc>
        <w:tc>
          <w:tcPr>
            <w:tcW w:w="760" w:type="dxa"/>
            <w:vAlign w:val="bottom"/>
            <w:tcBorders>
              <w:bottom w:val="single" w:sz="8" w:color="504C4C"/>
            </w:tcBorders>
            <w:gridSpan w:val="2"/>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gridSpan w:val="3"/>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9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xml:space="preserve">$  </w:t>
            </w:r>
            <w:r>
              <w:rPr>
                <w:rFonts w:ascii="Times New Roman" w:cs="Times New Roman" w:eastAsia="Times New Roman" w:hAnsi="Times New Roman"/>
                <w:sz w:val="18"/>
                <w:szCs w:val="18"/>
                <w:color w:val="auto"/>
              </w:rPr>
              <w:t>815,184</w:t>
            </w:r>
          </w:p>
        </w:tc>
        <w:tc>
          <w:tcPr>
            <w:tcW w:w="120" w:type="dxa"/>
            <w:vAlign w:val="bottom"/>
          </w:tcPr>
          <w:p>
            <w:pPr>
              <w:spacing w:after="0"/>
              <w:rPr>
                <w:sz w:val="23"/>
                <w:szCs w:val="23"/>
                <w:color w:val="auto"/>
              </w:rPr>
            </w:pPr>
          </w:p>
        </w:tc>
        <w:tc>
          <w:tcPr>
            <w:tcW w:w="9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$190,815</w:t>
            </w:r>
          </w:p>
        </w:tc>
        <w:tc>
          <w:tcPr>
            <w:tcW w:w="80" w:type="dxa"/>
            <w:vAlign w:val="bottom"/>
          </w:tcPr>
          <w:p>
            <w:pPr>
              <w:spacing w:after="0"/>
              <w:rPr>
                <w:sz w:val="23"/>
                <w:szCs w:val="23"/>
                <w:color w:val="auto"/>
              </w:rPr>
            </w:pPr>
          </w:p>
        </w:tc>
        <w:tc>
          <w:tcPr>
            <w:tcW w:w="10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$ 152,931</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0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$135,038</w:t>
            </w:r>
          </w:p>
        </w:tc>
        <w:tc>
          <w:tcPr>
            <w:tcW w:w="120" w:type="dxa"/>
            <w:vAlign w:val="bottom"/>
          </w:tcPr>
          <w:p>
            <w:pPr>
              <w:spacing w:after="0"/>
              <w:rPr>
                <w:sz w:val="23"/>
                <w:szCs w:val="23"/>
                <w:color w:val="auto"/>
              </w:rPr>
            </w:pPr>
          </w:p>
        </w:tc>
        <w:tc>
          <w:tcPr>
            <w:tcW w:w="88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$129,280</w:t>
            </w:r>
          </w:p>
        </w:tc>
        <w:tc>
          <w:tcPr>
            <w:tcW w:w="18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76,788</w:t>
            </w:r>
          </w:p>
        </w:tc>
        <w:tc>
          <w:tcPr>
            <w:tcW w:w="180" w:type="dxa"/>
            <w:vAlign w:val="bottom"/>
          </w:tcPr>
          <w:p>
            <w:pPr>
              <w:spacing w:after="0"/>
              <w:rPr>
                <w:sz w:val="23"/>
                <w:szCs w:val="23"/>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$1,500,036</w:t>
            </w:r>
          </w:p>
        </w:tc>
        <w:tc>
          <w:tcPr>
            <w:tcW w:w="0" w:type="dxa"/>
            <w:vAlign w:val="bottom"/>
          </w:tcPr>
          <w:p>
            <w:pPr>
              <w:spacing w:after="0"/>
              <w:rPr>
                <w:sz w:val="1"/>
                <w:szCs w:val="1"/>
                <w:color w:val="auto"/>
              </w:rPr>
            </w:pPr>
          </w:p>
        </w:tc>
      </w:tr>
      <w:tr>
        <w:trPr>
          <w:trHeight w:val="36"/>
        </w:trPr>
        <w:tc>
          <w:tcPr>
            <w:tcW w:w="9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900" w:type="dxa"/>
            <w:vAlign w:val="bottom"/>
            <w:tcBorders>
              <w:bottom w:val="single" w:sz="8" w:color="0C0808"/>
            </w:tcBorders>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100C0C"/>
            </w:tcBorders>
          </w:tcPr>
          <w:p>
            <w:pPr>
              <w:spacing w:after="0"/>
              <w:rPr>
                <w:sz w:val="3"/>
                <w:szCs w:val="3"/>
                <w:color w:val="auto"/>
              </w:rPr>
            </w:pPr>
          </w:p>
        </w:tc>
        <w:tc>
          <w:tcPr>
            <w:tcW w:w="740" w:type="dxa"/>
            <w:vAlign w:val="bottom"/>
            <w:tcBorders>
              <w:bottom w:val="single" w:sz="8" w:color="100C0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74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115</w:t>
      </w:r>
    </w:p>
    <w:p>
      <w:pPr>
        <w:sectPr>
          <w:pgSz w:w="12240" w:h="15850" w:orient="portrait"/>
          <w:cols w:equalWidth="0" w:num="1">
            <w:col w:w="9365"/>
          </w:cols>
          <w:pgMar w:left="1440" w:top="1385" w:right="1440" w:bottom="721" w:gutter="0" w:footer="0" w:header="0"/>
          <w:type w:val="continuous"/>
        </w:sectPr>
      </w:pPr>
    </w:p>
    <w:bookmarkStart w:id="131" w:name="page132"/>
    <w:bookmarkEnd w:id="131"/>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3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changes in carrying amount of goodwill at the Company's education division were as follows:</w:t>
      </w:r>
    </w:p>
    <w:p>
      <w:pPr>
        <w:spacing w:after="0" w:line="108"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(in thousands)</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Kaplan</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320"/>
              <w:spacing w:after="0"/>
              <w:rPr>
                <w:sz w:val="20"/>
                <w:szCs w:val="20"/>
                <w:color w:val="auto"/>
              </w:rPr>
            </w:pPr>
            <w:r>
              <w:rPr>
                <w:rFonts w:ascii="Times New Roman" w:cs="Times New Roman" w:eastAsia="Times New Roman" w:hAnsi="Times New Roman"/>
                <w:sz w:val="15"/>
                <w:szCs w:val="15"/>
                <w:color w:val="auto"/>
              </w:rPr>
              <w:t>Highe r</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S upplementa l</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20"/>
                <w:szCs w:val="20"/>
                <w:color w:val="auto"/>
              </w:rPr>
              <w:t>Total</w:t>
            </w:r>
          </w:p>
        </w:tc>
        <w:tc>
          <w:tcPr>
            <w:tcW w:w="0" w:type="dxa"/>
            <w:vAlign w:val="bottom"/>
          </w:tcPr>
          <w:p>
            <w:pPr>
              <w:spacing w:after="0"/>
              <w:rPr>
                <w:sz w:val="1"/>
                <w:szCs w:val="1"/>
                <w:color w:val="auto"/>
              </w:rPr>
            </w:pPr>
          </w:p>
        </w:tc>
      </w:tr>
      <w:tr>
        <w:trPr>
          <w:trHeight w:val="238"/>
        </w:trPr>
        <w:tc>
          <w:tcPr>
            <w:tcW w:w="4840" w:type="dxa"/>
            <w:vAlign w:val="bottom"/>
            <w:vMerge w:val="continue"/>
          </w:tcPr>
          <w:p>
            <w:pPr>
              <w:spacing w:after="0"/>
              <w:rPr>
                <w:sz w:val="20"/>
                <w:szCs w:val="20"/>
                <w:color w:val="auto"/>
              </w:rPr>
            </w:pPr>
          </w:p>
        </w:tc>
        <w:tc>
          <w:tcPr>
            <w:tcW w:w="1020" w:type="dxa"/>
            <w:vAlign w:val="bottom"/>
            <w:gridSpan w:val="5"/>
          </w:tcPr>
          <w:p>
            <w:pPr>
              <w:jc w:val="center"/>
              <w:ind w:left="22"/>
              <w:spacing w:after="0" w:line="224" w:lineRule="exact"/>
              <w:rPr>
                <w:sz w:val="20"/>
                <w:szCs w:val="20"/>
                <w:color w:val="auto"/>
              </w:rPr>
            </w:pPr>
            <w:r>
              <w:rPr>
                <w:rFonts w:ascii="Times New Roman" w:cs="Times New Roman" w:eastAsia="Times New Roman" w:hAnsi="Times New Roman"/>
                <w:sz w:val="20"/>
                <w:szCs w:val="20"/>
                <w:color w:val="auto"/>
                <w:w w:val="88"/>
              </w:rPr>
              <w:t>International</w:t>
            </w:r>
          </w:p>
        </w:tc>
        <w:tc>
          <w:tcPr>
            <w:tcW w:w="200" w:type="dxa"/>
            <w:vAlign w:val="bottom"/>
          </w:tcPr>
          <w:p>
            <w:pPr>
              <w:spacing w:after="0"/>
              <w:rPr>
                <w:sz w:val="20"/>
                <w:szCs w:val="20"/>
                <w:color w:val="auto"/>
              </w:rPr>
            </w:pPr>
          </w:p>
        </w:tc>
        <w:tc>
          <w:tcPr>
            <w:tcW w:w="960" w:type="dxa"/>
            <w:vAlign w:val="bottom"/>
            <w:gridSpan w:val="3"/>
          </w:tcPr>
          <w:p>
            <w:pPr>
              <w:jc w:val="right"/>
              <w:ind w:right="200"/>
              <w:spacing w:after="0" w:line="224" w:lineRule="exact"/>
              <w:rPr>
                <w:sz w:val="20"/>
                <w:szCs w:val="20"/>
                <w:color w:val="auto"/>
              </w:rPr>
            </w:pPr>
            <w:r>
              <w:rPr>
                <w:rFonts w:ascii="Times New Roman" w:cs="Times New Roman" w:eastAsia="Times New Roman" w:hAnsi="Times New Roman"/>
                <w:sz w:val="20"/>
                <w:szCs w:val="20"/>
                <w:color w:val="auto"/>
                <w:w w:val="91"/>
              </w:rPr>
              <w:t>Education</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00" w:type="dxa"/>
            <w:vAlign w:val="bottom"/>
            <w:gridSpan w:val="2"/>
          </w:tcPr>
          <w:p>
            <w:pPr>
              <w:jc w:val="right"/>
              <w:ind w:right="140"/>
              <w:spacing w:after="0" w:line="224" w:lineRule="exact"/>
              <w:rPr>
                <w:sz w:val="20"/>
                <w:szCs w:val="20"/>
                <w:color w:val="auto"/>
              </w:rPr>
            </w:pPr>
            <w:r>
              <w:rPr>
                <w:rFonts w:ascii="Times New Roman" w:cs="Times New Roman" w:eastAsia="Times New Roman" w:hAnsi="Times New Roman"/>
                <w:sz w:val="20"/>
                <w:szCs w:val="20"/>
                <w:color w:val="auto"/>
                <w:w w:val="91"/>
              </w:rPr>
              <w:t>Education</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As of December </w:t>
            </w:r>
            <w:r>
              <w:rPr>
                <w:rFonts w:ascii="Times New Roman" w:cs="Times New Roman" w:eastAsia="Times New Roman" w:hAnsi="Times New Roman"/>
                <w:sz w:val="19"/>
                <w:szCs w:val="19"/>
                <w:color w:val="auto"/>
              </w:rPr>
              <w:t>31, 2022</w:t>
            </w:r>
          </w:p>
        </w:tc>
        <w:tc>
          <w:tcPr>
            <w:tcW w:w="120" w:type="dxa"/>
            <w:vAlign w:val="bottom"/>
          </w:tcPr>
          <w:p>
            <w:pPr>
              <w:spacing w:after="0"/>
              <w:rPr>
                <w:sz w:val="23"/>
                <w:szCs w:val="23"/>
                <w:color w:val="auto"/>
              </w:rPr>
            </w:pPr>
          </w:p>
        </w:tc>
        <w:tc>
          <w:tcPr>
            <w:tcW w:w="60" w:type="dxa"/>
            <w:vAlign w:val="bottom"/>
            <w:tcBorders>
              <w:top w:val="single" w:sz="8" w:color="181414"/>
            </w:tcBorders>
          </w:tcPr>
          <w:p>
            <w:pPr>
              <w:spacing w:after="0"/>
              <w:rPr>
                <w:sz w:val="23"/>
                <w:szCs w:val="23"/>
                <w:color w:val="auto"/>
              </w:rPr>
            </w:pPr>
          </w:p>
        </w:tc>
        <w:tc>
          <w:tcPr>
            <w:tcW w:w="20" w:type="dxa"/>
            <w:vAlign w:val="bottom"/>
            <w:tcBorders>
              <w:top w:val="single" w:sz="8" w:color="181414"/>
            </w:tcBorders>
          </w:tcPr>
          <w:p>
            <w:pPr>
              <w:spacing w:after="0"/>
              <w:rPr>
                <w:sz w:val="23"/>
                <w:szCs w:val="23"/>
                <w:color w:val="auto"/>
              </w:rPr>
            </w:pPr>
          </w:p>
        </w:tc>
        <w:tc>
          <w:tcPr>
            <w:tcW w:w="780" w:type="dxa"/>
            <w:vAlign w:val="bottom"/>
            <w:tcBorders>
              <w:top w:val="single" w:sz="8" w:color="181414"/>
            </w:tcBorders>
          </w:tcPr>
          <w:p>
            <w:pPr>
              <w:spacing w:after="0"/>
              <w:rPr>
                <w:sz w:val="23"/>
                <w:szCs w:val="23"/>
                <w:color w:val="auto"/>
              </w:rPr>
            </w:pPr>
          </w:p>
        </w:tc>
        <w:tc>
          <w:tcPr>
            <w:tcW w:w="40" w:type="dxa"/>
            <w:vAlign w:val="bottom"/>
            <w:tcBorders>
              <w:top w:val="single" w:sz="8" w:color="181414"/>
            </w:tcBorders>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Borders>
              <w:top w:val="single" w:sz="8" w:color="181414"/>
            </w:tcBorders>
          </w:tcPr>
          <w:p>
            <w:pPr>
              <w:spacing w:after="0"/>
              <w:rPr>
                <w:sz w:val="23"/>
                <w:szCs w:val="23"/>
                <w:color w:val="auto"/>
              </w:rPr>
            </w:pPr>
          </w:p>
        </w:tc>
        <w:tc>
          <w:tcPr>
            <w:tcW w:w="720" w:type="dxa"/>
            <w:vAlign w:val="bottom"/>
            <w:tcBorders>
              <w:top w:val="single" w:sz="8" w:color="181414"/>
            </w:tcBorders>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181414"/>
            </w:tcBorders>
          </w:tcPr>
          <w:p>
            <w:pPr>
              <w:spacing w:after="0"/>
              <w:rPr>
                <w:sz w:val="23"/>
                <w:szCs w:val="23"/>
                <w:color w:val="auto"/>
              </w:rPr>
            </w:pPr>
          </w:p>
        </w:tc>
        <w:tc>
          <w:tcPr>
            <w:tcW w:w="820" w:type="dxa"/>
            <w:vAlign w:val="bottom"/>
            <w:tcBorders>
              <w:top w:val="single" w:sz="8" w:color="181414"/>
            </w:tcBorders>
          </w:tcPr>
          <w:p>
            <w:pPr>
              <w:spacing w:after="0"/>
              <w:rPr>
                <w:sz w:val="23"/>
                <w:szCs w:val="23"/>
                <w:color w:val="auto"/>
              </w:rPr>
            </w:pPr>
          </w:p>
        </w:tc>
        <w:tc>
          <w:tcPr>
            <w:tcW w:w="80" w:type="dxa"/>
            <w:vAlign w:val="bottom"/>
            <w:tcBorders>
              <w:top w:val="single" w:sz="8" w:color="181414"/>
            </w:tcBorders>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Borders>
              <w:top w:val="single" w:sz="8" w:color="181414"/>
            </w:tcBorders>
          </w:tcPr>
          <w:p>
            <w:pPr>
              <w:spacing w:after="0"/>
              <w:rPr>
                <w:sz w:val="23"/>
                <w:szCs w:val="23"/>
                <w:color w:val="auto"/>
              </w:rPr>
            </w:pPr>
          </w:p>
        </w:tc>
        <w:tc>
          <w:tcPr>
            <w:tcW w:w="800" w:type="dxa"/>
            <w:vAlign w:val="bottom"/>
            <w:tcBorders>
              <w:top w:val="single" w:sz="8" w:color="181414"/>
            </w:tcBorders>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48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Goodwill ...... . .............................</w:t>
            </w:r>
          </w:p>
        </w:tc>
        <w:tc>
          <w:tcPr>
            <w:tcW w:w="1020" w:type="dxa"/>
            <w:vAlign w:val="bottom"/>
            <w:gridSpan w:val="5"/>
          </w:tcPr>
          <w:p>
            <w:pPr>
              <w:jc w:val="center"/>
              <w:ind w:left="22"/>
              <w:spacing w:after="0" w:line="227" w:lineRule="exact"/>
              <w:rPr>
                <w:sz w:val="20"/>
                <w:szCs w:val="20"/>
                <w:color w:val="auto"/>
              </w:rPr>
            </w:pPr>
            <w:r>
              <w:rPr>
                <w:rFonts w:ascii="Times New Roman" w:cs="Times New Roman" w:eastAsia="Times New Roman" w:hAnsi="Times New Roman"/>
                <w:sz w:val="20"/>
                <w:szCs w:val="20"/>
                <w:color w:val="auto"/>
              </w:rPr>
              <w:t>$579,561</w:t>
            </w:r>
          </w:p>
        </w:tc>
        <w:tc>
          <w:tcPr>
            <w:tcW w:w="30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174,564</w:t>
            </w:r>
          </w:p>
        </w:tc>
        <w:tc>
          <w:tcPr>
            <w:tcW w:w="140" w:type="dxa"/>
            <w:vAlign w:val="bottom"/>
          </w:tcPr>
          <w:p>
            <w:pPr>
              <w:spacing w:after="0"/>
              <w:rPr>
                <w:sz w:val="19"/>
                <w:szCs w:val="19"/>
                <w:color w:val="auto"/>
              </w:rPr>
            </w:pPr>
          </w:p>
        </w:tc>
        <w:tc>
          <w:tcPr>
            <w:tcW w:w="9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auto"/>
              </w:rPr>
              <w:t>$ 391,377</w:t>
            </w:r>
          </w:p>
        </w:tc>
        <w:tc>
          <w:tcPr>
            <w:tcW w:w="80" w:type="dxa"/>
            <w:vAlign w:val="bottom"/>
          </w:tcPr>
          <w:p>
            <w:pPr>
              <w:spacing w:after="0"/>
              <w:rPr>
                <w:sz w:val="19"/>
                <w:szCs w:val="19"/>
                <w:color w:val="auto"/>
              </w:rPr>
            </w:pPr>
          </w:p>
        </w:tc>
        <w:tc>
          <w:tcPr>
            <w:tcW w:w="2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60"/>
              <w:spacing w:after="0" w:line="227" w:lineRule="exact"/>
              <w:rPr>
                <w:sz w:val="20"/>
                <w:szCs w:val="20"/>
                <w:color w:val="auto"/>
              </w:rPr>
            </w:pPr>
            <w:r>
              <w:rPr>
                <w:rFonts w:ascii="Times New Roman" w:cs="Times New Roman" w:eastAsia="Times New Roman" w:hAnsi="Times New Roman"/>
                <w:sz w:val="20"/>
                <w:szCs w:val="20"/>
                <w:color w:val="auto"/>
                <w:w w:val="97"/>
              </w:rPr>
              <w:t>1,145,502</w:t>
            </w:r>
          </w:p>
        </w:tc>
        <w:tc>
          <w:tcPr>
            <w:tcW w:w="0" w:type="dxa"/>
            <w:vAlign w:val="bottom"/>
          </w:tcPr>
          <w:p>
            <w:pPr>
              <w:spacing w:after="0"/>
              <w:rPr>
                <w:sz w:val="1"/>
                <w:szCs w:val="1"/>
                <w:color w:val="auto"/>
              </w:rPr>
            </w:pPr>
          </w:p>
        </w:tc>
      </w:tr>
      <w:tr>
        <w:trPr>
          <w:trHeight w:val="229"/>
        </w:trPr>
        <w:tc>
          <w:tcPr>
            <w:tcW w:w="4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Accumulated impairment losses  </w:t>
            </w: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line="218" w:lineRule="exact"/>
              <w:rPr>
                <w:sz w:val="20"/>
                <w:szCs w:val="20"/>
                <w:color w:val="auto"/>
              </w:rPr>
            </w:pPr>
            <w:r>
              <w:rPr>
                <w:rFonts w:ascii="Times New Roman" w:cs="Times New Roman" w:eastAsia="Times New Roman" w:hAnsi="Times New Roman"/>
                <w:sz w:val="20"/>
                <w:szCs w:val="20"/>
                <w:color w:val="auto"/>
                <w:w w:val="91"/>
              </w:rPr>
              <w:t>(1 11,324)</w:t>
            </w:r>
          </w:p>
        </w:tc>
        <w:tc>
          <w:tcPr>
            <w:tcW w:w="1020" w:type="dxa"/>
            <w:vAlign w:val="bottom"/>
            <w:gridSpan w:val="4"/>
          </w:tcPr>
          <w:p>
            <w:pPr>
              <w:jc w:val="right"/>
              <w:ind w:right="20"/>
              <w:spacing w:after="0" w:line="218" w:lineRule="exact"/>
              <w:rPr>
                <w:sz w:val="20"/>
                <w:szCs w:val="20"/>
                <w:color w:val="auto"/>
              </w:rPr>
            </w:pPr>
            <w:r>
              <w:rPr>
                <w:rFonts w:ascii="Times New Roman" w:cs="Times New Roman" w:eastAsia="Times New Roman" w:hAnsi="Times New Roman"/>
                <w:sz w:val="20"/>
                <w:szCs w:val="20"/>
                <w:color w:val="auto"/>
              </w:rPr>
              <w:t>(219,827)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18" w:lineRule="exact"/>
              <w:rPr>
                <w:sz w:val="20"/>
                <w:szCs w:val="20"/>
                <w:color w:val="auto"/>
              </w:rPr>
            </w:pPr>
            <w:r>
              <w:rPr>
                <w:rFonts w:ascii="Times New Roman" w:cs="Times New Roman" w:eastAsia="Times New Roman" w:hAnsi="Times New Roman"/>
                <w:sz w:val="20"/>
                <w:szCs w:val="20"/>
                <w:color w:val="auto"/>
              </w:rPr>
              <w:t>(331,151)</w:t>
            </w:r>
          </w:p>
        </w:tc>
        <w:tc>
          <w:tcPr>
            <w:tcW w:w="0" w:type="dxa"/>
            <w:vAlign w:val="bottom"/>
          </w:tcPr>
          <w:p>
            <w:pPr>
              <w:spacing w:after="0"/>
              <w:rPr>
                <w:sz w:val="1"/>
                <w:szCs w:val="1"/>
                <w:color w:val="auto"/>
              </w:rPr>
            </w:pPr>
          </w:p>
        </w:tc>
      </w:tr>
      <w:tr>
        <w:trPr>
          <w:trHeight w:val="32"/>
        </w:trPr>
        <w:tc>
          <w:tcPr>
            <w:tcW w:w="4840" w:type="dxa"/>
            <w:vAlign w:val="bottom"/>
          </w:tcPr>
          <w:p>
            <w:pPr>
              <w:spacing w:after="0"/>
              <w:rPr>
                <w:sz w:val="2"/>
                <w:szCs w:val="2"/>
                <w:color w:val="auto"/>
              </w:rPr>
            </w:pPr>
          </w:p>
        </w:tc>
        <w:tc>
          <w:tcPr>
            <w:tcW w:w="180" w:type="dxa"/>
            <w:vAlign w:val="bottom"/>
            <w:gridSpan w:val="2"/>
          </w:tcPr>
          <w:p>
            <w:pPr>
              <w:spacing w:after="0"/>
              <w:rPr>
                <w:sz w:val="2"/>
                <w:szCs w:val="2"/>
                <w:color w:val="auto"/>
              </w:rPr>
            </w:pPr>
          </w:p>
        </w:tc>
        <w:tc>
          <w:tcPr>
            <w:tcW w:w="20" w:type="dxa"/>
            <w:vAlign w:val="bottom"/>
            <w:tcBorders>
              <w:bottom w:val="single" w:sz="8" w:color="343030"/>
            </w:tcBorders>
          </w:tcPr>
          <w:p>
            <w:pPr>
              <w:spacing w:after="0"/>
              <w:rPr>
                <w:sz w:val="2"/>
                <w:szCs w:val="2"/>
                <w:color w:val="auto"/>
              </w:rPr>
            </w:pPr>
          </w:p>
        </w:tc>
        <w:tc>
          <w:tcPr>
            <w:tcW w:w="780" w:type="dxa"/>
            <w:vAlign w:val="bottom"/>
            <w:tcBorders>
              <w:bottom w:val="single" w:sz="8" w:color="34303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720" w:type="dxa"/>
            <w:vAlign w:val="bottom"/>
            <w:tcBorders>
              <w:bottom w:val="single" w:sz="8" w:color="34303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34303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800" w:type="dxa"/>
            <w:vAlign w:val="bottom"/>
            <w:tcBorders>
              <w:bottom w:val="single" w:sz="8" w:color="34303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840" w:type="dxa"/>
            <w:vAlign w:val="bottom"/>
          </w:tcPr>
          <w:p>
            <w:pPr>
              <w:spacing w:after="0"/>
              <w:rPr>
                <w:sz w:val="21"/>
                <w:szCs w:val="21"/>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579,561</w:t>
            </w: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63,240</w:t>
            </w:r>
          </w:p>
        </w:tc>
        <w:tc>
          <w:tcPr>
            <w:tcW w:w="140" w:type="dxa"/>
            <w:vAlign w:val="bottom"/>
          </w:tcPr>
          <w:p>
            <w:pPr>
              <w:spacing w:after="0"/>
              <w:rPr>
                <w:sz w:val="21"/>
                <w:szCs w:val="21"/>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171,550</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814,351</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4"/>
        </w:trPr>
        <w:tc>
          <w:tcPr>
            <w:tcW w:w="484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Foreign ctmency exchange rate changes ...............</w:t>
            </w:r>
          </w:p>
        </w:tc>
        <w:tc>
          <w:tcPr>
            <w:tcW w:w="180" w:type="dxa"/>
            <w:vAlign w:val="bottom"/>
            <w:gridSpan w:val="2"/>
          </w:tcPr>
          <w:p>
            <w:pPr>
              <w:spacing w:after="0"/>
              <w:rPr>
                <w:sz w:val="2"/>
                <w:szCs w:val="2"/>
                <w:color w:val="auto"/>
              </w:rPr>
            </w:pPr>
          </w:p>
        </w:tc>
        <w:tc>
          <w:tcPr>
            <w:tcW w:w="20" w:type="dxa"/>
            <w:vAlign w:val="bottom"/>
            <w:tcBorders>
              <w:bottom w:val="single" w:sz="8" w:color="343030"/>
            </w:tcBorders>
          </w:tcPr>
          <w:p>
            <w:pPr>
              <w:spacing w:after="0"/>
              <w:rPr>
                <w:sz w:val="2"/>
                <w:szCs w:val="2"/>
                <w:color w:val="auto"/>
              </w:rPr>
            </w:pPr>
          </w:p>
        </w:tc>
        <w:tc>
          <w:tcPr>
            <w:tcW w:w="780" w:type="dxa"/>
            <w:vAlign w:val="bottom"/>
            <w:tcBorders>
              <w:bottom w:val="single" w:sz="8" w:color="34303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720" w:type="dxa"/>
            <w:vAlign w:val="bottom"/>
            <w:tcBorders>
              <w:bottom w:val="single" w:sz="8" w:color="34303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34303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800" w:type="dxa"/>
            <w:vAlign w:val="bottom"/>
            <w:tcBorders>
              <w:bottom w:val="single" w:sz="8" w:color="34303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840" w:type="dxa"/>
            <w:vAlign w:val="bottom"/>
            <w:vMerge w:val="continue"/>
          </w:tcPr>
          <w:p>
            <w:pPr>
              <w:spacing w:after="0"/>
              <w:rPr>
                <w:sz w:val="22"/>
                <w:szCs w:val="22"/>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18,439</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18,489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xml:space="preserve">As of December </w:t>
            </w:r>
            <w:r>
              <w:rPr>
                <w:rFonts w:ascii="Times New Roman" w:cs="Times New Roman" w:eastAsia="Times New Roman" w:hAnsi="Times New Roman"/>
                <w:sz w:val="19"/>
                <w:szCs w:val="19"/>
                <w:color w:val="auto"/>
              </w:rPr>
              <w:t>31, 2023</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343030"/>
            </w:tcBorders>
          </w:tcPr>
          <w:p>
            <w:pPr>
              <w:spacing w:after="0"/>
              <w:rPr>
                <w:sz w:val="2"/>
                <w:szCs w:val="2"/>
                <w:color w:val="auto"/>
              </w:rPr>
            </w:pPr>
          </w:p>
        </w:tc>
        <w:tc>
          <w:tcPr>
            <w:tcW w:w="780" w:type="dxa"/>
            <w:vAlign w:val="bottom"/>
            <w:tcBorders>
              <w:bottom w:val="single" w:sz="8" w:color="34303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720" w:type="dxa"/>
            <w:vAlign w:val="bottom"/>
            <w:tcBorders>
              <w:bottom w:val="single" w:sz="8" w:color="343030"/>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34303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800" w:type="dxa"/>
            <w:vAlign w:val="bottom"/>
            <w:tcBorders>
              <w:bottom w:val="single" w:sz="8" w:color="34303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84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1"/>
        </w:trPr>
        <w:tc>
          <w:tcPr>
            <w:tcW w:w="484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Goodwill ... .... . ............... .. ...... .....</w:t>
            </w:r>
          </w:p>
        </w:tc>
        <w:tc>
          <w:tcPr>
            <w:tcW w:w="980" w:type="dxa"/>
            <w:vAlign w:val="bottom"/>
            <w:gridSpan w:val="4"/>
          </w:tcPr>
          <w:p>
            <w:pPr>
              <w:jc w:val="right"/>
              <w:spacing w:after="0" w:line="201" w:lineRule="exact"/>
              <w:rPr>
                <w:sz w:val="20"/>
                <w:szCs w:val="20"/>
                <w:color w:val="auto"/>
              </w:rPr>
            </w:pPr>
            <w:r>
              <w:rPr>
                <w:rFonts w:ascii="Times New Roman" w:cs="Times New Roman" w:eastAsia="Times New Roman" w:hAnsi="Times New Roman"/>
                <w:sz w:val="20"/>
                <w:szCs w:val="20"/>
                <w:color w:val="auto"/>
              </w:rPr>
              <w:t>598,000</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1" w:lineRule="exact"/>
              <w:rPr>
                <w:sz w:val="20"/>
                <w:szCs w:val="20"/>
                <w:color w:val="auto"/>
              </w:rPr>
            </w:pPr>
            <w:r>
              <w:rPr>
                <w:rFonts w:ascii="Times New Roman" w:cs="Times New Roman" w:eastAsia="Times New Roman" w:hAnsi="Times New Roman"/>
                <w:sz w:val="20"/>
                <w:szCs w:val="20"/>
                <w:color w:val="auto"/>
              </w:rPr>
              <w:t>174,564</w:t>
            </w:r>
          </w:p>
        </w:tc>
        <w:tc>
          <w:tcPr>
            <w:tcW w:w="140" w:type="dxa"/>
            <w:vAlign w:val="bottom"/>
          </w:tcPr>
          <w:p>
            <w:pPr>
              <w:spacing w:after="0"/>
              <w:rPr>
                <w:sz w:val="17"/>
                <w:szCs w:val="17"/>
                <w:color w:val="auto"/>
              </w:rPr>
            </w:pPr>
          </w:p>
        </w:tc>
        <w:tc>
          <w:tcPr>
            <w:tcW w:w="940" w:type="dxa"/>
            <w:vAlign w:val="bottom"/>
            <w:gridSpan w:val="3"/>
          </w:tcPr>
          <w:p>
            <w:pPr>
              <w:jc w:val="right"/>
              <w:spacing w:after="0" w:line="201" w:lineRule="exact"/>
              <w:rPr>
                <w:sz w:val="20"/>
                <w:szCs w:val="20"/>
                <w:color w:val="auto"/>
              </w:rPr>
            </w:pPr>
            <w:r>
              <w:rPr>
                <w:rFonts w:ascii="Times New Roman" w:cs="Times New Roman" w:eastAsia="Times New Roman" w:hAnsi="Times New Roman"/>
                <w:sz w:val="20"/>
                <w:szCs w:val="20"/>
                <w:color w:val="auto"/>
              </w:rPr>
              <w:t>391,427</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20"/>
                <w:szCs w:val="20"/>
                <w:color w:val="auto"/>
                <w:w w:val="97"/>
              </w:rPr>
              <w:t>1,163,991</w:t>
            </w:r>
          </w:p>
        </w:tc>
        <w:tc>
          <w:tcPr>
            <w:tcW w:w="0" w:type="dxa"/>
            <w:vAlign w:val="bottom"/>
          </w:tcPr>
          <w:p>
            <w:pPr>
              <w:spacing w:after="0"/>
              <w:rPr>
                <w:sz w:val="1"/>
                <w:szCs w:val="1"/>
                <w:color w:val="auto"/>
              </w:rPr>
            </w:pPr>
          </w:p>
        </w:tc>
      </w:tr>
      <w:tr>
        <w:trPr>
          <w:trHeight w:val="263"/>
        </w:trPr>
        <w:tc>
          <w:tcPr>
            <w:tcW w:w="4840" w:type="dxa"/>
            <w:vAlign w:val="bottom"/>
          </w:tcPr>
          <w:p>
            <w:pPr>
              <w:jc w:val="right"/>
              <w:spacing w:after="0" w:line="263" w:lineRule="exact"/>
              <w:rPr>
                <w:sz w:val="20"/>
                <w:szCs w:val="20"/>
                <w:color w:val="auto"/>
              </w:rPr>
            </w:pPr>
            <w:r>
              <w:rPr>
                <w:rFonts w:ascii="Times New Roman" w:cs="Times New Roman" w:eastAsia="Times New Roman" w:hAnsi="Times New Roman"/>
                <w:sz w:val="20"/>
                <w:szCs w:val="20"/>
                <w:color w:val="auto"/>
              </w:rPr>
              <w:t xml:space="preserve">Accumulated impairment losses  </w:t>
            </w:r>
            <w:r>
              <w:rPr>
                <w:rFonts w:ascii="Arial" w:cs="Arial" w:eastAsia="Arial" w:hAnsi="Arial"/>
                <w:sz w:val="23"/>
                <w:szCs w:val="23"/>
                <w:color w:val="auto"/>
              </w:rPr>
              <w:t>.................</w:t>
            </w: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w w:val="85"/>
              </w:rPr>
              <w:t>( 111 ,324)</w:t>
            </w: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(219,827)</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(331, 151)</w:t>
            </w:r>
          </w:p>
        </w:tc>
        <w:tc>
          <w:tcPr>
            <w:tcW w:w="0" w:type="dxa"/>
            <w:vAlign w:val="bottom"/>
          </w:tcPr>
          <w:p>
            <w:pPr>
              <w:spacing w:after="0"/>
              <w:rPr>
                <w:sz w:val="1"/>
                <w:szCs w:val="1"/>
                <w:color w:val="auto"/>
              </w:rPr>
            </w:pPr>
          </w:p>
        </w:tc>
      </w:tr>
      <w:tr>
        <w:trPr>
          <w:trHeight w:val="26"/>
        </w:trPr>
        <w:tc>
          <w:tcPr>
            <w:tcW w:w="484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780" w:type="dxa"/>
            <w:vAlign w:val="bottom"/>
            <w:tcBorders>
              <w:bottom w:val="single" w:sz="8" w:color="504C4C"/>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4840" w:type="dxa"/>
            <w:vAlign w:val="bottom"/>
          </w:tcPr>
          <w:p>
            <w:pPr>
              <w:spacing w:after="0"/>
              <w:rPr>
                <w:sz w:val="23"/>
                <w:szCs w:val="23"/>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598,000</w:t>
            </w: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63,240</w:t>
            </w:r>
          </w:p>
        </w:tc>
        <w:tc>
          <w:tcPr>
            <w:tcW w:w="140" w:type="dxa"/>
            <w:vAlign w:val="bottom"/>
          </w:tcPr>
          <w:p>
            <w:pPr>
              <w:spacing w:after="0"/>
              <w:rPr>
                <w:sz w:val="23"/>
                <w:szCs w:val="23"/>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171 ,600</w:t>
            </w: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832,840</w:t>
            </w:r>
          </w:p>
        </w:tc>
        <w:tc>
          <w:tcPr>
            <w:tcW w:w="0" w:type="dxa"/>
            <w:vAlign w:val="bottom"/>
          </w:tcPr>
          <w:p>
            <w:pPr>
              <w:spacing w:after="0"/>
              <w:rPr>
                <w:sz w:val="1"/>
                <w:szCs w:val="1"/>
                <w:color w:val="auto"/>
              </w:rPr>
            </w:pPr>
          </w:p>
        </w:tc>
      </w:tr>
      <w:tr>
        <w:trPr>
          <w:trHeight w:val="25"/>
        </w:trPr>
        <w:tc>
          <w:tcPr>
            <w:tcW w:w="484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780" w:type="dxa"/>
            <w:vAlign w:val="bottom"/>
            <w:tcBorders>
              <w:bottom w:val="single" w:sz="8" w:color="504C4C"/>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Acquisitions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4,300</w:t>
            </w: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4,300</w:t>
            </w:r>
          </w:p>
        </w:tc>
        <w:tc>
          <w:tcPr>
            <w:tcW w:w="0" w:type="dxa"/>
            <w:vAlign w:val="bottom"/>
          </w:tcPr>
          <w:p>
            <w:pPr>
              <w:spacing w:after="0"/>
              <w:rPr>
                <w:sz w:val="1"/>
                <w:szCs w:val="1"/>
                <w:color w:val="auto"/>
              </w:rPr>
            </w:pPr>
          </w:p>
        </w:tc>
      </w:tr>
      <w:tr>
        <w:trPr>
          <w:trHeight w:val="238"/>
        </w:trPr>
        <w:tc>
          <w:tcPr>
            <w:tcW w:w="4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Dispositions ... . ...... . . . .. ......................</w:t>
            </w:r>
          </w:p>
        </w:tc>
        <w:tc>
          <w:tcPr>
            <w:tcW w:w="98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0"/>
                <w:szCs w:val="20"/>
                <w:color w:val="auto"/>
              </w:rPr>
              <w:t>(1,684)</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(1,684)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Foreign currency exchange rate changes .............</w:t>
            </w:r>
          </w:p>
        </w:tc>
        <w:tc>
          <w:tcPr>
            <w:tcW w:w="98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0"/>
                <w:szCs w:val="20"/>
                <w:color w:val="auto"/>
              </w:rPr>
              <w:t>(20,121)</w:t>
            </w: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3"/>
          </w:tcPr>
          <w:p>
            <w:pPr>
              <w:jc w:val="right"/>
              <w:spacing w:after="0" w:line="219" w:lineRule="exact"/>
              <w:rPr>
                <w:sz w:val="20"/>
                <w:szCs w:val="20"/>
                <w:color w:val="auto"/>
              </w:rPr>
            </w:pPr>
            <w:r>
              <w:rPr>
                <w:rFonts w:ascii="Times New Roman" w:cs="Times New Roman" w:eastAsia="Times New Roman" w:hAnsi="Times New Roman"/>
                <w:sz w:val="20"/>
                <w:szCs w:val="20"/>
                <w:color w:val="auto"/>
              </w:rPr>
              <w:t>(151)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(20,272)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48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 of December 31, 2024</w:t>
            </w: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780" w:type="dxa"/>
            <w:vAlign w:val="bottom"/>
            <w:tcBorders>
              <w:bottom w:val="single" w:sz="8" w:color="0C080C"/>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0C0808"/>
            </w:tcBorders>
          </w:tcPr>
          <w:p>
            <w:pPr>
              <w:spacing w:after="0"/>
              <w:rPr>
                <w:sz w:val="2"/>
                <w:szCs w:val="2"/>
                <w:color w:val="auto"/>
              </w:rPr>
            </w:pPr>
          </w:p>
        </w:tc>
        <w:tc>
          <w:tcPr>
            <w:tcW w:w="720" w:type="dxa"/>
            <w:vAlign w:val="bottom"/>
            <w:tcBorders>
              <w:bottom w:val="single" w:sz="8" w:color="0C0808"/>
            </w:tcBorders>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Borders>
              <w:bottom w:val="single" w:sz="8" w:color="0C0808"/>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0C080C"/>
            </w:tcBorders>
          </w:tcPr>
          <w:p>
            <w:pPr>
              <w:spacing w:after="0"/>
              <w:rPr>
                <w:sz w:val="2"/>
                <w:szCs w:val="2"/>
                <w:color w:val="auto"/>
              </w:rPr>
            </w:pPr>
          </w:p>
        </w:tc>
        <w:tc>
          <w:tcPr>
            <w:tcW w:w="800" w:type="dxa"/>
            <w:vAlign w:val="bottom"/>
            <w:tcBorders>
              <w:bottom w:val="single" w:sz="8" w:color="0C080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1"/>
        </w:trPr>
        <w:tc>
          <w:tcPr>
            <w:tcW w:w="484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xml:space="preserve">Goodwill  </w:t>
            </w:r>
            <w:r>
              <w:rPr>
                <w:rFonts w:ascii="Arial" w:cs="Arial" w:eastAsia="Arial" w:hAnsi="Arial"/>
                <w:sz w:val="18"/>
                <w:szCs w:val="18"/>
                <w:color w:val="auto"/>
              </w:rPr>
              <w:t>.. ... ... ......... . . . . ...............</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580,495</w:t>
            </w: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174,564</w:t>
            </w:r>
          </w:p>
        </w:tc>
        <w:tc>
          <w:tcPr>
            <w:tcW w:w="140" w:type="dxa"/>
            <w:vAlign w:val="bottom"/>
          </w:tcPr>
          <w:p>
            <w:pPr>
              <w:spacing w:after="0"/>
              <w:rPr>
                <w:sz w:val="20"/>
                <w:szCs w:val="20"/>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391,276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7"/>
              </w:rPr>
              <w:t>1,146,335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Accumulated impairment losses ............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80"/>
              <w:spacing w:after="0" w:line="229" w:lineRule="exact"/>
              <w:rPr>
                <w:sz w:val="20"/>
                <w:szCs w:val="20"/>
                <w:color w:val="auto"/>
              </w:rPr>
            </w:pPr>
            <w:r>
              <w:rPr>
                <w:rFonts w:ascii="Times New Roman" w:cs="Times New Roman" w:eastAsia="Times New Roman" w:hAnsi="Times New Roman"/>
                <w:sz w:val="20"/>
                <w:szCs w:val="20"/>
                <w:color w:val="auto"/>
                <w:w w:val="96"/>
              </w:rPr>
              <w:t>(111,324)</w:t>
            </w:r>
          </w:p>
        </w:tc>
        <w:tc>
          <w:tcPr>
            <w:tcW w:w="102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0"/>
                <w:szCs w:val="20"/>
                <w:color w:val="auto"/>
              </w:rPr>
              <w:t>(219,827)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(331,151)</w:t>
            </w:r>
          </w:p>
        </w:tc>
        <w:tc>
          <w:tcPr>
            <w:tcW w:w="0" w:type="dxa"/>
            <w:vAlign w:val="bottom"/>
          </w:tcPr>
          <w:p>
            <w:pPr>
              <w:spacing w:after="0"/>
              <w:rPr>
                <w:sz w:val="1"/>
                <w:szCs w:val="1"/>
                <w:color w:val="auto"/>
              </w:rPr>
            </w:pPr>
          </w:p>
        </w:tc>
      </w:tr>
      <w:tr>
        <w:trPr>
          <w:trHeight w:val="34"/>
        </w:trPr>
        <w:tc>
          <w:tcPr>
            <w:tcW w:w="4840" w:type="dxa"/>
            <w:vAlign w:val="bottom"/>
          </w:tcPr>
          <w:p>
            <w:pPr>
              <w:spacing w:after="0"/>
              <w:rPr>
                <w:sz w:val="2"/>
                <w:szCs w:val="2"/>
                <w:color w:val="auto"/>
              </w:rPr>
            </w:pPr>
          </w:p>
        </w:tc>
        <w:tc>
          <w:tcPr>
            <w:tcW w:w="200" w:type="dxa"/>
            <w:vAlign w:val="bottom"/>
            <w:gridSpan w:val="3"/>
          </w:tcPr>
          <w:p>
            <w:pPr>
              <w:spacing w:after="0"/>
              <w:rPr>
                <w:sz w:val="2"/>
                <w:szCs w:val="2"/>
                <w:color w:val="auto"/>
              </w:rPr>
            </w:pPr>
          </w:p>
        </w:tc>
        <w:tc>
          <w:tcPr>
            <w:tcW w:w="780" w:type="dxa"/>
            <w:vAlign w:val="bottom"/>
            <w:tcBorders>
              <w:bottom w:val="single" w:sz="8" w:color="343030"/>
            </w:tcBorders>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720" w:type="dxa"/>
            <w:vAlign w:val="bottom"/>
            <w:tcBorders>
              <w:bottom w:val="single" w:sz="8" w:color="343030"/>
            </w:tcBorders>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820" w:type="dxa"/>
            <w:vAlign w:val="bottom"/>
            <w:tcBorders>
              <w:bottom w:val="single" w:sz="8" w:color="343030"/>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Borders>
              <w:bottom w:val="single" w:sz="8" w:color="343030"/>
            </w:tcBorders>
          </w:tcPr>
          <w:p>
            <w:pPr>
              <w:spacing w:after="0"/>
              <w:rPr>
                <w:sz w:val="2"/>
                <w:szCs w:val="2"/>
                <w:color w:val="auto"/>
              </w:rPr>
            </w:pPr>
          </w:p>
        </w:tc>
        <w:tc>
          <w:tcPr>
            <w:tcW w:w="800" w:type="dxa"/>
            <w:vAlign w:val="bottom"/>
            <w:tcBorders>
              <w:bottom w:val="single" w:sz="8" w:color="34303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840" w:type="dxa"/>
            <w:vAlign w:val="bottom"/>
          </w:tcPr>
          <w:p>
            <w:pPr>
              <w:spacing w:after="0"/>
              <w:rPr>
                <w:sz w:val="22"/>
                <w:szCs w:val="22"/>
                <w:color w:val="auto"/>
              </w:rPr>
            </w:pP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$580,495</w:t>
            </w:r>
          </w:p>
        </w:tc>
        <w:tc>
          <w:tcPr>
            <w:tcW w:w="40" w:type="dxa"/>
            <w:vAlign w:val="bottom"/>
          </w:tcPr>
          <w:p>
            <w:pPr>
              <w:spacing w:after="0"/>
              <w:rPr>
                <w:sz w:val="22"/>
                <w:szCs w:val="22"/>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63,240</w:t>
            </w:r>
          </w:p>
        </w:tc>
        <w:tc>
          <w:tcPr>
            <w:tcW w:w="140" w:type="dxa"/>
            <w:vAlign w:val="bottom"/>
          </w:tcPr>
          <w:p>
            <w:pPr>
              <w:spacing w:after="0"/>
              <w:rPr>
                <w:sz w:val="22"/>
                <w:szCs w:val="22"/>
                <w:color w:val="auto"/>
              </w:rPr>
            </w:pPr>
          </w:p>
        </w:tc>
        <w:tc>
          <w:tcPr>
            <w:tcW w:w="1020" w:type="dxa"/>
            <w:vAlign w:val="bottom"/>
            <w:gridSpan w:val="4"/>
          </w:tcPr>
          <w:p>
            <w:pPr>
              <w:jc w:val="right"/>
              <w:ind w:right="80"/>
              <w:spacing w:after="0"/>
              <w:rPr>
                <w:sz w:val="20"/>
                <w:szCs w:val="20"/>
                <w:color w:val="auto"/>
              </w:rPr>
            </w:pPr>
            <w:r>
              <w:rPr>
                <w:rFonts w:ascii="Times New Roman" w:cs="Times New Roman" w:eastAsia="Times New Roman" w:hAnsi="Times New Roman"/>
                <w:sz w:val="20"/>
                <w:szCs w:val="20"/>
                <w:color w:val="auto"/>
              </w:rPr>
              <w:t>$ 171,449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6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rPr>
              <w:t>815,184</w:t>
            </w:r>
          </w:p>
        </w:tc>
        <w:tc>
          <w:tcPr>
            <w:tcW w:w="0" w:type="dxa"/>
            <w:vAlign w:val="bottom"/>
          </w:tcPr>
          <w:p>
            <w:pPr>
              <w:spacing w:after="0"/>
              <w:rPr>
                <w:sz w:val="1"/>
                <w:szCs w:val="1"/>
                <w:color w:val="auto"/>
              </w:rPr>
            </w:pPr>
          </w:p>
        </w:tc>
      </w:tr>
      <w:tr>
        <w:trPr>
          <w:trHeight w:val="48"/>
        </w:trPr>
        <w:tc>
          <w:tcPr>
            <w:tcW w:w="4840" w:type="dxa"/>
            <w:vAlign w:val="bottom"/>
          </w:tcPr>
          <w:p>
            <w:pPr>
              <w:spacing w:after="0"/>
              <w:rPr>
                <w:sz w:val="4"/>
                <w:szCs w:val="4"/>
                <w:color w:val="auto"/>
              </w:rPr>
            </w:pPr>
          </w:p>
        </w:tc>
        <w:tc>
          <w:tcPr>
            <w:tcW w:w="12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20" w:type="dxa"/>
            <w:vAlign w:val="bottom"/>
            <w:tcBorders>
              <w:bottom w:val="single" w:sz="8" w:color="403C3C"/>
            </w:tcBorders>
          </w:tcPr>
          <w:p>
            <w:pPr>
              <w:spacing w:after="0"/>
              <w:rPr>
                <w:sz w:val="4"/>
                <w:szCs w:val="4"/>
                <w:color w:val="auto"/>
              </w:rPr>
            </w:pPr>
          </w:p>
        </w:tc>
        <w:tc>
          <w:tcPr>
            <w:tcW w:w="780" w:type="dxa"/>
            <w:vAlign w:val="bottom"/>
            <w:tcBorders>
              <w:bottom w:val="single" w:sz="8" w:color="403C3C"/>
            </w:tcBorders>
          </w:tcPr>
          <w:p>
            <w:pPr>
              <w:spacing w:after="0"/>
              <w:rPr>
                <w:sz w:val="4"/>
                <w:szCs w:val="4"/>
                <w:color w:val="auto"/>
              </w:rPr>
            </w:pPr>
          </w:p>
        </w:tc>
        <w:tc>
          <w:tcPr>
            <w:tcW w:w="40" w:type="dxa"/>
            <w:vAlign w:val="bottom"/>
            <w:tcBorders>
              <w:bottom w:val="single" w:sz="8" w:color="403C3C"/>
            </w:tcBorders>
          </w:tcPr>
          <w:p>
            <w:pPr>
              <w:spacing w:after="0"/>
              <w:rPr>
                <w:sz w:val="4"/>
                <w:szCs w:val="4"/>
                <w:color w:val="auto"/>
              </w:rPr>
            </w:pPr>
          </w:p>
        </w:tc>
        <w:tc>
          <w:tcPr>
            <w:tcW w:w="20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720" w:type="dxa"/>
            <w:vAlign w:val="bottom"/>
            <w:tcBorders>
              <w:bottom w:val="single" w:sz="8" w:color="403C3C"/>
            </w:tcBorders>
          </w:tcPr>
          <w:p>
            <w:pPr>
              <w:spacing w:after="0"/>
              <w:rPr>
                <w:sz w:val="4"/>
                <w:szCs w:val="4"/>
                <w:color w:val="auto"/>
              </w:rPr>
            </w:pPr>
          </w:p>
        </w:tc>
        <w:tc>
          <w:tcPr>
            <w:tcW w:w="14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82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18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80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Other intangible assets consist of the following:</w:t>
      </w:r>
    </w:p>
    <w:p>
      <w:pPr>
        <w:spacing w:after="0" w:line="149"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9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20" w:type="dxa"/>
            <w:vAlign w:val="bottom"/>
            <w:gridSpan w:val="8"/>
          </w:tcPr>
          <w:p>
            <w:pPr>
              <w:jc w:val="right"/>
              <w:ind w:right="442"/>
              <w:spacing w:after="0"/>
              <w:rPr>
                <w:sz w:val="20"/>
                <w:szCs w:val="20"/>
                <w:color w:val="auto"/>
              </w:rPr>
            </w:pPr>
            <w:r>
              <w:rPr>
                <w:rFonts w:ascii="Arial" w:cs="Arial" w:eastAsia="Arial" w:hAnsi="Arial"/>
                <w:sz w:val="13"/>
                <w:szCs w:val="13"/>
                <w:i w:val="1"/>
                <w:iCs w:val="1"/>
                <w:color w:val="auto"/>
              </w:rPr>
              <w:t xml:space="preserve">As </w:t>
            </w:r>
            <w:r>
              <w:rPr>
                <w:rFonts w:ascii="Times New Roman" w:cs="Times New Roman" w:eastAsia="Times New Roman" w:hAnsi="Times New Roman"/>
                <w:sz w:val="16"/>
                <w:szCs w:val="16"/>
                <w:color w:val="auto"/>
              </w:rPr>
              <w:t>of Decembe r 3 1, 2024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20" w:type="dxa"/>
            <w:vAlign w:val="bottom"/>
            <w:gridSpan w:val="9"/>
          </w:tcPr>
          <w:p>
            <w:pPr>
              <w:jc w:val="center"/>
              <w:spacing w:after="0"/>
              <w:rPr>
                <w:sz w:val="20"/>
                <w:szCs w:val="20"/>
                <w:color w:val="auto"/>
              </w:rPr>
            </w:pPr>
            <w:r>
              <w:rPr>
                <w:rFonts w:ascii="Times New Roman" w:cs="Times New Roman" w:eastAsia="Times New Roman" w:hAnsi="Times New Roman"/>
                <w:sz w:val="16"/>
                <w:szCs w:val="16"/>
                <w:color w:val="auto"/>
              </w:rPr>
              <w:t>AsofDecember 31,2023</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1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2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660" w:type="dxa"/>
            <w:vAlign w:val="bottom"/>
            <w:tcBorders>
              <w:bottom w:val="single" w:sz="8" w:color="403C3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1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2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Useful</w:t>
            </w:r>
          </w:p>
        </w:tc>
        <w:tc>
          <w:tcPr>
            <w:tcW w:w="84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G ross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Net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w w:val="98"/>
              </w:rPr>
              <w:t>G r oss</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8"/>
              <w:spacing w:after="0" w:line="162" w:lineRule="exact"/>
              <w:rPr>
                <w:sz w:val="20"/>
                <w:szCs w:val="20"/>
                <w:color w:val="auto"/>
              </w:rPr>
            </w:pPr>
            <w:r>
              <w:rPr>
                <w:rFonts w:ascii="Times New Roman" w:cs="Times New Roman" w:eastAsia="Times New Roman" w:hAnsi="Times New Roman"/>
                <w:sz w:val="15"/>
                <w:szCs w:val="15"/>
                <w:color w:val="auto"/>
              </w:rPr>
              <w:t>Net</w:t>
            </w:r>
          </w:p>
        </w:tc>
        <w:tc>
          <w:tcPr>
            <w:tcW w:w="0" w:type="dxa"/>
            <w:vAlign w:val="bottom"/>
          </w:tcPr>
          <w:p>
            <w:pPr>
              <w:spacing w:after="0"/>
              <w:rPr>
                <w:sz w:val="1"/>
                <w:szCs w:val="1"/>
                <w:color w:val="auto"/>
              </w:rPr>
            </w:pPr>
          </w:p>
        </w:tc>
      </w:tr>
      <w:tr>
        <w:trPr>
          <w:trHeight w:val="171"/>
        </w:trPr>
        <w:tc>
          <w:tcPr>
            <w:tcW w:w="9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3"/>
          </w:tcPr>
          <w:p>
            <w:pPr>
              <w:jc w:val="center"/>
              <w:ind w:right="220"/>
              <w:spacing w:after="0" w:line="171" w:lineRule="exact"/>
              <w:rPr>
                <w:sz w:val="20"/>
                <w:szCs w:val="20"/>
                <w:color w:val="auto"/>
              </w:rPr>
            </w:pPr>
            <w:r>
              <w:rPr>
                <w:rFonts w:ascii="Times New Roman" w:cs="Times New Roman" w:eastAsia="Times New Roman" w:hAnsi="Times New Roman"/>
                <w:sz w:val="16"/>
                <w:szCs w:val="16"/>
                <w:color w:val="auto"/>
                <w:w w:val="97"/>
              </w:rPr>
              <w:t>Life</w:t>
            </w:r>
          </w:p>
        </w:tc>
        <w:tc>
          <w:tcPr>
            <w:tcW w:w="84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color w:val="auto"/>
              </w:rPr>
              <w:t>Carrying</w:t>
            </w:r>
          </w:p>
        </w:tc>
        <w:tc>
          <w:tcPr>
            <w:tcW w:w="1200" w:type="dxa"/>
            <w:vAlign w:val="bottom"/>
            <w:gridSpan w:val="4"/>
          </w:tcPr>
          <w:p>
            <w:pPr>
              <w:ind w:left="100"/>
              <w:spacing w:after="0" w:line="171" w:lineRule="exact"/>
              <w:rPr>
                <w:sz w:val="20"/>
                <w:szCs w:val="20"/>
                <w:color w:val="auto"/>
              </w:rPr>
            </w:pPr>
            <w:r>
              <w:rPr>
                <w:rFonts w:ascii="Times New Roman" w:cs="Times New Roman" w:eastAsia="Times New Roman" w:hAnsi="Times New Roman"/>
                <w:sz w:val="16"/>
                <w:szCs w:val="16"/>
                <w:color w:val="auto"/>
              </w:rPr>
              <w:t>Accumula ted</w:t>
            </w:r>
          </w:p>
        </w:tc>
        <w:tc>
          <w:tcPr>
            <w:tcW w:w="20" w:type="dxa"/>
            <w:vAlign w:val="bottom"/>
          </w:tcPr>
          <w:p>
            <w:pPr>
              <w:spacing w:after="0"/>
              <w:rPr>
                <w:sz w:val="14"/>
                <w:szCs w:val="14"/>
                <w:color w:val="auto"/>
              </w:rPr>
            </w:pPr>
          </w:p>
        </w:tc>
        <w:tc>
          <w:tcPr>
            <w:tcW w:w="66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Carrying</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100"/>
              <w:spacing w:after="0" w:line="171" w:lineRule="exact"/>
              <w:rPr>
                <w:sz w:val="20"/>
                <w:szCs w:val="20"/>
                <w:color w:val="auto"/>
              </w:rPr>
            </w:pPr>
            <w:r>
              <w:rPr>
                <w:rFonts w:ascii="Times New Roman" w:cs="Times New Roman" w:eastAsia="Times New Roman" w:hAnsi="Times New Roman"/>
                <w:sz w:val="16"/>
                <w:szCs w:val="16"/>
                <w:color w:val="auto"/>
              </w:rPr>
              <w:t>Carrying</w:t>
            </w:r>
          </w:p>
        </w:tc>
        <w:tc>
          <w:tcPr>
            <w:tcW w:w="1200" w:type="dxa"/>
            <w:vAlign w:val="bottom"/>
            <w:gridSpan w:val="4"/>
          </w:tcPr>
          <w:p>
            <w:pPr>
              <w:jc w:val="center"/>
              <w:ind w:right="100"/>
              <w:spacing w:after="0" w:line="171" w:lineRule="exact"/>
              <w:rPr>
                <w:sz w:val="20"/>
                <w:szCs w:val="20"/>
                <w:color w:val="auto"/>
              </w:rPr>
            </w:pPr>
            <w:r>
              <w:rPr>
                <w:rFonts w:ascii="Times New Roman" w:cs="Times New Roman" w:eastAsia="Times New Roman" w:hAnsi="Times New Roman"/>
                <w:sz w:val="16"/>
                <w:szCs w:val="16"/>
                <w:color w:val="auto"/>
              </w:rPr>
              <w:t>Accumulated</w:t>
            </w:r>
          </w:p>
        </w:tc>
        <w:tc>
          <w:tcPr>
            <w:tcW w:w="20" w:type="dxa"/>
            <w:vAlign w:val="bottom"/>
          </w:tcPr>
          <w:p>
            <w:pPr>
              <w:spacing w:after="0"/>
              <w:rPr>
                <w:sz w:val="14"/>
                <w:szCs w:val="14"/>
                <w:color w:val="auto"/>
              </w:rPr>
            </w:pPr>
          </w:p>
        </w:tc>
        <w:tc>
          <w:tcPr>
            <w:tcW w:w="740" w:type="dxa"/>
            <w:vAlign w:val="bottom"/>
            <w:gridSpan w:val="2"/>
          </w:tcPr>
          <w:p>
            <w:pPr>
              <w:jc w:val="center"/>
              <w:spacing w:after="0" w:line="171" w:lineRule="exact"/>
              <w:rPr>
                <w:sz w:val="20"/>
                <w:szCs w:val="20"/>
                <w:color w:val="auto"/>
              </w:rPr>
            </w:pPr>
            <w:r>
              <w:rPr>
                <w:rFonts w:ascii="Times New Roman" w:cs="Times New Roman" w:eastAsia="Times New Roman" w:hAnsi="Times New Roman"/>
                <w:sz w:val="16"/>
                <w:szCs w:val="16"/>
                <w:color w:val="auto"/>
              </w:rPr>
              <w:t>Carrying</w:t>
            </w:r>
          </w:p>
        </w:tc>
        <w:tc>
          <w:tcPr>
            <w:tcW w:w="0" w:type="dxa"/>
            <w:vAlign w:val="bottom"/>
          </w:tcPr>
          <w:p>
            <w:pPr>
              <w:spacing w:after="0"/>
              <w:rPr>
                <w:sz w:val="1"/>
                <w:szCs w:val="1"/>
                <w:color w:val="auto"/>
              </w:rPr>
            </w:pPr>
          </w:p>
        </w:tc>
      </w:tr>
      <w:tr>
        <w:trPr>
          <w:trHeight w:val="166"/>
        </w:trPr>
        <w:tc>
          <w:tcPr>
            <w:tcW w:w="2140" w:type="dxa"/>
            <w:vAlign w:val="bottom"/>
            <w:gridSpan w:val="2"/>
          </w:tcPr>
          <w:p>
            <w:pPr>
              <w:spacing w:after="0" w:line="167" w:lineRule="exact"/>
              <w:rPr>
                <w:sz w:val="20"/>
                <w:szCs w:val="20"/>
                <w:color w:val="auto"/>
              </w:rPr>
            </w:pPr>
            <w:r>
              <w:rPr>
                <w:rFonts w:ascii="Times New Roman" w:cs="Times New Roman" w:eastAsia="Times New Roman" w:hAnsi="Times New Roman"/>
                <w:sz w:val="15"/>
                <w:szCs w:val="15"/>
                <w:color w:val="auto"/>
              </w:rPr>
              <w:t>(in thousands)</w:t>
            </w:r>
          </w:p>
        </w:tc>
        <w:tc>
          <w:tcPr>
            <w:tcW w:w="100" w:type="dxa"/>
            <w:vAlign w:val="bottom"/>
          </w:tcPr>
          <w:p>
            <w:pPr>
              <w:spacing w:after="0"/>
              <w:rPr>
                <w:sz w:val="14"/>
                <w:szCs w:val="14"/>
                <w:color w:val="auto"/>
              </w:rPr>
            </w:pPr>
          </w:p>
        </w:tc>
        <w:tc>
          <w:tcPr>
            <w:tcW w:w="1160" w:type="dxa"/>
            <w:vAlign w:val="bottom"/>
            <w:gridSpan w:val="3"/>
          </w:tcPr>
          <w:p>
            <w:pPr>
              <w:jc w:val="center"/>
              <w:ind w:right="200"/>
              <w:spacing w:after="0" w:line="167" w:lineRule="exact"/>
              <w:rPr>
                <w:sz w:val="20"/>
                <w:szCs w:val="20"/>
                <w:color w:val="auto"/>
              </w:rPr>
            </w:pPr>
            <w:r>
              <w:rPr>
                <w:rFonts w:ascii="Times New Roman" w:cs="Times New Roman" w:eastAsia="Times New Roman" w:hAnsi="Times New Roman"/>
                <w:sz w:val="15"/>
                <w:szCs w:val="15"/>
                <w:color w:val="auto"/>
              </w:rPr>
              <w:t>Range</w:t>
            </w:r>
          </w:p>
        </w:tc>
        <w:tc>
          <w:tcPr>
            <w:tcW w:w="84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5"/>
                <w:szCs w:val="15"/>
                <w:color w:val="auto"/>
              </w:rPr>
              <w:t>Amount</w:t>
            </w:r>
          </w:p>
        </w:tc>
        <w:tc>
          <w:tcPr>
            <w:tcW w:w="1200" w:type="dxa"/>
            <w:vAlign w:val="bottom"/>
            <w:gridSpan w:val="4"/>
          </w:tcPr>
          <w:p>
            <w:pPr>
              <w:ind w:left="100"/>
              <w:spacing w:after="0" w:line="167" w:lineRule="exact"/>
              <w:rPr>
                <w:sz w:val="20"/>
                <w:szCs w:val="20"/>
                <w:color w:val="auto"/>
              </w:rPr>
            </w:pPr>
            <w:r>
              <w:rPr>
                <w:rFonts w:ascii="Times New Roman" w:cs="Times New Roman" w:eastAsia="Times New Roman" w:hAnsi="Times New Roman"/>
                <w:sz w:val="15"/>
                <w:szCs w:val="15"/>
                <w:color w:val="auto"/>
              </w:rPr>
              <w:t>Amortization</w:t>
            </w:r>
          </w:p>
        </w:tc>
        <w:tc>
          <w:tcPr>
            <w:tcW w:w="20" w:type="dxa"/>
            <w:vAlign w:val="bottom"/>
          </w:tcPr>
          <w:p>
            <w:pPr>
              <w:spacing w:after="0"/>
              <w:rPr>
                <w:sz w:val="14"/>
                <w:szCs w:val="14"/>
                <w:color w:val="auto"/>
              </w:rPr>
            </w:pPr>
          </w:p>
        </w:tc>
        <w:tc>
          <w:tcPr>
            <w:tcW w:w="660" w:type="dxa"/>
            <w:vAlign w:val="bottom"/>
          </w:tcPr>
          <w:p>
            <w:pPr>
              <w:jc w:val="center"/>
              <w:spacing w:after="0" w:line="167" w:lineRule="exact"/>
              <w:rPr>
                <w:sz w:val="20"/>
                <w:szCs w:val="20"/>
                <w:color w:val="auto"/>
              </w:rPr>
            </w:pPr>
            <w:r>
              <w:rPr>
                <w:rFonts w:ascii="Times New Roman" w:cs="Times New Roman" w:eastAsia="Times New Roman" w:hAnsi="Times New Roman"/>
                <w:sz w:val="15"/>
                <w:szCs w:val="15"/>
                <w:color w:val="auto"/>
              </w:rPr>
              <w:t>Am ount</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2"/>
          </w:tcPr>
          <w:p>
            <w:pPr>
              <w:jc w:val="center"/>
              <w:ind w:right="100"/>
              <w:spacing w:after="0" w:line="167" w:lineRule="exact"/>
              <w:rPr>
                <w:sz w:val="20"/>
                <w:szCs w:val="20"/>
                <w:color w:val="auto"/>
              </w:rPr>
            </w:pPr>
            <w:r>
              <w:rPr>
                <w:rFonts w:ascii="Times New Roman" w:cs="Times New Roman" w:eastAsia="Times New Roman" w:hAnsi="Times New Roman"/>
                <w:sz w:val="15"/>
                <w:szCs w:val="15"/>
                <w:color w:val="auto"/>
              </w:rPr>
              <w:t>Amount</w:t>
            </w:r>
          </w:p>
        </w:tc>
        <w:tc>
          <w:tcPr>
            <w:tcW w:w="1200" w:type="dxa"/>
            <w:vAlign w:val="bottom"/>
            <w:gridSpan w:val="4"/>
          </w:tcPr>
          <w:p>
            <w:pPr>
              <w:jc w:val="center"/>
              <w:ind w:right="80"/>
              <w:spacing w:after="0" w:line="167" w:lineRule="exact"/>
              <w:rPr>
                <w:sz w:val="20"/>
                <w:szCs w:val="20"/>
                <w:color w:val="auto"/>
              </w:rPr>
            </w:pPr>
            <w:r>
              <w:rPr>
                <w:rFonts w:ascii="Times New Roman" w:cs="Times New Roman" w:eastAsia="Times New Roman" w:hAnsi="Times New Roman"/>
                <w:sz w:val="15"/>
                <w:szCs w:val="15"/>
                <w:color w:val="auto"/>
              </w:rPr>
              <w:t>Amortization</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ind w:right="28"/>
              <w:spacing w:after="0" w:line="167" w:lineRule="exact"/>
              <w:rPr>
                <w:sz w:val="20"/>
                <w:szCs w:val="20"/>
                <w:color w:val="auto"/>
              </w:rPr>
            </w:pPr>
            <w:r>
              <w:rPr>
                <w:rFonts w:ascii="Times New Roman" w:cs="Times New Roman" w:eastAsia="Times New Roman" w:hAnsi="Times New Roman"/>
                <w:sz w:val="15"/>
                <w:szCs w:val="15"/>
                <w:color w:val="auto"/>
              </w:rPr>
              <w:t>Amount</w:t>
            </w:r>
          </w:p>
        </w:tc>
        <w:tc>
          <w:tcPr>
            <w:tcW w:w="0" w:type="dxa"/>
            <w:vAlign w:val="bottom"/>
          </w:tcPr>
          <w:p>
            <w:pPr>
              <w:spacing w:after="0"/>
              <w:rPr>
                <w:sz w:val="1"/>
                <w:szCs w:val="1"/>
                <w:color w:val="auto"/>
              </w:rPr>
            </w:pPr>
          </w:p>
        </w:tc>
      </w:tr>
      <w:tr>
        <w:trPr>
          <w:trHeight w:val="43"/>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Amortized Intangible</w:t>
            </w:r>
          </w:p>
        </w:tc>
        <w:tc>
          <w:tcPr>
            <w:tcW w:w="100" w:type="dxa"/>
            <w:vAlign w:val="bottom"/>
          </w:tcPr>
          <w:p>
            <w:pPr>
              <w:spacing w:after="0"/>
              <w:rPr>
                <w:sz w:val="3"/>
                <w:szCs w:val="3"/>
                <w:color w:val="auto"/>
              </w:rPr>
            </w:pPr>
          </w:p>
        </w:tc>
        <w:tc>
          <w:tcPr>
            <w:tcW w:w="940" w:type="dxa"/>
            <w:vAlign w:val="bottom"/>
            <w:tcBorders>
              <w:bottom w:val="single" w:sz="8" w:color="403C3C"/>
            </w:tcBorders>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140" w:type="dxa"/>
            <w:vAlign w:val="bottom"/>
            <w:gridSpan w:val="2"/>
            <w:vMerge w:val="continue"/>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9"/>
        </w:trPr>
        <w:tc>
          <w:tcPr>
            <w:tcW w:w="2140" w:type="dxa"/>
            <w:vAlign w:val="bottom"/>
            <w:gridSpan w:val="2"/>
          </w:tcPr>
          <w:p>
            <w:pPr>
              <w:ind w:left="200"/>
              <w:spacing w:after="0" w:line="219" w:lineRule="exact"/>
              <w:rPr>
                <w:sz w:val="20"/>
                <w:szCs w:val="20"/>
                <w:color w:val="auto"/>
              </w:rPr>
            </w:pPr>
            <w:r>
              <w:rPr>
                <w:rFonts w:ascii="Times New Roman" w:cs="Times New Roman" w:eastAsia="Times New Roman" w:hAnsi="Times New Roman"/>
                <w:sz w:val="20"/>
                <w:szCs w:val="20"/>
                <w:color w:val="auto"/>
              </w:rPr>
              <w:t>Assets</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1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Student and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customer</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40" w:type="dxa"/>
            <w:vAlign w:val="bottom"/>
            <w:gridSpan w:val="2"/>
          </w:tcPr>
          <w:p>
            <w:pPr>
              <w:ind w:left="620"/>
              <w:spacing w:after="0" w:line="224" w:lineRule="exact"/>
              <w:rPr>
                <w:sz w:val="20"/>
                <w:szCs w:val="20"/>
                <w:color w:val="auto"/>
              </w:rPr>
            </w:pPr>
            <w:r>
              <w:rPr>
                <w:rFonts w:ascii="Times New Roman" w:cs="Times New Roman" w:eastAsia="Times New Roman" w:hAnsi="Times New Roman"/>
                <w:sz w:val="20"/>
                <w:szCs w:val="20"/>
                <w:color w:val="auto"/>
              </w:rPr>
              <w:t>relationships . ...</w:t>
            </w:r>
          </w:p>
        </w:tc>
        <w:tc>
          <w:tcPr>
            <w:tcW w:w="100" w:type="dxa"/>
            <w:vAlign w:val="bottom"/>
          </w:tcPr>
          <w:p>
            <w:pPr>
              <w:spacing w:after="0"/>
              <w:rPr>
                <w:sz w:val="19"/>
                <w:szCs w:val="19"/>
                <w:color w:val="auto"/>
              </w:rPr>
            </w:pPr>
          </w:p>
        </w:tc>
        <w:tc>
          <w:tcPr>
            <w:tcW w:w="1160" w:type="dxa"/>
            <w:vAlign w:val="bottom"/>
            <w:gridSpan w:val="3"/>
          </w:tcPr>
          <w:p>
            <w:pPr>
              <w:jc w:val="right"/>
              <w:ind w:right="220"/>
              <w:spacing w:after="0" w:line="222" w:lineRule="exact"/>
              <w:rPr>
                <w:sz w:val="20"/>
                <w:szCs w:val="20"/>
                <w:color w:val="auto"/>
              </w:rPr>
            </w:pPr>
            <w:r>
              <w:rPr>
                <w:rFonts w:ascii="Times New Roman" w:cs="Times New Roman" w:eastAsia="Times New Roman" w:hAnsi="Times New Roman"/>
                <w:sz w:val="20"/>
                <w:szCs w:val="20"/>
                <w:color w:val="auto"/>
              </w:rPr>
              <w:t>2-10 years</w:t>
            </w: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w w:val="95"/>
              </w:rPr>
              <w:t>$281,140</w:t>
            </w:r>
          </w:p>
        </w:tc>
        <w:tc>
          <w:tcPr>
            <w:tcW w:w="100" w:type="dxa"/>
            <w:vAlign w:val="bottom"/>
          </w:tcPr>
          <w:p>
            <w:pPr>
              <w:spacing w:after="0"/>
              <w:rPr>
                <w:sz w:val="19"/>
                <w:szCs w:val="19"/>
                <w:color w:val="auto"/>
              </w:rPr>
            </w:pPr>
          </w:p>
        </w:tc>
        <w:tc>
          <w:tcPr>
            <w:tcW w:w="940" w:type="dxa"/>
            <w:vAlign w:val="bottom"/>
            <w:gridSpan w:val="3"/>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rPr>
              <w:t>$252,969</w:t>
            </w:r>
          </w:p>
        </w:tc>
        <w:tc>
          <w:tcPr>
            <w:tcW w:w="260" w:type="dxa"/>
            <w:vAlign w:val="bottom"/>
          </w:tcPr>
          <w:p>
            <w:pPr>
              <w:spacing w:after="0"/>
              <w:rPr>
                <w:sz w:val="19"/>
                <w:szCs w:val="19"/>
                <w:color w:val="auto"/>
              </w:rPr>
            </w:pPr>
          </w:p>
        </w:tc>
        <w:tc>
          <w:tcPr>
            <w:tcW w:w="68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auto"/>
                <w:w w:val="98"/>
              </w:rPr>
              <w:t>$28,171</w:t>
            </w:r>
          </w:p>
        </w:tc>
        <w:tc>
          <w:tcPr>
            <w:tcW w:w="940" w:type="dxa"/>
            <w:vAlign w:val="bottom"/>
            <w:gridSpan w:val="4"/>
          </w:tcPr>
          <w:p>
            <w:pPr>
              <w:jc w:val="right"/>
              <w:spacing w:after="0" w:line="222" w:lineRule="exact"/>
              <w:rPr>
                <w:sz w:val="20"/>
                <w:szCs w:val="20"/>
                <w:color w:val="auto"/>
              </w:rPr>
            </w:pPr>
            <w:r>
              <w:rPr>
                <w:rFonts w:ascii="Times New Roman" w:cs="Times New Roman" w:eastAsia="Times New Roman" w:hAnsi="Times New Roman"/>
                <w:sz w:val="20"/>
                <w:szCs w:val="20"/>
                <w:color w:val="auto"/>
              </w:rPr>
              <w:t>$283,098</w:t>
            </w:r>
          </w:p>
        </w:tc>
        <w:tc>
          <w:tcPr>
            <w:tcW w:w="100" w:type="dxa"/>
            <w:vAlign w:val="bottom"/>
          </w:tcPr>
          <w:p>
            <w:pPr>
              <w:spacing w:after="0"/>
              <w:rPr>
                <w:sz w:val="19"/>
                <w:szCs w:val="19"/>
                <w:color w:val="auto"/>
              </w:rPr>
            </w:pPr>
          </w:p>
        </w:tc>
        <w:tc>
          <w:tcPr>
            <w:tcW w:w="94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0"/>
                <w:szCs w:val="20"/>
                <w:color w:val="auto"/>
              </w:rPr>
              <w:t>$236,776</w:t>
            </w:r>
          </w:p>
        </w:tc>
        <w:tc>
          <w:tcPr>
            <w:tcW w:w="260" w:type="dxa"/>
            <w:vAlign w:val="bottom"/>
          </w:tcPr>
          <w:p>
            <w:pPr>
              <w:spacing w:after="0"/>
              <w:rPr>
                <w:sz w:val="19"/>
                <w:szCs w:val="19"/>
                <w:color w:val="auto"/>
              </w:rPr>
            </w:pPr>
          </w:p>
        </w:tc>
        <w:tc>
          <w:tcPr>
            <w:tcW w:w="120" w:type="dxa"/>
            <w:vAlign w:val="bottom"/>
            <w:gridSpan w:val="2"/>
          </w:tcPr>
          <w:p>
            <w:pPr>
              <w:jc w:val="right"/>
              <w:spacing w:after="0" w:line="222" w:lineRule="exact"/>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46,322</w:t>
            </w:r>
          </w:p>
        </w:tc>
        <w:tc>
          <w:tcPr>
            <w:tcW w:w="0" w:type="dxa"/>
            <w:vAlign w:val="bottom"/>
          </w:tcPr>
          <w:p>
            <w:pPr>
              <w:spacing w:after="0"/>
              <w:rPr>
                <w:sz w:val="1"/>
                <w:szCs w:val="1"/>
                <w:color w:val="auto"/>
              </w:rPr>
            </w:pPr>
          </w:p>
        </w:tc>
      </w:tr>
      <w:tr>
        <w:trPr>
          <w:trHeight w:val="238"/>
        </w:trPr>
        <w:tc>
          <w:tcPr>
            <w:tcW w:w="21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Trade names and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14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trademarks ... ..</w:t>
            </w:r>
          </w:p>
        </w:tc>
        <w:tc>
          <w:tcPr>
            <w:tcW w:w="1260" w:type="dxa"/>
            <w:vAlign w:val="bottom"/>
            <w:gridSpan w:val="4"/>
          </w:tcPr>
          <w:p>
            <w:pPr>
              <w:ind w:left="100"/>
              <w:spacing w:after="0" w:line="243" w:lineRule="exact"/>
              <w:rPr>
                <w:sz w:val="20"/>
                <w:szCs w:val="20"/>
                <w:color w:val="auto"/>
              </w:rPr>
            </w:pPr>
            <w:r>
              <w:rPr>
                <w:rFonts w:ascii="Times New Roman" w:cs="Times New Roman" w:eastAsia="Times New Roman" w:hAnsi="Times New Roman"/>
                <w:sz w:val="20"/>
                <w:szCs w:val="20"/>
                <w:color w:val="auto"/>
              </w:rPr>
              <w:t xml:space="preserve">2-10 years </w:t>
            </w:r>
            <w:r>
              <w:rPr>
                <w:rFonts w:ascii="Arial" w:cs="Arial" w:eastAsia="Arial" w:hAnsi="Arial"/>
                <w:sz w:val="13"/>
                <w:szCs w:val="13"/>
                <w:color w:val="auto"/>
              </w:rPr>
              <w:t>&lt;</w:t>
            </w:r>
            <w:r>
              <w:rPr>
                <w:rFonts w:ascii="Times New Roman" w:cs="Times New Roman" w:eastAsia="Times New Roman" w:hAnsi="Times New Roman"/>
                <w:sz w:val="26"/>
                <w:szCs w:val="26"/>
                <w:color w:val="auto"/>
                <w:vertAlign w:val="superscript"/>
              </w:rPr>
              <w:t>1</w:t>
            </w:r>
            <w:r>
              <w:rPr>
                <w:rFonts w:ascii="Arial" w:cs="Arial" w:eastAsia="Arial" w:hAnsi="Arial"/>
                <w:sz w:val="15"/>
                <w:szCs w:val="15"/>
                <w:color w:val="auto"/>
              </w:rPr>
              <w:t>&gt;</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116,081</w:t>
            </w:r>
          </w:p>
        </w:tc>
        <w:tc>
          <w:tcPr>
            <w:tcW w:w="10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94,408</w:t>
            </w:r>
          </w:p>
        </w:tc>
        <w:tc>
          <w:tcPr>
            <w:tcW w:w="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21,673</w:t>
            </w: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143,389</w:t>
            </w:r>
          </w:p>
        </w:tc>
        <w:tc>
          <w:tcPr>
            <w:tcW w:w="100" w:type="dxa"/>
            <w:vAlign w:val="bottom"/>
          </w:tcPr>
          <w:p>
            <w:pPr>
              <w:spacing w:after="0"/>
              <w:rPr>
                <w:sz w:val="21"/>
                <w:szCs w:val="21"/>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90,558</w:t>
            </w: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52,831</w:t>
            </w:r>
          </w:p>
        </w:tc>
        <w:tc>
          <w:tcPr>
            <w:tcW w:w="0" w:type="dxa"/>
            <w:vAlign w:val="bottom"/>
          </w:tcPr>
          <w:p>
            <w:pPr>
              <w:spacing w:after="0"/>
              <w:rPr>
                <w:sz w:val="1"/>
                <w:szCs w:val="1"/>
                <w:color w:val="auto"/>
              </w:rPr>
            </w:pPr>
          </w:p>
        </w:tc>
      </w:tr>
      <w:tr>
        <w:trPr>
          <w:trHeight w:val="224"/>
        </w:trPr>
        <w:tc>
          <w:tcPr>
            <w:tcW w:w="2140" w:type="dxa"/>
            <w:vAlign w:val="bottom"/>
            <w:gridSpan w:val="2"/>
          </w:tcPr>
          <w:p>
            <w:pPr>
              <w:ind w:left="400"/>
              <w:spacing w:after="0" w:line="224" w:lineRule="exact"/>
              <w:rPr>
                <w:sz w:val="20"/>
                <w:szCs w:val="20"/>
                <w:color w:val="auto"/>
              </w:rPr>
            </w:pPr>
            <w:r>
              <w:rPr>
                <w:rFonts w:ascii="Times New Roman" w:cs="Times New Roman" w:eastAsia="Times New Roman" w:hAnsi="Times New Roman"/>
                <w:sz w:val="20"/>
                <w:szCs w:val="20"/>
                <w:color w:val="auto"/>
              </w:rPr>
              <w:t>Network affiliation</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40" w:type="dxa"/>
            <w:vAlign w:val="bottom"/>
            <w:gridSpan w:val="2"/>
          </w:tcPr>
          <w:p>
            <w:pPr>
              <w:ind w:left="600"/>
              <w:spacing w:after="0" w:line="229" w:lineRule="exact"/>
              <w:rPr>
                <w:sz w:val="20"/>
                <w:szCs w:val="20"/>
                <w:color w:val="auto"/>
              </w:rPr>
            </w:pPr>
            <w:r>
              <w:rPr>
                <w:rFonts w:ascii="Times New Roman" w:cs="Times New Roman" w:eastAsia="Times New Roman" w:hAnsi="Times New Roman"/>
                <w:sz w:val="20"/>
                <w:szCs w:val="20"/>
                <w:color w:val="auto"/>
              </w:rPr>
              <w:t>agreements . . ...</w:t>
            </w:r>
          </w:p>
        </w:tc>
        <w:tc>
          <w:tcPr>
            <w:tcW w:w="100" w:type="dxa"/>
            <w:vAlign w:val="bottom"/>
          </w:tcPr>
          <w:p>
            <w:pPr>
              <w:spacing w:after="0"/>
              <w:rPr>
                <w:sz w:val="19"/>
                <w:szCs w:val="19"/>
                <w:color w:val="auto"/>
              </w:rPr>
            </w:pPr>
          </w:p>
        </w:tc>
        <w:tc>
          <w:tcPr>
            <w:tcW w:w="1160" w:type="dxa"/>
            <w:vAlign w:val="bottom"/>
            <w:gridSpan w:val="3"/>
          </w:tcPr>
          <w:p>
            <w:pPr>
              <w:jc w:val="right"/>
              <w:ind w:right="220"/>
              <w:spacing w:after="0" w:line="227" w:lineRule="exact"/>
              <w:rPr>
                <w:sz w:val="20"/>
                <w:szCs w:val="20"/>
                <w:color w:val="auto"/>
              </w:rPr>
            </w:pPr>
            <w:r>
              <w:rPr>
                <w:rFonts w:ascii="Times New Roman" w:cs="Times New Roman" w:eastAsia="Times New Roman" w:hAnsi="Times New Roman"/>
                <w:sz w:val="20"/>
                <w:szCs w:val="20"/>
                <w:color w:val="auto"/>
              </w:rPr>
              <w:t>10 years</w:t>
            </w:r>
          </w:p>
        </w:tc>
        <w:tc>
          <w:tcPr>
            <w:tcW w:w="84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20"/>
                <w:szCs w:val="20"/>
                <w:color w:val="auto"/>
              </w:rPr>
              <w:t>17,400</w:t>
            </w:r>
          </w:p>
        </w:tc>
        <w:tc>
          <w:tcPr>
            <w:tcW w:w="9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auto"/>
              </w:rPr>
              <w:t>13,848</w:t>
            </w:r>
          </w:p>
        </w:tc>
        <w:tc>
          <w:tcPr>
            <w:tcW w:w="260" w:type="dxa"/>
            <w:vAlign w:val="bottom"/>
          </w:tcPr>
          <w:p>
            <w:pPr>
              <w:spacing w:after="0"/>
              <w:rPr>
                <w:sz w:val="19"/>
                <w:szCs w:val="19"/>
                <w:color w:val="auto"/>
              </w:rPr>
            </w:pPr>
          </w:p>
        </w:tc>
        <w:tc>
          <w:tcPr>
            <w:tcW w:w="6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3,552</w:t>
            </w:r>
          </w:p>
        </w:tc>
        <w:tc>
          <w:tcPr>
            <w:tcW w:w="1040" w:type="dxa"/>
            <w:vAlign w:val="bottom"/>
            <w:gridSpan w:val="5"/>
          </w:tcPr>
          <w:p>
            <w:pPr>
              <w:jc w:val="right"/>
              <w:ind w:right="100"/>
              <w:spacing w:after="0" w:line="227" w:lineRule="exact"/>
              <w:rPr>
                <w:sz w:val="20"/>
                <w:szCs w:val="20"/>
                <w:color w:val="auto"/>
              </w:rPr>
            </w:pPr>
            <w:r>
              <w:rPr>
                <w:rFonts w:ascii="Times New Roman" w:cs="Times New Roman" w:eastAsia="Times New Roman" w:hAnsi="Times New Roman"/>
                <w:sz w:val="20"/>
                <w:szCs w:val="20"/>
                <w:color w:val="auto"/>
              </w:rPr>
              <w:t>17,400</w:t>
            </w:r>
          </w:p>
        </w:tc>
        <w:tc>
          <w:tcPr>
            <w:tcW w:w="9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auto"/>
              </w:rPr>
              <w:t>13,348</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4,052</w:t>
            </w:r>
          </w:p>
        </w:tc>
        <w:tc>
          <w:tcPr>
            <w:tcW w:w="0" w:type="dxa"/>
            <w:vAlign w:val="bottom"/>
          </w:tcPr>
          <w:p>
            <w:pPr>
              <w:spacing w:after="0"/>
              <w:rPr>
                <w:sz w:val="1"/>
                <w:szCs w:val="1"/>
                <w:color w:val="auto"/>
              </w:rPr>
            </w:pPr>
          </w:p>
        </w:tc>
      </w:tr>
      <w:tr>
        <w:trPr>
          <w:trHeight w:val="243"/>
        </w:trPr>
        <w:tc>
          <w:tcPr>
            <w:tcW w:w="21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Databases and</w:t>
            </w: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14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0"/>
                <w:szCs w:val="20"/>
                <w:color w:val="auto"/>
              </w:rPr>
              <w:t>technology . ... .</w:t>
            </w:r>
          </w:p>
        </w:tc>
        <w:tc>
          <w:tcPr>
            <w:tcW w:w="100" w:type="dxa"/>
            <w:vAlign w:val="bottom"/>
          </w:tcPr>
          <w:p>
            <w:pPr>
              <w:spacing w:after="0"/>
              <w:rPr>
                <w:sz w:val="19"/>
                <w:szCs w:val="19"/>
                <w:color w:val="auto"/>
              </w:rPr>
            </w:pPr>
          </w:p>
        </w:tc>
        <w:tc>
          <w:tcPr>
            <w:tcW w:w="1160" w:type="dxa"/>
            <w:vAlign w:val="bottom"/>
            <w:gridSpan w:val="3"/>
          </w:tcPr>
          <w:p>
            <w:pPr>
              <w:jc w:val="right"/>
              <w:ind w:right="220"/>
              <w:spacing w:after="0" w:line="222" w:lineRule="exact"/>
              <w:rPr>
                <w:sz w:val="20"/>
                <w:szCs w:val="20"/>
                <w:color w:val="auto"/>
              </w:rPr>
            </w:pPr>
            <w:r>
              <w:rPr>
                <w:rFonts w:ascii="Times New Roman" w:cs="Times New Roman" w:eastAsia="Times New Roman" w:hAnsi="Times New Roman"/>
                <w:sz w:val="20"/>
                <w:szCs w:val="20"/>
                <w:color w:val="auto"/>
              </w:rPr>
              <w:t>3- 6 years</w:t>
            </w:r>
          </w:p>
        </w:tc>
        <w:tc>
          <w:tcPr>
            <w:tcW w:w="840" w:type="dxa"/>
            <w:vAlign w:val="bottom"/>
            <w:gridSpan w:val="2"/>
          </w:tcPr>
          <w:p>
            <w:pPr>
              <w:jc w:val="right"/>
              <w:ind w:right="100"/>
              <w:spacing w:after="0" w:line="222" w:lineRule="exact"/>
              <w:rPr>
                <w:sz w:val="20"/>
                <w:szCs w:val="20"/>
                <w:color w:val="auto"/>
              </w:rPr>
            </w:pPr>
            <w:r>
              <w:rPr>
                <w:rFonts w:ascii="Times New Roman" w:cs="Times New Roman" w:eastAsia="Times New Roman" w:hAnsi="Times New Roman"/>
                <w:sz w:val="20"/>
                <w:szCs w:val="20"/>
                <w:color w:val="auto"/>
              </w:rPr>
              <w:t>33,290</w:t>
            </w:r>
          </w:p>
        </w:tc>
        <w:tc>
          <w:tcPr>
            <w:tcW w:w="940" w:type="dxa"/>
            <w:vAlign w:val="bottom"/>
            <w:gridSpan w:val="3"/>
          </w:tcPr>
          <w:p>
            <w:pPr>
              <w:jc w:val="right"/>
              <w:ind w:right="20"/>
              <w:spacing w:after="0" w:line="222" w:lineRule="exact"/>
              <w:rPr>
                <w:sz w:val="20"/>
                <w:szCs w:val="20"/>
                <w:color w:val="auto"/>
              </w:rPr>
            </w:pPr>
            <w:r>
              <w:rPr>
                <w:rFonts w:ascii="Times New Roman" w:cs="Times New Roman" w:eastAsia="Times New Roman" w:hAnsi="Times New Roman"/>
                <w:sz w:val="20"/>
                <w:szCs w:val="20"/>
                <w:color w:val="auto"/>
              </w:rPr>
              <w:t>33,290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4"/>
          </w:tcPr>
          <w:p>
            <w:pPr>
              <w:jc w:val="right"/>
              <w:spacing w:after="0" w:line="222" w:lineRule="exact"/>
              <w:rPr>
                <w:sz w:val="20"/>
                <w:szCs w:val="20"/>
                <w:color w:val="auto"/>
              </w:rPr>
            </w:pPr>
            <w:r>
              <w:rPr>
                <w:rFonts w:ascii="Times New Roman" w:cs="Times New Roman" w:eastAsia="Times New Roman" w:hAnsi="Times New Roman"/>
                <w:sz w:val="20"/>
                <w:szCs w:val="20"/>
                <w:color w:val="auto"/>
              </w:rPr>
              <w:t>36,538</w:t>
            </w:r>
          </w:p>
        </w:tc>
        <w:tc>
          <w:tcPr>
            <w:tcW w:w="100" w:type="dxa"/>
            <w:vAlign w:val="bottom"/>
          </w:tcPr>
          <w:p>
            <w:pPr>
              <w:spacing w:after="0"/>
              <w:rPr>
                <w:sz w:val="19"/>
                <w:szCs w:val="19"/>
                <w:color w:val="auto"/>
              </w:rPr>
            </w:pPr>
          </w:p>
        </w:tc>
        <w:tc>
          <w:tcPr>
            <w:tcW w:w="940" w:type="dxa"/>
            <w:vAlign w:val="bottom"/>
            <w:gridSpan w:val="3"/>
          </w:tcPr>
          <w:p>
            <w:pPr>
              <w:jc w:val="right"/>
              <w:spacing w:after="0" w:line="222" w:lineRule="exact"/>
              <w:rPr>
                <w:sz w:val="20"/>
                <w:szCs w:val="20"/>
                <w:color w:val="auto"/>
              </w:rPr>
            </w:pPr>
            <w:r>
              <w:rPr>
                <w:rFonts w:ascii="Times New Roman" w:cs="Times New Roman" w:eastAsia="Times New Roman" w:hAnsi="Times New Roman"/>
                <w:sz w:val="20"/>
                <w:szCs w:val="20"/>
                <w:color w:val="auto"/>
              </w:rPr>
              <w:t>35,7 12</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826</w:t>
            </w:r>
          </w:p>
        </w:tc>
        <w:tc>
          <w:tcPr>
            <w:tcW w:w="0" w:type="dxa"/>
            <w:vAlign w:val="bottom"/>
          </w:tcPr>
          <w:p>
            <w:pPr>
              <w:spacing w:after="0"/>
              <w:rPr>
                <w:sz w:val="1"/>
                <w:szCs w:val="1"/>
                <w:color w:val="auto"/>
              </w:rPr>
            </w:pPr>
          </w:p>
        </w:tc>
      </w:tr>
      <w:tr>
        <w:trPr>
          <w:trHeight w:val="229"/>
        </w:trPr>
        <w:tc>
          <w:tcPr>
            <w:tcW w:w="21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Other  ..... .. ... .</w:t>
            </w:r>
          </w:p>
        </w:tc>
        <w:tc>
          <w:tcPr>
            <w:tcW w:w="100" w:type="dxa"/>
            <w:vAlign w:val="bottom"/>
          </w:tcPr>
          <w:p>
            <w:pPr>
              <w:spacing w:after="0"/>
              <w:rPr>
                <w:sz w:val="19"/>
                <w:szCs w:val="19"/>
                <w:color w:val="auto"/>
              </w:rPr>
            </w:pPr>
          </w:p>
        </w:tc>
        <w:tc>
          <w:tcPr>
            <w:tcW w:w="1160" w:type="dxa"/>
            <w:vAlign w:val="bottom"/>
            <w:gridSpan w:val="3"/>
          </w:tcPr>
          <w:p>
            <w:pPr>
              <w:jc w:val="right"/>
              <w:ind w:right="220"/>
              <w:spacing w:after="0" w:line="227" w:lineRule="exact"/>
              <w:rPr>
                <w:sz w:val="20"/>
                <w:szCs w:val="20"/>
                <w:color w:val="auto"/>
              </w:rPr>
            </w:pPr>
            <w:r>
              <w:rPr>
                <w:rFonts w:ascii="Times New Roman" w:cs="Times New Roman" w:eastAsia="Times New Roman" w:hAnsi="Times New Roman"/>
                <w:sz w:val="20"/>
                <w:szCs w:val="20"/>
                <w:color w:val="auto"/>
              </w:rPr>
              <w:t>1- 8 years</w:t>
            </w:r>
          </w:p>
        </w:tc>
        <w:tc>
          <w:tcPr>
            <w:tcW w:w="840" w:type="dxa"/>
            <w:vAlign w:val="bottom"/>
            <w:gridSpan w:val="2"/>
          </w:tcPr>
          <w:p>
            <w:pPr>
              <w:jc w:val="right"/>
              <w:ind w:right="100"/>
              <w:spacing w:after="0" w:line="227" w:lineRule="exact"/>
              <w:rPr>
                <w:sz w:val="20"/>
                <w:szCs w:val="20"/>
                <w:color w:val="auto"/>
              </w:rPr>
            </w:pPr>
            <w:r>
              <w:rPr>
                <w:rFonts w:ascii="Times New Roman" w:cs="Times New Roman" w:eastAsia="Times New Roman" w:hAnsi="Times New Roman"/>
                <w:sz w:val="20"/>
                <w:szCs w:val="20"/>
                <w:color w:val="auto"/>
              </w:rPr>
              <w:t>41,514</w:t>
            </w:r>
          </w:p>
        </w:tc>
        <w:tc>
          <w:tcPr>
            <w:tcW w:w="940" w:type="dxa"/>
            <w:vAlign w:val="bottom"/>
            <w:gridSpan w:val="3"/>
          </w:tcPr>
          <w:p>
            <w:pPr>
              <w:jc w:val="right"/>
              <w:ind w:right="20"/>
              <w:spacing w:after="0" w:line="227" w:lineRule="exact"/>
              <w:rPr>
                <w:sz w:val="20"/>
                <w:szCs w:val="20"/>
                <w:color w:val="auto"/>
              </w:rPr>
            </w:pPr>
            <w:r>
              <w:rPr>
                <w:rFonts w:ascii="Times New Roman" w:cs="Times New Roman" w:eastAsia="Times New Roman" w:hAnsi="Times New Roman"/>
                <w:sz w:val="20"/>
                <w:szCs w:val="20"/>
                <w:color w:val="auto"/>
              </w:rPr>
              <w:t>38,214</w:t>
            </w:r>
          </w:p>
        </w:tc>
        <w:tc>
          <w:tcPr>
            <w:tcW w:w="260" w:type="dxa"/>
            <w:vAlign w:val="bottom"/>
          </w:tcPr>
          <w:p>
            <w:pPr>
              <w:spacing w:after="0"/>
              <w:rPr>
                <w:sz w:val="19"/>
                <w:szCs w:val="19"/>
                <w:color w:val="auto"/>
              </w:rPr>
            </w:pPr>
          </w:p>
        </w:tc>
        <w:tc>
          <w:tcPr>
            <w:tcW w:w="680" w:type="dxa"/>
            <w:vAlign w:val="bottom"/>
            <w:gridSpan w:val="2"/>
          </w:tcPr>
          <w:p>
            <w:pPr>
              <w:jc w:val="right"/>
              <w:spacing w:after="0" w:line="227" w:lineRule="exact"/>
              <w:rPr>
                <w:sz w:val="20"/>
                <w:szCs w:val="20"/>
                <w:color w:val="auto"/>
              </w:rPr>
            </w:pPr>
            <w:r>
              <w:rPr>
                <w:rFonts w:ascii="Times New Roman" w:cs="Times New Roman" w:eastAsia="Times New Roman" w:hAnsi="Times New Roman"/>
                <w:sz w:val="20"/>
                <w:szCs w:val="20"/>
                <w:color w:val="auto"/>
              </w:rPr>
              <w:t>3,300</w:t>
            </w:r>
          </w:p>
        </w:tc>
        <w:tc>
          <w:tcPr>
            <w:tcW w:w="94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0"/>
                <w:szCs w:val="20"/>
                <w:color w:val="auto"/>
              </w:rPr>
              <w:t>4 1,327</w:t>
            </w:r>
          </w:p>
        </w:tc>
        <w:tc>
          <w:tcPr>
            <w:tcW w:w="100" w:type="dxa"/>
            <w:vAlign w:val="bottom"/>
          </w:tcPr>
          <w:p>
            <w:pPr>
              <w:spacing w:after="0"/>
              <w:rPr>
                <w:sz w:val="19"/>
                <w:szCs w:val="19"/>
                <w:color w:val="auto"/>
              </w:rPr>
            </w:pPr>
          </w:p>
        </w:tc>
        <w:tc>
          <w:tcPr>
            <w:tcW w:w="940" w:type="dxa"/>
            <w:vAlign w:val="bottom"/>
            <w:gridSpan w:val="3"/>
          </w:tcPr>
          <w:p>
            <w:pPr>
              <w:jc w:val="right"/>
              <w:spacing w:after="0" w:line="227" w:lineRule="exact"/>
              <w:rPr>
                <w:sz w:val="20"/>
                <w:szCs w:val="20"/>
                <w:color w:val="auto"/>
              </w:rPr>
            </w:pPr>
            <w:r>
              <w:rPr>
                <w:rFonts w:ascii="Times New Roman" w:cs="Times New Roman" w:eastAsia="Times New Roman" w:hAnsi="Times New Roman"/>
                <w:sz w:val="20"/>
                <w:szCs w:val="20"/>
                <w:color w:val="auto"/>
              </w:rPr>
              <w:t>33, 164</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line="227" w:lineRule="exact"/>
              <w:rPr>
                <w:sz w:val="20"/>
                <w:szCs w:val="20"/>
                <w:color w:val="auto"/>
              </w:rPr>
            </w:pPr>
            <w:r>
              <w:rPr>
                <w:rFonts w:ascii="Times New Roman" w:cs="Times New Roman" w:eastAsia="Times New Roman" w:hAnsi="Times New Roman"/>
                <w:sz w:val="20"/>
                <w:szCs w:val="20"/>
                <w:color w:val="auto"/>
              </w:rPr>
              <w:t>8,163</w:t>
            </w:r>
          </w:p>
        </w:tc>
        <w:tc>
          <w:tcPr>
            <w:tcW w:w="0" w:type="dxa"/>
            <w:vAlign w:val="bottom"/>
          </w:tcPr>
          <w:p>
            <w:pPr>
              <w:spacing w:after="0"/>
              <w:rPr>
                <w:sz w:val="1"/>
                <w:szCs w:val="1"/>
                <w:color w:val="auto"/>
              </w:rPr>
            </w:pPr>
          </w:p>
        </w:tc>
      </w:tr>
      <w:tr>
        <w:trPr>
          <w:trHeight w:val="42"/>
        </w:trPr>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180" w:type="dxa"/>
            <w:vAlign w:val="bottom"/>
            <w:gridSpan w:val="3"/>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64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9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$489,425</w:t>
            </w:r>
          </w:p>
        </w:tc>
        <w:tc>
          <w:tcPr>
            <w:tcW w:w="100" w:type="dxa"/>
            <w:vAlign w:val="bottom"/>
          </w:tcPr>
          <w:p>
            <w:pPr>
              <w:spacing w:after="0"/>
              <w:rPr>
                <w:sz w:val="21"/>
                <w:szCs w:val="21"/>
                <w:color w:val="auto"/>
              </w:rPr>
            </w:pPr>
          </w:p>
        </w:tc>
        <w:tc>
          <w:tcPr>
            <w:tcW w:w="9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$432,729</w:t>
            </w:r>
          </w:p>
        </w:tc>
        <w:tc>
          <w:tcPr>
            <w:tcW w:w="2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$56,696</w:t>
            </w:r>
          </w:p>
        </w:tc>
        <w:tc>
          <w:tcPr>
            <w:tcW w:w="1040" w:type="dxa"/>
            <w:vAlign w:val="bottom"/>
            <w:gridSpan w:val="5"/>
          </w:tcPr>
          <w:p>
            <w:pPr>
              <w:jc w:val="right"/>
              <w:ind w:right="100"/>
              <w:spacing w:after="0"/>
              <w:rPr>
                <w:sz w:val="20"/>
                <w:szCs w:val="20"/>
                <w:color w:val="auto"/>
              </w:rPr>
            </w:pPr>
            <w:r>
              <w:rPr>
                <w:rFonts w:ascii="Times New Roman" w:cs="Times New Roman" w:eastAsia="Times New Roman" w:hAnsi="Times New Roman"/>
                <w:sz w:val="20"/>
                <w:szCs w:val="20"/>
                <w:color w:val="auto"/>
              </w:rPr>
              <w:t>$521,752</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$409,558</w:t>
            </w:r>
          </w:p>
        </w:tc>
        <w:tc>
          <w:tcPr>
            <w:tcW w:w="26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112,194</w:t>
            </w:r>
          </w:p>
        </w:tc>
        <w:tc>
          <w:tcPr>
            <w:tcW w:w="0" w:type="dxa"/>
            <w:vAlign w:val="bottom"/>
          </w:tcPr>
          <w:p>
            <w:pPr>
              <w:spacing w:after="0"/>
              <w:rPr>
                <w:sz w:val="1"/>
                <w:szCs w:val="1"/>
                <w:color w:val="auto"/>
              </w:rPr>
            </w:pPr>
          </w:p>
        </w:tc>
      </w:tr>
      <w:tr>
        <w:trPr>
          <w:trHeight w:val="44"/>
        </w:trPr>
        <w:tc>
          <w:tcPr>
            <w:tcW w:w="21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Indefinite-Lived</w:t>
            </w: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760" w:type="dxa"/>
            <w:vAlign w:val="bottom"/>
            <w:tcBorders>
              <w:bottom w:val="single" w:sz="8" w:color="0C080C"/>
            </w:tcBorders>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64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89"/>
        </w:trPr>
        <w:tc>
          <w:tcPr>
            <w:tcW w:w="21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14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Intangible Assets</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1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Franchise</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140" w:type="dxa"/>
            <w:vAlign w:val="bottom"/>
            <w:gridSpan w:val="2"/>
          </w:tcPr>
          <w:p>
            <w:pPr>
              <w:ind w:left="600"/>
              <w:spacing w:after="0"/>
              <w:rPr>
                <w:sz w:val="20"/>
                <w:szCs w:val="20"/>
                <w:color w:val="auto"/>
              </w:rPr>
            </w:pPr>
            <w:r>
              <w:rPr>
                <w:rFonts w:ascii="Times New Roman" w:cs="Times New Roman" w:eastAsia="Times New Roman" w:hAnsi="Times New Roman"/>
                <w:sz w:val="20"/>
                <w:szCs w:val="20"/>
                <w:color w:val="auto"/>
              </w:rPr>
              <w:t>agreements ....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$ 92,158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gridSpan w:val="4"/>
          </w:tcPr>
          <w:p>
            <w:pPr>
              <w:jc w:val="right"/>
              <w:spacing w:after="0" w:line="238" w:lineRule="exact"/>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92,158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2140" w:type="dxa"/>
            <w:vAlign w:val="bottom"/>
            <w:gridSpan w:val="2"/>
          </w:tcPr>
          <w:p>
            <w:pPr>
              <w:ind w:left="380"/>
              <w:spacing w:after="0"/>
              <w:rPr>
                <w:sz w:val="20"/>
                <w:szCs w:val="20"/>
                <w:color w:val="auto"/>
              </w:rPr>
            </w:pPr>
            <w:r>
              <w:rPr>
                <w:rFonts w:ascii="Times New Roman" w:cs="Times New Roman" w:eastAsia="Times New Roman" w:hAnsi="Times New Roman"/>
                <w:sz w:val="20"/>
                <w:szCs w:val="20"/>
                <w:color w:val="auto"/>
              </w:rPr>
              <w:t>Trade names and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2140" w:type="dxa"/>
            <w:vAlign w:val="bottom"/>
            <w:gridSpan w:val="2"/>
          </w:tcPr>
          <w:p>
            <w:pPr>
              <w:ind w:left="600"/>
              <w:spacing w:after="0" w:line="224" w:lineRule="exact"/>
              <w:rPr>
                <w:sz w:val="20"/>
                <w:szCs w:val="20"/>
                <w:color w:val="auto"/>
              </w:rPr>
            </w:pPr>
            <w:r>
              <w:rPr>
                <w:rFonts w:ascii="Times New Roman" w:cs="Times New Roman" w:eastAsia="Times New Roman" w:hAnsi="Times New Roman"/>
                <w:sz w:val="20"/>
                <w:szCs w:val="20"/>
                <w:color w:val="auto"/>
              </w:rPr>
              <w:t>trademarks . . . . .</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jc w:val="right"/>
              <w:spacing w:after="0" w:line="222" w:lineRule="exact"/>
              <w:rPr>
                <w:sz w:val="20"/>
                <w:szCs w:val="20"/>
                <w:color w:val="auto"/>
              </w:rPr>
            </w:pPr>
            <w:r>
              <w:rPr>
                <w:rFonts w:ascii="Times New Roman" w:cs="Times New Roman" w:eastAsia="Times New Roman" w:hAnsi="Times New Roman"/>
                <w:sz w:val="20"/>
                <w:szCs w:val="20"/>
                <w:color w:val="auto"/>
              </w:rPr>
              <w:t>60,994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940" w:type="dxa"/>
            <w:vAlign w:val="bottom"/>
            <w:gridSpan w:val="4"/>
          </w:tcPr>
          <w:p>
            <w:pPr>
              <w:jc w:val="right"/>
              <w:spacing w:after="0" w:line="222" w:lineRule="exact"/>
              <w:rPr>
                <w:sz w:val="20"/>
                <w:szCs w:val="20"/>
                <w:color w:val="auto"/>
              </w:rPr>
            </w:pPr>
            <w:r>
              <w:rPr>
                <w:rFonts w:ascii="Times New Roman" w:cs="Times New Roman" w:eastAsia="Times New Roman" w:hAnsi="Times New Roman"/>
                <w:sz w:val="20"/>
                <w:szCs w:val="20"/>
                <w:color w:val="auto"/>
              </w:rPr>
              <w:t>84,533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214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FCC licenses  ....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40" w:type="dxa"/>
            <w:vAlign w:val="bottom"/>
            <w:gridSpan w:val="5"/>
          </w:tcPr>
          <w:p>
            <w:pPr>
              <w:jc w:val="right"/>
              <w:ind w:right="100"/>
              <w:spacing w:after="0" w:line="227" w:lineRule="exact"/>
              <w:rPr>
                <w:sz w:val="20"/>
                <w:szCs w:val="20"/>
                <w:color w:val="auto"/>
              </w:rPr>
            </w:pPr>
            <w:r>
              <w:rPr>
                <w:rFonts w:ascii="Times New Roman" w:cs="Times New Roman" w:eastAsia="Times New Roman" w:hAnsi="Times New Roman"/>
                <w:sz w:val="20"/>
                <w:szCs w:val="20"/>
                <w:color w:val="auto"/>
              </w:rPr>
              <w:t>11 ,000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40" w:type="dxa"/>
            <w:vAlign w:val="bottom"/>
            <w:gridSpan w:val="2"/>
          </w:tcPr>
          <w:p>
            <w:pPr>
              <w:ind w:left="400"/>
              <w:spacing w:after="0" w:line="229" w:lineRule="exact"/>
              <w:rPr>
                <w:sz w:val="20"/>
                <w:szCs w:val="20"/>
                <w:color w:val="auto"/>
              </w:rPr>
            </w:pPr>
            <w:r>
              <w:rPr>
                <w:rFonts w:ascii="Times New Roman" w:cs="Times New Roman" w:eastAsia="Times New Roman" w:hAnsi="Times New Roman"/>
                <w:sz w:val="20"/>
                <w:szCs w:val="20"/>
                <w:color w:val="auto"/>
              </w:rPr>
              <w:t>Other  .... . ..... .</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40" w:type="dxa"/>
            <w:vAlign w:val="bottom"/>
            <w:gridSpan w:val="4"/>
          </w:tcPr>
          <w:p>
            <w:pPr>
              <w:jc w:val="right"/>
              <w:spacing w:after="0" w:line="227" w:lineRule="exact"/>
              <w:rPr>
                <w:sz w:val="20"/>
                <w:szCs w:val="20"/>
                <w:color w:val="auto"/>
              </w:rPr>
            </w:pPr>
            <w:r>
              <w:rPr>
                <w:rFonts w:ascii="Times New Roman" w:cs="Times New Roman" w:eastAsia="Times New Roman" w:hAnsi="Times New Roman"/>
                <w:sz w:val="20"/>
                <w:szCs w:val="20"/>
                <w:color w:val="auto"/>
              </w:rPr>
              <w:t>171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5"/>
        </w:trPr>
        <w:tc>
          <w:tcPr>
            <w:tcW w:w="9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$164,323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$ 187,862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
        </w:trPr>
        <w:tc>
          <w:tcPr>
            <w:tcW w:w="9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960" w:type="dxa"/>
            <w:vAlign w:val="bottom"/>
            <w:tcBorders>
              <w:bottom w:val="single" w:sz="8" w:color="303030"/>
            </w:tcBorders>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50" w:lineRule="exact"/>
        <w:rPr>
          <w:sz w:val="20"/>
          <w:szCs w:val="20"/>
          <w:color w:val="auto"/>
        </w:rPr>
      </w:pPr>
    </w:p>
    <w:p>
      <w:pPr>
        <w:ind w:left="120"/>
        <w:spacing w:after="0"/>
        <w:tabs>
          <w:tab w:leader="none" w:pos="420" w:val="left"/>
        </w:tabs>
        <w:rPr>
          <w:sz w:val="20"/>
          <w:szCs w:val="20"/>
          <w:color w:val="auto"/>
        </w:rPr>
      </w:pPr>
      <w:r>
        <w:rPr>
          <w:rFonts w:ascii="Times New Roman" w:cs="Times New Roman" w:eastAsia="Times New Roman" w:hAnsi="Times New Roman"/>
          <w:sz w:val="15"/>
          <w:szCs w:val="15"/>
          <w:color w:val="auto"/>
        </w:rPr>
        <w:t>( I)</w:t>
        <w:tab/>
        <w:t>As of December 31. 2023, the trade names alild trademarks' maximum useful life was  IS years.</w:t>
      </w:r>
    </w:p>
    <w:p>
      <w:pPr>
        <w:sectPr>
          <w:pgSz w:w="12240" w:h="15850" w:orient="portrait"/>
          <w:cols w:equalWidth="0" w:num="1">
            <w:col w:w="9365"/>
          </w:cols>
          <w:pgMar w:left="1440" w:top="1377" w:right="1440" w:bottom="717" w:gutter="0" w:footer="0" w:header="0"/>
        </w:sectPr>
      </w:pPr>
    </w:p>
    <w:p>
      <w:pPr>
        <w:spacing w:after="0" w:line="200" w:lineRule="exact"/>
        <w:rPr>
          <w:sz w:val="20"/>
          <w:szCs w:val="20"/>
          <w:color w:val="auto"/>
        </w:rPr>
      </w:pPr>
    </w:p>
    <w:p>
      <w:pPr>
        <w:spacing w:after="0" w:line="307"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116</w:t>
        <w:tab/>
        <w:t>2024 FORM 10-K</w:t>
      </w:r>
    </w:p>
    <w:p>
      <w:pPr>
        <w:sectPr>
          <w:pgSz w:w="12240" w:h="15850" w:orient="portrait"/>
          <w:cols w:equalWidth="0" w:num="1">
            <w:col w:w="9365"/>
          </w:cols>
          <w:pgMar w:left="1440" w:top="1377" w:right="1440" w:bottom="717" w:gutter="0" w:footer="0" w:header="0"/>
          <w:type w:val="continuous"/>
        </w:sectPr>
      </w:pPr>
    </w:p>
    <w:bookmarkStart w:id="132" w:name="page133"/>
    <w:bookmarkEnd w:id="132"/>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40">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10. INCOME TAXES</w:t>
      </w:r>
    </w:p>
    <w:p>
      <w:pPr>
        <w:spacing w:after="0" w:line="1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income before income taxes consists of the following :</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6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00" w:type="dxa"/>
            <w:vAlign w:val="bottom"/>
            <w:gridSpan w:val="8"/>
          </w:tcPr>
          <w:p>
            <w:pPr>
              <w:jc w:val="right"/>
              <w:ind w:right="431"/>
              <w:spacing w:after="0"/>
              <w:rPr>
                <w:sz w:val="20"/>
                <w:szCs w:val="20"/>
                <w:color w:val="auto"/>
              </w:rPr>
            </w:pPr>
            <w:r>
              <w:rPr>
                <w:rFonts w:ascii="Times New Roman" w:cs="Times New Roman" w:eastAsia="Times New Roman" w:hAnsi="Times New Roman"/>
                <w:sz w:val="16"/>
                <w:szCs w:val="16"/>
                <w:color w:val="auto"/>
              </w:rPr>
              <w:t>Yea r Ended December 31</w:t>
            </w:r>
          </w:p>
        </w:tc>
      </w:tr>
      <w:tr>
        <w:trPr>
          <w:trHeight w:val="33"/>
        </w:trPr>
        <w:tc>
          <w:tcPr>
            <w:tcW w:w="56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141414"/>
            </w:tcBorders>
          </w:tcPr>
          <w:p>
            <w:pPr>
              <w:spacing w:after="0"/>
              <w:rPr>
                <w:sz w:val="2"/>
                <w:szCs w:val="2"/>
                <w:color w:val="auto"/>
              </w:rPr>
            </w:pPr>
          </w:p>
        </w:tc>
        <w:tc>
          <w:tcPr>
            <w:tcW w:w="80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180" w:type="dxa"/>
            <w:vAlign w:val="bottom"/>
            <w:tcBorders>
              <w:bottom w:val="single" w:sz="8" w:color="141414"/>
            </w:tcBorders>
            <w:gridSpan w:val="2"/>
          </w:tcPr>
          <w:p>
            <w:pPr>
              <w:spacing w:after="0"/>
              <w:rPr>
                <w:sz w:val="2"/>
                <w:szCs w:val="2"/>
                <w:color w:val="auto"/>
              </w:rPr>
            </w:pPr>
          </w:p>
        </w:tc>
        <w:tc>
          <w:tcPr>
            <w:tcW w:w="760" w:type="dxa"/>
            <w:vAlign w:val="bottom"/>
            <w:tcBorders>
              <w:bottom w:val="single" w:sz="8" w:color="141414"/>
            </w:tcBorders>
          </w:tcPr>
          <w:p>
            <w:pPr>
              <w:spacing w:after="0"/>
              <w:rPr>
                <w:sz w:val="2"/>
                <w:szCs w:val="2"/>
                <w:color w:val="auto"/>
              </w:rPr>
            </w:pPr>
          </w:p>
        </w:tc>
        <w:tc>
          <w:tcPr>
            <w:tcW w:w="200" w:type="dxa"/>
            <w:vAlign w:val="bottom"/>
            <w:tcBorders>
              <w:bottom w:val="single" w:sz="8" w:color="141414"/>
            </w:tcBorders>
            <w:gridSpan w:val="2"/>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r>
      <w:tr>
        <w:trPr>
          <w:trHeight w:val="227"/>
        </w:trPr>
        <w:tc>
          <w:tcPr>
            <w:tcW w:w="56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404040"/>
            </w:tcBorders>
          </w:tcPr>
          <w:p>
            <w:pPr>
              <w:spacing w:after="0"/>
              <w:rPr>
                <w:sz w:val="19"/>
                <w:szCs w:val="19"/>
                <w:color w:val="auto"/>
              </w:rPr>
            </w:pPr>
          </w:p>
        </w:tc>
        <w:tc>
          <w:tcPr>
            <w:tcW w:w="800" w:type="dxa"/>
            <w:vAlign w:val="bottom"/>
            <w:tcBorders>
              <w:bottom w:val="single" w:sz="8" w:color="404040"/>
            </w:tcBorders>
          </w:tcPr>
          <w:p>
            <w:pPr>
              <w:jc w:val="right"/>
              <w:ind w:right="208"/>
              <w:spacing w:after="0" w:line="198" w:lineRule="exact"/>
              <w:rPr>
                <w:sz w:val="20"/>
                <w:szCs w:val="20"/>
                <w:color w:val="auto"/>
              </w:rPr>
            </w:pPr>
            <w:r>
              <w:rPr>
                <w:rFonts w:ascii="Times New Roman" w:cs="Times New Roman" w:eastAsia="Times New Roman" w:hAnsi="Times New Roman"/>
                <w:sz w:val="18"/>
                <w:szCs w:val="18"/>
                <w:color w:val="auto"/>
              </w:rPr>
              <w:t>2024</w:t>
            </w:r>
          </w:p>
        </w:tc>
        <w:tc>
          <w:tcPr>
            <w:tcW w:w="20" w:type="dxa"/>
            <w:vAlign w:val="bottom"/>
            <w:tcBorders>
              <w:bottom w:val="single" w:sz="8" w:color="404040"/>
            </w:tcBorders>
          </w:tcPr>
          <w:p>
            <w:pPr>
              <w:spacing w:after="0"/>
              <w:rPr>
                <w:sz w:val="19"/>
                <w:szCs w:val="19"/>
                <w:color w:val="auto"/>
              </w:rPr>
            </w:pPr>
          </w:p>
        </w:tc>
        <w:tc>
          <w:tcPr>
            <w:tcW w:w="180" w:type="dxa"/>
            <w:vAlign w:val="bottom"/>
            <w:gridSpan w:val="2"/>
          </w:tcPr>
          <w:p>
            <w:pPr>
              <w:spacing w:after="0"/>
              <w:rPr>
                <w:sz w:val="19"/>
                <w:szCs w:val="19"/>
                <w:color w:val="auto"/>
              </w:rPr>
            </w:pPr>
          </w:p>
        </w:tc>
        <w:tc>
          <w:tcPr>
            <w:tcW w:w="760" w:type="dxa"/>
            <w:vAlign w:val="bottom"/>
            <w:tcBorders>
              <w:bottom w:val="single" w:sz="8" w:color="404040"/>
            </w:tcBorders>
          </w:tcPr>
          <w:p>
            <w:pPr>
              <w:jc w:val="right"/>
              <w:ind w:right="131"/>
              <w:spacing w:after="0" w:line="199" w:lineRule="exact"/>
              <w:rPr>
                <w:sz w:val="20"/>
                <w:szCs w:val="20"/>
                <w:color w:val="auto"/>
              </w:rPr>
            </w:pPr>
            <w:r>
              <w:rPr>
                <w:rFonts w:ascii="Times New Roman" w:cs="Times New Roman" w:eastAsia="Times New Roman" w:hAnsi="Times New Roman"/>
                <w:sz w:val="18"/>
                <w:szCs w:val="18"/>
                <w:color w:val="auto"/>
              </w:rPr>
              <w:t>2023</w:t>
            </w:r>
          </w:p>
        </w:tc>
        <w:tc>
          <w:tcPr>
            <w:tcW w:w="200" w:type="dxa"/>
            <w:vAlign w:val="bottom"/>
            <w:gridSpan w:val="2"/>
          </w:tcPr>
          <w:p>
            <w:pPr>
              <w:spacing w:after="0"/>
              <w:rPr>
                <w:sz w:val="19"/>
                <w:szCs w:val="19"/>
                <w:color w:val="auto"/>
              </w:rPr>
            </w:pPr>
          </w:p>
        </w:tc>
        <w:tc>
          <w:tcPr>
            <w:tcW w:w="740" w:type="dxa"/>
            <w:vAlign w:val="bottom"/>
            <w:tcBorders>
              <w:bottom w:val="single" w:sz="8" w:color="3C3C3C"/>
            </w:tcBorders>
          </w:tcPr>
          <w:p>
            <w:pPr>
              <w:jc w:val="right"/>
              <w:ind w:right="111"/>
              <w:spacing w:after="0" w:line="198" w:lineRule="exact"/>
              <w:rPr>
                <w:sz w:val="20"/>
                <w:szCs w:val="20"/>
                <w:color w:val="auto"/>
              </w:rPr>
            </w:pPr>
            <w:r>
              <w:rPr>
                <w:rFonts w:ascii="Times New Roman" w:cs="Times New Roman" w:eastAsia="Times New Roman" w:hAnsi="Times New Roman"/>
                <w:sz w:val="18"/>
                <w:szCs w:val="18"/>
                <w:color w:val="auto"/>
              </w:rPr>
              <w:t>2022</w:t>
            </w:r>
          </w:p>
        </w:tc>
      </w:tr>
      <w:tr>
        <w:trPr>
          <w:trHeight w:val="278"/>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U.S .. ... ...... . . . ...... . .. . . . . . .... . .. . . . .... .. .. . . . . ...</w:t>
            </w: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 .   $</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950,675</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$219,240</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69,499</w:t>
            </w: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9"/>
                <w:szCs w:val="19"/>
                <w:color w:val="auto"/>
              </w:rPr>
              <w:t>Non-U.S .. ...... . ........ . ..................... .. ...... . .</w:t>
            </w:r>
          </w:p>
        </w:tc>
        <w:tc>
          <w:tcPr>
            <w:tcW w:w="66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6"/>
              </w:rPr>
              <w:t>.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74,035</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79,764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52,235</w:t>
            </w:r>
          </w:p>
        </w:tc>
      </w:tr>
      <w:tr>
        <w:trPr>
          <w:trHeight w:val="27"/>
        </w:trPr>
        <w:tc>
          <w:tcPr>
            <w:tcW w:w="5640" w:type="dxa"/>
            <w:vAlign w:val="bottom"/>
          </w:tcPr>
          <w:p>
            <w:pPr>
              <w:spacing w:after="0"/>
              <w:rPr>
                <w:sz w:val="2"/>
                <w:szCs w:val="2"/>
                <w:color w:val="auto"/>
              </w:rPr>
            </w:pPr>
          </w:p>
        </w:tc>
        <w:tc>
          <w:tcPr>
            <w:tcW w:w="680" w:type="dxa"/>
            <w:vAlign w:val="bottom"/>
            <w:gridSpan w:val="2"/>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80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80" w:type="dxa"/>
            <w:vAlign w:val="bottom"/>
            <w:gridSpan w:val="2"/>
          </w:tcPr>
          <w:p>
            <w:pPr>
              <w:spacing w:after="0"/>
              <w:rPr>
                <w:sz w:val="2"/>
                <w:szCs w:val="2"/>
                <w:color w:val="auto"/>
              </w:rPr>
            </w:pPr>
          </w:p>
        </w:tc>
        <w:tc>
          <w:tcPr>
            <w:tcW w:w="760" w:type="dxa"/>
            <w:vAlign w:val="bottom"/>
            <w:tcBorders>
              <w:bottom w:val="single" w:sz="8" w:color="504C4C"/>
            </w:tcBorders>
          </w:tcPr>
          <w:p>
            <w:pPr>
              <w:spacing w:after="0"/>
              <w:rPr>
                <w:sz w:val="2"/>
                <w:szCs w:val="2"/>
                <w:color w:val="auto"/>
              </w:rPr>
            </w:pPr>
          </w:p>
        </w:tc>
        <w:tc>
          <w:tcPr>
            <w:tcW w:w="200" w:type="dxa"/>
            <w:vAlign w:val="bottom"/>
            <w:gridSpan w:val="2"/>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r>
      <w:tr>
        <w:trPr>
          <w:trHeight w:val="268"/>
        </w:trPr>
        <w:tc>
          <w:tcPr>
            <w:tcW w:w="5640" w:type="dxa"/>
            <w:vAlign w:val="bottom"/>
          </w:tcPr>
          <w:p>
            <w:pPr>
              <w:spacing w:after="0"/>
              <w:rPr>
                <w:sz w:val="23"/>
                <w:szCs w:val="23"/>
                <w:color w:val="auto"/>
              </w:rPr>
            </w:pPr>
          </w:p>
        </w:tc>
        <w:tc>
          <w:tcPr>
            <w:tcW w:w="7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6"/>
              </w:rPr>
              <w:t>1,0 24,710</w:t>
            </w:r>
          </w:p>
        </w:tc>
        <w:tc>
          <w:tcPr>
            <w:tcW w:w="96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$299,004</w:t>
            </w: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$121 ,734</w:t>
            </w:r>
          </w:p>
        </w:tc>
      </w:tr>
      <w:tr>
        <w:trPr>
          <w:trHeight w:val="45"/>
        </w:trPr>
        <w:tc>
          <w:tcPr>
            <w:tcW w:w="56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80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provision for income taxes consists of the following:</w:t>
      </w:r>
    </w:p>
    <w:p>
      <w:pPr>
        <w:sectPr>
          <w:pgSz w:w="12240" w:h="15850" w:orient="portrait"/>
          <w:cols w:equalWidth="0" w:num="1">
            <w:col w:w="9365"/>
          </w:cols>
          <w:pgMar w:left="1440" w:top="1385" w:right="1440" w:bottom="721" w:gutter="0" w:footer="0" w:header="0"/>
        </w:sectPr>
      </w:pPr>
    </w:p>
    <w:p>
      <w:pPr>
        <w:spacing w:after="0" w:line="2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(in thousands)</w:t>
      </w:r>
    </w:p>
    <w:p>
      <w:pPr>
        <w:spacing w:after="0" w:line="1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Year E nded December 31,2024</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U.S. F edera l . ..... . .. ... . ... .. . . . . .. ... . .. . ...... . .. .. .... ... .. .</w:t>
      </w:r>
    </w:p>
    <w:p>
      <w:pPr>
        <w:spacing w:after="0" w:line="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State a nd Local  .... . . . . .. . . . . .. . . . . .. . . . .... ..... . ..... .. ..... . .</w:t>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Non -U .S........ .. ... . .. . . . . .. . . . . .... . ........... · · · · · · · · · · · · ·</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100"/>
        <w:spacing w:after="0"/>
        <w:tabs>
          <w:tab w:leader="none" w:pos="1000" w:val="left"/>
          <w:tab w:leader="none" w:pos="2080" w:val="left"/>
        </w:tabs>
        <w:rPr>
          <w:sz w:val="20"/>
          <w:szCs w:val="20"/>
          <w:color w:val="auto"/>
        </w:rPr>
      </w:pPr>
      <w:r>
        <w:rPr>
          <w:rFonts w:ascii="Times New Roman" w:cs="Times New Roman" w:eastAsia="Times New Roman" w:hAnsi="Times New Roman"/>
          <w:sz w:val="17"/>
          <w:szCs w:val="17"/>
          <w:color w:val="auto"/>
        </w:rPr>
        <w:t>Current</w:t>
      </w:r>
      <w:r>
        <w:rPr>
          <w:sz w:val="20"/>
          <w:szCs w:val="20"/>
          <w:color w:val="auto"/>
        </w:rPr>
        <w:tab/>
      </w:r>
      <w:r>
        <w:rPr>
          <w:rFonts w:ascii="Times New Roman" w:cs="Times New Roman" w:eastAsia="Times New Roman" w:hAnsi="Times New Roman"/>
          <w:sz w:val="17"/>
          <w:szCs w:val="17"/>
          <w:color w:val="auto"/>
        </w:rPr>
        <w:t>Deferred</w:t>
      </w:r>
      <w:r>
        <w:rPr>
          <w:sz w:val="20"/>
          <w:szCs w:val="20"/>
          <w:color w:val="auto"/>
        </w:rPr>
        <w:tab/>
      </w:r>
      <w:r>
        <w:rPr>
          <w:rFonts w:ascii="Times New Roman" w:cs="Times New Roman" w:eastAsia="Times New Roman" w:hAnsi="Times New Roman"/>
          <w:sz w:val="17"/>
          <w:szCs w:val="17"/>
          <w:color w:val="auto"/>
        </w:rPr>
        <w:t>Total</w:t>
      </w:r>
    </w:p>
    <w:p>
      <w:pPr>
        <w:spacing w:after="0" w:line="348" w:lineRule="exact"/>
        <w:rPr>
          <w:sz w:val="20"/>
          <w:szCs w:val="20"/>
          <w:color w:val="auto"/>
        </w:rPr>
      </w:pPr>
    </w:p>
    <w:p>
      <w:pPr>
        <w:spacing w:after="0"/>
        <w:tabs>
          <w:tab w:leader="none" w:pos="200" w:val="left"/>
          <w:tab w:leader="none" w:pos="940" w:val="left"/>
          <w:tab w:leader="none" w:pos="1900" w:val="left"/>
        </w:tabs>
        <w:rPr>
          <w:sz w:val="20"/>
          <w:szCs w:val="20"/>
          <w:color w:val="auto"/>
        </w:rPr>
      </w:pPr>
      <w:r>
        <w:rPr>
          <w:rFonts w:ascii="Times New Roman" w:cs="Times New Roman" w:eastAsia="Times New Roman" w:hAnsi="Times New Roman"/>
          <w:sz w:val="19"/>
          <w:szCs w:val="19"/>
          <w:color w:val="auto"/>
        </w:rPr>
        <w:t>$</w:t>
        <w:tab/>
        <w:t>37,783</w:t>
        <w:tab/>
        <w:t>$170,380</w:t>
        <w:tab/>
        <w:t>$208,163</w:t>
      </w:r>
    </w:p>
    <w:p>
      <w:pPr>
        <w:spacing w:after="0" w:line="20" w:lineRule="exact"/>
        <w:rPr>
          <w:sz w:val="20"/>
          <w:szCs w:val="20"/>
          <w:color w:val="auto"/>
        </w:rPr>
      </w:pPr>
    </w:p>
    <w:p>
      <w:pPr>
        <w:ind w:left="300"/>
        <w:spacing w:after="0"/>
        <w:tabs>
          <w:tab w:leader="none" w:pos="1140" w:val="left"/>
          <w:tab w:leader="none" w:pos="2080" w:val="left"/>
        </w:tabs>
        <w:rPr>
          <w:sz w:val="20"/>
          <w:szCs w:val="20"/>
          <w:color w:val="auto"/>
        </w:rPr>
      </w:pPr>
      <w:r>
        <w:rPr>
          <w:rFonts w:ascii="Times New Roman" w:cs="Times New Roman" w:eastAsia="Times New Roman" w:hAnsi="Times New Roman"/>
          <w:sz w:val="19"/>
          <w:szCs w:val="19"/>
          <w:color w:val="auto"/>
        </w:rPr>
        <w:t>7,142</w:t>
      </w:r>
      <w:r>
        <w:rPr>
          <w:sz w:val="20"/>
          <w:szCs w:val="20"/>
          <w:color w:val="auto"/>
        </w:rPr>
        <w:tab/>
      </w:r>
      <w:r>
        <w:rPr>
          <w:rFonts w:ascii="Times New Roman" w:cs="Times New Roman" w:eastAsia="Times New Roman" w:hAnsi="Times New Roman"/>
          <w:sz w:val="19"/>
          <w:szCs w:val="19"/>
          <w:color w:val="auto"/>
        </w:rPr>
        <w:t>52,928</w:t>
      </w:r>
      <w:r>
        <w:rPr>
          <w:sz w:val="20"/>
          <w:szCs w:val="20"/>
          <w:color w:val="auto"/>
        </w:rPr>
        <w:tab/>
      </w:r>
      <w:r>
        <w:rPr>
          <w:rFonts w:ascii="Times New Roman" w:cs="Times New Roman" w:eastAsia="Times New Roman" w:hAnsi="Times New Roman"/>
          <w:sz w:val="19"/>
          <w:szCs w:val="19"/>
          <w:color w:val="auto"/>
        </w:rPr>
        <w:t>60,070</w:t>
      </w:r>
    </w:p>
    <w:p>
      <w:pPr>
        <w:spacing w:after="0" w:line="20" w:lineRule="exact"/>
        <w:rPr>
          <w:sz w:val="20"/>
          <w:szCs w:val="20"/>
          <w:color w:val="auto"/>
        </w:rPr>
      </w:pPr>
    </w:p>
    <w:p>
      <w:pPr>
        <w:ind w:left="220"/>
        <w:spacing w:after="0"/>
        <w:tabs>
          <w:tab w:leader="none" w:pos="1220" w:val="left"/>
          <w:tab w:leader="none" w:pos="2080" w:val="left"/>
        </w:tabs>
        <w:rPr>
          <w:sz w:val="20"/>
          <w:szCs w:val="20"/>
          <w:color w:val="auto"/>
        </w:rPr>
      </w:pPr>
      <w:r>
        <w:rPr>
          <w:rFonts w:ascii="Times New Roman" w:cs="Times New Roman" w:eastAsia="Times New Roman" w:hAnsi="Times New Roman"/>
          <w:sz w:val="19"/>
          <w:szCs w:val="19"/>
          <w:color w:val="auto"/>
        </w:rPr>
        <w:t>19,775</w:t>
      </w:r>
      <w:r>
        <w:rPr>
          <w:sz w:val="20"/>
          <w:szCs w:val="20"/>
          <w:color w:val="auto"/>
        </w:rPr>
        <w:tab/>
      </w:r>
      <w:r>
        <w:rPr>
          <w:rFonts w:ascii="Times New Roman" w:cs="Times New Roman" w:eastAsia="Times New Roman" w:hAnsi="Times New Roman"/>
          <w:sz w:val="19"/>
          <w:szCs w:val="19"/>
          <w:color w:val="auto"/>
        </w:rPr>
        <w:t>4,092</w:t>
      </w:r>
      <w:r>
        <w:rPr>
          <w:sz w:val="20"/>
          <w:szCs w:val="20"/>
          <w:color w:val="auto"/>
        </w:rPr>
        <w:tab/>
      </w:r>
      <w:r>
        <w:rPr>
          <w:rFonts w:ascii="Times New Roman" w:cs="Times New Roman" w:eastAsia="Times New Roman" w:hAnsi="Times New Roman"/>
          <w:sz w:val="19"/>
          <w:szCs w:val="19"/>
          <w:color w:val="auto"/>
        </w:rPr>
        <w:t>23,867</w:t>
      </w:r>
    </w:p>
    <w:p>
      <w:pPr>
        <w:spacing w:after="0" w:line="106" w:lineRule="exact"/>
        <w:rPr>
          <w:sz w:val="20"/>
          <w:szCs w:val="20"/>
          <w:color w:val="auto"/>
        </w:rPr>
      </w:pPr>
    </w:p>
    <w:p>
      <w:pPr>
        <w:spacing w:after="0"/>
        <w:tabs>
          <w:tab w:leader="none" w:pos="200" w:val="left"/>
          <w:tab w:leader="none" w:pos="940" w:val="left"/>
          <w:tab w:leader="none" w:pos="1900" w:val="left"/>
        </w:tabs>
        <w:rPr>
          <w:sz w:val="20"/>
          <w:szCs w:val="20"/>
          <w:color w:val="auto"/>
        </w:rPr>
      </w:pPr>
      <w:r>
        <w:rPr>
          <w:rFonts w:ascii="Times New Roman" w:cs="Times New Roman" w:eastAsia="Times New Roman" w:hAnsi="Times New Roman"/>
          <w:sz w:val="19"/>
          <w:szCs w:val="19"/>
          <w:color w:val="auto"/>
        </w:rPr>
        <w:t>$</w:t>
        <w:tab/>
        <w:t>64,700</w:t>
        <w:tab/>
        <w:t>$227,400</w:t>
        <w:tab/>
        <w:t>$292,100</w:t>
      </w:r>
    </w:p>
    <w:p>
      <w:pPr>
        <w:spacing w:after="0" w:line="134" w:lineRule="exact"/>
        <w:rPr>
          <w:sz w:val="20"/>
          <w:szCs w:val="20"/>
          <w:color w:val="auto"/>
        </w:rPr>
      </w:pPr>
    </w:p>
    <w:p>
      <w:pPr>
        <w:sectPr>
          <w:pgSz w:w="12240" w:h="15850" w:orient="portrait"/>
          <w:cols w:equalWidth="0" w:num="2">
            <w:col w:w="6400" w:space="180"/>
            <w:col w:w="2785"/>
          </w:cols>
          <w:pgMar w:left="1440" w:top="1385" w:right="1440" w:bottom="721" w:gutter="0" w:footer="0" w:header="0"/>
          <w:type w:val="continuous"/>
        </w:sectPr>
      </w:pPr>
    </w:p>
    <w:tbl>
      <w:tblPr>
        <w:tblLayout w:type="fixed"/>
        <w:tblInd w:w="120" w:type="dxa"/>
        <w:tblCellMar>
          <w:top w:w="0" w:type="dxa"/>
          <w:left w:w="0" w:type="dxa"/>
          <w:bottom w:w="0" w:type="dxa"/>
          <w:right w:w="0" w:type="dxa"/>
        </w:tblCellMar>
      </w:tblPr>
      <w:tr>
        <w:trPr>
          <w:trHeight w:val="218"/>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Year Ended December 3 I , 2023</w:t>
            </w: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U.S . Federal  . . . . .. . ........ . .... . .... . . . ...... .. . .</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 .. . . ...... .   $</w:t>
            </w: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19,752</w:t>
            </w:r>
          </w:p>
        </w:tc>
        <w:tc>
          <w:tcPr>
            <w:tcW w:w="160" w:type="dxa"/>
            <w:vAlign w:val="bottom"/>
          </w:tcPr>
          <w:p>
            <w:pPr>
              <w:spacing w:after="0"/>
              <w:rPr>
                <w:sz w:val="21"/>
                <w:szCs w:val="21"/>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36,640</w:t>
            </w:r>
          </w:p>
        </w:tc>
        <w:tc>
          <w:tcPr>
            <w:tcW w:w="18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56,392</w:t>
            </w:r>
          </w:p>
        </w:tc>
        <w:tc>
          <w:tcPr>
            <w:tcW w:w="0" w:type="dxa"/>
            <w:vAlign w:val="bottom"/>
          </w:tcPr>
          <w:p>
            <w:pPr>
              <w:spacing w:after="0"/>
              <w:rPr>
                <w:sz w:val="1"/>
                <w:szCs w:val="1"/>
                <w:color w:val="auto"/>
              </w:rPr>
            </w:pPr>
          </w:p>
        </w:tc>
      </w:t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State and Local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5,886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10,044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15,930</w:t>
            </w:r>
          </w:p>
        </w:tc>
        <w:tc>
          <w:tcPr>
            <w:tcW w:w="0" w:type="dxa"/>
            <w:vAlign w:val="bottom"/>
          </w:tcPr>
          <w:p>
            <w:pPr>
              <w:spacing w:after="0"/>
              <w:rPr>
                <w:sz w:val="1"/>
                <w:szCs w:val="1"/>
                <w:color w:val="auto"/>
              </w:rPr>
            </w:pPr>
          </w:p>
        </w:tc>
      </w:tr>
      <w:tr>
        <w:trPr>
          <w:trHeight w:val="248"/>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Non-U.S ... . ..... .. ... . .. . . . . .. . . . . . . .. . ...........</w:t>
            </w:r>
          </w:p>
        </w:tc>
        <w:tc>
          <w:tcPr>
            <w:tcW w:w="152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17,897</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(2,9 19)</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14,978</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160" w:type="dxa"/>
            <w:vAlign w:val="bottom"/>
            <w:tcBorders>
              <w:bottom w:val="single" w:sz="8" w:color="504C4C"/>
            </w:tcBorders>
          </w:tcPr>
          <w:p>
            <w:pPr>
              <w:spacing w:after="0"/>
              <w:rPr>
                <w:sz w:val="2"/>
                <w:szCs w:val="2"/>
                <w:color w:val="auto"/>
              </w:rPr>
            </w:pPr>
          </w:p>
        </w:tc>
        <w:tc>
          <w:tcPr>
            <w:tcW w:w="60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Borders>
              <w:bottom w:val="single" w:sz="8" w:color="504C4C"/>
            </w:tcBorders>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504C4C"/>
            </w:tcBorders>
          </w:tcPr>
          <w:p>
            <w:pPr>
              <w:spacing w:after="0"/>
              <w:rPr>
                <w:sz w:val="2"/>
                <w:szCs w:val="2"/>
                <w:color w:val="auto"/>
              </w:rPr>
            </w:pPr>
          </w:p>
        </w:tc>
        <w:tc>
          <w:tcPr>
            <w:tcW w:w="600" w:type="dxa"/>
            <w:vAlign w:val="bottom"/>
            <w:tcBorders>
              <w:bottom w:val="single" w:sz="8" w:color="504C4C"/>
            </w:tcBorders>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920" w:type="dxa"/>
            <w:vAlign w:val="bottom"/>
          </w:tcPr>
          <w:p>
            <w:pPr>
              <w:spacing w:after="0"/>
              <w:rPr>
                <w:sz w:val="24"/>
                <w:szCs w:val="24"/>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43,535</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43,765</w:t>
            </w:r>
          </w:p>
        </w:tc>
        <w:tc>
          <w:tcPr>
            <w:tcW w:w="1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87,300</w:t>
            </w:r>
          </w:p>
        </w:tc>
        <w:tc>
          <w:tcPr>
            <w:tcW w:w="0" w:type="dxa"/>
            <w:vAlign w:val="bottom"/>
          </w:tcPr>
          <w:p>
            <w:pPr>
              <w:spacing w:after="0"/>
              <w:rPr>
                <w:sz w:val="1"/>
                <w:szCs w:val="1"/>
                <w:color w:val="auto"/>
              </w:rPr>
            </w:pPr>
          </w:p>
        </w:tc>
      </w:tr>
      <w:tr>
        <w:trPr>
          <w:trHeight w:val="31"/>
        </w:trPr>
        <w:tc>
          <w:tcPr>
            <w:tcW w:w="49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Year Ended December 31, 2022</w:t>
            </w:r>
          </w:p>
        </w:tc>
        <w:tc>
          <w:tcPr>
            <w:tcW w:w="1520" w:type="dxa"/>
            <w:vAlign w:val="bottom"/>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60" w:type="dxa"/>
            <w:vAlign w:val="bottom"/>
            <w:tcBorders>
              <w:bottom w:val="single" w:sz="8" w:color="504C4C"/>
            </w:tcBorders>
          </w:tcPr>
          <w:p>
            <w:pPr>
              <w:spacing w:after="0"/>
              <w:rPr>
                <w:sz w:val="2"/>
                <w:szCs w:val="2"/>
                <w:color w:val="auto"/>
              </w:rPr>
            </w:pPr>
          </w:p>
        </w:tc>
        <w:tc>
          <w:tcPr>
            <w:tcW w:w="60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20" w:type="dxa"/>
            <w:vAlign w:val="bottom"/>
            <w:tcBorders>
              <w:bottom w:val="single" w:sz="8" w:color="504C4C"/>
            </w:tcBorders>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40" w:type="dxa"/>
            <w:vAlign w:val="bottom"/>
            <w:tcBorders>
              <w:bottom w:val="single" w:sz="8" w:color="504C4C"/>
            </w:tcBorders>
          </w:tcPr>
          <w:p>
            <w:pPr>
              <w:spacing w:after="0"/>
              <w:rPr>
                <w:sz w:val="2"/>
                <w:szCs w:val="2"/>
                <w:color w:val="auto"/>
              </w:rPr>
            </w:pPr>
          </w:p>
        </w:tc>
        <w:tc>
          <w:tcPr>
            <w:tcW w:w="600" w:type="dxa"/>
            <w:vAlign w:val="bottom"/>
            <w:tcBorders>
              <w:bottom w:val="single" w:sz="8" w:color="504C4C"/>
            </w:tcBorders>
          </w:tcPr>
          <w:p>
            <w:pPr>
              <w:spacing w:after="0"/>
              <w:rPr>
                <w:sz w:val="2"/>
                <w:szCs w:val="2"/>
                <w:color w:val="auto"/>
              </w:rPr>
            </w:pPr>
          </w:p>
        </w:tc>
        <w:tc>
          <w:tcPr>
            <w:tcW w:w="0" w:type="dxa"/>
            <w:vAlign w:val="bottom"/>
          </w:tcPr>
          <w:p>
            <w:pPr>
              <w:spacing w:after="0"/>
              <w:rPr>
                <w:sz w:val="1"/>
                <w:szCs w:val="1"/>
                <w:color w:val="auto"/>
              </w:rPr>
            </w:pPr>
          </w:p>
        </w:tc>
      </w:tr>
      <w:tr>
        <w:trPr>
          <w:trHeight w:val="302"/>
        </w:trPr>
        <w:tc>
          <w:tcPr>
            <w:tcW w:w="4920" w:type="dxa"/>
            <w:vAlign w:val="bottom"/>
            <w:vMerge w:val="continue"/>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92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U.S. Federal  . . . . . . . . . . . . . . . . . . . . . . . . . . . . . . . . . . . . . .</w:t>
            </w: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 xml:space="preserve">. . . . . . . . . . . . . .   </w:t>
            </w: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37,525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(6,180)</w:t>
            </w: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31 ,345</w:t>
            </w:r>
          </w:p>
        </w:tc>
        <w:tc>
          <w:tcPr>
            <w:tcW w:w="0" w:type="dxa"/>
            <w:vAlign w:val="bottom"/>
          </w:tcPr>
          <w:p>
            <w:pPr>
              <w:spacing w:after="0"/>
              <w:rPr>
                <w:sz w:val="1"/>
                <w:szCs w:val="1"/>
                <w:color w:val="auto"/>
              </w:rPr>
            </w:pPr>
          </w:p>
        </w:tc>
      </w:tr>
      <w:tr>
        <w:trPr>
          <w:trHeight w:val="246"/>
        </w:trPr>
        <w:tc>
          <w:tcPr>
            <w:tcW w:w="64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State and Local . . .......... . . . ...... .. . .. .... . . .. ... . . .. ... .. ...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5,676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2,5 13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8,189</w:t>
            </w:r>
          </w:p>
        </w:tc>
        <w:tc>
          <w:tcPr>
            <w:tcW w:w="0" w:type="dxa"/>
            <w:vAlign w:val="bottom"/>
          </w:tcPr>
          <w:p>
            <w:pPr>
              <w:spacing w:after="0"/>
              <w:rPr>
                <w:sz w:val="1"/>
                <w:szCs w:val="1"/>
                <w:color w:val="auto"/>
              </w:rPr>
            </w:pPr>
          </w:p>
        </w:tc>
      </w:tr>
      <w:tr>
        <w:trPr>
          <w:trHeight w:val="229"/>
        </w:trPr>
        <w:tc>
          <w:tcPr>
            <w:tcW w:w="4920" w:type="dxa"/>
            <w:vAlign w:val="bottom"/>
          </w:tcPr>
          <w:p>
            <w:pPr>
              <w:spacing w:after="0"/>
              <w:rPr>
                <w:sz w:val="20"/>
                <w:szCs w:val="20"/>
                <w:color w:val="auto"/>
              </w:rPr>
            </w:pPr>
            <w:r>
              <w:rPr>
                <w:rFonts w:ascii="Times New Roman" w:cs="Times New Roman" w:eastAsia="Times New Roman" w:hAnsi="Times New Roman"/>
                <w:sz w:val="19"/>
                <w:szCs w:val="19"/>
                <w:color w:val="auto"/>
              </w:rPr>
              <w:t>Non- U.S ....... . . . .... . .. . ... . . . . . . .... . .. . . . .... .</w:t>
            </w:r>
          </w:p>
        </w:tc>
        <w:tc>
          <w:tcPr>
            <w:tcW w:w="152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 . . . .. . ...... .</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11 ,943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(177)</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11 ,766</w:t>
            </w:r>
          </w:p>
        </w:tc>
        <w:tc>
          <w:tcPr>
            <w:tcW w:w="0" w:type="dxa"/>
            <w:vAlign w:val="bottom"/>
          </w:tcPr>
          <w:p>
            <w:pPr>
              <w:spacing w:after="0"/>
              <w:rPr>
                <w:sz w:val="1"/>
                <w:szCs w:val="1"/>
                <w:color w:val="auto"/>
              </w:rPr>
            </w:pPr>
          </w:p>
        </w:tc>
      </w:tr>
      <w:tr>
        <w:trPr>
          <w:trHeight w:val="315"/>
        </w:trPr>
        <w:tc>
          <w:tcPr>
            <w:tcW w:w="4920" w:type="dxa"/>
            <w:vAlign w:val="bottom"/>
          </w:tcPr>
          <w:p>
            <w:pPr>
              <w:spacing w:after="0"/>
              <w:rPr>
                <w:sz w:val="24"/>
                <w:szCs w:val="24"/>
                <w:color w:val="auto"/>
              </w:rPr>
            </w:pPr>
          </w:p>
        </w:tc>
        <w:tc>
          <w:tcPr>
            <w:tcW w:w="170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55, 144</w:t>
            </w:r>
          </w:p>
        </w:tc>
        <w:tc>
          <w:tcPr>
            <w:tcW w:w="160" w:type="dxa"/>
            <w:vAlign w:val="bottom"/>
          </w:tcPr>
          <w:p>
            <w:pPr>
              <w:spacing w:after="0"/>
              <w:rPr>
                <w:sz w:val="24"/>
                <w:szCs w:val="24"/>
                <w:color w:val="auto"/>
              </w:rPr>
            </w:pPr>
          </w:p>
        </w:tc>
        <w:tc>
          <w:tcPr>
            <w:tcW w:w="1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(3,844)</w:t>
            </w:r>
          </w:p>
        </w:tc>
        <w:tc>
          <w:tcPr>
            <w:tcW w:w="1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51 ,300</w:t>
            </w:r>
          </w:p>
        </w:tc>
        <w:tc>
          <w:tcPr>
            <w:tcW w:w="0" w:type="dxa"/>
            <w:vAlign w:val="bottom"/>
          </w:tcPr>
          <w:p>
            <w:pPr>
              <w:spacing w:after="0"/>
              <w:rPr>
                <w:sz w:val="1"/>
                <w:szCs w:val="1"/>
                <w:color w:val="auto"/>
              </w:rPr>
            </w:pPr>
          </w:p>
        </w:tc>
      </w:tr>
    </w:tbl>
    <w:p>
      <w:pPr>
        <w:spacing w:after="0" w:line="390" w:lineRule="exact"/>
        <w:rPr>
          <w:sz w:val="20"/>
          <w:szCs w:val="20"/>
          <w:color w:val="auto"/>
        </w:rPr>
      </w:pPr>
    </w:p>
    <w:p>
      <w:pPr>
        <w:ind w:left="120" w:right="125" w:firstLine="1"/>
        <w:spacing w:after="0" w:line="264" w:lineRule="auto"/>
        <w:rPr>
          <w:sz w:val="20"/>
          <w:szCs w:val="20"/>
          <w:color w:val="auto"/>
        </w:rPr>
      </w:pPr>
      <w:r>
        <w:rPr>
          <w:rFonts w:ascii="Times New Roman" w:cs="Times New Roman" w:eastAsia="Times New Roman" w:hAnsi="Times New Roman"/>
          <w:sz w:val="19"/>
          <w:szCs w:val="19"/>
          <w:color w:val="auto"/>
        </w:rPr>
        <w:t>The provision for income taxes differs from the amount of income tax determined by applying the U.S. Federal statutory rate of 21 % to the income before taxes as a result of the following:</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60" w:type="dxa"/>
            <w:vAlign w:val="bottom"/>
            <w:gridSpan w:val="11"/>
          </w:tcPr>
          <w:p>
            <w:pPr>
              <w:jc w:val="right"/>
              <w:ind w:right="540"/>
              <w:spacing w:after="0"/>
              <w:rPr>
                <w:sz w:val="20"/>
                <w:szCs w:val="20"/>
                <w:color w:val="auto"/>
              </w:rPr>
            </w:pPr>
            <w:r>
              <w:rPr>
                <w:rFonts w:ascii="Times New Roman" w:cs="Times New Roman" w:eastAsia="Times New Roman" w:hAnsi="Times New Roman"/>
                <w:sz w:val="16"/>
                <w:szCs w:val="16"/>
                <w:color w:val="auto"/>
              </w:rPr>
              <w:t>Year E nded December 31</w:t>
            </w:r>
          </w:p>
        </w:tc>
      </w:tr>
      <w:tr>
        <w:trPr>
          <w:trHeight w:val="33"/>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70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6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620" w:type="dxa"/>
            <w:vAlign w:val="bottom"/>
            <w:tcBorders>
              <w:bottom w:val="single" w:sz="8" w:color="181414"/>
            </w:tcBorders>
          </w:tcPr>
          <w:p>
            <w:pPr>
              <w:spacing w:after="0"/>
              <w:rPr>
                <w:sz w:val="2"/>
                <w:szCs w:val="2"/>
                <w:color w:val="auto"/>
              </w:rPr>
            </w:pPr>
          </w:p>
        </w:tc>
        <w:tc>
          <w:tcPr>
            <w:tcW w:w="18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600" w:type="dxa"/>
            <w:vAlign w:val="bottom"/>
            <w:tcBorders>
              <w:bottom w:val="single" w:sz="8" w:color="181414"/>
            </w:tcBorders>
          </w:tcPr>
          <w:p>
            <w:pPr>
              <w:spacing w:after="0"/>
              <w:rPr>
                <w:sz w:val="2"/>
                <w:szCs w:val="2"/>
                <w:color w:val="auto"/>
              </w:rPr>
            </w:pPr>
          </w:p>
        </w:tc>
        <w:tc>
          <w:tcPr>
            <w:tcW w:w="60" w:type="dxa"/>
            <w:vAlign w:val="bottom"/>
          </w:tcPr>
          <w:p>
            <w:pPr>
              <w:spacing w:after="0"/>
              <w:rPr>
                <w:sz w:val="2"/>
                <w:szCs w:val="2"/>
                <w:color w:val="auto"/>
              </w:rPr>
            </w:pPr>
          </w:p>
        </w:tc>
      </w:tr>
      <w:tr>
        <w:trPr>
          <w:trHeight w:val="186"/>
        </w:trPr>
        <w:tc>
          <w:tcPr>
            <w:tcW w:w="63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jc w:val="right"/>
              <w:ind w:right="167"/>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2023</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ind w:right="126"/>
              <w:spacing w:after="0"/>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6"/>
                <w:szCs w:val="16"/>
                <w:color w:val="auto"/>
              </w:rPr>
            </w:pPr>
          </w:p>
        </w:tc>
      </w:tr>
      <w:tr>
        <w:trPr>
          <w:trHeight w:val="33"/>
        </w:trPr>
        <w:tc>
          <w:tcPr>
            <w:tcW w:w="634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720" w:type="dxa"/>
            <w:vAlign w:val="bottom"/>
            <w:tcBorders>
              <w:bottom w:val="single" w:sz="8" w:color="181414"/>
            </w:tcBorders>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620" w:type="dxa"/>
            <w:vAlign w:val="bottom"/>
            <w:tcBorders>
              <w:bottom w:val="single" w:sz="8" w:color="181414"/>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600" w:type="dxa"/>
            <w:vAlign w:val="bottom"/>
            <w:tcBorders>
              <w:bottom w:val="single" w:sz="8" w:color="181414"/>
            </w:tcBorders>
          </w:tcPr>
          <w:p>
            <w:pPr>
              <w:spacing w:after="0"/>
              <w:rPr>
                <w:sz w:val="2"/>
                <w:szCs w:val="2"/>
                <w:color w:val="auto"/>
              </w:rPr>
            </w:pPr>
          </w:p>
        </w:tc>
        <w:tc>
          <w:tcPr>
            <w:tcW w:w="60" w:type="dxa"/>
            <w:vAlign w:val="bottom"/>
          </w:tcPr>
          <w:p>
            <w:pPr>
              <w:spacing w:after="0"/>
              <w:rPr>
                <w:sz w:val="2"/>
                <w:szCs w:val="2"/>
                <w:color w:val="auto"/>
              </w:rPr>
            </w:pPr>
          </w:p>
        </w:tc>
      </w:tr>
      <w:tr>
        <w:trPr>
          <w:trHeight w:val="277"/>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U.S. Federal taxes at statutory rate (see above) . .. . . . .. . . . . . . .. ....... .</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215,189</w:t>
            </w:r>
          </w:p>
        </w:tc>
        <w:tc>
          <w:tcPr>
            <w:tcW w:w="16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62,791</w:t>
            </w:r>
          </w:p>
        </w:tc>
        <w:tc>
          <w:tcPr>
            <w:tcW w:w="18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25,564</w:t>
            </w: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State and local taxes, net of U.S. Federal tax . . . . . .. . . . .... . . .. . .......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40,987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7,477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(33 1)</w:t>
            </w: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allowances against state tax benefits, net of U.S . Federal tax ....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6,468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5,107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6,800</w:t>
            </w: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Valuation allowances against other non-U.S. income tax benefits  ....... .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3,606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(3,370)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263</w:t>
            </w:r>
          </w:p>
        </w:tc>
        <w:tc>
          <w:tcPr>
            <w:tcW w:w="60" w:type="dxa"/>
            <w:vAlign w:val="bottom"/>
          </w:tcPr>
          <w:p>
            <w:pPr>
              <w:spacing w:after="0"/>
              <w:rPr>
                <w:sz w:val="20"/>
                <w:szCs w:val="20"/>
                <w:color w:val="auto"/>
              </w:rPr>
            </w:pP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Goodwill impairments  .. . .. . . . . .. . . . . .... . . .. .......... ..........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1,148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10,864</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15,628</w:t>
            </w:r>
          </w:p>
        </w:tc>
        <w:tc>
          <w:tcPr>
            <w:tcW w:w="60" w:type="dxa"/>
            <w:vAlign w:val="bottom"/>
          </w:tcPr>
          <w:p>
            <w:pPr>
              <w:spacing w:after="0"/>
              <w:rPr>
                <w:sz w:val="20"/>
                <w:szCs w:val="20"/>
                <w:color w:val="auto"/>
              </w:rPr>
            </w:pPr>
          </w:p>
        </w:tc>
      </w:tr>
      <w:tr>
        <w:trPr>
          <w:trHeight w:val="24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Mandatorily redeemable noncontrolling interest  . .. . . .... . . . . .. ........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20,189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1,612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2,638</w:t>
            </w:r>
          </w:p>
        </w:tc>
        <w:tc>
          <w:tcPr>
            <w:tcW w:w="60" w:type="dxa"/>
            <w:vAlign w:val="bottom"/>
          </w:tcPr>
          <w:p>
            <w:pPr>
              <w:spacing w:after="0"/>
              <w:rPr>
                <w:sz w:val="21"/>
                <w:szCs w:val="21"/>
                <w:color w:val="auto"/>
              </w:rPr>
            </w:pPr>
          </w:p>
        </w:tc>
      </w:tr>
      <w:tr>
        <w:trPr>
          <w:trHeight w:val="23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Other, net  ... . . . . . .. . . . .... . . . .. . .... . ... . .. . .... . . . . ... .......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4,513</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2,819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738</w:t>
            </w:r>
          </w:p>
        </w:tc>
        <w:tc>
          <w:tcPr>
            <w:tcW w:w="60" w:type="dxa"/>
            <w:vAlign w:val="bottom"/>
          </w:tcPr>
          <w:p>
            <w:pPr>
              <w:spacing w:after="0"/>
              <w:rPr>
                <w:sz w:val="20"/>
                <w:szCs w:val="20"/>
                <w:color w:val="auto"/>
              </w:rPr>
            </w:pPr>
          </w:p>
        </w:tc>
      </w:tr>
      <w:tr>
        <w:trPr>
          <w:trHeight w:val="36"/>
        </w:trPr>
        <w:tc>
          <w:tcPr>
            <w:tcW w:w="63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Borders>
              <w:bottom w:val="single" w:sz="8" w:color="0C080C"/>
            </w:tcBorders>
          </w:tcPr>
          <w:p>
            <w:pPr>
              <w:spacing w:after="0"/>
              <w:rPr>
                <w:sz w:val="3"/>
                <w:szCs w:val="3"/>
                <w:color w:val="auto"/>
              </w:rPr>
            </w:pPr>
          </w:p>
        </w:tc>
        <w:tc>
          <w:tcPr>
            <w:tcW w:w="70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0C0808"/>
            </w:tcBorders>
          </w:tcPr>
          <w:p>
            <w:pPr>
              <w:spacing w:after="0"/>
              <w:rPr>
                <w:sz w:val="3"/>
                <w:szCs w:val="3"/>
                <w:color w:val="auto"/>
              </w:rPr>
            </w:pPr>
          </w:p>
        </w:tc>
        <w:tc>
          <w:tcPr>
            <w:tcW w:w="62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0C0808"/>
            </w:tcBorders>
          </w:tcPr>
          <w:p>
            <w:pPr>
              <w:spacing w:after="0"/>
              <w:rPr>
                <w:sz w:val="3"/>
                <w:szCs w:val="3"/>
                <w:color w:val="auto"/>
              </w:rPr>
            </w:pPr>
          </w:p>
        </w:tc>
        <w:tc>
          <w:tcPr>
            <w:tcW w:w="60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r>
      <w:tr>
        <w:trPr>
          <w:trHeight w:val="258"/>
        </w:trPr>
        <w:tc>
          <w:tcPr>
            <w:tcW w:w="6340" w:type="dxa"/>
            <w:vAlign w:val="bottom"/>
          </w:tcPr>
          <w:p>
            <w:pPr>
              <w:spacing w:after="0"/>
              <w:rPr>
                <w:sz w:val="20"/>
                <w:szCs w:val="20"/>
                <w:color w:val="auto"/>
              </w:rPr>
            </w:pPr>
            <w:r>
              <w:rPr>
                <w:rFonts w:ascii="Times New Roman" w:cs="Times New Roman" w:eastAsia="Times New Roman" w:hAnsi="Times New Roman"/>
                <w:sz w:val="19"/>
                <w:szCs w:val="19"/>
                <w:color w:val="auto"/>
              </w:rPr>
              <w:t>Provision for I ncome Taxes . . . .. . . . . .. ... . .. . ................... .</w:t>
            </w: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292,100</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87,300</w:t>
            </w:r>
          </w:p>
        </w:tc>
        <w:tc>
          <w:tcPr>
            <w:tcW w:w="18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51 ,300</w:t>
            </w:r>
          </w:p>
        </w:tc>
      </w:tr>
      <w:tr>
        <w:trPr>
          <w:trHeight w:val="50"/>
        </w:trPr>
        <w:tc>
          <w:tcPr>
            <w:tcW w:w="6340" w:type="dxa"/>
            <w:vAlign w:val="bottom"/>
          </w:tcPr>
          <w:p>
            <w:pPr>
              <w:spacing w:after="0"/>
              <w:rPr>
                <w:sz w:val="4"/>
                <w:szCs w:val="4"/>
                <w:color w:val="auto"/>
              </w:rPr>
            </w:pPr>
          </w:p>
        </w:tc>
        <w:tc>
          <w:tcPr>
            <w:tcW w:w="40" w:type="dxa"/>
            <w:vAlign w:val="bottom"/>
            <w:tcBorders>
              <w:bottom w:val="single" w:sz="8" w:color="504C4C"/>
            </w:tcBorders>
          </w:tcPr>
          <w:p>
            <w:pPr>
              <w:spacing w:after="0"/>
              <w:rPr>
                <w:sz w:val="4"/>
                <w:szCs w:val="4"/>
                <w:color w:val="auto"/>
              </w:rPr>
            </w:pPr>
          </w:p>
        </w:tc>
        <w:tc>
          <w:tcPr>
            <w:tcW w:w="140" w:type="dxa"/>
            <w:vAlign w:val="bottom"/>
            <w:tcBorders>
              <w:bottom w:val="single" w:sz="8" w:color="504C4C"/>
            </w:tcBorders>
          </w:tcPr>
          <w:p>
            <w:pPr>
              <w:spacing w:after="0"/>
              <w:rPr>
                <w:sz w:val="4"/>
                <w:szCs w:val="4"/>
                <w:color w:val="auto"/>
              </w:rPr>
            </w:pPr>
          </w:p>
        </w:tc>
        <w:tc>
          <w:tcPr>
            <w:tcW w:w="70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40" w:type="dxa"/>
            <w:vAlign w:val="bottom"/>
            <w:tcBorders>
              <w:bottom w:val="single" w:sz="8" w:color="504C4C"/>
            </w:tcBorders>
          </w:tcPr>
          <w:p>
            <w:pPr>
              <w:spacing w:after="0"/>
              <w:rPr>
                <w:sz w:val="4"/>
                <w:szCs w:val="4"/>
                <w:color w:val="auto"/>
              </w:rPr>
            </w:pPr>
          </w:p>
        </w:tc>
        <w:tc>
          <w:tcPr>
            <w:tcW w:w="620" w:type="dxa"/>
            <w:vAlign w:val="bottom"/>
            <w:tcBorders>
              <w:bottom w:val="single" w:sz="8" w:color="504C4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40" w:type="dxa"/>
            <w:vAlign w:val="bottom"/>
            <w:tcBorders>
              <w:bottom w:val="single" w:sz="8" w:color="504C4C"/>
            </w:tcBorders>
          </w:tcPr>
          <w:p>
            <w:pPr>
              <w:spacing w:after="0"/>
              <w:rPr>
                <w:sz w:val="4"/>
                <w:szCs w:val="4"/>
                <w:color w:val="auto"/>
              </w:rPr>
            </w:pPr>
          </w:p>
        </w:tc>
        <w:tc>
          <w:tcPr>
            <w:tcW w:w="600" w:type="dxa"/>
            <w:vAlign w:val="bottom"/>
            <w:tcBorders>
              <w:bottom w:val="single" w:sz="8" w:color="504C4C"/>
            </w:tcBorders>
          </w:tcPr>
          <w:p>
            <w:pPr>
              <w:spacing w:after="0"/>
              <w:rPr>
                <w:sz w:val="4"/>
                <w:szCs w:val="4"/>
                <w:color w:val="auto"/>
              </w:rPr>
            </w:pPr>
          </w:p>
        </w:tc>
        <w:tc>
          <w:tcPr>
            <w:tcW w:w="60" w:type="dxa"/>
            <w:vAlign w:val="bottom"/>
          </w:tcPr>
          <w:p>
            <w:pPr>
              <w:spacing w:after="0"/>
              <w:rPr>
                <w:sz w:val="4"/>
                <w:szCs w:val="4"/>
                <w:color w:val="auto"/>
              </w:rPr>
            </w:pPr>
          </w:p>
        </w:tc>
      </w:tr>
    </w:tbl>
    <w:p>
      <w:pPr>
        <w:spacing w:after="0" w:line="200" w:lineRule="exact"/>
        <w:rPr>
          <w:sz w:val="20"/>
          <w:szCs w:val="20"/>
          <w:color w:val="auto"/>
        </w:rPr>
      </w:pPr>
    </w:p>
    <w:p>
      <w:pPr>
        <w:sectPr>
          <w:pgSz w:w="12240" w:h="15850" w:orient="portrait"/>
          <w:cols w:equalWidth="0" w:num="1">
            <w:col w:w="9365"/>
          </w:cols>
          <w:pgMar w:left="1440" w:top="1385" w:right="1440" w:bottom="721"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117</w:t>
      </w:r>
    </w:p>
    <w:p>
      <w:pPr>
        <w:sectPr>
          <w:pgSz w:w="12240" w:h="15850" w:orient="portrait"/>
          <w:cols w:equalWidth="0" w:num="1">
            <w:col w:w="9365"/>
          </w:cols>
          <w:pgMar w:left="1440" w:top="1385" w:right="1440" w:bottom="721" w:gutter="0" w:footer="0" w:header="0"/>
          <w:type w:val="continuous"/>
        </w:sectPr>
      </w:pPr>
    </w:p>
    <w:bookmarkStart w:id="133" w:name="page134"/>
    <w:bookmarkEnd w:id="133"/>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4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Deferred income taxes consist of the following:</w:t>
      </w:r>
    </w:p>
    <w:p>
      <w:pPr>
        <w:spacing w:after="0" w:line="191"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42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6"/>
          </w:tcPr>
          <w:p>
            <w:pPr>
              <w:jc w:val="right"/>
              <w:ind w:right="340"/>
              <w:spacing w:after="0"/>
              <w:rPr>
                <w:sz w:val="20"/>
                <w:szCs w:val="20"/>
                <w:color w:val="auto"/>
              </w:rPr>
            </w:pPr>
            <w:r>
              <w:rPr>
                <w:rFonts w:ascii="Times New Roman" w:cs="Times New Roman" w:eastAsia="Times New Roman" w:hAnsi="Times New Roman"/>
                <w:sz w:val="16"/>
                <w:szCs w:val="16"/>
                <w:color w:val="auto"/>
              </w:rPr>
              <w:t xml:space="preserve">As of December </w:t>
            </w:r>
            <w:r>
              <w:rPr>
                <w:rFonts w:ascii="Arial" w:cs="Arial" w:eastAsia="Arial" w:hAnsi="Arial"/>
                <w:sz w:val="10"/>
                <w:szCs w:val="10"/>
                <w:color w:val="auto"/>
              </w:rPr>
              <w:t>~I</w:t>
            </w:r>
          </w:p>
        </w:tc>
        <w:tc>
          <w:tcPr>
            <w:tcW w:w="0" w:type="dxa"/>
            <w:vAlign w:val="bottom"/>
          </w:tcPr>
          <w:p>
            <w:pPr>
              <w:spacing w:after="0"/>
              <w:rPr>
                <w:sz w:val="1"/>
                <w:szCs w:val="1"/>
                <w:color w:val="auto"/>
              </w:rPr>
            </w:pPr>
          </w:p>
        </w:tc>
      </w:tr>
      <w:tr>
        <w:trPr>
          <w:trHeight w:val="51"/>
        </w:trPr>
        <w:tc>
          <w:tcPr>
            <w:tcW w:w="42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22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660" w:type="dxa"/>
            <w:vAlign w:val="bottom"/>
            <w:tcBorders>
              <w:bottom w:val="single" w:sz="8" w:color="403C3C"/>
            </w:tcBorders>
          </w:tcPr>
          <w:p>
            <w:pPr>
              <w:spacing w:after="0"/>
              <w:rPr>
                <w:sz w:val="4"/>
                <w:szCs w:val="4"/>
                <w:color w:val="auto"/>
              </w:rPr>
            </w:pPr>
          </w:p>
        </w:tc>
        <w:tc>
          <w:tcPr>
            <w:tcW w:w="280" w:type="dxa"/>
            <w:vAlign w:val="bottom"/>
            <w:tcBorders>
              <w:bottom w:val="single" w:sz="8" w:color="403C3C"/>
            </w:tcBorders>
          </w:tcPr>
          <w:p>
            <w:pPr>
              <w:spacing w:after="0"/>
              <w:rPr>
                <w:sz w:val="4"/>
                <w:szCs w:val="4"/>
                <w:color w:val="auto"/>
              </w:rPr>
            </w:pPr>
          </w:p>
        </w:tc>
        <w:tc>
          <w:tcPr>
            <w:tcW w:w="2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660" w:type="dxa"/>
            <w:vAlign w:val="bottom"/>
            <w:tcBorders>
              <w:bottom w:val="single" w:sz="8" w:color="403C3C"/>
            </w:tcBorders>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4280" w:type="dxa"/>
            <w:vAlign w:val="bottom"/>
            <w:vMerge w:val="continue"/>
          </w:tcPr>
          <w:p>
            <w:pPr>
              <w:spacing w:after="0"/>
              <w:rPr>
                <w:sz w:val="16"/>
                <w:szCs w:val="16"/>
                <w:color w:val="auto"/>
              </w:rPr>
            </w:pPr>
          </w:p>
        </w:tc>
        <w:tc>
          <w:tcPr>
            <w:tcW w:w="2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jc w:val="right"/>
              <w:ind w:right="127"/>
              <w:spacing w:after="0"/>
              <w:rPr>
                <w:sz w:val="20"/>
                <w:szCs w:val="20"/>
                <w:color w:val="auto"/>
              </w:rPr>
            </w:pPr>
            <w:r>
              <w:rPr>
                <w:rFonts w:ascii="Times New Roman" w:cs="Times New Roman" w:eastAsia="Times New Roman" w:hAnsi="Times New Roman"/>
                <w:sz w:val="15"/>
                <w:szCs w:val="15"/>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28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660" w:type="dxa"/>
            <w:vAlign w:val="bottom"/>
            <w:tcBorders>
              <w:bottom w:val="single" w:sz="8" w:color="403C3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403C3C"/>
            </w:tcBorders>
          </w:tcPr>
          <w:p>
            <w:pPr>
              <w:spacing w:after="0"/>
              <w:rPr>
                <w:sz w:val="2"/>
                <w:szCs w:val="2"/>
                <w:color w:val="auto"/>
              </w:rPr>
            </w:pPr>
          </w:p>
        </w:tc>
        <w:tc>
          <w:tcPr>
            <w:tcW w:w="660" w:type="dxa"/>
            <w:vAlign w:val="bottom"/>
            <w:tcBorders>
              <w:bottom w:val="single" w:sz="8" w:color="403C3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E mployee benefit obligations  .. . .... . ...... .. . .</w:t>
            </w:r>
          </w:p>
        </w:tc>
        <w:tc>
          <w:tcPr>
            <w:tcW w:w="23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 ..... ... ..... .$</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52,145</w:t>
            </w:r>
          </w:p>
        </w:tc>
        <w:tc>
          <w:tcPr>
            <w:tcW w:w="2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51,666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 ccounts receivable  . . . .. . . . . . .. . . . .... .....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3,589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4,160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State income tax loss carryforwards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67,703</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64,381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State income tax credit carryforwards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131</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U.S. Federal income tax loss carryforwards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52,557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58,424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U.S. Federal foreign income tax credit carryforwards</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545</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1,100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Non-U.S . income tax loss ca1ryforwards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16,438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23,850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Non- U.S . capital loss carryforwardls . .... .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5,990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Leases  .. .. . .. ... . . . .... . . . ..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61,497</w:t>
            </w: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57,564</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Other  .. . .. . . . .. . . . . . .. . . . . . .. . . . .. . . .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41,138</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10,705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760" w:type="dxa"/>
            <w:vAlign w:val="bottom"/>
            <w:tcBorders>
              <w:bottom w:val="single" w:sz="8" w:color="504C4C"/>
            </w:tcBorders>
            <w:gridSpan w:val="2"/>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66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Assets  . . .. . . . . . .. . .... . . . ......</w:t>
            </w: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 ... .... . .301,733</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275,247</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Valuation a llowances  . . .. . . . . .. . . . . .. .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9"/>
                <w:szCs w:val="19"/>
                <w:color w:val="auto"/>
              </w:rPr>
              <w:t>(74,793)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(66,298)</w:t>
            </w: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Deferred Tax Assets, Net  . ... . . .... . . .. .. ... . ................ . .. .</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226,940</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208,949</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Pre paid pension cost  . . . . . . ... .. ... . . .. ..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642,589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540,937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Unrealized gain on marketable equity securities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157,717</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116,396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Goodwill and other intangible assets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60,652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69,358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 rope•ty, plant and equipment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12,476</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2 1,6 12</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Leases  . . .. . . . .... . . . .. . . . . . .. . .... . . .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w w:val="88"/>
              </w:rPr>
              <w:t>· · · · · · · · · · · · · · · ·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9"/>
                <w:szCs w:val="19"/>
                <w:color w:val="auto"/>
              </w:rPr>
              <w:t>53,380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48,230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Non- U.S . withholding tax  . .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2,800</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1,962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Other... . . . ...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27,678</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42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Deferred Tax Liabilities  ... . . . .. . .... . . . . .. . .</w:t>
            </w:r>
          </w:p>
        </w:tc>
        <w:tc>
          <w:tcPr>
            <w:tcW w:w="2220" w:type="dxa"/>
            <w:vAlign w:val="bottom"/>
          </w:tcPr>
          <w:p>
            <w:pPr>
              <w:jc w:val="right"/>
              <w:ind w:right="203"/>
              <w:spacing w:after="0"/>
              <w:rPr>
                <w:sz w:val="20"/>
                <w:szCs w:val="20"/>
                <w:color w:val="auto"/>
              </w:rPr>
            </w:pPr>
            <w:r>
              <w:rPr>
                <w:rFonts w:ascii="Times New Roman" w:cs="Times New Roman" w:eastAsia="Times New Roman" w:hAnsi="Times New Roman"/>
                <w:sz w:val="19"/>
                <w:szCs w:val="19"/>
                <w:color w:val="auto"/>
              </w:rPr>
              <w:t>. . .. . ..............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957,292</w:t>
            </w: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798,495</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4280" w:type="dxa"/>
            <w:vAlign w:val="bottom"/>
          </w:tcPr>
          <w:p>
            <w:pPr>
              <w:spacing w:after="0"/>
              <w:rPr>
                <w:sz w:val="3"/>
                <w:szCs w:val="3"/>
                <w:color w:val="auto"/>
              </w:rPr>
            </w:pPr>
          </w:p>
        </w:tc>
        <w:tc>
          <w:tcPr>
            <w:tcW w:w="2240" w:type="dxa"/>
            <w:vAlign w:val="bottom"/>
            <w:gridSpan w:val="2"/>
          </w:tcPr>
          <w:p>
            <w:pPr>
              <w:spacing w:after="0"/>
              <w:rPr>
                <w:sz w:val="3"/>
                <w:szCs w:val="3"/>
                <w:color w:val="auto"/>
              </w:rPr>
            </w:pPr>
          </w:p>
        </w:tc>
        <w:tc>
          <w:tcPr>
            <w:tcW w:w="760" w:type="dxa"/>
            <w:vAlign w:val="bottom"/>
            <w:tcBorders>
              <w:bottom w:val="single" w:sz="8" w:color="0C0808"/>
            </w:tcBorders>
            <w:gridSpan w:val="2"/>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280" w:type="dxa"/>
            <w:vAlign w:val="bottom"/>
          </w:tcPr>
          <w:p>
            <w:pPr>
              <w:spacing w:after="0"/>
              <w:rPr>
                <w:sz w:val="20"/>
                <w:szCs w:val="20"/>
                <w:color w:val="auto"/>
              </w:rPr>
            </w:pPr>
            <w:r>
              <w:rPr>
                <w:rFonts w:ascii="Times New Roman" w:cs="Times New Roman" w:eastAsia="Times New Roman" w:hAnsi="Times New Roman"/>
                <w:sz w:val="19"/>
                <w:szCs w:val="19"/>
                <w:color w:val="auto"/>
              </w:rPr>
              <w:t>Deferred Income Tax Liabilities, Net  ...... .. . .</w:t>
            </w:r>
          </w:p>
        </w:tc>
        <w:tc>
          <w:tcPr>
            <w:tcW w:w="30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 .............. .$730,352</w:t>
            </w:r>
          </w:p>
        </w:tc>
        <w:tc>
          <w:tcPr>
            <w:tcW w:w="280" w:type="dxa"/>
            <w:vAlign w:val="bottom"/>
          </w:tcPr>
          <w:p>
            <w:pPr>
              <w:spacing w:after="0"/>
              <w:rPr>
                <w:sz w:val="23"/>
                <w:szCs w:val="23"/>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589,546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1"/>
        </w:trPr>
        <w:tc>
          <w:tcPr>
            <w:tcW w:w="42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660" w:type="dxa"/>
            <w:vAlign w:val="bottom"/>
            <w:tcBorders>
              <w:bottom w:val="single" w:sz="8" w:color="0C0808"/>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ind w:left="120" w:right="125" w:firstLine="1"/>
        <w:spacing w:after="0" w:line="256" w:lineRule="auto"/>
        <w:rPr>
          <w:sz w:val="20"/>
          <w:szCs w:val="20"/>
          <w:color w:val="auto"/>
        </w:rPr>
      </w:pPr>
      <w:r>
        <w:rPr>
          <w:rFonts w:ascii="Times New Roman" w:cs="Times New Roman" w:eastAsia="Times New Roman" w:hAnsi="Times New Roman"/>
          <w:sz w:val="19"/>
          <w:szCs w:val="19"/>
          <w:color w:val="auto"/>
        </w:rPr>
        <w:t>The Company has $1,163.4 million of state income tax net operating loss carryforwards available to offset future state taxable income as of December 3 L, 2024. State income tax loss carryforwards, if unutilized, will start to expire approximately as follows :</w:t>
      </w:r>
    </w:p>
    <w:p>
      <w:pPr>
        <w:spacing w:after="0" w:line="197"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080" w:type="dxa"/>
            <w:vAlign w:val="bottom"/>
          </w:tcPr>
          <w:p>
            <w:pPr>
              <w:spacing w:after="0"/>
              <w:rPr>
                <w:sz w:val="20"/>
                <w:szCs w:val="20"/>
                <w:color w:val="auto"/>
              </w:rPr>
            </w:pPr>
            <w:r>
              <w:rPr>
                <w:rFonts w:ascii="Times New Roman" w:cs="Times New Roman" w:eastAsia="Times New Roman" w:hAnsi="Times New Roman"/>
                <w:sz w:val="16"/>
                <w:szCs w:val="16"/>
                <w:color w:val="auto"/>
              </w:rPr>
              <w:t>(in m illions)</w:t>
            </w: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r>
      <w:tr>
        <w:trPr>
          <w:trHeight w:val="332"/>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2025 . . . . .. . . . . . .. . . . .. . . . . . .. . ........ .. . . . ... . . .</w:t>
            </w:r>
          </w:p>
        </w:tc>
        <w:tc>
          <w:tcPr>
            <w:tcW w:w="2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18.1</w:t>
            </w:r>
          </w:p>
        </w:tc>
      </w:tr>
      <w:tr>
        <w:trPr>
          <w:trHeight w:val="236"/>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2026 . ..... . . ...... . ............................. .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46"/>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2027 . . . . .. . . . . .. . . . . .. . . . . .. . .. .... .... ... ... ... .</w:t>
            </w:r>
          </w:p>
        </w:tc>
        <w:tc>
          <w:tcPr>
            <w:tcW w:w="2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40"/>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2028 . . . . .. . . . . . . . . . . .. . . . . .. . . . . .. . . . . . .. . ... . . . .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23.9</w:t>
            </w: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2029 ... . .. . . . . .. ... . .. . ... .. . . .... . ............. .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3 1.0</w:t>
            </w:r>
          </w:p>
        </w:tc>
      </w:tr>
      <w:tr>
        <w:trPr>
          <w:trHeight w:val="238"/>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2030 and after  .. . .... . .... . . .. . . . . .. . ............. .</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1,060.6</w:t>
            </w:r>
          </w:p>
        </w:tc>
      </w:tr>
      <w:tr>
        <w:trPr>
          <w:trHeight w:val="315"/>
        </w:trPr>
        <w:tc>
          <w:tcPr>
            <w:tcW w:w="5080" w:type="dxa"/>
            <w:vAlign w:val="bottom"/>
          </w:tcPr>
          <w:p>
            <w:pPr>
              <w:spacing w:after="0"/>
              <w:rPr>
                <w:sz w:val="20"/>
                <w:szCs w:val="20"/>
                <w:color w:val="auto"/>
              </w:rPr>
            </w:pPr>
            <w:r>
              <w:rPr>
                <w:rFonts w:ascii="Times New Roman" w:cs="Times New Roman" w:eastAsia="Times New Roman" w:hAnsi="Times New Roman"/>
                <w:sz w:val="19"/>
                <w:szCs w:val="19"/>
                <w:color w:val="auto"/>
              </w:rPr>
              <w:t>Total  ..... . . ..................... . ...... . ....... .</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1,163.4</w:t>
            </w:r>
          </w:p>
        </w:tc>
      </w:tr>
    </w:tbl>
    <w:p>
      <w:pPr>
        <w:spacing w:after="0" w:line="392" w:lineRule="exact"/>
        <w:rPr>
          <w:sz w:val="20"/>
          <w:szCs w:val="20"/>
          <w:color w:val="auto"/>
        </w:rPr>
      </w:pPr>
    </w:p>
    <w:p>
      <w:pPr>
        <w:jc w:val="both"/>
        <w:ind w:left="120" w:right="125" w:firstLine="1"/>
        <w:spacing w:after="0" w:line="261" w:lineRule="auto"/>
        <w:rPr>
          <w:sz w:val="20"/>
          <w:szCs w:val="20"/>
          <w:color w:val="auto"/>
        </w:rPr>
      </w:pPr>
      <w:r>
        <w:rPr>
          <w:rFonts w:ascii="Times New Roman" w:cs="Times New Roman" w:eastAsia="Times New Roman" w:hAnsi="Times New Roman"/>
          <w:sz w:val="19"/>
          <w:szCs w:val="19"/>
          <w:color w:val="auto"/>
        </w:rPr>
        <w:t xml:space="preserve">The Company has recorded $67.7 mi ll ion in deferred state income tax assets, net of U.S. Federa l income tax, with r·espect to these state income tax loss carryforwards as of December 3 1, 2024. The Company has established $49.9 million in valuation allowances against these deferred sttate income tax assets, since the Company has determi ned that it is more likely than not that some of these state income tax losses may not </w:t>
      </w:r>
      <w:r>
        <w:rPr>
          <w:rFonts w:ascii="Times New Roman" w:cs="Times New Roman" w:eastAsia="Times New Roman" w:hAnsi="Times New Roman"/>
          <w:sz w:val="18"/>
          <w:szCs w:val="18"/>
          <w:color w:val="auto"/>
        </w:rPr>
        <w:t>be</w:t>
      </w:r>
      <w:r>
        <w:rPr>
          <w:rFonts w:ascii="Times New Roman" w:cs="Times New Roman" w:eastAsia="Times New Roman" w:hAnsi="Times New Roman"/>
          <w:sz w:val="19"/>
          <w:szCs w:val="19"/>
          <w:color w:val="auto"/>
        </w:rPr>
        <w:t xml:space="preserve"> fu lly utilized in the future to reduce state taxable income.</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11 8</w:t>
        <w:tab/>
        <w:t>2024 FORM 10- K</w:t>
      </w:r>
    </w:p>
    <w:p>
      <w:pPr>
        <w:sectPr>
          <w:pgSz w:w="12240" w:h="15850" w:orient="portrait"/>
          <w:cols w:equalWidth="0" w:num="1">
            <w:col w:w="9365"/>
          </w:cols>
          <w:pgMar w:left="1440" w:top="1385" w:right="1440" w:bottom="721" w:gutter="0" w:footer="0" w:header="0"/>
          <w:type w:val="continuous"/>
        </w:sectPr>
      </w:pPr>
    </w:p>
    <w:bookmarkStart w:id="134" w:name="page135"/>
    <w:bookmarkEnd w:id="134"/>
    <w:p>
      <w:pPr>
        <w:jc w:val="both"/>
        <w:ind w:left="120" w:right="125" w:hanging="7"/>
        <w:spacing w:after="0" w:line="25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4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has $250.3 million of U.S. Federal income tax loss carryforwards obtained as a result of ptior stock acquisitions as of December 31, 2024. U.S. Federal income tax loss carryforwards are expected to be fully ulilizt:d as follows:</w:t>
      </w:r>
    </w:p>
    <w:p>
      <w:pPr>
        <w:spacing w:after="0" w:line="186"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5220" w:type="dxa"/>
            <w:vAlign w:val="bottom"/>
          </w:tcPr>
          <w:p>
            <w:pPr>
              <w:spacing w:after="0"/>
              <w:rPr>
                <w:sz w:val="20"/>
                <w:szCs w:val="20"/>
                <w:color w:val="auto"/>
              </w:rPr>
            </w:pPr>
            <w:r>
              <w:rPr>
                <w:rFonts w:ascii="Times New Roman" w:cs="Times New Roman" w:eastAsia="Times New Roman" w:hAnsi="Times New Roman"/>
                <w:sz w:val="16"/>
                <w:szCs w:val="16"/>
                <w:color w:val="auto"/>
              </w:rPr>
              <w:t>(in millions)</w:t>
            </w: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332"/>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2025</w:t>
            </w:r>
          </w:p>
        </w:tc>
        <w:tc>
          <w:tcPr>
            <w:tcW w:w="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25.2</w:t>
            </w: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2026</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14.0</w:t>
            </w:r>
          </w:p>
        </w:tc>
      </w:tr>
      <w:tr>
        <w:trPr>
          <w:trHeight w:val="240"/>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2027</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9"/>
                <w:szCs w:val="19"/>
                <w:color w:val="auto"/>
              </w:rPr>
              <w:t>6.4</w:t>
            </w:r>
          </w:p>
        </w:tc>
      </w:tr>
      <w:tr>
        <w:trPr>
          <w:trHeight w:val="236"/>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2028</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2029</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w:t>
            </w:r>
          </w:p>
        </w:tc>
      </w:tr>
      <w:tr>
        <w:trPr>
          <w:trHeight w:val="238"/>
        </w:trPr>
        <w:tc>
          <w:tcPr>
            <w:tcW w:w="5220" w:type="dxa"/>
            <w:vAlign w:val="bottom"/>
          </w:tcPr>
          <w:p>
            <w:pPr>
              <w:spacing w:after="0"/>
              <w:rPr>
                <w:sz w:val="20"/>
                <w:szCs w:val="20"/>
                <w:color w:val="auto"/>
              </w:rPr>
            </w:pPr>
            <w:r>
              <w:rPr>
                <w:rFonts w:ascii="Times New Roman" w:cs="Times New Roman" w:eastAsia="Times New Roman" w:hAnsi="Times New Roman"/>
                <w:sz w:val="19"/>
                <w:szCs w:val="19"/>
                <w:color w:val="auto"/>
              </w:rPr>
              <w:t>2030 and after ...................................... .</w:t>
            </w:r>
          </w:p>
        </w:tc>
        <w:tc>
          <w:tcPr>
            <w:tcW w:w="2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2"/>
              </w:rPr>
              <w:t>192. 1</w:t>
            </w:r>
          </w:p>
        </w:tc>
      </w:tr>
      <w:tr>
        <w:trPr>
          <w:trHeight w:val="319"/>
        </w:trPr>
        <w:tc>
          <w:tcPr>
            <w:tcW w:w="5220" w:type="dxa"/>
            <w:vAlign w:val="bottom"/>
          </w:tcPr>
          <w:p>
            <w:pPr>
              <w:spacing w:after="0"/>
              <w:rPr>
                <w:sz w:val="20"/>
                <w:szCs w:val="20"/>
                <w:color w:val="auto"/>
              </w:rPr>
            </w:pPr>
            <w:r>
              <w:rPr>
                <w:rFonts w:ascii="Times New Roman" w:cs="Times New Roman" w:eastAsia="Times New Roman" w:hAnsi="Times New Roman"/>
                <w:sz w:val="21"/>
                <w:szCs w:val="21"/>
                <w:color w:val="auto"/>
              </w:rPr>
              <w:t>Total ....... . ...... ... .. . . . .. . . . . . ... .... ... ..... . .</w:t>
            </w:r>
          </w:p>
        </w:tc>
        <w:tc>
          <w:tcPr>
            <w:tcW w:w="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8"/>
              </w:rPr>
              <w:t>250.3</w:t>
            </w:r>
          </w:p>
        </w:tc>
      </w:tr>
    </w:tbl>
    <w:p>
      <w:pPr>
        <w:spacing w:after="0" w:line="387"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The Company has established $52.6 million in U.S. Federal deferred tax assets with respect to these U.S. Federal income tax loss carryforwards as of December 31, 2024.</w:t>
      </w:r>
    </w:p>
    <w:p>
      <w:pPr>
        <w:spacing w:after="0" w:line="238"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For U.S. Federal income tax purposes, the Company has established U.S. Federal deferred tax assets with respect to $0.5 million of foreign tax credits available to be credited against future U.S. Federal income tax. liabilities that will start to expire in 2032 if unutilized. The Company has recorded $0.5 million in valuation allowances against these deferred tax assets since the Company determined that it is more likely than not that these foreign tax credit carryforwards may not be utilized in the future to reduce U.S. Federal income taxes.</w:t>
      </w:r>
    </w:p>
    <w:p>
      <w:pPr>
        <w:spacing w:after="0" w:line="247"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The Company has $84.1 million of non-U.S. income tax loss carryforwards as a result of operating losses and carryforwards that were obtained in part through prior stock acquisitions that are available to offset future non-U .S. taxable income and has recorded, with respect to these losses, $ 16.4 million in non -U.S. defen·ed income tax assets. The Company has established $ 12.0 million in valuation allowances against the deferred tax assets for the portion of non-U.S. tax losses that may not be utilized to reduce future non-U.S. taxable income. The $84.1 million of non-U.S. income tax loss carryforwards consist of $36.2 million in losses that may be carried forward indefinitely; $41.7 million of losses that, if unutilized, will expire in varying amounts through 2029; and $6.2 million of losses that, if unutilized, will start to ex.pire after 2029.</w:t>
      </w:r>
    </w:p>
    <w:p>
      <w:pPr>
        <w:spacing w:after="0" w:line="252"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has $20.0 million o f non-U.S. capital loss carryforwards that may be carried forward indefinitely and are available to offset future non-U.S. capital gains. The Company recorded a $6.0 million non-U.S. deferred income tax asset for these non-U .S. capital loss carryforwards and has established a full valuation allowance against this non-U.S. deferred tax asset since the Company has dletermined that it is more likely than not that the capital loss carryforwards may not be utilized to reduce taxable income in the future.</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Deferred tax valuation allowances and changes in deferred tax valuation allowances were as follows:</w:t>
      </w:r>
    </w:p>
    <w:p>
      <w:pPr>
        <w:spacing w:after="0" w:line="194" w:lineRule="exact"/>
        <w:rPr>
          <w:sz w:val="20"/>
          <w:szCs w:val="20"/>
          <w:color w:val="auto"/>
        </w:rPr>
      </w:pPr>
    </w:p>
    <w:tbl>
      <w:tblPr>
        <w:tblLayout w:type="fixed"/>
        <w:tblInd w:w="520" w:type="dxa"/>
        <w:tblCellMar>
          <w:top w:w="0" w:type="dxa"/>
          <w:left w:w="0" w:type="dxa"/>
          <w:bottom w:w="0" w:type="dxa"/>
          <w:right w:w="0" w:type="dxa"/>
        </w:tblCellMar>
      </w:tblPr>
      <w:tr>
        <w:trPr>
          <w:trHeight w:val="184"/>
        </w:trPr>
        <w:tc>
          <w:tcPr>
            <w:tcW w:w="98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880" w:type="dxa"/>
            <w:vAlign w:val="bottom"/>
            <w:gridSpan w:val="2"/>
          </w:tcPr>
          <w:p>
            <w:pPr>
              <w:jc w:val="center"/>
              <w:ind w:left="71"/>
              <w:spacing w:after="0"/>
              <w:rPr>
                <w:sz w:val="20"/>
                <w:szCs w:val="20"/>
                <w:color w:val="auto"/>
              </w:rPr>
            </w:pPr>
            <w:r>
              <w:rPr>
                <w:rFonts w:ascii="Times New Roman" w:cs="Times New Roman" w:eastAsia="Times New Roman" w:hAnsi="Times New Roman"/>
                <w:sz w:val="16"/>
                <w:szCs w:val="16"/>
                <w:color w:val="auto"/>
              </w:rPr>
              <w:t>Balance at</w:t>
            </w:r>
          </w:p>
        </w:tc>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Tax</w:t>
            </w:r>
          </w:p>
        </w:tc>
        <w:tc>
          <w:tcPr>
            <w:tcW w:w="2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gridSpan w:val="3"/>
          </w:tcPr>
          <w:p>
            <w:pPr>
              <w:ind w:left="320"/>
              <w:spacing w:after="0"/>
              <w:rPr>
                <w:sz w:val="20"/>
                <w:szCs w:val="20"/>
                <w:color w:val="auto"/>
              </w:rPr>
            </w:pPr>
            <w:r>
              <w:rPr>
                <w:rFonts w:ascii="Times New Roman" w:cs="Times New Roman" w:eastAsia="Times New Roman" w:hAnsi="Times New Roman"/>
                <w:sz w:val="16"/>
                <w:szCs w:val="16"/>
                <w:color w:val="auto"/>
              </w:rPr>
              <w:t>Balance at</w:t>
            </w:r>
          </w:p>
        </w:tc>
        <w:tc>
          <w:tcPr>
            <w:tcW w:w="0" w:type="dxa"/>
            <w:vAlign w:val="bottom"/>
          </w:tcPr>
          <w:p>
            <w:pPr>
              <w:spacing w:after="0"/>
              <w:rPr>
                <w:sz w:val="1"/>
                <w:szCs w:val="1"/>
                <w:color w:val="auto"/>
              </w:rPr>
            </w:pPr>
          </w:p>
        </w:tc>
      </w:tr>
      <w:tr>
        <w:trPr>
          <w:trHeight w:val="153"/>
        </w:trPr>
        <w:tc>
          <w:tcPr>
            <w:tcW w:w="420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880" w:type="dxa"/>
            <w:vAlign w:val="bottom"/>
            <w:gridSpan w:val="2"/>
          </w:tcPr>
          <w:p>
            <w:pPr>
              <w:jc w:val="center"/>
              <w:ind w:left="71"/>
              <w:spacing w:after="0" w:line="153" w:lineRule="exact"/>
              <w:rPr>
                <w:sz w:val="20"/>
                <w:szCs w:val="20"/>
                <w:color w:val="auto"/>
              </w:rPr>
            </w:pPr>
            <w:r>
              <w:rPr>
                <w:rFonts w:ascii="Times New Roman" w:cs="Times New Roman" w:eastAsia="Times New Roman" w:hAnsi="Times New Roman"/>
                <w:sz w:val="16"/>
                <w:szCs w:val="16"/>
                <w:color w:val="auto"/>
              </w:rPr>
              <w:t>Beginning</w:t>
            </w:r>
          </w:p>
        </w:tc>
        <w:tc>
          <w:tcPr>
            <w:tcW w:w="1180" w:type="dxa"/>
            <w:vAlign w:val="bottom"/>
            <w:gridSpan w:val="2"/>
          </w:tcPr>
          <w:p>
            <w:pPr>
              <w:jc w:val="center"/>
              <w:ind w:left="189"/>
              <w:spacing w:after="0" w:line="153" w:lineRule="exact"/>
              <w:rPr>
                <w:sz w:val="20"/>
                <w:szCs w:val="20"/>
                <w:color w:val="auto"/>
              </w:rPr>
            </w:pPr>
            <w:r>
              <w:rPr>
                <w:rFonts w:ascii="Times New Roman" w:cs="Times New Roman" w:eastAsia="Times New Roman" w:hAnsi="Times New Roman"/>
                <w:sz w:val="16"/>
                <w:szCs w:val="16"/>
                <w:color w:val="auto"/>
              </w:rPr>
              <w:t>Expense and</w:t>
            </w:r>
          </w:p>
        </w:tc>
        <w:tc>
          <w:tcPr>
            <w:tcW w:w="2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gridSpan w:val="2"/>
          </w:tcPr>
          <w:p>
            <w:pPr>
              <w:ind w:left="120"/>
              <w:spacing w:after="0" w:line="153" w:lineRule="exact"/>
              <w:rPr>
                <w:sz w:val="20"/>
                <w:szCs w:val="20"/>
                <w:color w:val="auto"/>
              </w:rPr>
            </w:pPr>
            <w:r>
              <w:rPr>
                <w:rFonts w:ascii="Times New Roman" w:cs="Times New Roman" w:eastAsia="Times New Roman" w:hAnsi="Times New Roman"/>
                <w:sz w:val="16"/>
                <w:szCs w:val="16"/>
                <w:color w:val="auto"/>
              </w:rPr>
              <w:t>E nd of</w:t>
            </w:r>
          </w:p>
        </w:tc>
        <w:tc>
          <w:tcPr>
            <w:tcW w:w="0" w:type="dxa"/>
            <w:vAlign w:val="bottom"/>
          </w:tcPr>
          <w:p>
            <w:pPr>
              <w:spacing w:after="0"/>
              <w:rPr>
                <w:sz w:val="1"/>
                <w:szCs w:val="1"/>
                <w:color w:val="auto"/>
              </w:rPr>
            </w:pPr>
          </w:p>
        </w:tc>
      </w:tr>
      <w:tr>
        <w:trPr>
          <w:trHeight w:val="188"/>
        </w:trPr>
        <w:tc>
          <w:tcPr>
            <w:tcW w:w="42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of Period</w:t>
            </w:r>
          </w:p>
        </w:tc>
        <w:tc>
          <w:tcPr>
            <w:tcW w:w="300" w:type="dxa"/>
            <w:vAlign w:val="bottom"/>
          </w:tcPr>
          <w:p>
            <w:pPr>
              <w:spacing w:after="0"/>
              <w:rPr>
                <w:sz w:val="16"/>
                <w:szCs w:val="16"/>
                <w:color w:val="auto"/>
              </w:rPr>
            </w:pPr>
          </w:p>
        </w:tc>
        <w:tc>
          <w:tcPr>
            <w:tcW w:w="88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Revaluation</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Deductions</w:t>
            </w:r>
          </w:p>
        </w:tc>
        <w:tc>
          <w:tcPr>
            <w:tcW w:w="320" w:type="dxa"/>
            <w:vAlign w:val="bottom"/>
          </w:tcPr>
          <w:p>
            <w:pPr>
              <w:spacing w:after="0"/>
              <w:rPr>
                <w:sz w:val="16"/>
                <w:szCs w:val="16"/>
                <w:color w:val="auto"/>
              </w:rPr>
            </w:pPr>
          </w:p>
        </w:tc>
        <w:tc>
          <w:tcPr>
            <w:tcW w:w="72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Period</w:t>
            </w:r>
          </w:p>
        </w:tc>
        <w:tc>
          <w:tcPr>
            <w:tcW w:w="0" w:type="dxa"/>
            <w:vAlign w:val="bottom"/>
          </w:tcPr>
          <w:p>
            <w:pPr>
              <w:spacing w:after="0"/>
              <w:rPr>
                <w:sz w:val="1"/>
                <w:szCs w:val="1"/>
                <w:color w:val="auto"/>
              </w:rPr>
            </w:pPr>
          </w:p>
        </w:tc>
      </w:tr>
      <w:tr>
        <w:trPr>
          <w:trHeight w:val="33"/>
        </w:trPr>
        <w:tc>
          <w:tcPr>
            <w:tcW w:w="980" w:type="dxa"/>
            <w:vAlign w:val="bottom"/>
            <w:tcBorders>
              <w:bottom w:val="single" w:sz="8" w:color="181414"/>
            </w:tcBorders>
          </w:tcPr>
          <w:p>
            <w:pPr>
              <w:spacing w:after="0"/>
              <w:rPr>
                <w:sz w:val="2"/>
                <w:szCs w:val="2"/>
                <w:color w:val="auto"/>
              </w:rPr>
            </w:pPr>
          </w:p>
        </w:tc>
        <w:tc>
          <w:tcPr>
            <w:tcW w:w="3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Borders>
              <w:bottom w:val="single" w:sz="8" w:color="181414"/>
            </w:tcBorders>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Borders>
              <w:bottom w:val="single" w:sz="8" w:color="181414"/>
            </w:tcBorders>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Borders>
              <w:bottom w:val="single" w:sz="8" w:color="18141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2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Year Ended</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2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December 31,2024  </w:t>
            </w:r>
            <w:r>
              <w:rPr>
                <w:rFonts w:ascii="Arial" w:cs="Arial" w:eastAsia="Arial" w:hAnsi="Arial"/>
                <w:sz w:val="18"/>
                <w:szCs w:val="18"/>
                <w:color w:val="auto"/>
              </w:rPr>
              <w:t>...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$66,298</w:t>
            </w: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9"/>
                <w:szCs w:val="19"/>
                <w:color w:val="auto"/>
              </w:rPr>
              <w:t>$9,389</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(894)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$74,793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4200" w:type="dxa"/>
            <w:vAlign w:val="bottom"/>
            <w:gridSpan w:val="2"/>
          </w:tcPr>
          <w:p>
            <w:pPr>
              <w:spacing w:after="0" w:line="263" w:lineRule="exact"/>
              <w:rPr>
                <w:sz w:val="20"/>
                <w:szCs w:val="20"/>
                <w:color w:val="auto"/>
              </w:rPr>
            </w:pPr>
            <w:r>
              <w:rPr>
                <w:rFonts w:ascii="Times New Roman" w:cs="Times New Roman" w:eastAsia="Times New Roman" w:hAnsi="Times New Roman"/>
                <w:sz w:val="19"/>
                <w:szCs w:val="19"/>
                <w:color w:val="auto"/>
              </w:rPr>
              <w:t xml:space="preserve">December 31, 2023  </w:t>
            </w:r>
            <w:r>
              <w:rPr>
                <w:rFonts w:ascii="Arial" w:cs="Arial" w:eastAsia="Arial" w:hAnsi="Arial"/>
                <w:sz w:val="23"/>
                <w:szCs w:val="23"/>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62,816</w:t>
            </w: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9"/>
                <w:szCs w:val="19"/>
                <w:color w:val="auto"/>
              </w:rPr>
              <w:t>9,786</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(6,304)</w:t>
            </w:r>
          </w:p>
        </w:tc>
        <w:tc>
          <w:tcPr>
            <w:tcW w:w="1020" w:type="dxa"/>
            <w:vAlign w:val="bottom"/>
            <w:gridSpan w:val="2"/>
          </w:tcPr>
          <w:p>
            <w:pPr>
              <w:ind w:left="440"/>
              <w:spacing w:after="0"/>
              <w:rPr>
                <w:sz w:val="20"/>
                <w:szCs w:val="20"/>
                <w:color w:val="auto"/>
              </w:rPr>
            </w:pPr>
            <w:r>
              <w:rPr>
                <w:rFonts w:ascii="Times New Roman" w:cs="Times New Roman" w:eastAsia="Times New Roman" w:hAnsi="Times New Roman"/>
                <w:sz w:val="19"/>
                <w:szCs w:val="19"/>
                <w:color w:val="auto"/>
              </w:rPr>
              <w:t>66,298</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42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December 3 1, 2022  </w:t>
            </w:r>
            <w:r>
              <w:rPr>
                <w:rFonts w:ascii="Arial" w:cs="Arial" w:eastAsia="Arial" w:hAnsi="Arial"/>
                <w:sz w:val="18"/>
                <w:szCs w:val="18"/>
                <w:color w:val="auto"/>
              </w:rPr>
              <w:t>. ...... . .... . ...... . . ...</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57,603</w:t>
            </w:r>
          </w:p>
        </w:tc>
        <w:tc>
          <w:tcPr>
            <w:tcW w:w="1180" w:type="dxa"/>
            <w:vAlign w:val="bottom"/>
            <w:gridSpan w:val="2"/>
          </w:tcPr>
          <w:p>
            <w:pPr>
              <w:jc w:val="right"/>
              <w:ind w:right="99"/>
              <w:spacing w:after="0"/>
              <w:rPr>
                <w:sz w:val="20"/>
                <w:szCs w:val="20"/>
                <w:color w:val="auto"/>
              </w:rPr>
            </w:pPr>
            <w:r>
              <w:rPr>
                <w:rFonts w:ascii="Times New Roman" w:cs="Times New Roman" w:eastAsia="Times New Roman" w:hAnsi="Times New Roman"/>
                <w:sz w:val="19"/>
                <w:szCs w:val="19"/>
                <w:color w:val="auto"/>
              </w:rPr>
              <w:t>7,460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(2,247)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62,816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left="120" w:right="125" w:hanging="9"/>
        <w:spacing w:after="0" w:line="262" w:lineRule="auto"/>
        <w:rPr>
          <w:sz w:val="20"/>
          <w:szCs w:val="20"/>
          <w:color w:val="auto"/>
        </w:rPr>
      </w:pPr>
      <w:r>
        <w:rPr>
          <w:rFonts w:ascii="Times New Roman" w:cs="Times New Roman" w:eastAsia="Times New Roman" w:hAnsi="Times New Roman"/>
          <w:sz w:val="19"/>
          <w:szCs w:val="19"/>
          <w:color w:val="auto"/>
        </w:rPr>
        <w:t>The Company has established $56.1 miJlion in valuation allowances against deferred state tax assets recognized, net of U.S . Federal tax. As stated above, approximately $49.9 million of the va[uation allowances, net of U.S. Federal income tax, relate to state income tax loss carryforwards. In most instances, the Company has established valuation allowances against deferred state income tax assets without considering potentially offsetting deferred tax liabilities established with respect to prepaid pension cost and goodwill. Prepaid pension cost and goodwill</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96"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119</w:t>
      </w:r>
    </w:p>
    <w:p>
      <w:pPr>
        <w:sectPr>
          <w:pgSz w:w="12240" w:h="15850" w:orient="portrait"/>
          <w:cols w:equalWidth="0" w:num="1">
            <w:col w:w="9365"/>
          </w:cols>
          <w:pgMar w:left="1440" w:top="1394" w:right="1440" w:bottom="721" w:gutter="0" w:footer="0" w:header="0"/>
          <w:type w:val="continuous"/>
        </w:sectPr>
      </w:pPr>
    </w:p>
    <w:bookmarkStart w:id="135" w:name="page136"/>
    <w:bookmarkEnd w:id="135"/>
    <w:p>
      <w:pPr>
        <w:jc w:val="both"/>
        <w:ind w:left="120" w:right="105" w:firstLine="11"/>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43">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have not been considered a source of future taxable income for realizing those deferred state tax assets recognized because these temporary differences are not likely to reverse in the foreseeable fut!llre. However, cerLain deferred stale tax assets have an indefinite life. As a result, the Company has considered deferred tax liabilities for prepaid pension cost and goodwill as a source of future taxable income for realizing those deferred state tax assets with indefinite lives. The valuation allowances established against deferred state income tax assets may increase or decrease within the next 12 months, based on operating results or the market value of investment holdings. The Company will monitor future results on a quarterly basis to determine whether the valuation allowances provided against deferred state tax assets should be increased or decreased as future circumstances warrant.</w:t>
      </w:r>
    </w:p>
    <w:p>
      <w:pPr>
        <w:spacing w:after="0" w:line="200" w:lineRule="exact"/>
        <w:rPr>
          <w:sz w:val="20"/>
          <w:szCs w:val="20"/>
          <w:color w:val="auto"/>
        </w:rPr>
      </w:pPr>
    </w:p>
    <w:p>
      <w:pPr>
        <w:spacing w:after="0" w:line="300"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Company has established $18.2 million in valuation allowances against non-U.S. deferred tax assets, and as stated above, $12.0 million of the non-U.S. valuation allowances relate to non-U.S. income tax loss carryforwards and $6.0 million relate to non-U.S. capital loss carryforwards. Valuation allowances established against non-U.S. deferred tax assets are recorded at the education division and other businesses. These non-U.S. valuation allowances may increase or decrease within the next 12 months, based on operating results. As a result, the Company is unable to estimate the potential tax impact, g iven the uncertain operating environment. The Company will monitor future education division and other businesses' operating results and projected future operating results on a quarterly basis to determine whether the valuation allowances provided against non-U.S. deferred tax assets should be increased or decreased as future circumstances warrant.</w:t>
      </w:r>
    </w:p>
    <w:p>
      <w:pPr>
        <w:spacing w:after="0" w:line="257" w:lineRule="exact"/>
        <w:rPr>
          <w:sz w:val="20"/>
          <w:szCs w:val="20"/>
          <w:color w:val="auto"/>
        </w:rPr>
      </w:pPr>
    </w:p>
    <w:p>
      <w:pPr>
        <w:jc w:val="both"/>
        <w:ind w:left="120" w:right="125"/>
        <w:spacing w:after="0" w:line="256" w:lineRule="auto"/>
        <w:rPr>
          <w:sz w:val="20"/>
          <w:szCs w:val="20"/>
          <w:color w:val="auto"/>
        </w:rPr>
      </w:pPr>
      <w:r>
        <w:rPr>
          <w:rFonts w:ascii="Times New Roman" w:cs="Times New Roman" w:eastAsia="Times New Roman" w:hAnsi="Times New Roman"/>
          <w:sz w:val="19"/>
          <w:szCs w:val="19"/>
          <w:color w:val="auto"/>
        </w:rPr>
        <w:t>The Company estimates that unremitted non-U.S. subsidiary earnings, when distributed, will not be subject to tax except to the extent non- U.S. withholding taxes are imposed. Approximately $2.8 million of deferred tax liabilities remain recorded on the books at December 31, 2024, with respect to future non-U.S. withholding taxes the Company estimated may be imposed on future cash distributions.</w:t>
      </w:r>
    </w:p>
    <w:p>
      <w:pPr>
        <w:spacing w:after="0" w:line="257" w:lineRule="exact"/>
        <w:rPr>
          <w:sz w:val="20"/>
          <w:szCs w:val="20"/>
          <w:color w:val="auto"/>
        </w:rPr>
      </w:pPr>
    </w:p>
    <w:p>
      <w:pPr>
        <w:jc w:val="both"/>
        <w:ind w:left="120" w:right="125" w:firstLine="3"/>
        <w:spacing w:after="0" w:line="260" w:lineRule="auto"/>
        <w:rPr>
          <w:sz w:val="20"/>
          <w:szCs w:val="20"/>
          <w:color w:val="auto"/>
        </w:rPr>
      </w:pPr>
      <w:r>
        <w:rPr>
          <w:rFonts w:ascii="Times New Roman" w:cs="Times New Roman" w:eastAsia="Times New Roman" w:hAnsi="Times New Roman"/>
          <w:sz w:val="19"/>
          <w:szCs w:val="19"/>
          <w:color w:val="auto"/>
        </w:rPr>
        <w:t xml:space="preserve">U.S. Federal and state tax liabilities may be recorded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investment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non-U.S. subsidiaries becomes held for sale instead of being held indefinitely, but the calculation of the tax due is not practicable.</w:t>
      </w:r>
    </w:p>
    <w:p>
      <w:pPr>
        <w:spacing w:after="0" w:line="254" w:lineRule="exact"/>
        <w:rPr>
          <w:sz w:val="20"/>
          <w:szCs w:val="20"/>
          <w:color w:val="auto"/>
        </w:rPr>
      </w:pPr>
    </w:p>
    <w:p>
      <w:pPr>
        <w:jc w:val="both"/>
        <w:ind w:left="100" w:right="125" w:firstLine="13"/>
        <w:spacing w:after="0" w:line="256" w:lineRule="auto"/>
        <w:rPr>
          <w:sz w:val="20"/>
          <w:szCs w:val="20"/>
          <w:color w:val="auto"/>
        </w:rPr>
      </w:pPr>
      <w:r>
        <w:rPr>
          <w:rFonts w:ascii="Times New Roman" w:cs="Times New Roman" w:eastAsia="Times New Roman" w:hAnsi="Times New Roman"/>
          <w:sz w:val="19"/>
          <w:szCs w:val="19"/>
          <w:color w:val="auto"/>
        </w:rPr>
        <w:t>The 2021 U.S. Federail tax return and subsequent years remain open to Internal Revenue Service examination. The Company files income tax returns with the U.S. Federal government and in various state, local and non-U.S. governmental jurisdictions, with the consolidated U.S. Federal tax return filing considered the only major tax jurisdiction.</w:t>
      </w:r>
    </w:p>
    <w:p>
      <w:pPr>
        <w:spacing w:after="0" w:line="269" w:lineRule="exact"/>
        <w:rPr>
          <w:sz w:val="20"/>
          <w:szCs w:val="20"/>
          <w:color w:val="auto"/>
        </w:rPr>
      </w:pPr>
    </w:p>
    <w:p>
      <w:pPr>
        <w:jc w:val="both"/>
        <w:ind w:left="120" w:right="125" w:hanging="10"/>
        <w:spacing w:after="0" w:line="254" w:lineRule="auto"/>
        <w:rPr>
          <w:sz w:val="20"/>
          <w:szCs w:val="20"/>
          <w:color w:val="auto"/>
        </w:rPr>
      </w:pPr>
      <w:r>
        <w:rPr>
          <w:rFonts w:ascii="Times New Roman" w:cs="Times New Roman" w:eastAsia="Times New Roman" w:hAnsi="Times New Roman"/>
          <w:sz w:val="19"/>
          <w:szCs w:val="19"/>
          <w:color w:val="auto"/>
        </w:rPr>
        <w:t xml:space="preserve">The Company endeavors to comply with tax Jaws and regulations where it does business, but cannot guarantee that,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challenged, the Company' s interpretation of all relevant tax laws and regulations will prevail and that all tax benefits recorded in the financial statements will ultimately be recognized in fu ll.</w:t>
      </w:r>
    </w:p>
    <w:p>
      <w:pPr>
        <w:spacing w:after="0" w:line="269" w:lineRule="exact"/>
        <w:rPr>
          <w:sz w:val="20"/>
          <w:szCs w:val="20"/>
          <w:color w:val="auto"/>
        </w:rPr>
      </w:pPr>
    </w:p>
    <w:p>
      <w:pPr>
        <w:jc w:val="both"/>
        <w:ind w:left="120" w:right="125" w:hanging="10"/>
        <w:spacing w:after="0" w:line="238" w:lineRule="auto"/>
        <w:rPr>
          <w:sz w:val="20"/>
          <w:szCs w:val="20"/>
          <w:color w:val="auto"/>
        </w:rPr>
      </w:pPr>
      <w:r>
        <w:rPr>
          <w:rFonts w:ascii="Times New Roman" w:cs="Times New Roman" w:eastAsia="Times New Roman" w:hAnsi="Times New Roman"/>
          <w:sz w:val="19"/>
          <w:szCs w:val="19"/>
          <w:color w:val="auto"/>
        </w:rPr>
        <w:t>The following summarizes the Company's unrecognjzed tax benefits, excludjng interest and penalties, for the respective periods:</w:t>
      </w:r>
    </w:p>
    <w:p>
      <w:pPr>
        <w:spacing w:after="0" w:line="22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6"/>
          <w:szCs w:val="16"/>
          <w:color w:val="auto"/>
        </w:rPr>
        <w:t>Year Ended December 31</w:t>
      </w:r>
    </w:p>
    <w:p>
      <w:pPr>
        <w:spacing w:after="0" w:line="45" w:lineRule="exact"/>
        <w:rPr>
          <w:sz w:val="20"/>
          <w:szCs w:val="20"/>
          <w:color w:val="auto"/>
        </w:rPr>
      </w:pPr>
    </w:p>
    <w:tbl>
      <w:tblPr>
        <w:tblLayout w:type="fixed"/>
        <w:tblInd w:w="920" w:type="dxa"/>
        <w:tblCellMar>
          <w:top w:w="0" w:type="dxa"/>
          <w:left w:w="0" w:type="dxa"/>
          <w:bottom w:w="0" w:type="dxa"/>
          <w:right w:w="0" w:type="dxa"/>
        </w:tblCellMar>
      </w:tblPr>
      <w:tr>
        <w:trPr>
          <w:trHeight w:val="193"/>
        </w:trPr>
        <w:tc>
          <w:tcPr>
            <w:tcW w:w="52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6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2024</w:t>
            </w:r>
          </w:p>
        </w:tc>
        <w:tc>
          <w:tcPr>
            <w:tcW w:w="98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rPr>
              <w:t>2023</w:t>
            </w: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w:t>
            </w:r>
          </w:p>
        </w:tc>
      </w:tr>
      <w:tr>
        <w:trPr>
          <w:trHeight w:val="33"/>
        </w:trPr>
        <w:tc>
          <w:tcPr>
            <w:tcW w:w="5200" w:type="dxa"/>
            <w:vAlign w:val="bottom"/>
          </w:tcPr>
          <w:p>
            <w:pPr>
              <w:spacing w:after="0"/>
              <w:rPr>
                <w:sz w:val="2"/>
                <w:szCs w:val="2"/>
                <w:color w:val="auto"/>
              </w:rPr>
            </w:pPr>
          </w:p>
        </w:tc>
        <w:tc>
          <w:tcPr>
            <w:tcW w:w="640" w:type="dxa"/>
            <w:vAlign w:val="bottom"/>
            <w:tcBorders>
              <w:bottom w:val="single" w:sz="8" w:color="141414"/>
            </w:tcBorders>
          </w:tcPr>
          <w:p>
            <w:pPr>
              <w:spacing w:after="0"/>
              <w:rPr>
                <w:sz w:val="2"/>
                <w:szCs w:val="2"/>
                <w:color w:val="auto"/>
              </w:rPr>
            </w:pPr>
          </w:p>
        </w:tc>
        <w:tc>
          <w:tcPr>
            <w:tcW w:w="980" w:type="dxa"/>
            <w:vAlign w:val="bottom"/>
          </w:tcPr>
          <w:p>
            <w:pPr>
              <w:spacing w:after="0"/>
              <w:rPr>
                <w:sz w:val="2"/>
                <w:szCs w:val="2"/>
                <w:color w:val="auto"/>
              </w:rPr>
            </w:pPr>
          </w:p>
        </w:tc>
        <w:tc>
          <w:tcPr>
            <w:tcW w:w="580" w:type="dxa"/>
            <w:vAlign w:val="bottom"/>
          </w:tcPr>
          <w:p>
            <w:pPr>
              <w:spacing w:after="0"/>
              <w:rPr>
                <w:sz w:val="2"/>
                <w:szCs w:val="2"/>
                <w:color w:val="auto"/>
              </w:rPr>
            </w:pPr>
          </w:p>
        </w:tc>
      </w:tr>
    </w:tbl>
    <w:p>
      <w:pPr>
        <w:spacing w:after="0" w:line="46" w:lineRule="exact"/>
        <w:rPr>
          <w:sz w:val="20"/>
          <w:szCs w:val="20"/>
          <w:color w:val="auto"/>
        </w:rPr>
      </w:pPr>
    </w:p>
    <w:tbl>
      <w:tblPr>
        <w:tblLayout w:type="fixed"/>
        <w:tblInd w:w="920" w:type="dxa"/>
        <w:tblCellMar>
          <w:top w:w="0" w:type="dxa"/>
          <w:left w:w="0" w:type="dxa"/>
          <w:bottom w:w="0" w:type="dxa"/>
          <w:right w:w="0" w:type="dxa"/>
        </w:tblCellMar>
      </w:tblPr>
      <w:tr>
        <w:trPr>
          <w:trHeight w:val="230"/>
        </w:trPr>
        <w:tc>
          <w:tcPr>
            <w:tcW w:w="5180" w:type="dxa"/>
            <w:vAlign w:val="bottom"/>
          </w:tcPr>
          <w:p>
            <w:pPr>
              <w:jc w:val="right"/>
              <w:ind w:right="2005"/>
              <w:spacing w:after="0"/>
              <w:rPr>
                <w:sz w:val="20"/>
                <w:szCs w:val="20"/>
                <w:color w:val="auto"/>
              </w:rPr>
            </w:pPr>
            <w:r>
              <w:rPr>
                <w:rFonts w:ascii="Times New Roman" w:cs="Times New Roman" w:eastAsia="Times New Roman" w:hAnsi="Times New Roman"/>
                <w:sz w:val="20"/>
                <w:szCs w:val="20"/>
                <w:color w:val="auto"/>
              </w:rPr>
              <w:t>Beginning unrecognized tax benefits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$3,263</w:t>
            </w:r>
          </w:p>
        </w:tc>
        <w:tc>
          <w:tcPr>
            <w:tcW w:w="160" w:type="dxa"/>
            <w:vAlign w:val="bottom"/>
          </w:tcPr>
          <w:p>
            <w:pPr>
              <w:spacing w:after="0"/>
              <w:rPr>
                <w:sz w:val="19"/>
                <w:szCs w:val="19"/>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$3,897</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$3,004</w:t>
            </w:r>
          </w:p>
        </w:tc>
        <w:tc>
          <w:tcPr>
            <w:tcW w:w="0" w:type="dxa"/>
            <w:vAlign w:val="bottom"/>
          </w:tcPr>
          <w:p>
            <w:pPr>
              <w:spacing w:after="0"/>
              <w:rPr>
                <w:sz w:val="1"/>
                <w:szCs w:val="1"/>
                <w:color w:val="auto"/>
              </w:rPr>
            </w:pPr>
          </w:p>
        </w:tc>
      </w:tr>
      <w:tr>
        <w:trPr>
          <w:trHeight w:val="243"/>
        </w:trPr>
        <w:tc>
          <w:tcPr>
            <w:tcW w:w="51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Increases related to current year tax positions  .......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235</w:t>
            </w:r>
          </w:p>
        </w:tc>
        <w:tc>
          <w:tcPr>
            <w:tcW w:w="160" w:type="dxa"/>
            <w:vAlign w:val="bottom"/>
          </w:tcPr>
          <w:p>
            <w:pPr>
              <w:spacing w:after="0"/>
              <w:rPr>
                <w:sz w:val="21"/>
                <w:szCs w:val="21"/>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135</w:t>
            </w:r>
          </w:p>
        </w:tc>
        <w:tc>
          <w:tcPr>
            <w:tcW w:w="760" w:type="dxa"/>
            <w:vAlign w:val="bottom"/>
          </w:tcPr>
          <w:p>
            <w:pPr>
              <w:jc w:val="right"/>
              <w:spacing w:after="0" w:line="243" w:lineRule="exact"/>
              <w:rPr>
                <w:sz w:val="20"/>
                <w:szCs w:val="20"/>
                <w:color w:val="auto"/>
              </w:rPr>
            </w:pPr>
            <w:r>
              <w:rPr>
                <w:rFonts w:ascii="Times New Roman" w:cs="Times New Roman" w:eastAsia="Times New Roman" w:hAnsi="Times New Roman"/>
                <w:sz w:val="22"/>
                <w:szCs w:val="22"/>
                <w:color w:val="auto"/>
              </w:rPr>
              <w:t>300</w:t>
            </w:r>
          </w:p>
        </w:tc>
        <w:tc>
          <w:tcPr>
            <w:tcW w:w="0" w:type="dxa"/>
            <w:vAlign w:val="bottom"/>
          </w:tcPr>
          <w:p>
            <w:pPr>
              <w:spacing w:after="0"/>
              <w:rPr>
                <w:sz w:val="1"/>
                <w:szCs w:val="1"/>
                <w:color w:val="auto"/>
              </w:rPr>
            </w:pPr>
          </w:p>
        </w:tc>
      </w:tr>
      <w:tr>
        <w:trPr>
          <w:trHeight w:val="248"/>
        </w:trPr>
        <w:tc>
          <w:tcPr>
            <w:tcW w:w="51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Increases related to prior year tax positions  ......... .</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990</w:t>
            </w: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jc w:val="right"/>
              <w:spacing w:after="0" w:line="242" w:lineRule="exact"/>
              <w:rPr>
                <w:sz w:val="20"/>
                <w:szCs w:val="20"/>
                <w:color w:val="auto"/>
              </w:rPr>
            </w:pPr>
            <w:r>
              <w:rPr>
                <w:rFonts w:ascii="Times New Roman" w:cs="Times New Roman" w:eastAsia="Times New Roman" w:hAnsi="Times New Roman"/>
                <w:sz w:val="22"/>
                <w:szCs w:val="22"/>
                <w:color w:val="auto"/>
              </w:rPr>
              <w:t>778</w:t>
            </w:r>
          </w:p>
        </w:tc>
        <w:tc>
          <w:tcPr>
            <w:tcW w:w="0" w:type="dxa"/>
            <w:vAlign w:val="bottom"/>
          </w:tcPr>
          <w:p>
            <w:pPr>
              <w:spacing w:after="0"/>
              <w:rPr>
                <w:sz w:val="1"/>
                <w:szCs w:val="1"/>
                <w:color w:val="auto"/>
              </w:rPr>
            </w:pPr>
          </w:p>
        </w:tc>
      </w:tr>
      <w:tr>
        <w:trPr>
          <w:trHeight w:val="227"/>
        </w:trPr>
        <w:tc>
          <w:tcPr>
            <w:tcW w:w="51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Decreases related to prior year tax positions  ........ .</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(43)</w:t>
            </w:r>
          </w:p>
        </w:tc>
        <w:tc>
          <w:tcPr>
            <w:tcW w:w="840" w:type="dxa"/>
            <w:vAlign w:val="bottom"/>
          </w:tcPr>
          <w:p>
            <w:pPr>
              <w:jc w:val="right"/>
              <w:ind w:right="4"/>
              <w:spacing w:after="0"/>
              <w:rPr>
                <w:sz w:val="20"/>
                <w:szCs w:val="20"/>
                <w:color w:val="auto"/>
              </w:rPr>
            </w:pPr>
            <w:r>
              <w:rPr>
                <w:rFonts w:ascii="Times New Roman" w:cs="Times New Roman" w:eastAsia="Times New Roman" w:hAnsi="Times New Roman"/>
                <w:sz w:val="19"/>
                <w:szCs w:val="19"/>
                <w:color w:val="auto"/>
              </w:rPr>
              <w:t>( 165)</w:t>
            </w:r>
          </w:p>
        </w:tc>
        <w:tc>
          <w:tcPr>
            <w:tcW w:w="7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( 185)</w:t>
            </w:r>
          </w:p>
        </w:tc>
        <w:tc>
          <w:tcPr>
            <w:tcW w:w="0" w:type="dxa"/>
            <w:vAlign w:val="bottom"/>
          </w:tcPr>
          <w:p>
            <w:pPr>
              <w:spacing w:after="0"/>
              <w:rPr>
                <w:sz w:val="1"/>
                <w:szCs w:val="1"/>
                <w:color w:val="auto"/>
              </w:rPr>
            </w:pPr>
          </w:p>
        </w:tc>
      </w:tr>
      <w:tr>
        <w:trPr>
          <w:trHeight w:val="248"/>
        </w:trPr>
        <w:tc>
          <w:tcPr>
            <w:tcW w:w="51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Decreases related to settlement with Lax authorities ... .</w:t>
            </w: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5180" w:type="dxa"/>
            <w:vAlign w:val="bottom"/>
          </w:tcPr>
          <w:p>
            <w:pPr>
              <w:jc w:val="right"/>
              <w:ind w:right="885"/>
              <w:spacing w:after="0"/>
              <w:rPr>
                <w:sz w:val="20"/>
                <w:szCs w:val="20"/>
                <w:color w:val="auto"/>
              </w:rPr>
            </w:pPr>
            <w:r>
              <w:rPr>
                <w:rFonts w:ascii="Times New Roman" w:cs="Times New Roman" w:eastAsia="Times New Roman" w:hAnsi="Times New Roman"/>
                <w:sz w:val="19"/>
                <w:szCs w:val="19"/>
                <w:color w:val="auto"/>
              </w:rPr>
              <w:t>Decreases due to lapse of applicable statutes of</w:t>
            </w: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180" w:type="dxa"/>
            <w:vAlign w:val="bottom"/>
          </w:tcPr>
          <w:p>
            <w:pPr>
              <w:jc w:val="right"/>
              <w:ind w:right="165"/>
              <w:spacing w:after="0"/>
              <w:rPr>
                <w:sz w:val="20"/>
                <w:szCs w:val="20"/>
                <w:color w:val="auto"/>
              </w:rPr>
            </w:pPr>
            <w:r>
              <w:rPr>
                <w:rFonts w:ascii="Times New Roman" w:cs="Times New Roman" w:eastAsia="Times New Roman" w:hAnsi="Times New Roman"/>
                <w:sz w:val="19"/>
                <w:szCs w:val="19"/>
                <w:color w:val="auto"/>
              </w:rPr>
              <w:t>limitations  ................................. .</w:t>
            </w: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(1,136)</w:t>
            </w:r>
          </w:p>
        </w:tc>
        <w:tc>
          <w:tcPr>
            <w:tcW w:w="840" w:type="dxa"/>
            <w:vAlign w:val="bottom"/>
          </w:tcPr>
          <w:p>
            <w:pPr>
              <w:jc w:val="right"/>
              <w:ind w:right="24"/>
              <w:spacing w:after="0"/>
              <w:rPr>
                <w:sz w:val="20"/>
                <w:szCs w:val="20"/>
                <w:color w:val="auto"/>
              </w:rPr>
            </w:pPr>
            <w:r>
              <w:rPr>
                <w:rFonts w:ascii="Times New Roman" w:cs="Times New Roman" w:eastAsia="Times New Roman" w:hAnsi="Times New Roman"/>
                <w:sz w:val="19"/>
                <w:szCs w:val="19"/>
                <w:color w:val="auto"/>
              </w:rPr>
              <w:t>(604)</w:t>
            </w: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5180" w:type="dxa"/>
            <w:vAlign w:val="bottom"/>
            <w:vMerge w:val="restart"/>
          </w:tcPr>
          <w:p>
            <w:pPr>
              <w:jc w:val="right"/>
              <w:ind w:right="165"/>
              <w:spacing w:after="0"/>
              <w:rPr>
                <w:sz w:val="20"/>
                <w:szCs w:val="20"/>
                <w:color w:val="auto"/>
              </w:rPr>
            </w:pPr>
            <w:r>
              <w:rPr>
                <w:rFonts w:ascii="Times New Roman" w:cs="Times New Roman" w:eastAsia="Times New Roman" w:hAnsi="Times New Roman"/>
                <w:sz w:val="20"/>
                <w:szCs w:val="20"/>
                <w:color w:val="auto"/>
              </w:rPr>
              <w:t>Ending unrecognized tax benefits  ..... ..... .. ....... .</w:t>
            </w:r>
          </w:p>
        </w:tc>
        <w:tc>
          <w:tcPr>
            <w:tcW w:w="20" w:type="dxa"/>
            <w:vAlign w:val="bottom"/>
          </w:tcPr>
          <w:p>
            <w:pPr>
              <w:spacing w:after="0"/>
              <w:rPr>
                <w:sz w:val="3"/>
                <w:szCs w:val="3"/>
                <w:color w:val="auto"/>
              </w:rPr>
            </w:pPr>
          </w:p>
        </w:tc>
        <w:tc>
          <w:tcPr>
            <w:tcW w:w="640" w:type="dxa"/>
            <w:vAlign w:val="bottom"/>
            <w:tcBorders>
              <w:bottom w:val="single" w:sz="8" w:color="504C4C"/>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2"/>
        </w:trPr>
        <w:tc>
          <w:tcPr>
            <w:tcW w:w="5180" w:type="dxa"/>
            <w:vAlign w:val="bottom"/>
            <w:vMerge w:val="continue"/>
          </w:tcPr>
          <w:p>
            <w:pPr>
              <w:spacing w:after="0"/>
              <w:rPr>
                <w:sz w:val="23"/>
                <w:szCs w:val="23"/>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$3,309</w:t>
            </w:r>
          </w:p>
        </w:tc>
        <w:tc>
          <w:tcPr>
            <w:tcW w:w="160" w:type="dxa"/>
            <w:vAlign w:val="bottom"/>
          </w:tcPr>
          <w:p>
            <w:pPr>
              <w:spacing w:after="0"/>
              <w:rPr>
                <w:sz w:val="23"/>
                <w:szCs w:val="23"/>
                <w:color w:val="auto"/>
              </w:rPr>
            </w:pPr>
          </w:p>
        </w:tc>
        <w:tc>
          <w:tcPr>
            <w:tcW w:w="840" w:type="dxa"/>
            <w:vAlign w:val="bottom"/>
          </w:tcPr>
          <w:p>
            <w:pPr>
              <w:jc w:val="right"/>
              <w:ind w:right="84"/>
              <w:spacing w:after="0"/>
              <w:rPr>
                <w:sz w:val="20"/>
                <w:szCs w:val="20"/>
                <w:color w:val="auto"/>
              </w:rPr>
            </w:pPr>
            <w:r>
              <w:rPr>
                <w:rFonts w:ascii="Times New Roman" w:cs="Times New Roman" w:eastAsia="Times New Roman" w:hAnsi="Times New Roman"/>
                <w:sz w:val="20"/>
                <w:szCs w:val="20"/>
                <w:color w:val="auto"/>
              </w:rPr>
              <w:t>$3,263</w:t>
            </w:r>
          </w:p>
        </w:tc>
        <w:tc>
          <w:tcPr>
            <w:tcW w:w="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$3,897</w:t>
            </w:r>
          </w:p>
        </w:tc>
        <w:tc>
          <w:tcPr>
            <w:tcW w:w="0" w:type="dxa"/>
            <w:vAlign w:val="bottom"/>
          </w:tcPr>
          <w:p>
            <w:pPr>
              <w:spacing w:after="0"/>
              <w:rPr>
                <w:sz w:val="1"/>
                <w:szCs w:val="1"/>
                <w:color w:val="auto"/>
              </w:rPr>
            </w:pPr>
          </w:p>
        </w:tc>
      </w:tr>
      <w:tr>
        <w:trPr>
          <w:trHeight w:val="32"/>
        </w:trPr>
        <w:tc>
          <w:tcPr>
            <w:tcW w:w="5180" w:type="dxa"/>
            <w:vAlign w:val="bottom"/>
          </w:tcPr>
          <w:p>
            <w:pPr>
              <w:spacing w:after="0"/>
              <w:rPr>
                <w:sz w:val="2"/>
                <w:szCs w:val="2"/>
                <w:color w:val="auto"/>
              </w:rPr>
            </w:pPr>
          </w:p>
        </w:tc>
        <w:tc>
          <w:tcPr>
            <w:tcW w:w="20" w:type="dxa"/>
            <w:vAlign w:val="bottom"/>
            <w:tcBorders>
              <w:bottom w:val="single" w:sz="8" w:color="0C0808"/>
            </w:tcBorders>
          </w:tcPr>
          <w:p>
            <w:pPr>
              <w:spacing w:after="0"/>
              <w:rPr>
                <w:sz w:val="2"/>
                <w:szCs w:val="2"/>
                <w:color w:val="auto"/>
              </w:rPr>
            </w:pPr>
          </w:p>
        </w:tc>
        <w:tc>
          <w:tcPr>
            <w:tcW w:w="640" w:type="dxa"/>
            <w:vAlign w:val="bottom"/>
            <w:tcBorders>
              <w:bottom w:val="single" w:sz="8" w:color="0C0808"/>
            </w:tcBorders>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8"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120</w:t>
        <w:tab/>
        <w:t>2024 FORM 10-K</w:t>
      </w:r>
    </w:p>
    <w:p>
      <w:pPr>
        <w:sectPr>
          <w:pgSz w:w="12240" w:h="15850" w:orient="portrait"/>
          <w:cols w:equalWidth="0" w:num="1">
            <w:col w:w="9365"/>
          </w:cols>
          <w:pgMar w:left="1440" w:top="1398" w:right="1440" w:bottom="721" w:gutter="0" w:footer="0" w:header="0"/>
          <w:type w:val="continuous"/>
        </w:sectPr>
      </w:pPr>
    </w:p>
    <w:bookmarkStart w:id="136" w:name="page137"/>
    <w:bookmarkEnd w:id="136"/>
    <w:p>
      <w:pPr>
        <w:jc w:val="both"/>
        <w:ind w:left="120" w:right="125"/>
        <w:spacing w:after="0" w:line="25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44">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unrecognized tax !benefits relate to federal and state research and development tax credits applicable to the 2019 to 2024 tax periods, as well as state income tax fili ng pos itions applicable to the 20 12 to 2020 tax periods.</w:t>
      </w:r>
    </w:p>
    <w:p>
      <w:pPr>
        <w:spacing w:after="0" w:line="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In making these Jetenninations,  the Company presumes that Laxing authorities pursuing examinations of the</w:t>
      </w:r>
    </w:p>
    <w:p>
      <w:pPr>
        <w:spacing w:after="0" w:line="23" w:lineRule="exact"/>
        <w:rPr>
          <w:sz w:val="20"/>
          <w:szCs w:val="20"/>
          <w:color w:val="auto"/>
        </w:rPr>
      </w:pPr>
    </w:p>
    <w:p>
      <w:pPr>
        <w:jc w:val="both"/>
        <w:ind w:left="120" w:right="125"/>
        <w:spacing w:after="0" w:line="260" w:lineRule="auto"/>
        <w:rPr>
          <w:sz w:val="20"/>
          <w:szCs w:val="20"/>
          <w:color w:val="auto"/>
        </w:rPr>
      </w:pPr>
      <w:r>
        <w:rPr>
          <w:rFonts w:ascii="Times New Roman" w:cs="Times New Roman" w:eastAsia="Times New Roman" w:hAnsi="Times New Roman"/>
          <w:sz w:val="19"/>
          <w:szCs w:val="19"/>
          <w:color w:val="auto"/>
        </w:rPr>
        <w:t>Company's compliance with tax law filing requirements will have full knowledge of all relevant information, and, if necessary, the Company will pursue resolution of disputed tax positions by appeals or litigation. Although the Company cannot predict the timing of resolution with tax authorities, the Company estimates that some of the unrecognized tax benefits may change in the next 12 months d ue to settlement with the tax authorities. The Company expects that a $1.0 million federal tax benefit and a $2.3 million state tax benefit, net of $0.5 million federal tax expense, wi II reduce the effective tax rate in the future if the unrecognized tax benefits are recognized.</w:t>
      </w:r>
    </w:p>
    <w:p>
      <w:pPr>
        <w:spacing w:after="0" w:line="239"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The Company classifies interest and pe nalties related to uncertain tax positions as a component of interest and other expenses, respectively. As of December 31, 2024, the Company has accrued $0.5 million of interest related to the unrecognized tax benefits. The Company has not accrued any penalties related to the unrecognized tax benefits.</w:t>
      </w:r>
    </w:p>
    <w:p>
      <w:pPr>
        <w:spacing w:after="0" w:line="200" w:lineRule="exact"/>
        <w:rPr>
          <w:sz w:val="20"/>
          <w:szCs w:val="20"/>
          <w:color w:val="auto"/>
        </w:rPr>
      </w:pPr>
    </w:p>
    <w:p>
      <w:pPr>
        <w:spacing w:after="0" w:line="270" w:lineRule="exact"/>
        <w:rPr>
          <w:sz w:val="20"/>
          <w:szCs w:val="20"/>
          <w:color w:val="auto"/>
        </w:rPr>
      </w:pPr>
    </w:p>
    <w:p>
      <w:pPr>
        <w:jc w:val="both"/>
        <w:ind w:left="120" w:right="105" w:firstLine="10"/>
        <w:spacing w:after="0" w:line="262" w:lineRule="auto"/>
        <w:rPr>
          <w:sz w:val="20"/>
          <w:szCs w:val="20"/>
          <w:color w:val="auto"/>
        </w:rPr>
      </w:pPr>
      <w:r>
        <w:rPr>
          <w:rFonts w:ascii="Times New Roman" w:cs="Times New Roman" w:eastAsia="Times New Roman" w:hAnsi="Times New Roman"/>
          <w:sz w:val="19"/>
          <w:szCs w:val="19"/>
          <w:color w:val="auto"/>
        </w:rPr>
        <w:t>In December 202 1, the Organization for Economic Co-operation and Development (OECD) issued a set of rules known as "Pillar Two" with the intent to ensure that global companies pay a minimum corporate income tax of 15% in j urisdictions in which the global companies operate. Many non-U.S. countries (including the U.K. and European Union member countries) enacted legislation to adopt certain aspects of Pillar Two effective January 1, 2024, and additional elements are expected to be adopted in futme years. While the U.S. has not adopted Pillar Two, rules implemented by participating countries apply to the Company's worldwide operations in 2024. The Company does not have material operations in jurisdictions with tax rates lower than 15%. The amount of Pillar Two tax recorded as of December 31, 2024 is not material. As o ther countries enact legislation related to Pillar Two, the Company will continue to assess its impact.</w:t>
      </w:r>
    </w:p>
    <w:p>
      <w:pPr>
        <w:spacing w:after="0" w:line="328"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20"/>
          <w:szCs w:val="20"/>
          <w:color w:val="auto"/>
        </w:rPr>
        <w:t>11.</w:t>
        <w:tab/>
        <w:t>DEBT</w:t>
      </w:r>
    </w:p>
    <w:p>
      <w:pPr>
        <w:spacing w:after="0" w:line="24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bon·owings consist of the following :</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9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60" w:type="dxa"/>
            <w:vAlign w:val="bottom"/>
            <w:gridSpan w:val="5"/>
          </w:tcPr>
          <w:p>
            <w:pPr>
              <w:jc w:val="right"/>
              <w:ind w:right="28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41"/>
        </w:trPr>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En·ective</w:t>
            </w:r>
          </w:p>
        </w:tc>
        <w:tc>
          <w:tcPr>
            <w:tcW w:w="20" w:type="dxa"/>
            <w:vAlign w:val="bottom"/>
          </w:tcPr>
          <w:p>
            <w:pPr>
              <w:spacing w:after="0"/>
              <w:rPr>
                <w:sz w:val="3"/>
                <w:szCs w:val="3"/>
                <w:color w:val="auto"/>
              </w:rPr>
            </w:pPr>
          </w:p>
        </w:tc>
        <w:tc>
          <w:tcPr>
            <w:tcW w:w="760" w:type="dxa"/>
            <w:vAlign w:val="bottom"/>
            <w:tcBorders>
              <w:bottom w:val="single" w:sz="8" w:color="3C3C3C"/>
            </w:tcBorders>
          </w:tcPr>
          <w:p>
            <w:pPr>
              <w:spacing w:after="0"/>
              <w:rPr>
                <w:sz w:val="3"/>
                <w:szCs w:val="3"/>
                <w:color w:val="auto"/>
              </w:rPr>
            </w:pPr>
          </w:p>
        </w:tc>
        <w:tc>
          <w:tcPr>
            <w:tcW w:w="180" w:type="dxa"/>
            <w:vAlign w:val="bottom"/>
            <w:tcBorders>
              <w:bottom w:val="single" w:sz="8" w:color="3C3C3C"/>
            </w:tcBorders>
          </w:tcPr>
          <w:p>
            <w:pPr>
              <w:spacing w:after="0"/>
              <w:rPr>
                <w:sz w:val="3"/>
                <w:szCs w:val="3"/>
                <w:color w:val="auto"/>
              </w:rPr>
            </w:pPr>
          </w:p>
        </w:tc>
        <w:tc>
          <w:tcPr>
            <w:tcW w:w="20" w:type="dxa"/>
            <w:vAlign w:val="bottom"/>
            <w:tcBorders>
              <w:bottom w:val="single" w:sz="8" w:color="3C3C3C"/>
            </w:tcBorders>
          </w:tcPr>
          <w:p>
            <w:pPr>
              <w:spacing w:after="0"/>
              <w:rPr>
                <w:sz w:val="3"/>
                <w:szCs w:val="3"/>
                <w:color w:val="auto"/>
              </w:rPr>
            </w:pPr>
          </w:p>
        </w:tc>
        <w:tc>
          <w:tcPr>
            <w:tcW w:w="740" w:type="dxa"/>
            <w:vAlign w:val="bottom"/>
            <w:tcBorders>
              <w:bottom w:val="single" w:sz="8" w:color="3C3C3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3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Stated Inte rest</w:t>
            </w:r>
          </w:p>
        </w:tc>
        <w:tc>
          <w:tcPr>
            <w:tcW w:w="980" w:type="dxa"/>
            <w:vAlign w:val="bottom"/>
          </w:tcPr>
          <w:p>
            <w:pPr>
              <w:ind w:left="240"/>
              <w:spacing w:after="0" w:line="162" w:lineRule="exact"/>
              <w:rPr>
                <w:sz w:val="20"/>
                <w:szCs w:val="20"/>
                <w:color w:val="auto"/>
              </w:rPr>
            </w:pPr>
            <w:r>
              <w:rPr>
                <w:rFonts w:ascii="Times New Roman" w:cs="Times New Roman" w:eastAsia="Times New Roman" w:hAnsi="Times New Roman"/>
                <w:sz w:val="16"/>
                <w:szCs w:val="16"/>
                <w:color w:val="auto"/>
              </w:rPr>
              <w:t>Interest</w:t>
            </w:r>
          </w:p>
        </w:tc>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00" w:type="dxa"/>
            <w:vAlign w:val="bottom"/>
            <w:gridSpan w:val="2"/>
          </w:tcPr>
          <w:p>
            <w:pPr>
              <w:spacing w:after="0" w:line="174" w:lineRule="exact"/>
              <w:rPr>
                <w:sz w:val="20"/>
                <w:szCs w:val="20"/>
                <w:color w:val="auto"/>
              </w:rPr>
            </w:pPr>
            <w:r>
              <w:rPr>
                <w:rFonts w:ascii="Times New Roman" w:cs="Times New Roman" w:eastAsia="Times New Roman" w:hAnsi="Times New Roman"/>
                <w:sz w:val="16"/>
                <w:szCs w:val="16"/>
                <w:color w:val="auto"/>
              </w:rPr>
              <w:t>(in thousands)</w:t>
            </w:r>
          </w:p>
        </w:tc>
        <w:tc>
          <w:tcPr>
            <w:tcW w:w="1860" w:type="dxa"/>
            <w:vAlign w:val="bottom"/>
          </w:tcPr>
          <w:p>
            <w:pPr>
              <w:spacing w:after="0"/>
              <w:rPr>
                <w:sz w:val="15"/>
                <w:szCs w:val="15"/>
                <w:color w:val="auto"/>
              </w:rPr>
            </w:pPr>
          </w:p>
        </w:tc>
        <w:tc>
          <w:tcPr>
            <w:tcW w:w="1260" w:type="dxa"/>
            <w:vAlign w:val="bottom"/>
          </w:tcPr>
          <w:p>
            <w:pPr>
              <w:jc w:val="right"/>
              <w:ind w:right="226"/>
              <w:spacing w:after="0" w:line="174" w:lineRule="exact"/>
              <w:rPr>
                <w:sz w:val="20"/>
                <w:szCs w:val="20"/>
                <w:color w:val="auto"/>
              </w:rPr>
            </w:pPr>
            <w:r>
              <w:rPr>
                <w:rFonts w:ascii="Times New Roman" w:cs="Times New Roman" w:eastAsia="Times New Roman" w:hAnsi="Times New Roman"/>
                <w:sz w:val="16"/>
                <w:szCs w:val="16"/>
                <w:color w:val="auto"/>
              </w:rPr>
              <w:t>Maturities</w:t>
            </w:r>
          </w:p>
        </w:tc>
        <w:tc>
          <w:tcPr>
            <w:tcW w:w="13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Rate</w:t>
            </w:r>
          </w:p>
        </w:tc>
        <w:tc>
          <w:tcPr>
            <w:tcW w:w="980" w:type="dxa"/>
            <w:vAlign w:val="bottom"/>
          </w:tcPr>
          <w:p>
            <w:pPr>
              <w:ind w:left="340"/>
              <w:spacing w:after="0" w:line="174" w:lineRule="exact"/>
              <w:rPr>
                <w:sz w:val="20"/>
                <w:szCs w:val="20"/>
                <w:color w:val="auto"/>
              </w:rPr>
            </w:pPr>
            <w:r>
              <w:rPr>
                <w:rFonts w:ascii="Times New Roman" w:cs="Times New Roman" w:eastAsia="Times New Roman" w:hAnsi="Times New Roman"/>
                <w:sz w:val="16"/>
                <w:szCs w:val="16"/>
                <w:color w:val="auto"/>
              </w:rPr>
              <w:t>Rate</w:t>
            </w:r>
          </w:p>
        </w:tc>
        <w:tc>
          <w:tcPr>
            <w:tcW w:w="780" w:type="dxa"/>
            <w:vAlign w:val="bottom"/>
            <w:gridSpan w:val="2"/>
          </w:tcPr>
          <w:p>
            <w:pPr>
              <w:jc w:val="right"/>
              <w:ind w:right="141"/>
              <w:spacing w:after="0"/>
              <w:rPr>
                <w:sz w:val="20"/>
                <w:szCs w:val="20"/>
                <w:color w:val="auto"/>
              </w:rPr>
            </w:pPr>
            <w:r>
              <w:rPr>
                <w:rFonts w:ascii="Arial" w:cs="Arial" w:eastAsia="Arial" w:hAnsi="Arial"/>
                <w:sz w:val="14"/>
                <w:szCs w:val="14"/>
                <w:color w:val="auto"/>
              </w:rPr>
              <w:t>2024</w:t>
            </w:r>
          </w:p>
        </w:tc>
        <w:tc>
          <w:tcPr>
            <w:tcW w:w="1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2023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
        </w:trPr>
        <w:tc>
          <w:tcPr>
            <w:tcW w:w="9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Borders>
              <w:bottom w:val="single" w:sz="8" w:color="141414"/>
            </w:tcBorders>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181818"/>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3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Unsecured notes </w:t>
            </w:r>
            <w:r>
              <w:rPr>
                <w:rFonts w:ascii="Times New Roman" w:cs="Times New Roman" w:eastAsia="Times New Roman" w:hAnsi="Times New Roman"/>
                <w:sz w:val="14"/>
                <w:szCs w:val="14"/>
                <w:color w:val="auto"/>
              </w:rPr>
              <w:t>Ol ...... . .... . . . . .. ... . .</w:t>
            </w:r>
          </w:p>
        </w:tc>
        <w:tc>
          <w:tcPr>
            <w:tcW w:w="1260" w:type="dxa"/>
            <w:vAlign w:val="bottom"/>
          </w:tcPr>
          <w:p>
            <w:pPr>
              <w:jc w:val="right"/>
              <w:ind w:right="386"/>
              <w:spacing w:after="0"/>
              <w:rPr>
                <w:sz w:val="20"/>
                <w:szCs w:val="20"/>
                <w:color w:val="auto"/>
              </w:rPr>
            </w:pPr>
            <w:r>
              <w:rPr>
                <w:rFonts w:ascii="Times New Roman" w:cs="Times New Roman" w:eastAsia="Times New Roman" w:hAnsi="Times New Roman"/>
                <w:sz w:val="19"/>
                <w:szCs w:val="19"/>
                <w:color w:val="auto"/>
              </w:rPr>
              <w:t>2026</w:t>
            </w:r>
          </w:p>
        </w:tc>
        <w:tc>
          <w:tcPr>
            <w:tcW w:w="13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5.75%</w:t>
            </w:r>
          </w:p>
        </w:tc>
        <w:tc>
          <w:tcPr>
            <w:tcW w:w="9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5.75%</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$398,985</w:t>
            </w:r>
          </w:p>
        </w:tc>
        <w:tc>
          <w:tcPr>
            <w:tcW w:w="180" w:type="dxa"/>
            <w:vAlign w:val="bottom"/>
          </w:tcPr>
          <w:p>
            <w:pPr>
              <w:spacing w:after="0"/>
              <w:rPr>
                <w:sz w:val="24"/>
                <w:szCs w:val="24"/>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$398,266</w:t>
            </w: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Term loan </w:t>
            </w:r>
            <w:r>
              <w:rPr>
                <w:rFonts w:ascii="Arial" w:cs="Arial" w:eastAsia="Arial" w:hAnsi="Arial"/>
                <w:sz w:val="11"/>
                <w:szCs w:val="11"/>
                <w:color w:val="auto"/>
              </w:rPr>
              <w:t>(2)  •••••••••••</w:t>
            </w:r>
          </w:p>
        </w:tc>
        <w:tc>
          <w:tcPr>
            <w:tcW w:w="1860" w:type="dxa"/>
            <w:vAlign w:val="bottom"/>
          </w:tcPr>
          <w:p>
            <w:pPr>
              <w:jc w:val="right"/>
              <w:ind w:right="305"/>
              <w:spacing w:after="0"/>
              <w:rPr>
                <w:sz w:val="20"/>
                <w:szCs w:val="20"/>
                <w:color w:val="auto"/>
              </w:rPr>
            </w:pPr>
            <w:r>
              <w:rPr>
                <w:rFonts w:ascii="Arial" w:cs="Arial" w:eastAsia="Arial" w:hAnsi="Arial"/>
                <w:sz w:val="11"/>
                <w:szCs w:val="11"/>
                <w:color w:val="auto"/>
              </w:rPr>
              <w:t>•  •••••••••••••••</w:t>
            </w:r>
          </w:p>
        </w:tc>
        <w:tc>
          <w:tcPr>
            <w:tcW w:w="126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2027</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 .21%- 7.21%</w:t>
            </w:r>
          </w:p>
        </w:tc>
        <w:tc>
          <w:tcPr>
            <w:tcW w:w="9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7.13%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140,099</w:t>
            </w:r>
          </w:p>
        </w:tc>
        <w:tc>
          <w:tcPr>
            <w:tcW w:w="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147,476</w:t>
            </w: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Revol ving credit fac ility</w:t>
            </w:r>
          </w:p>
        </w:tc>
        <w:tc>
          <w:tcPr>
            <w:tcW w:w="1860" w:type="dxa"/>
            <w:vAlign w:val="bottom"/>
          </w:tcPr>
          <w:p>
            <w:pPr>
              <w:jc w:val="right"/>
              <w:ind w:right="25"/>
              <w:spacing w:after="0"/>
              <w:rPr>
                <w:sz w:val="20"/>
                <w:szCs w:val="20"/>
                <w:color w:val="auto"/>
              </w:rPr>
            </w:pPr>
            <w:r>
              <w:rPr>
                <w:rFonts w:ascii="Times New Roman" w:cs="Times New Roman" w:eastAsia="Times New Roman" w:hAnsi="Times New Roman"/>
                <w:sz w:val="19"/>
                <w:szCs w:val="19"/>
                <w:color w:val="auto"/>
              </w:rPr>
              <w:t>. . . . ......... . .. .</w:t>
            </w:r>
          </w:p>
        </w:tc>
        <w:tc>
          <w:tcPr>
            <w:tcW w:w="126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2027</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 .08% - 8.88%</w:t>
            </w:r>
          </w:p>
        </w:tc>
        <w:tc>
          <w:tcPr>
            <w:tcW w:w="9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6.64%</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62,836</w:t>
            </w:r>
          </w:p>
        </w:tc>
        <w:tc>
          <w:tcPr>
            <w:tcW w:w="180" w:type="dxa"/>
            <w:vAlign w:val="bottom"/>
          </w:tcPr>
          <w:p>
            <w:pPr>
              <w:spacing w:after="0"/>
              <w:rPr>
                <w:sz w:val="20"/>
                <w:szCs w:val="20"/>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97,879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Real estate term loan </w:t>
            </w:r>
            <w:r>
              <w:rPr>
                <w:rFonts w:ascii="Times New Roman" w:cs="Times New Roman" w:eastAsia="Times New Roman" w:hAnsi="Times New Roman"/>
                <w:sz w:val="12"/>
                <w:szCs w:val="12"/>
                <w:color w:val="auto"/>
              </w:rPr>
              <w:t>(3)</w:t>
            </w:r>
          </w:p>
        </w:tc>
        <w:tc>
          <w:tcPr>
            <w:tcW w:w="186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 . • . •• .  • . • . •• . • . • .</w:t>
            </w:r>
          </w:p>
        </w:tc>
        <w:tc>
          <w:tcPr>
            <w:tcW w:w="126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6.30% - 7. 10%</w:t>
            </w:r>
          </w:p>
        </w:tc>
        <w:tc>
          <w:tcPr>
            <w:tcW w:w="9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7.0 1%</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70,795</w:t>
            </w:r>
          </w:p>
        </w:tc>
        <w:tc>
          <w:tcPr>
            <w:tcW w:w="180" w:type="dxa"/>
            <w:vAlign w:val="bottom"/>
          </w:tcPr>
          <w:p>
            <w:pPr>
              <w:spacing w:after="0"/>
              <w:rPr>
                <w:sz w:val="20"/>
                <w:szCs w:val="20"/>
                <w:color w:val="auto"/>
              </w:rPr>
            </w:pPr>
          </w:p>
        </w:tc>
        <w:tc>
          <w:tcPr>
            <w:tcW w:w="82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74,54 1</w:t>
            </w:r>
          </w:p>
        </w:tc>
        <w:tc>
          <w:tcPr>
            <w:tcW w:w="0" w:type="dxa"/>
            <w:vAlign w:val="bottom"/>
          </w:tcPr>
          <w:p>
            <w:pPr>
              <w:spacing w:after="0"/>
              <w:rPr>
                <w:sz w:val="1"/>
                <w:szCs w:val="1"/>
                <w:color w:val="auto"/>
              </w:rPr>
            </w:pPr>
          </w:p>
        </w:tc>
      </w:tr>
      <w:tr>
        <w:trPr>
          <w:trHeight w:val="248"/>
        </w:trPr>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Capital term loan </w:t>
            </w:r>
            <w:r>
              <w:rPr>
                <w:rFonts w:ascii="Times New Roman" w:cs="Times New Roman" w:eastAsia="Times New Roman" w:hAnsi="Times New Roman"/>
                <w:sz w:val="12"/>
                <w:szCs w:val="12"/>
                <w:color w:val="auto"/>
              </w:rPr>
              <w:t>(4)  •• .</w:t>
            </w:r>
          </w:p>
        </w:tc>
        <w:tc>
          <w:tcPr>
            <w:tcW w:w="1860" w:type="dxa"/>
            <w:vAlign w:val="bottom"/>
          </w:tcPr>
          <w:p>
            <w:pPr>
              <w:jc w:val="right"/>
              <w:ind w:right="45"/>
              <w:spacing w:after="0"/>
              <w:rPr>
                <w:sz w:val="20"/>
                <w:szCs w:val="20"/>
                <w:color w:val="auto"/>
              </w:rPr>
            </w:pPr>
            <w:r>
              <w:rPr>
                <w:rFonts w:ascii="Times New Roman" w:cs="Times New Roman" w:eastAsia="Times New Roman" w:hAnsi="Times New Roman"/>
                <w:sz w:val="12"/>
                <w:szCs w:val="12"/>
                <w:color w:val="auto"/>
              </w:rPr>
              <w:t>.  .  • . •• . .  . • . •• . • ...</w:t>
            </w:r>
          </w:p>
        </w:tc>
        <w:tc>
          <w:tcPr>
            <w:tcW w:w="1260" w:type="dxa"/>
            <w:vAlign w:val="bottom"/>
          </w:tcPr>
          <w:p>
            <w:pPr>
              <w:jc w:val="right"/>
              <w:ind w:right="406"/>
              <w:spacing w:after="0"/>
              <w:rPr>
                <w:sz w:val="20"/>
                <w:szCs w:val="20"/>
                <w:color w:val="auto"/>
              </w:rPr>
            </w:pPr>
            <w:r>
              <w:rPr>
                <w:rFonts w:ascii="Times New Roman" w:cs="Times New Roman" w:eastAsia="Times New Roman" w:hAnsi="Times New Roman"/>
                <w:sz w:val="19"/>
                <w:szCs w:val="19"/>
                <w:color w:val="auto"/>
              </w:rPr>
              <w:t>2028</w:t>
            </w:r>
          </w:p>
        </w:tc>
        <w:tc>
          <w:tcPr>
            <w:tcW w:w="13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 .55%- 7.35%</w:t>
            </w:r>
          </w:p>
        </w:tc>
        <w:tc>
          <w:tcPr>
            <w:tcW w:w="980" w:type="dxa"/>
            <w:vAlign w:val="bottom"/>
          </w:tcPr>
          <w:p>
            <w:pPr>
              <w:ind w:left="360"/>
              <w:spacing w:after="0"/>
              <w:rPr>
                <w:sz w:val="20"/>
                <w:szCs w:val="20"/>
                <w:color w:val="auto"/>
              </w:rPr>
            </w:pPr>
            <w:r>
              <w:rPr>
                <w:rFonts w:ascii="Times New Roman" w:cs="Times New Roman" w:eastAsia="Times New Roman" w:hAnsi="Times New Roman"/>
                <w:sz w:val="19"/>
                <w:szCs w:val="19"/>
                <w:color w:val="auto"/>
              </w:rPr>
              <w:t>7.57%</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56,770</w:t>
            </w:r>
          </w:p>
        </w:tc>
        <w:tc>
          <w:tcPr>
            <w:tcW w:w="180" w:type="dxa"/>
            <w:vAlign w:val="bottom"/>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63,097</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Other indebtedness ........ . .. . .... . ... . .</w:t>
            </w:r>
          </w:p>
        </w:tc>
        <w:tc>
          <w:tcPr>
            <w:tcW w:w="25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2025-2032    0 .00% - 8.00%</w:t>
            </w:r>
          </w:p>
        </w:tc>
        <w:tc>
          <w:tcPr>
            <w:tcW w:w="98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18,707</w:t>
            </w:r>
          </w:p>
        </w:tc>
        <w:tc>
          <w:tcPr>
            <w:tcW w:w="180" w:type="dxa"/>
            <w:vAlign w:val="bottom"/>
          </w:tcPr>
          <w:p>
            <w:pPr>
              <w:spacing w:after="0"/>
              <w:rPr>
                <w:sz w:val="20"/>
                <w:szCs w:val="20"/>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30,574</w:t>
            </w:r>
          </w:p>
        </w:tc>
        <w:tc>
          <w:tcPr>
            <w:tcW w:w="0" w:type="dxa"/>
            <w:vAlign w:val="bottom"/>
          </w:tcPr>
          <w:p>
            <w:pPr>
              <w:spacing w:after="0"/>
              <w:rPr>
                <w:sz w:val="1"/>
                <w:szCs w:val="1"/>
                <w:color w:val="auto"/>
              </w:rPr>
            </w:pPr>
          </w:p>
        </w:tc>
      </w:tr>
      <w:tr>
        <w:trPr>
          <w:trHeight w:val="36"/>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Debt</w:t>
            </w:r>
          </w:p>
        </w:tc>
        <w:tc>
          <w:tcPr>
            <w:tcW w:w="1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3860" w:type="dxa"/>
            <w:vAlign w:val="bottom"/>
            <w:gridSpan w:val="3"/>
            <w:vMerge w:val="continue"/>
          </w:tcPr>
          <w:p>
            <w:pPr>
              <w:jc w:val="right"/>
              <w:ind w:right="25"/>
              <w:spacing w:after="0" w:line="218" w:lineRule="exact"/>
              <w:rPr>
                <w:sz w:val="20"/>
                <w:szCs w:val="20"/>
                <w:color w:val="auto"/>
              </w:rPr>
            </w:pPr>
            <w:r>
              <w:rPr>
                <w:rFonts w:ascii="Times New Roman" w:cs="Times New Roman" w:eastAsia="Times New Roman" w:hAnsi="Times New Roman"/>
                <w:sz w:val="20"/>
                <w:szCs w:val="20"/>
                <w:color w:val="auto"/>
              </w:rPr>
              <w:t>.. .. ... ... ........ . ...... . . .</w:t>
            </w:r>
          </w:p>
        </w:tc>
        <w:tc>
          <w:tcPr>
            <w:tcW w:w="12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748,192</w:t>
            </w:r>
          </w:p>
        </w:tc>
        <w:tc>
          <w:tcPr>
            <w:tcW w:w="180" w:type="dxa"/>
            <w:vAlign w:val="bottom"/>
          </w:tcPr>
          <w:p>
            <w:pPr>
              <w:spacing w:after="0"/>
              <w:rPr>
                <w:sz w:val="23"/>
                <w:szCs w:val="23"/>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811,833</w:t>
            </w: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Less: current portion  ......... . ...... . . . .</w:t>
            </w:r>
          </w:p>
        </w:tc>
        <w:tc>
          <w:tcPr>
            <w:tcW w:w="12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(26,577)</w:t>
            </w: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(66,751)</w:t>
            </w:r>
          </w:p>
        </w:tc>
        <w:tc>
          <w:tcPr>
            <w:tcW w:w="0" w:type="dxa"/>
            <w:vAlign w:val="bottom"/>
          </w:tcPr>
          <w:p>
            <w:pPr>
              <w:spacing w:after="0"/>
              <w:rPr>
                <w:sz w:val="1"/>
                <w:szCs w:val="1"/>
                <w:color w:val="auto"/>
              </w:rPr>
            </w:pPr>
          </w:p>
        </w:tc>
      </w:tr>
      <w:tr>
        <w:trPr>
          <w:trHeight w:val="36"/>
        </w:trPr>
        <w:tc>
          <w:tcPr>
            <w:tcW w:w="20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Total Long-Term Debt</w:t>
            </w:r>
          </w:p>
        </w:tc>
        <w:tc>
          <w:tcPr>
            <w:tcW w:w="1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00" w:type="dxa"/>
            <w:vAlign w:val="bottom"/>
            <w:gridSpan w:val="2"/>
            <w:vMerge w:val="continue"/>
          </w:tcPr>
          <w:p>
            <w:pPr>
              <w:spacing w:after="0"/>
              <w:rPr>
                <w:sz w:val="22"/>
                <w:szCs w:val="22"/>
                <w:color w:val="auto"/>
              </w:rPr>
            </w:pPr>
          </w:p>
        </w:tc>
        <w:tc>
          <w:tcPr>
            <w:tcW w:w="1860" w:type="dxa"/>
            <w:vAlign w:val="bottom"/>
          </w:tcPr>
          <w:p>
            <w:pPr>
              <w:jc w:val="right"/>
              <w:ind w:right="25"/>
              <w:spacing w:after="0"/>
              <w:rPr>
                <w:sz w:val="20"/>
                <w:szCs w:val="20"/>
                <w:color w:val="auto"/>
              </w:rPr>
            </w:pPr>
            <w:r>
              <w:rPr>
                <w:rFonts w:ascii="Times New Roman" w:cs="Times New Roman" w:eastAsia="Times New Roman" w:hAnsi="Times New Roman"/>
                <w:sz w:val="20"/>
                <w:szCs w:val="20"/>
                <w:color w:val="auto"/>
              </w:rPr>
              <w:t>... . ...... . .. . . . .</w:t>
            </w:r>
          </w:p>
        </w:tc>
        <w:tc>
          <w:tcPr>
            <w:tcW w:w="126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$721,615</w:t>
            </w:r>
          </w:p>
        </w:tc>
        <w:tc>
          <w:tcPr>
            <w:tcW w:w="180" w:type="dxa"/>
            <w:vAlign w:val="bottom"/>
          </w:tcPr>
          <w:p>
            <w:pPr>
              <w:spacing w:after="0"/>
              <w:rPr>
                <w:sz w:val="22"/>
                <w:szCs w:val="22"/>
                <w:color w:val="auto"/>
              </w:rPr>
            </w:pPr>
          </w:p>
        </w:tc>
        <w:tc>
          <w:tcPr>
            <w:tcW w:w="8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$745,082</w:t>
            </w:r>
          </w:p>
        </w:tc>
        <w:tc>
          <w:tcPr>
            <w:tcW w:w="0" w:type="dxa"/>
            <w:vAlign w:val="bottom"/>
          </w:tcPr>
          <w:p>
            <w:pPr>
              <w:spacing w:after="0"/>
              <w:rPr>
                <w:sz w:val="1"/>
                <w:szCs w:val="1"/>
                <w:color w:val="auto"/>
              </w:rPr>
            </w:pPr>
          </w:p>
        </w:tc>
      </w:tr>
      <w:tr>
        <w:trPr>
          <w:trHeight w:val="40"/>
        </w:trPr>
        <w:tc>
          <w:tcPr>
            <w:tcW w:w="9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300" w:type="dxa"/>
            <w:vAlign w:val="bottom"/>
          </w:tcPr>
          <w:p>
            <w:pPr>
              <w:spacing w:after="0"/>
              <w:rPr>
                <w:sz w:val="3"/>
                <w:szCs w:val="3"/>
                <w:color w:val="auto"/>
              </w:rPr>
            </w:pPr>
          </w:p>
        </w:tc>
        <w:tc>
          <w:tcPr>
            <w:tcW w:w="98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6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960" w:type="dxa"/>
            <w:vAlign w:val="bottom"/>
            <w:tcBorders>
              <w:bottom w:val="single" w:sz="8" w:color="4C4C4C"/>
            </w:tcBorders>
          </w:tcPr>
          <w:p>
            <w:pPr>
              <w:spacing w:after="0"/>
              <w:rPr>
                <w:sz w:val="15"/>
                <w:szCs w:val="15"/>
                <w:color w:val="auto"/>
              </w:rPr>
            </w:pPr>
          </w:p>
        </w:tc>
        <w:tc>
          <w:tcPr>
            <w:tcW w:w="10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5"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5"/>
          <w:szCs w:val="15"/>
          <w:color w:val="auto"/>
        </w:rPr>
        <w:t>( I)</w:t>
        <w:tab/>
        <w:t xml:space="preserve">The carrying value is  net of $ 1.0 million and S </w:t>
      </w:r>
      <w:r>
        <w:rPr>
          <w:rFonts w:ascii="Arial" w:cs="Arial" w:eastAsia="Arial" w:hAnsi="Arial"/>
          <w:sz w:val="14"/>
          <w:szCs w:val="14"/>
          <w:color w:val="auto"/>
        </w:rPr>
        <w:t>1.7</w:t>
      </w:r>
      <w:r>
        <w:rPr>
          <w:rFonts w:ascii="Times New Roman" w:cs="Times New Roman" w:eastAsia="Times New Roman" w:hAnsi="Times New Roman"/>
          <w:sz w:val="15"/>
          <w:szCs w:val="15"/>
          <w:color w:val="auto"/>
        </w:rPr>
        <w:t xml:space="preserve"> million of unamorrized debt  issuance cosrs as of December 3 1. 2024 and 2023.</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respectively.</w:t>
      </w:r>
    </w:p>
    <w:p>
      <w:pPr>
        <w:spacing w:after="0" w:line="38" w:lineRule="exact"/>
        <w:rPr>
          <w:sz w:val="20"/>
          <w:szCs w:val="20"/>
          <w:color w:val="auto"/>
        </w:rPr>
      </w:pPr>
    </w:p>
    <w:p>
      <w:pPr>
        <w:ind w:left="440" w:right="125" w:hanging="327"/>
        <w:spacing w:after="0"/>
        <w:tabs>
          <w:tab w:leader="none" w:pos="4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The carrying value is net of $0.5 million and $0.6 million of unamortized debt issuance costs as of December 3 1. 2024 and 2023. respectively.</w:t>
      </w:r>
    </w:p>
    <w:p>
      <w:pPr>
        <w:spacing w:after="0" w:line="196" w:lineRule="exact"/>
        <w:rPr>
          <w:rFonts w:ascii="Times New Roman" w:cs="Times New Roman" w:eastAsia="Times New Roman" w:hAnsi="Times New Roman"/>
          <w:sz w:val="16"/>
          <w:szCs w:val="16"/>
          <w:color w:val="auto"/>
        </w:rPr>
      </w:pPr>
    </w:p>
    <w:p>
      <w:pPr>
        <w:ind w:left="420" w:hanging="307"/>
        <w:spacing w:after="0"/>
        <w:tabs>
          <w:tab w:leader="none" w:pos="42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The carrying value is net of $0.1 million of unamortized debt issuance costs as of December 31, 2024 and 2023.</w:t>
      </w:r>
    </w:p>
    <w:p>
      <w:pPr>
        <w:spacing w:after="0" w:line="26" w:lineRule="exact"/>
        <w:rPr>
          <w:rFonts w:ascii="Times New Roman" w:cs="Times New Roman" w:eastAsia="Times New Roman" w:hAnsi="Times New Roman"/>
          <w:sz w:val="16"/>
          <w:szCs w:val="16"/>
          <w:color w:val="auto"/>
        </w:rPr>
      </w:pPr>
    </w:p>
    <w:p>
      <w:pPr>
        <w:ind w:left="440" w:right="125" w:hanging="327"/>
        <w:spacing w:after="0" w:line="248" w:lineRule="auto"/>
        <w:tabs>
          <w:tab w:leader="none" w:pos="429"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The carrying value is net of $0.6 million and S0.8 million of unamot1izcd debt issuance costs as of December 3 1, 2024 and 2023, respectively.</w:t>
      </w:r>
    </w:p>
    <w:p>
      <w:pPr>
        <w:spacing w:after="0" w:line="200" w:lineRule="exact"/>
        <w:rPr>
          <w:sz w:val="20"/>
          <w:szCs w:val="20"/>
          <w:color w:val="auto"/>
        </w:rPr>
      </w:pPr>
    </w:p>
    <w:p>
      <w:pPr>
        <w:spacing w:after="0" w:line="237" w:lineRule="exact"/>
        <w:rPr>
          <w:sz w:val="20"/>
          <w:szCs w:val="20"/>
          <w:color w:val="auto"/>
        </w:rPr>
      </w:pPr>
    </w:p>
    <w:p>
      <w:pPr>
        <w:ind w:left="100" w:right="125" w:firstLine="13"/>
        <w:spacing w:after="0" w:line="253" w:lineRule="auto"/>
        <w:rPr>
          <w:sz w:val="20"/>
          <w:szCs w:val="20"/>
          <w:color w:val="auto"/>
        </w:rPr>
      </w:pPr>
      <w:r>
        <w:rPr>
          <w:rFonts w:ascii="Times New Roman" w:cs="Times New Roman" w:eastAsia="Times New Roman" w:hAnsi="Times New Roman"/>
          <w:sz w:val="19"/>
          <w:szCs w:val="19"/>
          <w:color w:val="auto"/>
        </w:rPr>
        <w:t xml:space="preserve">The Company's $400 million senior unsecured fixed-rate notes (the Notes), due June </w:t>
      </w:r>
      <w:r>
        <w:rPr>
          <w:rFonts w:ascii="Arial" w:cs="Arial" w:eastAsia="Arial" w:hAnsi="Arial"/>
          <w:sz w:val="17"/>
          <w:szCs w:val="17"/>
          <w:color w:val="auto"/>
        </w:rPr>
        <w:t>I ,</w:t>
      </w:r>
      <w:r>
        <w:rPr>
          <w:rFonts w:ascii="Times New Roman" w:cs="Times New Roman" w:eastAsia="Times New Roman" w:hAnsi="Times New Roman"/>
          <w:sz w:val="19"/>
          <w:szCs w:val="19"/>
          <w:color w:val="auto"/>
        </w:rPr>
        <w:t xml:space="preserve"> 2026, are guaranteed, jointly and severally, on a senior unsecured basis, by certain of the Company's existing and future domestic</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305"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7"/>
          <w:szCs w:val="17"/>
          <w:color w:val="auto"/>
        </w:rPr>
        <w:t>121</w:t>
      </w:r>
    </w:p>
    <w:p>
      <w:pPr>
        <w:sectPr>
          <w:pgSz w:w="12240" w:h="15850" w:orient="portrait"/>
          <w:cols w:equalWidth="0" w:num="1">
            <w:col w:w="9365"/>
          </w:cols>
          <w:pgMar w:left="1440" w:top="1392" w:right="1440" w:bottom="721" w:gutter="0" w:footer="0" w:header="0"/>
          <w:type w:val="continuous"/>
        </w:sectPr>
      </w:pPr>
    </w:p>
    <w:bookmarkStart w:id="137" w:name="page138"/>
    <w:bookmarkEnd w:id="137"/>
    <w:p>
      <w:pPr>
        <w:jc w:val="both"/>
        <w:ind w:left="120" w:right="125" w:firstLine="10"/>
        <w:spacing w:after="0" w:line="26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4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subsidiaries, as described in the terms of the indenture. The Notes have a coupon rate of 5.75% per annum, payable semi-annually on June I and Dece mber I. The Company may redee m the Notes in whole or in part at </w:t>
      </w:r>
      <w:r>
        <w:rPr>
          <w:rFonts w:ascii="Times New Roman" w:cs="Times New Roman" w:eastAsia="Times New Roman" w:hAnsi="Times New Roman"/>
          <w:sz w:val="20"/>
          <w:szCs w:val="20"/>
          <w:color w:val="auto"/>
        </w:rPr>
        <w:t xml:space="preserve">any Lime aL Lhe respective redemption prices described in lhe indemure. Al Decernber </w:t>
      </w:r>
      <w:r>
        <w:rPr>
          <w:rFonts w:ascii="Times New Roman" w:cs="Times New Roman" w:eastAsia="Times New Roman" w:hAnsi="Times New Roman"/>
          <w:sz w:val="18"/>
          <w:szCs w:val="18"/>
          <w:color w:val="auto"/>
        </w:rPr>
        <w:t>31, 2024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8"/>
          <w:szCs w:val="18"/>
          <w:color w:val="auto"/>
        </w:rPr>
        <w:t>2023,</w:t>
      </w:r>
      <w:r>
        <w:rPr>
          <w:rFonts w:ascii="Times New Roman" w:cs="Times New Roman" w:eastAsia="Times New Roman" w:hAnsi="Times New Roman"/>
          <w:sz w:val="20"/>
          <w:szCs w:val="20"/>
          <w:color w:val="auto"/>
        </w:rPr>
        <w:t xml:space="preserve"> U1e fair </w:t>
      </w:r>
      <w:r>
        <w:rPr>
          <w:rFonts w:ascii="Times New Roman" w:cs="Times New Roman" w:eastAsia="Times New Roman" w:hAnsi="Times New Roman"/>
          <w:sz w:val="18"/>
          <w:szCs w:val="18"/>
          <w:color w:val="auto"/>
        </w:rPr>
        <w:t>value of the Notes, based on quoted market prices (Level 2 fair value assessment), totaled $398 .9 million and $400.4 million, respectively.</w:t>
      </w:r>
    </w:p>
    <w:p>
      <w:pPr>
        <w:spacing w:after="0" w:line="298" w:lineRule="exact"/>
        <w:rPr>
          <w:sz w:val="20"/>
          <w:szCs w:val="20"/>
          <w:color w:val="auto"/>
        </w:rPr>
      </w:pPr>
    </w:p>
    <w:p>
      <w:pPr>
        <w:jc w:val="both"/>
        <w:ind w:left="120" w:right="125"/>
        <w:spacing w:after="0" w:line="274" w:lineRule="auto"/>
        <w:rPr>
          <w:sz w:val="20"/>
          <w:szCs w:val="20"/>
          <w:color w:val="auto"/>
        </w:rPr>
      </w:pPr>
      <w:r>
        <w:rPr>
          <w:rFonts w:ascii="Times New Roman" w:cs="Times New Roman" w:eastAsia="Times New Roman" w:hAnsi="Times New Roman"/>
          <w:sz w:val="18"/>
          <w:szCs w:val="18"/>
          <w:color w:val="auto"/>
        </w:rPr>
        <w:t>The O!Utstanding balance on the Company's $300 mjllion unsecured revolving credit facility was $62.8 million as of De·cember 31, 2024, consisting of British Pound (GBP) borrowings of £50 million with interest payable at Daily Sterling Overnight Index Average (SONIA) plus 1.375% .</w:t>
      </w:r>
    </w:p>
    <w:p>
      <w:pPr>
        <w:spacing w:after="0" w:line="292" w:lineRule="exact"/>
        <w:rPr>
          <w:sz w:val="20"/>
          <w:szCs w:val="20"/>
          <w:color w:val="auto"/>
        </w:rPr>
      </w:pPr>
    </w:p>
    <w:p>
      <w:pPr>
        <w:jc w:val="both"/>
        <w:ind w:left="120" w:right="125"/>
        <w:spacing w:after="0" w:line="273" w:lineRule="auto"/>
        <w:rPr>
          <w:sz w:val="20"/>
          <w:szCs w:val="20"/>
          <w:color w:val="auto"/>
        </w:rPr>
      </w:pPr>
      <w:r>
        <w:rPr>
          <w:rFonts w:ascii="Times New Roman" w:cs="Times New Roman" w:eastAsia="Times New Roman" w:hAnsi="Times New Roman"/>
          <w:sz w:val="18"/>
          <w:szCs w:val="18"/>
          <w:color w:val="auto"/>
        </w:rPr>
        <w:t xml:space="preserve">On July 28, 2023, the Company entered into a $150 million term loan with each of the lenders party thereto, Wells Fargo Bank, N.A., JPMorgan Chase Bank N.A., Bank of America, N.A., HSBC Bank USA, N.A., and PNC Bank, N.A. T he term loan is payable in quarterly installments of $1.875 milJion which started in December 2023 with a final payment of the principal balance due on May 30, 2027. The term loan bears interest at variable rates based on SOFR plus 1.75% per annum. The Company may redeem the term loan </w:t>
      </w:r>
      <w:r>
        <w:rPr>
          <w:rFonts w:ascii="Times New Roman" w:cs="Times New Roman" w:eastAsia="Times New Roman" w:hAnsi="Times New Roman"/>
          <w:sz w:val="20"/>
          <w:szCs w:val="20"/>
          <w:color w:val="auto"/>
        </w:rPr>
        <w:t>in</w:t>
      </w:r>
      <w:r>
        <w:rPr>
          <w:rFonts w:ascii="Times New Roman" w:cs="Times New Roman" w:eastAsia="Times New Roman" w:hAnsi="Times New Roman"/>
          <w:sz w:val="18"/>
          <w:szCs w:val="18"/>
          <w:color w:val="auto"/>
        </w:rPr>
        <w:t xml:space="preserve"> whole or in part with no penalty at any time. The existjng financial covenants of the credit agreement governing the revolving credit facility are unchanged following the addition of the term loan.</w:t>
      </w:r>
    </w:p>
    <w:p>
      <w:pPr>
        <w:spacing w:after="0" w:line="200" w:lineRule="exact"/>
        <w:rPr>
          <w:sz w:val="20"/>
          <w:szCs w:val="20"/>
          <w:color w:val="auto"/>
        </w:rPr>
      </w:pPr>
    </w:p>
    <w:p>
      <w:pPr>
        <w:spacing w:after="0" w:line="316" w:lineRule="exact"/>
        <w:rPr>
          <w:sz w:val="20"/>
          <w:szCs w:val="20"/>
          <w:color w:val="auto"/>
        </w:rPr>
      </w:pPr>
    </w:p>
    <w:p>
      <w:pPr>
        <w:jc w:val="both"/>
        <w:ind w:left="120" w:right="125" w:firstLine="2"/>
        <w:spacing w:after="0" w:line="274" w:lineRule="auto"/>
        <w:rPr>
          <w:sz w:val="20"/>
          <w:szCs w:val="20"/>
          <w:color w:val="auto"/>
        </w:rPr>
      </w:pPr>
      <w:r>
        <w:rPr>
          <w:rFonts w:ascii="Times New Roman" w:cs="Times New Roman" w:eastAsia="Times New Roman" w:hAnsi="Times New Roman"/>
          <w:sz w:val="18"/>
          <w:szCs w:val="18"/>
          <w:color w:val="auto"/>
        </w:rPr>
        <w:t xml:space="preserve">On September 26, 2023, the Company's automotive subsidiary entered into a credit agree ment w ith Truist Bank, which includes (i) a $75.2 million real estate term loan, (ii) a $65.0 million capital term loan, (iii) a $50.0 million delayed draw term loan, and (iv) establishment of a revolving floor plan credit facility (see Note </w:t>
      </w:r>
      <w:r>
        <w:rPr>
          <w:rFonts w:ascii="Arial" w:cs="Arial" w:eastAsia="Arial" w:hAnsi="Arial"/>
          <w:sz w:val="17"/>
          <w:szCs w:val="17"/>
          <w:color w:val="auto"/>
        </w:rPr>
        <w:t>5).</w:t>
      </w:r>
      <w:r>
        <w:rPr>
          <w:rFonts w:ascii="Times New Roman" w:cs="Times New Roman" w:eastAsia="Times New Roman" w:hAnsi="Times New Roman"/>
          <w:sz w:val="18"/>
          <w:szCs w:val="18"/>
          <w:color w:val="auto"/>
        </w:rPr>
        <w:t xml:space="preserve"> The real estate term loan is payable in monthly installments of $0.3 rrullion and bears interest at variable rates based on SOFR plus 1.75% per annum, and the capital term loan is payable in monthly installments of $0.5 million and bears interest at variable rates based on SOFR plus 2.00% per annum. The monthly installment payments on the real estate and capital term loans commenced on November l , </w:t>
      </w:r>
      <w:r>
        <w:rPr>
          <w:rFonts w:ascii="Times New Roman" w:cs="Times New Roman" w:eastAsia="Times New Roman" w:hAnsi="Times New Roman"/>
          <w:sz w:val="21"/>
          <w:szCs w:val="21"/>
          <w:color w:val="auto"/>
        </w:rPr>
        <w:t>2023,</w:t>
      </w:r>
      <w:r>
        <w:rPr>
          <w:rFonts w:ascii="Times New Roman" w:cs="Times New Roman" w:eastAsia="Times New Roman" w:hAnsi="Times New Roman"/>
          <w:sz w:val="18"/>
          <w:szCs w:val="18"/>
          <w:color w:val="auto"/>
        </w:rPr>
        <w:t xml:space="preserve"> with final payments of the outs tanding principal balances due on September 26, 2028. Subject to terms and conditions set forth in the credit agreement, the automotive subsidiary may also request bon·owings of delayed draw term loa ns for which the proceeds may be used to (i) finance the acquisition of automobile dealerships (delayed draw capital loan) and (ii) finance the acquisition of real estate (delayed draw real estate loan). The delayed draw term loan bears interest at variable rates based on SOFR plus an applicable margin based on the type of delayed draw term loan requested. The delayed draw term loan availability period terminates on Sep tember 26, 2025. The automotive subsidiary did not borrow against the delayed draw term loan as of December 3 1, 2024.</w:t>
      </w:r>
    </w:p>
    <w:p>
      <w:pPr>
        <w:spacing w:after="0" w:line="200" w:lineRule="exact"/>
        <w:rPr>
          <w:sz w:val="20"/>
          <w:szCs w:val="20"/>
          <w:color w:val="auto"/>
        </w:rPr>
      </w:pPr>
    </w:p>
    <w:p>
      <w:pPr>
        <w:spacing w:after="0" w:line="332" w:lineRule="exact"/>
        <w:rPr>
          <w:sz w:val="20"/>
          <w:szCs w:val="20"/>
          <w:color w:val="auto"/>
        </w:rPr>
      </w:pPr>
    </w:p>
    <w:p>
      <w:pPr>
        <w:jc w:val="both"/>
        <w:ind w:left="120" w:right="125"/>
        <w:spacing w:after="0" w:line="275" w:lineRule="auto"/>
        <w:rPr>
          <w:sz w:val="20"/>
          <w:szCs w:val="20"/>
          <w:color w:val="auto"/>
        </w:rPr>
      </w:pPr>
      <w:r>
        <w:rPr>
          <w:rFonts w:ascii="Times New Roman" w:cs="Times New Roman" w:eastAsia="Times New Roman" w:hAnsi="Times New Roman"/>
          <w:sz w:val="18"/>
          <w:szCs w:val="18"/>
          <w:color w:val="auto"/>
        </w:rPr>
        <w:t xml:space="preserve">On the same date, the Company's automotive subsidiary entered into three interest rate swap agreements with a total notional value of $75.2 millio n and a maturity date of September 26, 2028. The interest rate swap agreements will pay the automotive subsidiary interest on the $75.2 million notional amount based on SOFR and the automotive subsidiary will pay the counterparty a fixed rate of 4.67% per annum. The new interest rate swap agreements were entered into to convent the variable rate borrowing under the real estate term loan into a fixed rate borrowing. Based on the terms of the new interest rate swap agreements and underlying borrowings, the new interest rate swaps were determined to be effective and thus qualify as cash flow hedges. Including a 1.75% applicable margin, the overall interest rate that the Company will pay on the $75.2 million real estate term loan is fixed </w:t>
      </w:r>
      <w:r>
        <w:rPr>
          <w:rFonts w:ascii="Times New Roman" w:cs="Times New Roman" w:eastAsia="Times New Roman" w:hAnsi="Times New Roman"/>
          <w:sz w:val="20"/>
          <w:szCs w:val="20"/>
          <w:color w:val="auto"/>
        </w:rPr>
        <w:t>at</w:t>
      </w:r>
      <w:r>
        <w:rPr>
          <w:rFonts w:ascii="Times New Roman" w:cs="Times New Roman" w:eastAsia="Times New Roman" w:hAnsi="Times New Roman"/>
          <w:sz w:val="18"/>
          <w:szCs w:val="18"/>
          <w:color w:val="auto"/>
        </w:rPr>
        <w:t xml:space="preserve"> 6.42% per annum.</w:t>
      </w:r>
    </w:p>
    <w:p>
      <w:pPr>
        <w:spacing w:after="0" w:line="200" w:lineRule="exact"/>
        <w:rPr>
          <w:sz w:val="20"/>
          <w:szCs w:val="20"/>
          <w:color w:val="auto"/>
        </w:rPr>
      </w:pPr>
    </w:p>
    <w:p>
      <w:pPr>
        <w:spacing w:after="0" w:line="317" w:lineRule="exact"/>
        <w:rPr>
          <w:sz w:val="20"/>
          <w:szCs w:val="20"/>
          <w:color w:val="auto"/>
        </w:rPr>
      </w:pPr>
    </w:p>
    <w:p>
      <w:pPr>
        <w:jc w:val="both"/>
        <w:ind w:left="120" w:right="125"/>
        <w:spacing w:after="0" w:line="283" w:lineRule="auto"/>
        <w:rPr>
          <w:sz w:val="20"/>
          <w:szCs w:val="20"/>
          <w:color w:val="auto"/>
        </w:rPr>
      </w:pPr>
      <w:r>
        <w:rPr>
          <w:rFonts w:ascii="Times New Roman" w:cs="Times New Roman" w:eastAsia="Times New Roman" w:hAnsi="Times New Roman"/>
          <w:sz w:val="18"/>
          <w:szCs w:val="18"/>
          <w:color w:val="auto"/>
        </w:rPr>
        <w:t xml:space="preserve">The automotive subsidiary used the net proceeds from the real estate and capital term loans to repay the outstanding balances of the commercial notes maturing in 2031 and 2032. The interest rate swap agreements maturing in 203 1 and 2032 were also te rminated resulting in realized gains </w:t>
      </w:r>
      <w:r>
        <w:rPr>
          <w:rFonts w:ascii="Arial" w:cs="Arial" w:eastAsia="Arial" w:hAnsi="Arial"/>
          <w:sz w:val="17"/>
          <w:szCs w:val="17"/>
          <w:color w:val="auto"/>
        </w:rPr>
        <w:t>of</w:t>
      </w:r>
      <w:r>
        <w:rPr>
          <w:rFonts w:ascii="Times New Roman" w:cs="Times New Roman" w:eastAsia="Times New Roman" w:hAnsi="Times New Roman"/>
          <w:sz w:val="18"/>
          <w:szCs w:val="18"/>
          <w:color w:val="auto"/>
        </w:rPr>
        <w:t xml:space="preserve"> $4.6 million that reduced interest expen se during the third quarter of 2023.</w:t>
      </w:r>
    </w:p>
    <w:p>
      <w:pPr>
        <w:spacing w:after="0" w:line="200" w:lineRule="exact"/>
        <w:rPr>
          <w:sz w:val="20"/>
          <w:szCs w:val="20"/>
          <w:color w:val="auto"/>
        </w:rPr>
      </w:pPr>
    </w:p>
    <w:p>
      <w:pPr>
        <w:spacing w:after="0" w:line="308" w:lineRule="exact"/>
        <w:rPr>
          <w:sz w:val="20"/>
          <w:szCs w:val="20"/>
          <w:color w:val="auto"/>
        </w:rPr>
      </w:pPr>
    </w:p>
    <w:p>
      <w:pPr>
        <w:jc w:val="both"/>
        <w:ind w:left="120" w:right="125"/>
        <w:spacing w:after="0" w:line="274" w:lineRule="auto"/>
        <w:rPr>
          <w:sz w:val="20"/>
          <w:szCs w:val="20"/>
          <w:color w:val="auto"/>
        </w:rPr>
      </w:pPr>
      <w:r>
        <w:rPr>
          <w:rFonts w:ascii="Times New Roman" w:cs="Times New Roman" w:eastAsia="Times New Roman" w:hAnsi="Times New Roman"/>
          <w:sz w:val="18"/>
          <w:szCs w:val="18"/>
          <w:color w:val="auto"/>
        </w:rPr>
        <w:t>The fair value of the Company' s other debt, which is based on Level 2 inputs, approximates its carrying value as of December 3 1, 2024 and 2023. T he Company is in compliance with all financial covenants of the revolving credit faci Iity and term loans as of December 3 I, 2024.</w:t>
      </w:r>
    </w:p>
    <w:p>
      <w:pPr>
        <w:sectPr>
          <w:pgSz w:w="12240" w:h="15850" w:orient="portrait"/>
          <w:cols w:equalWidth="0" w:num="1">
            <w:col w:w="9365"/>
          </w:cols>
          <w:pgMar w:left="1440" w:top="1400" w:right="1440" w:bottom="721" w:gutter="0" w:footer="0" w:header="0"/>
        </w:sectPr>
      </w:pPr>
    </w:p>
    <w:p>
      <w:pPr>
        <w:spacing w:after="0" w:line="200" w:lineRule="exact"/>
        <w:rPr>
          <w:sz w:val="20"/>
          <w:szCs w:val="20"/>
          <w:color w:val="auto"/>
        </w:rPr>
      </w:pPr>
    </w:p>
    <w:p>
      <w:pPr>
        <w:spacing w:after="0" w:line="299"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8"/>
          <w:szCs w:val="18"/>
          <w:color w:val="auto"/>
        </w:rPr>
        <w:t>122</w:t>
        <w:tab/>
        <w:t>2024 FORM 10-K</w:t>
      </w:r>
    </w:p>
    <w:p>
      <w:pPr>
        <w:sectPr>
          <w:pgSz w:w="12240" w:h="15850" w:orient="portrait"/>
          <w:cols w:equalWidth="0" w:num="1">
            <w:col w:w="9365"/>
          </w:cols>
          <w:pgMar w:left="1440" w:top="1400" w:right="1440" w:bottom="721" w:gutter="0" w:footer="0" w:header="0"/>
          <w:type w:val="continuous"/>
        </w:sectPr>
      </w:pPr>
    </w:p>
    <w:bookmarkStart w:id="138" w:name="page139"/>
    <w:bookmarkEnd w:id="138"/>
    <w:p>
      <w:pPr>
        <w:jc w:val="both"/>
        <w:ind w:left="120" w:right="125" w:firstLine="11"/>
        <w:spacing w:after="0" w:line="25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46">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During 2024 and 2023, the Company had average borrowings outstanding of approximately $804.7 million and $745.0 million, respectively, at average annual interest rates of approximately 6.3% and 6. 1%, respectively. The </w:t>
      </w:r>
      <w:r>
        <w:rPr>
          <w:rFonts w:ascii="Times New Roman" w:cs="Times New Roman" w:eastAsia="Times New Roman" w:hAnsi="Times New Roman"/>
          <w:sz w:val="20"/>
          <w:szCs w:val="20"/>
          <w:color w:val="auto"/>
        </w:rPr>
        <w:t xml:space="preserve">Company incurred net imerest expense of </w:t>
      </w:r>
      <w:r>
        <w:rPr>
          <w:rFonts w:ascii="Times New Roman" w:cs="Times New Roman" w:eastAsia="Times New Roman" w:hAnsi="Times New Roman"/>
          <w:sz w:val="19"/>
          <w:szCs w:val="19"/>
          <w:color w:val="auto"/>
        </w:rPr>
        <w:t>$ 176.3</w:t>
      </w:r>
      <w:r>
        <w:rPr>
          <w:rFonts w:ascii="Times New Roman" w:cs="Times New Roman" w:eastAsia="Times New Roman" w:hAnsi="Times New Roman"/>
          <w:sz w:val="20"/>
          <w:szCs w:val="20"/>
          <w:color w:val="auto"/>
        </w:rPr>
        <w:t xml:space="preserve"> million, </w:t>
      </w:r>
      <w:r>
        <w:rPr>
          <w:rFonts w:ascii="Times New Roman" w:cs="Times New Roman" w:eastAsia="Times New Roman" w:hAnsi="Times New Roman"/>
          <w:sz w:val="19"/>
          <w:szCs w:val="19"/>
          <w:color w:val="auto"/>
        </w:rPr>
        <w:t>$56.2</w:t>
      </w:r>
      <w:r>
        <w:rPr>
          <w:rFonts w:ascii="Times New Roman" w:cs="Times New Roman" w:eastAsia="Times New Roman" w:hAnsi="Times New Roman"/>
          <w:sz w:val="20"/>
          <w:szCs w:val="20"/>
          <w:color w:val="auto"/>
        </w:rPr>
        <w:t xml:space="preserve"> million and </w:t>
      </w:r>
      <w:r>
        <w:rPr>
          <w:rFonts w:ascii="Times New Roman" w:cs="Times New Roman" w:eastAsia="Times New Roman" w:hAnsi="Times New Roman"/>
          <w:sz w:val="19"/>
          <w:szCs w:val="19"/>
          <w:color w:val="auto"/>
        </w:rPr>
        <w:t>$5 1.2</w:t>
      </w:r>
      <w:r>
        <w:rPr>
          <w:rFonts w:ascii="Times New Roman" w:cs="Times New Roman" w:eastAsia="Times New Roman" w:hAnsi="Times New Roman"/>
          <w:sz w:val="20"/>
          <w:szCs w:val="20"/>
          <w:color w:val="auto"/>
        </w:rPr>
        <w:t xml:space="preserve"> million during </w:t>
      </w:r>
      <w:r>
        <w:rPr>
          <w:rFonts w:ascii="Times New Roman" w:cs="Times New Roman" w:eastAsia="Times New Roman" w:hAnsi="Times New Roman"/>
          <w:sz w:val="19"/>
          <w:szCs w:val="19"/>
          <w:color w:val="auto"/>
        </w:rPr>
        <w:t>2024, 2023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19"/>
          <w:szCs w:val="19"/>
          <w:color w:val="auto"/>
        </w:rPr>
        <w:t>2022, respectively.</w:t>
      </w:r>
    </w:p>
    <w:p>
      <w:pPr>
        <w:spacing w:after="0" w:line="229" w:lineRule="exact"/>
        <w:rPr>
          <w:sz w:val="20"/>
          <w:szCs w:val="20"/>
          <w:color w:val="auto"/>
        </w:rPr>
      </w:pPr>
    </w:p>
    <w:p>
      <w:pPr>
        <w:jc w:val="both"/>
        <w:ind w:left="120" w:right="105" w:firstLine="2"/>
        <w:spacing w:after="0" w:line="260" w:lineRule="auto"/>
        <w:rPr>
          <w:sz w:val="20"/>
          <w:szCs w:val="20"/>
          <w:color w:val="auto"/>
        </w:rPr>
      </w:pPr>
      <w:r>
        <w:rPr>
          <w:rFonts w:ascii="Times New Roman" w:cs="Times New Roman" w:eastAsia="Times New Roman" w:hAnsi="Times New Roman"/>
          <w:sz w:val="19"/>
          <w:szCs w:val="19"/>
          <w:color w:val="auto"/>
        </w:rPr>
        <w:t>For the years ended December 31, 2024, 2023 and 2022, the Company recorded interest expense of $ 11 9.3 million, $ 10. 1 million and $16.5 million, respectively, to adjust the fair value of the mandatorily redeemable noncontro lling interest. The fair value of the mandatorily redeemable noncontrolling interest was based on the fair value of the underlying subsidiaries owned lby GHC One and GHC Two, after taking into account any debt and other noncontrol1ing interests of its subsidiary investments. The fair value of the owned subsidiaries is determined by reference to either a discounted cash flow or EBlTDA multiple, which approximates fair value (Level 3 fa ir val ue assessment).</w:t>
      </w:r>
    </w:p>
    <w:p>
      <w:pPr>
        <w:spacing w:after="0" w:line="20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12. FAIR VALUE MEASUREMENTS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financial assets and liabil ities measured at fair value on a recurring basis were as follows:</w:t>
      </w:r>
    </w:p>
    <w:p>
      <w:pPr>
        <w:spacing w:after="0" w:line="18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6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00" w:type="dxa"/>
            <w:vAlign w:val="bottom"/>
            <w:gridSpan w:val="10"/>
          </w:tcPr>
          <w:p>
            <w:pPr>
              <w:ind w:left="60"/>
              <w:spacing w:after="0"/>
              <w:rPr>
                <w:sz w:val="20"/>
                <w:szCs w:val="20"/>
                <w:color w:val="auto"/>
              </w:rPr>
            </w:pPr>
            <w:r>
              <w:rPr>
                <w:rFonts w:ascii="Times New Roman" w:cs="Times New Roman" w:eastAsia="Times New Roman" w:hAnsi="Times New Roman"/>
                <w:sz w:val="16"/>
                <w:szCs w:val="16"/>
                <w:color w:val="auto"/>
              </w:rPr>
              <w:t>As of December 31,2024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2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540" w:type="dxa"/>
            <w:vAlign w:val="bottom"/>
            <w:tcBorders>
              <w:bottom w:val="single" w:sz="8" w:color="403C3C"/>
            </w:tcBorders>
          </w:tcPr>
          <w:p>
            <w:pPr>
              <w:spacing w:after="0"/>
              <w:rPr>
                <w:sz w:val="2"/>
                <w:szCs w:val="2"/>
                <w:color w:val="auto"/>
              </w:rPr>
            </w:pPr>
          </w:p>
        </w:tc>
        <w:tc>
          <w:tcPr>
            <w:tcW w:w="200" w:type="dxa"/>
            <w:vAlign w:val="bottom"/>
            <w:tcBorders>
              <w:bottom w:val="single" w:sz="8" w:color="403C3C"/>
            </w:tcBorders>
            <w:gridSpan w:val="3"/>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660" w:type="dxa"/>
            <w:vAlign w:val="bottom"/>
            <w:tcBorders>
              <w:bottom w:val="single" w:sz="8" w:color="403C3C"/>
            </w:tcBorders>
            <w:gridSpan w:val="3"/>
          </w:tcPr>
          <w:p>
            <w:pPr>
              <w:spacing w:after="0"/>
              <w:rPr>
                <w:sz w:val="2"/>
                <w:szCs w:val="2"/>
                <w:color w:val="auto"/>
              </w:rPr>
            </w:pPr>
          </w:p>
        </w:tc>
        <w:tc>
          <w:tcPr>
            <w:tcW w:w="16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660" w:type="dxa"/>
            <w:vAlign w:val="bottom"/>
            <w:tcBorders>
              <w:bottom w:val="single" w:sz="8" w:color="403C3C"/>
            </w:tcBorders>
          </w:tcPr>
          <w:p>
            <w:pPr>
              <w:spacing w:after="0"/>
              <w:rPr>
                <w:sz w:val="2"/>
                <w:szCs w:val="2"/>
                <w:color w:val="auto"/>
              </w:rPr>
            </w:pPr>
          </w:p>
        </w:tc>
        <w:tc>
          <w:tcPr>
            <w:tcW w:w="18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640" w:type="dxa"/>
            <w:vAlign w:val="bottom"/>
            <w:tcBorders>
              <w:bottom w:val="single" w:sz="8" w:color="403C3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26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(in thousands)</w:t>
            </w: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4"/>
          </w:tcPr>
          <w:p>
            <w:pPr>
              <w:ind w:left="40"/>
              <w:spacing w:after="0" w:line="179" w:lineRule="exact"/>
              <w:rPr>
                <w:sz w:val="20"/>
                <w:szCs w:val="20"/>
                <w:color w:val="auto"/>
              </w:rPr>
            </w:pPr>
            <w:r>
              <w:rPr>
                <w:rFonts w:ascii="Times New Roman" w:cs="Times New Roman" w:eastAsia="Times New Roman" w:hAnsi="Times New Roman"/>
                <w:sz w:val="16"/>
                <w:szCs w:val="16"/>
                <w:color w:val="auto"/>
              </w:rPr>
              <w:t>Level 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gridSpan w:val="4"/>
          </w:tcPr>
          <w:p>
            <w:pPr>
              <w:jc w:val="right"/>
              <w:ind w:right="260"/>
              <w:spacing w:after="0" w:line="179" w:lineRule="exact"/>
              <w:rPr>
                <w:sz w:val="20"/>
                <w:szCs w:val="20"/>
                <w:color w:val="auto"/>
              </w:rPr>
            </w:pPr>
            <w:r>
              <w:rPr>
                <w:rFonts w:ascii="Times New Roman" w:cs="Times New Roman" w:eastAsia="Times New Roman" w:hAnsi="Times New Roman"/>
                <w:sz w:val="16"/>
                <w:szCs w:val="16"/>
                <w:color w:val="auto"/>
              </w:rPr>
              <w:t>Lcvel 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Level 3</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84"/>
              <w:spacing w:after="0" w:line="179" w:lineRule="exact"/>
              <w:rPr>
                <w:sz w:val="20"/>
                <w:szCs w:val="20"/>
                <w:color w:val="auto"/>
              </w:rPr>
            </w:pPr>
            <w:r>
              <w:rPr>
                <w:rFonts w:ascii="Times New Roman" w:cs="Times New Roman" w:eastAsia="Times New Roman" w:hAnsi="Times New Roman"/>
                <w:sz w:val="16"/>
                <w:szCs w:val="16"/>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Assets</w:t>
            </w: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54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403C3C"/>
            </w:tcBorders>
          </w:tcPr>
          <w:p>
            <w:pPr>
              <w:spacing w:after="0"/>
              <w:rPr>
                <w:sz w:val="3"/>
                <w:szCs w:val="3"/>
                <w:color w:val="auto"/>
              </w:rPr>
            </w:pPr>
          </w:p>
        </w:tc>
        <w:tc>
          <w:tcPr>
            <w:tcW w:w="50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6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273"/>
        </w:trPr>
        <w:tc>
          <w:tcPr>
            <w:tcW w:w="2660" w:type="dxa"/>
            <w:vAlign w:val="bottom"/>
            <w:vMerge w:val="continue"/>
          </w:tcPr>
          <w:p>
            <w:pPr>
              <w:spacing w:after="0"/>
              <w:rPr>
                <w:sz w:val="23"/>
                <w:szCs w:val="23"/>
                <w:color w:val="auto"/>
              </w:rPr>
            </w:pPr>
          </w:p>
        </w:tc>
        <w:tc>
          <w:tcPr>
            <w:tcW w:w="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gridSpan w:val="2"/>
            <w:vMerge w:val="restart"/>
          </w:tcPr>
          <w:p>
            <w:pPr>
              <w:ind w:left="540"/>
              <w:spacing w:after="0"/>
              <w:rPr>
                <w:sz w:val="20"/>
                <w:szCs w:val="20"/>
                <w:color w:val="auto"/>
              </w:rPr>
            </w:pPr>
            <w:r>
              <w:rPr>
                <w:rFonts w:ascii="Times New Roman" w:cs="Times New Roman" w:eastAsia="Times New Roman" w:hAnsi="Times New Roman"/>
                <w:sz w:val="25"/>
                <w:szCs w:val="25"/>
                <w:color w:val="auto"/>
                <w:w w:val="95"/>
              </w:rPr>
              <w:t>-</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Money market investments </w:t>
            </w:r>
            <w:r>
              <w:rPr>
                <w:rFonts w:ascii="Times New Roman" w:cs="Times New Roman" w:eastAsia="Times New Roman" w:hAnsi="Times New Roman"/>
                <w:sz w:val="12"/>
                <w:szCs w:val="12"/>
                <w:color w:val="auto"/>
              </w:rPr>
              <w:t>(I )</w:t>
            </w:r>
          </w:p>
        </w:tc>
        <w:tc>
          <w:tcPr>
            <w:tcW w:w="780" w:type="dxa"/>
            <w:vAlign w:val="bottom"/>
          </w:tcPr>
          <w:p>
            <w:pPr>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ind w:left="40"/>
              <w:spacing w:after="0"/>
              <w:rPr>
                <w:sz w:val="20"/>
                <w:szCs w:val="20"/>
                <w:color w:val="auto"/>
              </w:rPr>
            </w:pPr>
            <w:r>
              <w:rPr>
                <w:rFonts w:ascii="Times New Roman" w:cs="Times New Roman" w:eastAsia="Times New Roman" w:hAnsi="Times New Roman"/>
                <w:sz w:val="12"/>
                <w:szCs w:val="12"/>
                <w:color w:val="auto"/>
              </w:rPr>
              <w:t>•  .</w:t>
            </w:r>
          </w:p>
        </w:tc>
        <w:tc>
          <w:tcPr>
            <w:tcW w:w="800" w:type="dxa"/>
            <w:vAlign w:val="bottom"/>
          </w:tcPr>
          <w:p>
            <w:pPr>
              <w:spacing w:after="0"/>
              <w:rPr>
                <w:sz w:val="20"/>
                <w:szCs w:val="20"/>
                <w:color w:val="auto"/>
              </w:rPr>
            </w:pPr>
            <w:r>
              <w:rPr>
                <w:rFonts w:ascii="Times New Roman" w:cs="Times New Roman" w:eastAsia="Times New Roman" w:hAnsi="Times New Roman"/>
                <w:sz w:val="12"/>
                <w:szCs w:val="12"/>
                <w:color w:val="auto"/>
              </w:rPr>
              <w:t>.........</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640" w:type="dxa"/>
            <w:vAlign w:val="bottom"/>
            <w:gridSpan w:val="2"/>
            <w:vMerge w:val="continue"/>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7"/>
              </w:rPr>
              <w:t>3,908</w:t>
            </w:r>
          </w:p>
        </w:tc>
        <w:tc>
          <w:tcPr>
            <w:tcW w:w="160" w:type="dxa"/>
            <w:vAlign w:val="bottom"/>
          </w:tcPr>
          <w:p>
            <w:pPr>
              <w:spacing w:after="0"/>
              <w:rPr>
                <w:sz w:val="21"/>
                <w:szCs w:val="21"/>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3,908</w:t>
            </w:r>
          </w:p>
        </w:tc>
        <w:tc>
          <w:tcPr>
            <w:tcW w:w="0" w:type="dxa"/>
            <w:vAlign w:val="bottom"/>
          </w:tcPr>
          <w:p>
            <w:pPr>
              <w:spacing w:after="0"/>
              <w:rPr>
                <w:sz w:val="1"/>
                <w:szCs w:val="1"/>
                <w:color w:val="auto"/>
              </w:rPr>
            </w:pPr>
          </w:p>
        </w:tc>
      </w:tr>
      <w:tr>
        <w:trPr>
          <w:trHeight w:val="224"/>
        </w:trPr>
        <w:tc>
          <w:tcPr>
            <w:tcW w:w="2660" w:type="dxa"/>
            <w:vAlign w:val="bottom"/>
          </w:tcPr>
          <w:p>
            <w:pPr>
              <w:spacing w:after="0" w:line="224" w:lineRule="exact"/>
              <w:rPr>
                <w:sz w:val="20"/>
                <w:szCs w:val="20"/>
                <w:color w:val="auto"/>
              </w:rPr>
            </w:pPr>
            <w:r>
              <w:rPr>
                <w:rFonts w:ascii="Times New Roman" w:cs="Times New Roman" w:eastAsia="Times New Roman" w:hAnsi="Times New Roman"/>
                <w:sz w:val="20"/>
                <w:szCs w:val="20"/>
                <w:color w:val="auto"/>
              </w:rPr>
              <w:t xml:space="preserve">Marketable equity secur ities </w:t>
            </w:r>
            <w:r>
              <w:rPr>
                <w:rFonts w:ascii="Times New Roman" w:cs="Times New Roman" w:eastAsia="Times New Roman" w:hAnsi="Times New Roman"/>
                <w:sz w:val="12"/>
                <w:szCs w:val="12"/>
                <w:color w:val="auto"/>
              </w:rPr>
              <w:t>(2)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 •••• ....</w:t>
            </w:r>
          </w:p>
        </w:tc>
        <w:tc>
          <w:tcPr>
            <w:tcW w:w="80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 . ••</w:t>
            </w:r>
          </w:p>
        </w:tc>
        <w:tc>
          <w:tcPr>
            <w:tcW w:w="4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440" w:type="dxa"/>
            <w:vAlign w:val="bottom"/>
          </w:tcPr>
          <w:p>
            <w:pPr>
              <w:jc w:val="right"/>
              <w:ind w:right="111"/>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color w:val="auto"/>
                <w:w w:val="98"/>
              </w:rPr>
              <w:t>852,434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4"/>
          </w:tcPr>
          <w:p>
            <w:pPr>
              <w:jc w:val="right"/>
              <w:ind w:right="20"/>
              <w:spacing w:after="0" w:line="224" w:lineRule="exact"/>
              <w:rPr>
                <w:sz w:val="20"/>
                <w:szCs w:val="20"/>
                <w:color w:val="auto"/>
              </w:rPr>
            </w:pPr>
            <w:r>
              <w:rPr>
                <w:rFonts w:ascii="Times New Roman" w:cs="Times New Roman" w:eastAsia="Times New Roman" w:hAnsi="Times New Roman"/>
                <w:sz w:val="20"/>
                <w:szCs w:val="20"/>
                <w:color w:val="auto"/>
              </w:rPr>
              <w:t>852,434</w:t>
            </w:r>
          </w:p>
        </w:tc>
        <w:tc>
          <w:tcPr>
            <w:tcW w:w="0" w:type="dxa"/>
            <w:vAlign w:val="bottom"/>
          </w:tcPr>
          <w:p>
            <w:pPr>
              <w:spacing w:after="0"/>
              <w:rPr>
                <w:sz w:val="1"/>
                <w:szCs w:val="1"/>
                <w:color w:val="auto"/>
              </w:rPr>
            </w:pPr>
          </w:p>
        </w:tc>
      </w:tr>
      <w:tr>
        <w:trPr>
          <w:trHeight w:val="24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Other current investments </w:t>
            </w:r>
            <w:r>
              <w:rPr>
                <w:rFonts w:ascii="Arial" w:cs="Arial" w:eastAsia="Arial" w:hAnsi="Arial"/>
                <w:sz w:val="11"/>
                <w:szCs w:val="11"/>
                <w:color w:val="auto"/>
              </w:rPr>
              <w:t>(3)  .</w:t>
            </w:r>
          </w:p>
        </w:tc>
        <w:tc>
          <w:tcPr>
            <w:tcW w:w="780" w:type="dxa"/>
            <w:vAlign w:val="bottom"/>
          </w:tcPr>
          <w:p>
            <w:pPr>
              <w:ind w:left="20"/>
              <w:spacing w:after="0"/>
              <w:rPr>
                <w:sz w:val="20"/>
                <w:szCs w:val="20"/>
                <w:color w:val="auto"/>
              </w:rPr>
            </w:pPr>
            <w:r>
              <w:rPr>
                <w:rFonts w:ascii="Arial" w:cs="Arial" w:eastAsia="Arial" w:hAnsi="Arial"/>
                <w:sz w:val="12"/>
                <w:szCs w:val="12"/>
                <w:color w:val="auto"/>
              </w:rPr>
              <w:t>• . • . ••  . •</w:t>
            </w:r>
          </w:p>
        </w:tc>
        <w:tc>
          <w:tcPr>
            <w:tcW w:w="240" w:type="dxa"/>
            <w:vAlign w:val="bottom"/>
          </w:tcPr>
          <w:p>
            <w:pPr>
              <w:ind w:left="40"/>
              <w:spacing w:after="0"/>
              <w:rPr>
                <w:sz w:val="20"/>
                <w:szCs w:val="20"/>
                <w:color w:val="auto"/>
              </w:rPr>
            </w:pPr>
            <w:r>
              <w:rPr>
                <w:rFonts w:ascii="Arial" w:cs="Arial" w:eastAsia="Arial" w:hAnsi="Arial"/>
                <w:sz w:val="12"/>
                <w:szCs w:val="12"/>
                <w:color w:val="auto"/>
              </w:rPr>
              <w:t>.  •.</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 . • . •• ......</w:t>
            </w:r>
          </w:p>
        </w:tc>
        <w:tc>
          <w:tcPr>
            <w:tcW w:w="280" w:type="dxa"/>
            <w:vAlign w:val="bottom"/>
          </w:tcPr>
          <w:p>
            <w:pPr>
              <w:jc w:val="right"/>
              <w:spacing w:after="0"/>
              <w:rPr>
                <w:sz w:val="20"/>
                <w:szCs w:val="20"/>
                <w:color w:val="auto"/>
              </w:rPr>
            </w:pPr>
            <w:r>
              <w:rPr>
                <w:rFonts w:ascii="Arial" w:cs="Arial" w:eastAsia="Arial" w:hAnsi="Arial"/>
                <w:sz w:val="12"/>
                <w:szCs w:val="12"/>
                <w:color w:val="auto"/>
              </w:rPr>
              <w:t>• ..</w:t>
            </w:r>
          </w:p>
        </w:tc>
        <w:tc>
          <w:tcPr>
            <w:tcW w:w="440" w:type="dxa"/>
            <w:vAlign w:val="bottom"/>
          </w:tcPr>
          <w:p>
            <w:pPr>
              <w:jc w:val="right"/>
              <w:ind w:right="211"/>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93"/>
              </w:rPr>
              <w:t>6,309</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6,309</w:t>
            </w:r>
          </w:p>
        </w:tc>
        <w:tc>
          <w:tcPr>
            <w:tcW w:w="0" w:type="dxa"/>
            <w:vAlign w:val="bottom"/>
          </w:tcPr>
          <w:p>
            <w:pPr>
              <w:spacing w:after="0"/>
              <w:rPr>
                <w:sz w:val="1"/>
                <w:szCs w:val="1"/>
                <w:color w:val="auto"/>
              </w:rPr>
            </w:pPr>
          </w:p>
        </w:tc>
      </w:tr>
      <w:tr>
        <w:trPr>
          <w:trHeight w:val="238"/>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Foreign exchange swap </w:t>
            </w:r>
            <w:r>
              <w:rPr>
                <w:rFonts w:ascii="Times New Roman" w:cs="Times New Roman" w:eastAsia="Times New Roman" w:hAnsi="Times New Roman"/>
                <w:sz w:val="12"/>
                <w:szCs w:val="12"/>
                <w:color w:val="auto"/>
              </w:rPr>
              <w:t>(4)  . •• .....</w:t>
            </w:r>
          </w:p>
        </w:tc>
        <w:tc>
          <w:tcPr>
            <w:tcW w:w="780" w:type="dxa"/>
            <w:vAlign w:val="bottom"/>
          </w:tcPr>
          <w:p>
            <w:pPr>
              <w:jc w:val="center"/>
              <w:ind w:left="289"/>
              <w:spacing w:after="0"/>
              <w:rPr>
                <w:sz w:val="20"/>
                <w:szCs w:val="20"/>
                <w:color w:val="auto"/>
              </w:rPr>
            </w:pPr>
            <w:r>
              <w:rPr>
                <w:rFonts w:ascii="Times New Roman" w:cs="Times New Roman" w:eastAsia="Times New Roman" w:hAnsi="Times New Roman"/>
                <w:sz w:val="12"/>
                <w:szCs w:val="12"/>
                <w:color w:val="auto"/>
              </w:rPr>
              <w:t>•• . •</w:t>
            </w:r>
          </w:p>
        </w:tc>
        <w:tc>
          <w:tcPr>
            <w:tcW w:w="2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 •• . •  • • ..</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440" w:type="dxa"/>
            <w:vAlign w:val="bottom"/>
          </w:tcPr>
          <w:p>
            <w:pPr>
              <w:jc w:val="right"/>
              <w:ind w:right="111"/>
              <w:spacing w:after="0"/>
              <w:rPr>
                <w:sz w:val="20"/>
                <w:szCs w:val="20"/>
                <w:color w:val="auto"/>
              </w:rPr>
            </w:pPr>
            <w:r>
              <w:rPr>
                <w:rFonts w:ascii="Times New Roman" w:cs="Times New Roman" w:eastAsia="Times New Roman" w:hAnsi="Times New Roman"/>
                <w:sz w:val="12"/>
                <w:szCs w:val="12"/>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2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0C0808"/>
            </w:tcBorders>
            <w:gridSpan w:val="2"/>
          </w:tcPr>
          <w:p>
            <w:pPr>
              <w:spacing w:after="0"/>
              <w:rPr>
                <w:sz w:val="2"/>
                <w:szCs w:val="2"/>
                <w:color w:val="auto"/>
              </w:rPr>
            </w:pPr>
          </w:p>
        </w:tc>
        <w:tc>
          <w:tcPr>
            <w:tcW w:w="120" w:type="dxa"/>
            <w:vAlign w:val="bottom"/>
            <w:tcBorders>
              <w:bottom w:val="single" w:sz="8" w:color="0C0808"/>
            </w:tcBorders>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40" w:type="dxa"/>
            <w:vAlign w:val="bottom"/>
            <w:tcBorders>
              <w:bottom w:val="single" w:sz="8" w:color="0C080C"/>
            </w:tcBorders>
            <w:gridSpan w:val="2"/>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0C0808"/>
            </w:tcBorders>
          </w:tcPr>
          <w:p>
            <w:pPr>
              <w:spacing w:after="0"/>
              <w:rPr>
                <w:sz w:val="2"/>
                <w:szCs w:val="2"/>
                <w:color w:val="auto"/>
              </w:rPr>
            </w:pPr>
          </w:p>
        </w:tc>
        <w:tc>
          <w:tcPr>
            <w:tcW w:w="660" w:type="dxa"/>
            <w:vAlign w:val="bottom"/>
            <w:tcBorders>
              <w:bottom w:val="single" w:sz="8" w:color="0C0808"/>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0C0808"/>
            </w:tcBorders>
            <w:gridSpan w:val="2"/>
          </w:tcPr>
          <w:p>
            <w:pPr>
              <w:spacing w:after="0"/>
              <w:rPr>
                <w:sz w:val="2"/>
                <w:szCs w:val="2"/>
                <w:color w:val="auto"/>
              </w:rPr>
            </w:pPr>
          </w:p>
        </w:tc>
        <w:tc>
          <w:tcPr>
            <w:tcW w:w="20" w:type="dxa"/>
            <w:vAlign w:val="bottom"/>
            <w:tcBorders>
              <w:bottom w:val="single" w:sz="8" w:color="0C0808"/>
            </w:tcBorders>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266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Financial Assets ...</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w:t>
            </w: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auto"/>
              </w:rPr>
              <w:t>. ..............</w:t>
            </w:r>
          </w:p>
        </w:tc>
        <w:tc>
          <w:tcPr>
            <w:tcW w:w="400" w:type="dxa"/>
            <w:vAlign w:val="bottom"/>
          </w:tcPr>
          <w:p>
            <w:pPr>
              <w:spacing w:after="0"/>
              <w:rPr>
                <w:sz w:val="22"/>
                <w:szCs w:val="22"/>
                <w:color w:val="auto"/>
              </w:rPr>
            </w:pPr>
          </w:p>
        </w:tc>
        <w:tc>
          <w:tcPr>
            <w:tcW w:w="720" w:type="dxa"/>
            <w:vAlign w:val="bottom"/>
            <w:gridSpan w:val="2"/>
          </w:tcPr>
          <w:p>
            <w:pPr>
              <w:jc w:val="right"/>
              <w:ind w:right="111"/>
              <w:spacing w:after="0"/>
              <w:rPr>
                <w:sz w:val="20"/>
                <w:szCs w:val="20"/>
                <w:color w:val="auto"/>
              </w:rPr>
            </w:pPr>
            <w:r>
              <w:rPr>
                <w:rFonts w:ascii="Times New Roman" w:cs="Times New Roman" w:eastAsia="Times New Roman" w:hAnsi="Times New Roman"/>
                <w:sz w:val="20"/>
                <w:szCs w:val="20"/>
                <w:color w:val="auto"/>
              </w:rPr>
              <w:t>.... .</w:t>
            </w:r>
          </w:p>
        </w:tc>
        <w:tc>
          <w:tcPr>
            <w:tcW w:w="780" w:type="dxa"/>
            <w:vAlign w:val="bottom"/>
            <w:gridSpan w:val="5"/>
          </w:tcPr>
          <w:p>
            <w:pPr>
              <w:ind w:left="20"/>
              <w:spacing w:after="0"/>
              <w:rPr>
                <w:sz w:val="20"/>
                <w:szCs w:val="20"/>
                <w:color w:val="auto"/>
              </w:rPr>
            </w:pPr>
            <w:r>
              <w:rPr>
                <w:rFonts w:ascii="Times New Roman" w:cs="Times New Roman" w:eastAsia="Times New Roman" w:hAnsi="Times New Roman"/>
                <w:sz w:val="20"/>
                <w:szCs w:val="20"/>
                <w:color w:val="auto"/>
                <w:w w:val="98"/>
              </w:rPr>
              <w:t>$852,434</w:t>
            </w:r>
          </w:p>
        </w:tc>
        <w:tc>
          <w:tcPr>
            <w:tcW w:w="80" w:type="dxa"/>
            <w:vAlign w:val="bottom"/>
          </w:tcPr>
          <w:p>
            <w:pPr>
              <w:spacing w:after="0"/>
              <w:rPr>
                <w:sz w:val="22"/>
                <w:szCs w:val="22"/>
                <w:color w:val="auto"/>
              </w:rPr>
            </w:pPr>
          </w:p>
        </w:tc>
        <w:tc>
          <w:tcPr>
            <w:tcW w:w="760" w:type="dxa"/>
            <w:vAlign w:val="bottom"/>
            <w:gridSpan w:val="4"/>
          </w:tcPr>
          <w:p>
            <w:pPr>
              <w:ind w:left="100"/>
              <w:spacing w:after="0"/>
              <w:rPr>
                <w:sz w:val="20"/>
                <w:szCs w:val="20"/>
                <w:color w:val="auto"/>
              </w:rPr>
            </w:pPr>
            <w:r>
              <w:rPr>
                <w:rFonts w:ascii="Times New Roman" w:cs="Times New Roman" w:eastAsia="Times New Roman" w:hAnsi="Times New Roman"/>
                <w:sz w:val="20"/>
                <w:szCs w:val="20"/>
                <w:color w:val="auto"/>
                <w:w w:val="98"/>
              </w:rPr>
              <w:t>$10,927</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8"/>
              </w:rPr>
              <w:t>$863,361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2"/>
        </w:trPr>
        <w:tc>
          <w:tcPr>
            <w:tcW w:w="266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Liabilities</w:t>
            </w: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tcPr>
          <w:p>
            <w:pPr>
              <w:spacing w:after="0"/>
              <w:rPr>
                <w:sz w:val="4"/>
                <w:szCs w:val="4"/>
                <w:color w:val="auto"/>
              </w:rPr>
            </w:pPr>
          </w:p>
        </w:tc>
        <w:tc>
          <w:tcPr>
            <w:tcW w:w="4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54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40" w:type="dxa"/>
            <w:vAlign w:val="bottom"/>
            <w:tcBorders>
              <w:bottom w:val="single" w:sz="8" w:color="504C4C"/>
            </w:tcBorders>
          </w:tcPr>
          <w:p>
            <w:pPr>
              <w:spacing w:after="0"/>
              <w:rPr>
                <w:sz w:val="4"/>
                <w:szCs w:val="4"/>
                <w:color w:val="auto"/>
              </w:rPr>
            </w:pPr>
          </w:p>
        </w:tc>
        <w:tc>
          <w:tcPr>
            <w:tcW w:w="50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660" w:type="dxa"/>
            <w:vAlign w:val="bottom"/>
            <w:tcBorders>
              <w:bottom w:val="single" w:sz="8" w:color="504C4C"/>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100" w:type="dxa"/>
            <w:vAlign w:val="bottom"/>
            <w:tcBorders>
              <w:bottom w:val="single" w:sz="8" w:color="504C4C"/>
            </w:tcBorders>
          </w:tcPr>
          <w:p>
            <w:pPr>
              <w:spacing w:after="0"/>
              <w:rPr>
                <w:sz w:val="4"/>
                <w:szCs w:val="4"/>
                <w:color w:val="auto"/>
              </w:rPr>
            </w:pPr>
          </w:p>
        </w:tc>
        <w:tc>
          <w:tcPr>
            <w:tcW w:w="64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0"/>
        </w:trPr>
        <w:tc>
          <w:tcPr>
            <w:tcW w:w="266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4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 • • • • • • • • • • • • •</w:t>
            </w:r>
          </w:p>
        </w:tc>
        <w:tc>
          <w:tcPr>
            <w:tcW w:w="720" w:type="dxa"/>
            <w:vAlign w:val="bottom"/>
            <w:gridSpan w:val="2"/>
            <w:vMerge w:val="restart"/>
          </w:tcPr>
          <w:p>
            <w:pPr>
              <w:jc w:val="right"/>
              <w:ind w:right="111"/>
              <w:spacing w:after="0"/>
              <w:rPr>
                <w:sz w:val="20"/>
                <w:szCs w:val="20"/>
                <w:color w:val="auto"/>
              </w:rPr>
            </w:pPr>
            <w:r>
              <w:rPr>
                <w:rFonts w:ascii="Times New Roman" w:cs="Times New Roman" w:eastAsia="Times New Roman" w:hAnsi="Times New Roman"/>
                <w:sz w:val="14"/>
                <w:szCs w:val="14"/>
                <w:color w:val="auto"/>
              </w:rPr>
              <w:t>• • • •  • •</w:t>
            </w: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21"/>
                <w:szCs w:val="21"/>
                <w:color w:val="auto"/>
                <w:w w:val="75"/>
              </w:rPr>
              <w:t>$</w:t>
            </w:r>
          </w:p>
        </w:tc>
        <w:tc>
          <w:tcPr>
            <w:tcW w:w="640" w:type="dxa"/>
            <w:vAlign w:val="bottom"/>
            <w:gridSpan w:val="2"/>
            <w:vMerge w:val="restart"/>
          </w:tcPr>
          <w:p>
            <w:pPr>
              <w:ind w:left="540"/>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gridSpan w:val="3"/>
            <w:vMerge w:val="restart"/>
          </w:tcPr>
          <w:p>
            <w:pPr>
              <w:ind w:left="100"/>
              <w:spacing w:after="0"/>
              <w:rPr>
                <w:sz w:val="20"/>
                <w:szCs w:val="20"/>
                <w:color w:val="auto"/>
              </w:rPr>
            </w:pPr>
            <w:r>
              <w:rPr>
                <w:rFonts w:ascii="Times New Roman" w:cs="Times New Roman" w:eastAsia="Times New Roman" w:hAnsi="Times New Roman"/>
                <w:sz w:val="20"/>
                <w:szCs w:val="20"/>
                <w:color w:val="auto"/>
              </w:rPr>
              <w:t>$</w:t>
            </w:r>
          </w:p>
        </w:tc>
        <w:tc>
          <w:tcPr>
            <w:tcW w:w="5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gridSpan w:val="2"/>
            <w:vMerge w:val="restart"/>
          </w:tcPr>
          <w:p>
            <w:pPr>
              <w:ind w:left="2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1,419</w:t>
            </w:r>
          </w:p>
        </w:tc>
        <w:tc>
          <w:tcPr>
            <w:tcW w:w="180" w:type="dxa"/>
            <w:vAlign w:val="bottom"/>
          </w:tcPr>
          <w:p>
            <w:pPr>
              <w:spacing w:after="0"/>
              <w:rPr>
                <w:sz w:val="24"/>
                <w:szCs w:val="24"/>
                <w:color w:val="auto"/>
              </w:rPr>
            </w:pPr>
          </w:p>
        </w:tc>
        <w:tc>
          <w:tcPr>
            <w:tcW w:w="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6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1,419</w:t>
            </w:r>
          </w:p>
        </w:tc>
        <w:tc>
          <w:tcPr>
            <w:tcW w:w="0" w:type="dxa"/>
            <w:vAlign w:val="bottom"/>
          </w:tcPr>
          <w:p>
            <w:pPr>
              <w:spacing w:after="0"/>
              <w:rPr>
                <w:sz w:val="1"/>
                <w:szCs w:val="1"/>
                <w:color w:val="auto"/>
              </w:rPr>
            </w:pPr>
          </w:p>
        </w:tc>
      </w:tr>
      <w:tr>
        <w:trPr>
          <w:trHeight w:val="47"/>
        </w:trPr>
        <w:tc>
          <w:tcPr>
            <w:tcW w:w="3440" w:type="dxa"/>
            <w:vAlign w:val="bottom"/>
            <w:gridSpan w:val="2"/>
          </w:tcPr>
          <w:p>
            <w:pPr>
              <w:spacing w:after="0" w:line="47" w:lineRule="exact"/>
              <w:rPr>
                <w:sz w:val="20"/>
                <w:szCs w:val="20"/>
                <w:color w:val="auto"/>
              </w:rPr>
            </w:pPr>
            <w:r>
              <w:rPr>
                <w:rFonts w:ascii="Times New Roman" w:cs="Times New Roman" w:eastAsia="Times New Roman" w:hAnsi="Times New Roman"/>
                <w:sz w:val="5"/>
                <w:szCs w:val="5"/>
                <w:color w:val="auto"/>
              </w:rPr>
              <w:t>Contingent consideration liabilities &lt; &gt; • •</w:t>
            </w:r>
          </w:p>
        </w:tc>
        <w:tc>
          <w:tcPr>
            <w:tcW w:w="1440" w:type="dxa"/>
            <w:vAlign w:val="bottom"/>
            <w:gridSpan w:val="3"/>
            <w:vMerge w:val="continue"/>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4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gridSpan w:val="3"/>
            <w:vMerge w:val="continue"/>
          </w:tcPr>
          <w:p>
            <w:pPr>
              <w:spacing w:after="0"/>
              <w:rPr>
                <w:sz w:val="4"/>
                <w:szCs w:val="4"/>
                <w:color w:val="auto"/>
              </w:rPr>
            </w:pPr>
          </w:p>
        </w:tc>
        <w:tc>
          <w:tcPr>
            <w:tcW w:w="50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60" w:type="dxa"/>
            <w:vAlign w:val="bottom"/>
            <w:vMerge w:val="continue"/>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gridSpan w:val="2"/>
            <w:vMerge w:val="continue"/>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6"/>
        </w:trPr>
        <w:tc>
          <w:tcPr>
            <w:tcW w:w="2660" w:type="dxa"/>
            <w:vAlign w:val="bottom"/>
          </w:tcPr>
          <w:p>
            <w:pPr>
              <w:spacing w:after="0"/>
              <w:rPr>
                <w:sz w:val="12"/>
                <w:szCs w:val="12"/>
                <w:color w:val="auto"/>
              </w:rPr>
            </w:pPr>
          </w:p>
        </w:tc>
        <w:tc>
          <w:tcPr>
            <w:tcW w:w="780" w:type="dxa"/>
            <w:vAlign w:val="bottom"/>
          </w:tcPr>
          <w:p>
            <w:pPr>
              <w:ind w:left="420"/>
              <w:spacing w:after="0" w:line="146" w:lineRule="exact"/>
              <w:rPr>
                <w:sz w:val="20"/>
                <w:szCs w:val="20"/>
                <w:color w:val="auto"/>
              </w:rPr>
            </w:pPr>
            <w:r>
              <w:rPr>
                <w:rFonts w:ascii="Times New Roman" w:cs="Times New Roman" w:eastAsia="Times New Roman" w:hAnsi="Times New Roman"/>
                <w:sz w:val="13"/>
                <w:szCs w:val="13"/>
                <w:color w:val="auto"/>
              </w:rPr>
              <w:t>5</w:t>
            </w: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266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Interest rate swaps </w:t>
            </w:r>
            <w:r>
              <w:rPr>
                <w:rFonts w:ascii="Arial" w:cs="Arial" w:eastAsia="Arial" w:hAnsi="Arial"/>
                <w:sz w:val="11"/>
                <w:szCs w:val="11"/>
                <w:color w:val="auto"/>
              </w:rPr>
              <w:t>(6)   .. . ......</w:t>
            </w:r>
          </w:p>
        </w:tc>
        <w:tc>
          <w:tcPr>
            <w:tcW w:w="1020" w:type="dxa"/>
            <w:vAlign w:val="bottom"/>
            <w:gridSpan w:val="2"/>
          </w:tcPr>
          <w:p>
            <w:pPr>
              <w:jc w:val="center"/>
              <w:ind w:left="89"/>
              <w:spacing w:after="0"/>
              <w:rPr>
                <w:sz w:val="20"/>
                <w:szCs w:val="20"/>
                <w:color w:val="auto"/>
              </w:rPr>
            </w:pPr>
            <w:r>
              <w:rPr>
                <w:rFonts w:ascii="Arial" w:cs="Arial" w:eastAsia="Arial" w:hAnsi="Arial"/>
                <w:sz w:val="12"/>
                <w:szCs w:val="12"/>
                <w:color w:val="auto"/>
              </w:rPr>
              <w:t>. .. • . • .  •</w:t>
            </w:r>
          </w:p>
        </w:tc>
        <w:tc>
          <w:tcPr>
            <w:tcW w:w="1200" w:type="dxa"/>
            <w:vAlign w:val="bottom"/>
            <w:gridSpan w:val="2"/>
          </w:tcPr>
          <w:p>
            <w:pPr>
              <w:jc w:val="right"/>
              <w:spacing w:after="0"/>
              <w:rPr>
                <w:sz w:val="20"/>
                <w:szCs w:val="20"/>
                <w:color w:val="auto"/>
              </w:rPr>
            </w:pPr>
            <w:r>
              <w:rPr>
                <w:rFonts w:ascii="Arial" w:cs="Arial" w:eastAsia="Arial" w:hAnsi="Arial"/>
                <w:sz w:val="12"/>
                <w:szCs w:val="12"/>
                <w:color w:val="auto"/>
              </w:rPr>
              <w:t>.. . ...............</w:t>
            </w: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w w:val="97"/>
              </w:rPr>
              <w:t>1,419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1,419</w:t>
            </w:r>
          </w:p>
        </w:tc>
        <w:tc>
          <w:tcPr>
            <w:tcW w:w="0" w:type="dxa"/>
            <w:vAlign w:val="bottom"/>
          </w:tcPr>
          <w:p>
            <w:pPr>
              <w:spacing w:after="0"/>
              <w:rPr>
                <w:sz w:val="1"/>
                <w:szCs w:val="1"/>
                <w:color w:val="auto"/>
              </w:rPr>
            </w:pPr>
          </w:p>
        </w:tc>
      </w:tr>
      <w:tr>
        <w:trPr>
          <w:trHeight w:val="229"/>
        </w:trPr>
        <w:tc>
          <w:tcPr>
            <w:tcW w:w="4480" w:type="dxa"/>
            <w:vAlign w:val="bottom"/>
            <w:gridSpan w:val="4"/>
          </w:tcPr>
          <w:p>
            <w:pPr>
              <w:spacing w:after="0" w:line="229" w:lineRule="exact"/>
              <w:rPr>
                <w:sz w:val="20"/>
                <w:szCs w:val="20"/>
                <w:color w:val="auto"/>
              </w:rPr>
            </w:pPr>
            <w:r>
              <w:rPr>
                <w:rFonts w:ascii="Times New Roman" w:cs="Times New Roman" w:eastAsia="Times New Roman" w:hAnsi="Times New Roman"/>
                <w:sz w:val="20"/>
                <w:szCs w:val="20"/>
                <w:color w:val="auto"/>
              </w:rPr>
              <w:t xml:space="preserve">Mandatorily redeema ble noncon trolling interest </w:t>
            </w:r>
            <w:r>
              <w:rPr>
                <w:rFonts w:ascii="Times New Roman" w:cs="Times New Roman" w:eastAsia="Times New Roman" w:hAnsi="Times New Roman"/>
                <w:sz w:val="12"/>
                <w:szCs w:val="12"/>
                <w:color w:val="auto"/>
              </w:rPr>
              <w:t>(7)</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440" w:type="dxa"/>
            <w:vAlign w:val="bottom"/>
          </w:tcPr>
          <w:p>
            <w:pPr>
              <w:jc w:val="right"/>
              <w:ind w:right="111"/>
              <w:spacing w:after="0"/>
              <w:rPr>
                <w:sz w:val="20"/>
                <w:szCs w:val="20"/>
                <w:color w:val="auto"/>
              </w:rPr>
            </w:pPr>
            <w:r>
              <w:rPr>
                <w:rFonts w:ascii="Times New Roman" w:cs="Times New Roman" w:eastAsia="Times New Roman" w:hAnsi="Times New Roman"/>
                <w:sz w:val="12"/>
                <w:szCs w:val="12"/>
                <w:color w:val="auto"/>
              </w:rPr>
              <w:t>.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8"/>
              </w:rPr>
              <w:t>159,548</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w w:val="95"/>
              </w:rPr>
              <w:t>159,548</w:t>
            </w:r>
          </w:p>
        </w:tc>
        <w:tc>
          <w:tcPr>
            <w:tcW w:w="0" w:type="dxa"/>
            <w:vAlign w:val="bottom"/>
          </w:tcPr>
          <w:p>
            <w:pPr>
              <w:spacing w:after="0"/>
              <w:rPr>
                <w:sz w:val="1"/>
                <w:szCs w:val="1"/>
                <w:color w:val="auto"/>
              </w:rPr>
            </w:pPr>
          </w:p>
        </w:tc>
      </w:tr>
      <w:tr>
        <w:trPr>
          <w:trHeight w:val="32"/>
        </w:trPr>
        <w:tc>
          <w:tcPr>
            <w:tcW w:w="26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540" w:type="dxa"/>
            <w:vAlign w:val="bottom"/>
            <w:tcBorders>
              <w:bottom w:val="single" w:sz="8" w:color="504C4C"/>
            </w:tcBorders>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tcBorders>
              <w:bottom w:val="single" w:sz="8" w:color="504C4C"/>
            </w:tcBorders>
          </w:tcPr>
          <w:p>
            <w:pPr>
              <w:spacing w:after="0"/>
              <w:rPr>
                <w:sz w:val="2"/>
                <w:szCs w:val="2"/>
                <w:color w:val="auto"/>
              </w:rPr>
            </w:pPr>
          </w:p>
        </w:tc>
        <w:tc>
          <w:tcPr>
            <w:tcW w:w="520" w:type="dxa"/>
            <w:vAlign w:val="bottom"/>
            <w:tcBorders>
              <w:bottom w:val="single" w:sz="8" w:color="504C4C"/>
            </w:tcBorders>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Borders>
              <w:bottom w:val="single" w:sz="8" w:color="504C4C"/>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504C4C"/>
            </w:tcBorders>
            <w:gridSpan w:val="2"/>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2660" w:type="dxa"/>
            <w:vAlign w:val="bottom"/>
          </w:tcPr>
          <w:p>
            <w:pPr>
              <w:ind w:left="400"/>
              <w:spacing w:after="0" w:line="228" w:lineRule="exact"/>
              <w:rPr>
                <w:sz w:val="20"/>
                <w:szCs w:val="20"/>
                <w:color w:val="auto"/>
              </w:rPr>
            </w:pPr>
            <w:r>
              <w:rPr>
                <w:rFonts w:ascii="Times New Roman" w:cs="Times New Roman" w:eastAsia="Times New Roman" w:hAnsi="Times New Roman"/>
                <w:sz w:val="20"/>
                <w:szCs w:val="20"/>
                <w:color w:val="auto"/>
              </w:rPr>
              <w:t>Total Financial Liabilities</w:t>
            </w:r>
          </w:p>
        </w:tc>
        <w:tc>
          <w:tcPr>
            <w:tcW w:w="780" w:type="dxa"/>
            <w:vAlign w:val="bottom"/>
          </w:tcPr>
          <w:p>
            <w:pPr>
              <w:ind w:left="20"/>
              <w:spacing w:after="0" w:line="228" w:lineRule="exact"/>
              <w:rPr>
                <w:sz w:val="20"/>
                <w:szCs w:val="20"/>
                <w:color w:val="auto"/>
              </w:rPr>
            </w:pPr>
            <w:r>
              <w:rPr>
                <w:rFonts w:ascii="Times New Roman" w:cs="Times New Roman" w:eastAsia="Times New Roman" w:hAnsi="Times New Roman"/>
                <w:sz w:val="20"/>
                <w:szCs w:val="20"/>
                <w:color w:val="auto"/>
                <w:w w:val="98"/>
              </w:rPr>
              <w:t>. . . . . . . .</w:t>
            </w:r>
          </w:p>
        </w:tc>
        <w:tc>
          <w:tcPr>
            <w:tcW w:w="240" w:type="dxa"/>
            <w:vAlign w:val="bottom"/>
          </w:tcPr>
          <w:p>
            <w:pPr>
              <w:ind w:left="40"/>
              <w:spacing w:after="0" w:line="228" w:lineRule="exact"/>
              <w:rPr>
                <w:sz w:val="20"/>
                <w:szCs w:val="20"/>
                <w:color w:val="auto"/>
              </w:rPr>
            </w:pPr>
            <w:r>
              <w:rPr>
                <w:rFonts w:ascii="Times New Roman" w:cs="Times New Roman" w:eastAsia="Times New Roman" w:hAnsi="Times New Roman"/>
                <w:sz w:val="20"/>
                <w:szCs w:val="20"/>
                <w:color w:val="auto"/>
              </w:rPr>
              <w:t>. .</w:t>
            </w:r>
          </w:p>
        </w:tc>
        <w:tc>
          <w:tcPr>
            <w:tcW w:w="1480" w:type="dxa"/>
            <w:vAlign w:val="bottom"/>
            <w:gridSpan w:val="3"/>
          </w:tcPr>
          <w:p>
            <w:pPr>
              <w:spacing w:after="0" w:line="228" w:lineRule="exact"/>
              <w:rPr>
                <w:sz w:val="20"/>
                <w:szCs w:val="20"/>
                <w:color w:val="auto"/>
              </w:rPr>
            </w:pPr>
            <w:r>
              <w:rPr>
                <w:rFonts w:ascii="Times New Roman" w:cs="Times New Roman" w:eastAsia="Times New Roman" w:hAnsi="Times New Roman"/>
                <w:sz w:val="20"/>
                <w:szCs w:val="20"/>
                <w:color w:val="auto"/>
              </w:rPr>
              <w:t>. . . . . . . . . . . . . . .</w:t>
            </w:r>
          </w:p>
        </w:tc>
        <w:tc>
          <w:tcPr>
            <w:tcW w:w="440" w:type="dxa"/>
            <w:vAlign w:val="bottom"/>
          </w:tcPr>
          <w:p>
            <w:pPr>
              <w:jc w:val="right"/>
              <w:ind w:right="111"/>
              <w:spacing w:after="0" w:line="228" w:lineRule="exact"/>
              <w:rPr>
                <w:sz w:val="20"/>
                <w:szCs w:val="20"/>
                <w:color w:val="auto"/>
              </w:rPr>
            </w:pPr>
            <w:r>
              <w:rPr>
                <w:rFonts w:ascii="Times New Roman" w:cs="Times New Roman" w:eastAsia="Times New Roman" w:hAnsi="Times New Roman"/>
                <w:sz w:val="20"/>
                <w:szCs w:val="20"/>
                <w:color w:val="auto"/>
                <w:w w:val="95"/>
              </w:rPr>
              <w:t>. . .</w:t>
            </w:r>
          </w:p>
        </w:tc>
        <w:tc>
          <w:tcPr>
            <w:tcW w:w="120" w:type="dxa"/>
            <w:vAlign w:val="bottom"/>
            <w:gridSpan w:val="2"/>
          </w:tcPr>
          <w:p>
            <w:pPr>
              <w:ind w:left="20"/>
              <w:spacing w:after="0" w:line="228" w:lineRule="exact"/>
              <w:rPr>
                <w:sz w:val="20"/>
                <w:szCs w:val="20"/>
                <w:color w:val="auto"/>
              </w:rPr>
            </w:pPr>
            <w:r>
              <w:rPr>
                <w:rFonts w:ascii="Times New Roman" w:cs="Times New Roman" w:eastAsia="Times New Roman" w:hAnsi="Times New Roman"/>
                <w:sz w:val="21"/>
                <w:szCs w:val="21"/>
                <w:color w:val="auto"/>
                <w:w w:val="75"/>
              </w:rPr>
              <w:t>$</w:t>
            </w:r>
          </w:p>
        </w:tc>
        <w:tc>
          <w:tcPr>
            <w:tcW w:w="640" w:type="dxa"/>
            <w:vAlign w:val="bottom"/>
            <w:gridSpan w:val="2"/>
          </w:tcPr>
          <w:p>
            <w:pPr>
              <w:ind w:left="540"/>
              <w:spacing w:after="0" w:line="228" w:lineRule="exact"/>
              <w:rPr>
                <w:sz w:val="20"/>
                <w:szCs w:val="20"/>
                <w:color w:val="auto"/>
              </w:rPr>
            </w:pPr>
            <w:r>
              <w:rPr>
                <w:rFonts w:ascii="Times New Roman" w:cs="Times New Roman" w:eastAsia="Times New Roman" w:hAnsi="Times New Roman"/>
                <w:sz w:val="25"/>
                <w:szCs w:val="25"/>
                <w:color w:val="auto"/>
                <w:w w:val="95"/>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3"/>
          </w:tcPr>
          <w:p>
            <w:pPr>
              <w:ind w:left="100"/>
              <w:spacing w:after="0" w:line="228" w:lineRule="exact"/>
              <w:rPr>
                <w:sz w:val="20"/>
                <w:szCs w:val="20"/>
                <w:color w:val="auto"/>
              </w:rPr>
            </w:pPr>
            <w:r>
              <w:rPr>
                <w:rFonts w:ascii="Times New Roman" w:cs="Times New Roman" w:eastAsia="Times New Roman" w:hAnsi="Times New Roman"/>
                <w:sz w:val="20"/>
                <w:szCs w:val="20"/>
                <w:color w:val="auto"/>
              </w:rPr>
              <w:t>$</w:t>
            </w:r>
          </w:p>
        </w:tc>
        <w:tc>
          <w:tcPr>
            <w:tcW w:w="520" w:type="dxa"/>
            <w:vAlign w:val="bottom"/>
            <w:gridSpan w:val="2"/>
          </w:tcPr>
          <w:p>
            <w:pPr>
              <w:ind w:left="60"/>
              <w:spacing w:after="0" w:line="228" w:lineRule="exact"/>
              <w:rPr>
                <w:sz w:val="20"/>
                <w:szCs w:val="20"/>
                <w:color w:val="auto"/>
              </w:rPr>
            </w:pPr>
            <w:r>
              <w:rPr>
                <w:rFonts w:ascii="Times New Roman" w:cs="Times New Roman" w:eastAsia="Times New Roman" w:hAnsi="Times New Roman"/>
                <w:sz w:val="20"/>
                <w:szCs w:val="20"/>
                <w:color w:val="auto"/>
                <w:w w:val="97"/>
              </w:rPr>
              <w:t>1,419</w:t>
            </w:r>
          </w:p>
        </w:tc>
        <w:tc>
          <w:tcPr>
            <w:tcW w:w="160" w:type="dxa"/>
            <w:vAlign w:val="bottom"/>
          </w:tcPr>
          <w:p>
            <w:pPr>
              <w:spacing w:after="0"/>
              <w:rPr>
                <w:sz w:val="19"/>
                <w:szCs w:val="19"/>
                <w:color w:val="auto"/>
              </w:rPr>
            </w:pPr>
          </w:p>
        </w:tc>
        <w:tc>
          <w:tcPr>
            <w:tcW w:w="780" w:type="dxa"/>
            <w:vAlign w:val="bottom"/>
            <w:gridSpan w:val="3"/>
          </w:tcPr>
          <w:p>
            <w:pPr>
              <w:ind w:left="20"/>
              <w:spacing w:after="0" w:line="228" w:lineRule="exact"/>
              <w:rPr>
                <w:sz w:val="20"/>
                <w:szCs w:val="20"/>
                <w:color w:val="auto"/>
              </w:rPr>
            </w:pPr>
            <w:r>
              <w:rPr>
                <w:rFonts w:ascii="Times New Roman" w:cs="Times New Roman" w:eastAsia="Times New Roman" w:hAnsi="Times New Roman"/>
                <w:sz w:val="20"/>
                <w:szCs w:val="20"/>
                <w:color w:val="auto"/>
                <w:w w:val="98"/>
              </w:rPr>
              <w:t>$160,967</w:t>
            </w:r>
          </w:p>
        </w:tc>
        <w:tc>
          <w:tcPr>
            <w:tcW w:w="180" w:type="dxa"/>
            <w:vAlign w:val="bottom"/>
          </w:tcPr>
          <w:p>
            <w:pPr>
              <w:spacing w:after="0"/>
              <w:rPr>
                <w:sz w:val="19"/>
                <w:szCs w:val="19"/>
                <w:color w:val="auto"/>
              </w:rPr>
            </w:pPr>
          </w:p>
        </w:tc>
        <w:tc>
          <w:tcPr>
            <w:tcW w:w="780" w:type="dxa"/>
            <w:vAlign w:val="bottom"/>
            <w:gridSpan w:val="4"/>
          </w:tcPr>
          <w:p>
            <w:pPr>
              <w:jc w:val="right"/>
              <w:ind w:right="20"/>
              <w:spacing w:after="0" w:line="228" w:lineRule="exact"/>
              <w:rPr>
                <w:sz w:val="20"/>
                <w:szCs w:val="20"/>
                <w:color w:val="auto"/>
              </w:rPr>
            </w:pPr>
            <w:r>
              <w:rPr>
                <w:rFonts w:ascii="Times New Roman" w:cs="Times New Roman" w:eastAsia="Times New Roman" w:hAnsi="Times New Roman"/>
                <w:sz w:val="20"/>
                <w:szCs w:val="20"/>
                <w:color w:val="auto"/>
                <w:w w:val="98"/>
              </w:rPr>
              <w:t>$162,386</w:t>
            </w:r>
          </w:p>
        </w:tc>
        <w:tc>
          <w:tcPr>
            <w:tcW w:w="0" w:type="dxa"/>
            <w:vAlign w:val="bottom"/>
          </w:tcPr>
          <w:p>
            <w:pPr>
              <w:spacing w:after="0"/>
              <w:rPr>
                <w:sz w:val="1"/>
                <w:szCs w:val="1"/>
                <w:color w:val="auto"/>
              </w:rPr>
            </w:pPr>
          </w:p>
        </w:tc>
      </w:tr>
      <w:tr>
        <w:trPr>
          <w:trHeight w:val="76"/>
        </w:trPr>
        <w:tc>
          <w:tcPr>
            <w:tcW w:w="26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gridSpan w:val="3"/>
            <w:vMerge w:val="restart"/>
          </w:tcPr>
          <w:p>
            <w:pPr>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0C0808"/>
            </w:tcBorders>
            <w:gridSpan w:val="3"/>
          </w:tcPr>
          <w:p>
            <w:pPr>
              <w:spacing w:after="0"/>
              <w:rPr>
                <w:sz w:val="6"/>
                <w:szCs w:val="6"/>
                <w:color w:val="auto"/>
              </w:rPr>
            </w:pPr>
          </w:p>
        </w:tc>
        <w:tc>
          <w:tcPr>
            <w:tcW w:w="100" w:type="dxa"/>
            <w:vAlign w:val="bottom"/>
            <w:tcBorders>
              <w:bottom w:val="single" w:sz="8" w:color="0C0808"/>
            </w:tcBorders>
          </w:tcPr>
          <w:p>
            <w:pPr>
              <w:spacing w:after="0"/>
              <w:rPr>
                <w:sz w:val="6"/>
                <w:szCs w:val="6"/>
                <w:color w:val="auto"/>
              </w:rPr>
            </w:pPr>
          </w:p>
        </w:tc>
        <w:tc>
          <w:tcPr>
            <w:tcW w:w="20" w:type="dxa"/>
            <w:vAlign w:val="bottom"/>
            <w:tcBorders>
              <w:bottom w:val="single" w:sz="8" w:color="0C0808"/>
            </w:tcBorders>
          </w:tcPr>
          <w:p>
            <w:pPr>
              <w:spacing w:after="0"/>
              <w:rPr>
                <w:sz w:val="6"/>
                <w:szCs w:val="6"/>
                <w:color w:val="auto"/>
              </w:rPr>
            </w:pPr>
          </w:p>
        </w:tc>
        <w:tc>
          <w:tcPr>
            <w:tcW w:w="140" w:type="dxa"/>
            <w:vAlign w:val="bottom"/>
            <w:tcBorders>
              <w:bottom w:val="single" w:sz="8" w:color="0C0808"/>
            </w:tcBorders>
          </w:tcPr>
          <w:p>
            <w:pPr>
              <w:spacing w:after="0"/>
              <w:rPr>
                <w:sz w:val="6"/>
                <w:szCs w:val="6"/>
                <w:color w:val="auto"/>
              </w:rPr>
            </w:pPr>
          </w:p>
        </w:tc>
        <w:tc>
          <w:tcPr>
            <w:tcW w:w="500" w:type="dxa"/>
            <w:vAlign w:val="bottom"/>
            <w:tcBorders>
              <w:bottom w:val="single" w:sz="8" w:color="0C0808"/>
            </w:tcBorders>
          </w:tcPr>
          <w:p>
            <w:pPr>
              <w:spacing w:after="0"/>
              <w:rPr>
                <w:sz w:val="6"/>
                <w:szCs w:val="6"/>
                <w:color w:val="auto"/>
              </w:rPr>
            </w:pPr>
          </w:p>
        </w:tc>
        <w:tc>
          <w:tcPr>
            <w:tcW w:w="20" w:type="dxa"/>
            <w:vAlign w:val="bottom"/>
            <w:tcBorders>
              <w:bottom w:val="single" w:sz="8" w:color="0C0808"/>
            </w:tcBorders>
          </w:tcPr>
          <w:p>
            <w:pPr>
              <w:spacing w:after="0"/>
              <w:rPr>
                <w:sz w:val="6"/>
                <w:szCs w:val="6"/>
                <w:color w:val="auto"/>
              </w:rPr>
            </w:pPr>
          </w:p>
        </w:tc>
        <w:tc>
          <w:tcPr>
            <w:tcW w:w="160" w:type="dxa"/>
            <w:vAlign w:val="bottom"/>
            <w:tcBorders>
              <w:bottom w:val="single" w:sz="8" w:color="0C0808"/>
            </w:tcBorders>
          </w:tcPr>
          <w:p>
            <w:pPr>
              <w:spacing w:after="0"/>
              <w:rPr>
                <w:sz w:val="6"/>
                <w:szCs w:val="6"/>
                <w:color w:val="auto"/>
              </w:rPr>
            </w:pPr>
          </w:p>
        </w:tc>
        <w:tc>
          <w:tcPr>
            <w:tcW w:w="20" w:type="dxa"/>
            <w:vAlign w:val="bottom"/>
            <w:tcBorders>
              <w:bottom w:val="single" w:sz="8" w:color="0C0808"/>
            </w:tcBorders>
          </w:tcPr>
          <w:p>
            <w:pPr>
              <w:spacing w:after="0"/>
              <w:rPr>
                <w:sz w:val="6"/>
                <w:szCs w:val="6"/>
                <w:color w:val="auto"/>
              </w:rPr>
            </w:pPr>
          </w:p>
        </w:tc>
        <w:tc>
          <w:tcPr>
            <w:tcW w:w="100" w:type="dxa"/>
            <w:vAlign w:val="bottom"/>
            <w:tcBorders>
              <w:bottom w:val="single" w:sz="8" w:color="0C0808"/>
            </w:tcBorders>
          </w:tcPr>
          <w:p>
            <w:pPr>
              <w:spacing w:after="0"/>
              <w:rPr>
                <w:sz w:val="6"/>
                <w:szCs w:val="6"/>
                <w:color w:val="auto"/>
              </w:rPr>
            </w:pPr>
          </w:p>
        </w:tc>
        <w:tc>
          <w:tcPr>
            <w:tcW w:w="660" w:type="dxa"/>
            <w:vAlign w:val="bottom"/>
            <w:tcBorders>
              <w:bottom w:val="single" w:sz="8" w:color="0C0808"/>
            </w:tcBorders>
          </w:tcPr>
          <w:p>
            <w:pPr>
              <w:spacing w:after="0"/>
              <w:rPr>
                <w:sz w:val="6"/>
                <w:szCs w:val="6"/>
                <w:color w:val="auto"/>
              </w:rPr>
            </w:pPr>
          </w:p>
        </w:tc>
        <w:tc>
          <w:tcPr>
            <w:tcW w:w="180" w:type="dxa"/>
            <w:vAlign w:val="bottom"/>
            <w:tcBorders>
              <w:bottom w:val="single" w:sz="8" w:color="0C0808"/>
            </w:tcBorders>
          </w:tcPr>
          <w:p>
            <w:pPr>
              <w:spacing w:after="0"/>
              <w:rPr>
                <w:sz w:val="6"/>
                <w:szCs w:val="6"/>
                <w:color w:val="auto"/>
              </w:rPr>
            </w:pPr>
          </w:p>
        </w:tc>
        <w:tc>
          <w:tcPr>
            <w:tcW w:w="20" w:type="dxa"/>
            <w:vAlign w:val="bottom"/>
            <w:tcBorders>
              <w:bottom w:val="single" w:sz="8" w:color="0C0808"/>
            </w:tcBorders>
          </w:tcPr>
          <w:p>
            <w:pPr>
              <w:spacing w:after="0"/>
              <w:rPr>
                <w:sz w:val="6"/>
                <w:szCs w:val="6"/>
                <w:color w:val="auto"/>
              </w:rPr>
            </w:pPr>
          </w:p>
        </w:tc>
        <w:tc>
          <w:tcPr>
            <w:tcW w:w="100" w:type="dxa"/>
            <w:vAlign w:val="bottom"/>
            <w:tcBorders>
              <w:bottom w:val="single" w:sz="8" w:color="0C0808"/>
            </w:tcBorders>
          </w:tcPr>
          <w:p>
            <w:pPr>
              <w:spacing w:after="0"/>
              <w:rPr>
                <w:sz w:val="6"/>
                <w:szCs w:val="6"/>
                <w:color w:val="auto"/>
              </w:rPr>
            </w:pPr>
          </w:p>
        </w:tc>
        <w:tc>
          <w:tcPr>
            <w:tcW w:w="640" w:type="dxa"/>
            <w:vAlign w:val="bottom"/>
            <w:tcBorders>
              <w:bottom w:val="single" w:sz="8" w:color="0C0808"/>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0"/>
        </w:trPr>
        <w:tc>
          <w:tcPr>
            <w:tcW w:w="26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gridSpan w:val="3"/>
            <w:vMerge w:val="continue"/>
          </w:tcPr>
          <w:p>
            <w:pPr>
              <w:spacing w:after="0"/>
              <w:rPr>
                <w:sz w:val="8"/>
                <w:szCs w:val="8"/>
                <w:color w:val="auto"/>
              </w:rPr>
            </w:pPr>
          </w:p>
        </w:tc>
        <w:tc>
          <w:tcPr>
            <w:tcW w:w="200" w:type="dxa"/>
            <w:vAlign w:val="bottom"/>
            <w:gridSpan w:val="3"/>
          </w:tcPr>
          <w:p>
            <w:pPr>
              <w:spacing w:after="0"/>
              <w:rPr>
                <w:sz w:val="8"/>
                <w:szCs w:val="8"/>
                <w:color w:val="auto"/>
              </w:rPr>
            </w:pPr>
          </w:p>
        </w:tc>
        <w:tc>
          <w:tcPr>
            <w:tcW w:w="1900" w:type="dxa"/>
            <w:vAlign w:val="bottom"/>
            <w:gridSpan w:val="10"/>
            <w:vMerge w:val="restart"/>
          </w:tcPr>
          <w:p>
            <w:pPr>
              <w:ind w:left="60"/>
              <w:spacing w:after="0"/>
              <w:rPr>
                <w:sz w:val="20"/>
                <w:szCs w:val="20"/>
                <w:color w:val="auto"/>
              </w:rPr>
            </w:pPr>
            <w:r>
              <w:rPr>
                <w:rFonts w:ascii="Times New Roman" w:cs="Times New Roman" w:eastAsia="Times New Roman" w:hAnsi="Times New Roman"/>
                <w:sz w:val="16"/>
                <w:szCs w:val="16"/>
                <w:color w:val="auto"/>
              </w:rPr>
              <w:t>As of December 31,2023</w:t>
            </w: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53"/>
        </w:trPr>
        <w:tc>
          <w:tcPr>
            <w:tcW w:w="2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00" w:type="dxa"/>
            <w:vAlign w:val="bottom"/>
            <w:gridSpan w:val="10"/>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
        </w:trPr>
        <w:tc>
          <w:tcPr>
            <w:tcW w:w="26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540" w:type="dxa"/>
            <w:vAlign w:val="bottom"/>
            <w:tcBorders>
              <w:bottom w:val="single" w:sz="8" w:color="403C3C"/>
            </w:tcBorders>
          </w:tcPr>
          <w:p>
            <w:pPr>
              <w:spacing w:after="0"/>
              <w:rPr>
                <w:sz w:val="3"/>
                <w:szCs w:val="3"/>
                <w:color w:val="auto"/>
              </w:rPr>
            </w:pPr>
          </w:p>
        </w:tc>
        <w:tc>
          <w:tcPr>
            <w:tcW w:w="200" w:type="dxa"/>
            <w:vAlign w:val="bottom"/>
            <w:tcBorders>
              <w:bottom w:val="single" w:sz="8" w:color="403C3C"/>
            </w:tcBorders>
            <w:gridSpan w:val="3"/>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660" w:type="dxa"/>
            <w:vAlign w:val="bottom"/>
            <w:tcBorders>
              <w:bottom w:val="single" w:sz="8" w:color="403C3C"/>
            </w:tcBorders>
            <w:gridSpan w:val="3"/>
          </w:tcPr>
          <w:p>
            <w:pPr>
              <w:spacing w:after="0"/>
              <w:rPr>
                <w:sz w:val="3"/>
                <w:szCs w:val="3"/>
                <w:color w:val="auto"/>
              </w:rPr>
            </w:pPr>
          </w:p>
        </w:tc>
        <w:tc>
          <w:tcPr>
            <w:tcW w:w="1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60" w:type="dxa"/>
            <w:vAlign w:val="bottom"/>
            <w:tcBorders>
              <w:bottom w:val="single" w:sz="8" w:color="403C3C"/>
            </w:tcBorders>
          </w:tcPr>
          <w:p>
            <w:pPr>
              <w:spacing w:after="0"/>
              <w:rPr>
                <w:sz w:val="3"/>
                <w:szCs w:val="3"/>
                <w:color w:val="auto"/>
              </w:rPr>
            </w:pPr>
          </w:p>
        </w:tc>
        <w:tc>
          <w:tcPr>
            <w:tcW w:w="18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100" w:type="dxa"/>
            <w:vAlign w:val="bottom"/>
            <w:tcBorders>
              <w:bottom w:val="single" w:sz="8" w:color="403C3C"/>
            </w:tcBorders>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line="177" w:lineRule="exact"/>
              <w:rPr>
                <w:sz w:val="20"/>
                <w:szCs w:val="20"/>
                <w:color w:val="auto"/>
              </w:rPr>
            </w:pPr>
            <w:r>
              <w:rPr>
                <w:rFonts w:ascii="Times New Roman" w:cs="Times New Roman" w:eastAsia="Times New Roman" w:hAnsi="Times New Roman"/>
                <w:sz w:val="16"/>
                <w:szCs w:val="16"/>
                <w:color w:val="auto"/>
              </w:rPr>
              <w:t>(in th ousa nds)</w:t>
            </w: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4"/>
          </w:tcPr>
          <w:p>
            <w:pPr>
              <w:ind w:left="40"/>
              <w:spacing w:after="0" w:line="179" w:lineRule="exact"/>
              <w:rPr>
                <w:sz w:val="20"/>
                <w:szCs w:val="20"/>
                <w:color w:val="auto"/>
              </w:rPr>
            </w:pPr>
            <w:r>
              <w:rPr>
                <w:rFonts w:ascii="Times New Roman" w:cs="Times New Roman" w:eastAsia="Times New Roman" w:hAnsi="Times New Roman"/>
                <w:sz w:val="16"/>
                <w:szCs w:val="16"/>
                <w:color w:val="auto"/>
              </w:rPr>
              <w:t>Level l</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4"/>
          </w:tcPr>
          <w:p>
            <w:pPr>
              <w:jc w:val="right"/>
              <w:ind w:right="260"/>
              <w:spacing w:after="0" w:line="179" w:lineRule="exact"/>
              <w:rPr>
                <w:sz w:val="20"/>
                <w:szCs w:val="20"/>
                <w:color w:val="auto"/>
              </w:rPr>
            </w:pPr>
            <w:r>
              <w:rPr>
                <w:rFonts w:ascii="Times New Roman" w:cs="Times New Roman" w:eastAsia="Times New Roman" w:hAnsi="Times New Roman"/>
                <w:sz w:val="16"/>
                <w:szCs w:val="16"/>
                <w:color w:val="auto"/>
              </w:rPr>
              <w:t>Leve12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20"/>
              <w:spacing w:after="0" w:line="179" w:lineRule="exact"/>
              <w:rPr>
                <w:sz w:val="20"/>
                <w:szCs w:val="20"/>
                <w:color w:val="auto"/>
              </w:rPr>
            </w:pPr>
            <w:r>
              <w:rPr>
                <w:rFonts w:ascii="Times New Roman" w:cs="Times New Roman" w:eastAsia="Times New Roman" w:hAnsi="Times New Roman"/>
                <w:sz w:val="16"/>
                <w:szCs w:val="16"/>
                <w:color w:val="auto"/>
              </w:rPr>
              <w:t>Level3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bl>
    <w:p>
      <w:pPr>
        <w:spacing w:after="0" w:line="104" w:lineRule="exact"/>
        <w:rPr>
          <w:sz w:val="20"/>
          <w:szCs w:val="20"/>
          <w:color w:val="auto"/>
        </w:rPr>
      </w:pPr>
    </w:p>
    <w:p>
      <w:pPr>
        <w:sectPr>
          <w:pgSz w:w="12240" w:h="15850" w:orient="portrait"/>
          <w:cols w:equalWidth="0" w:num="1">
            <w:col w:w="9365"/>
          </w:cols>
          <w:pgMar w:left="1440" w:top="1394" w:right="1440" w:bottom="721" w:gutter="0" w:footer="0" w:header="0"/>
        </w:sectPr>
      </w:pPr>
    </w:p>
    <w:p>
      <w:pPr>
        <w:ind w:left="120"/>
        <w:spacing w:after="0"/>
        <w:rPr>
          <w:sz w:val="20"/>
          <w:szCs w:val="20"/>
          <w:color w:val="auto"/>
        </w:rPr>
      </w:pPr>
      <w:r>
        <w:rPr>
          <w:rFonts w:ascii="Times New Roman" w:cs="Times New Roman" w:eastAsia="Times New Roman" w:hAnsi="Times New Roman"/>
          <w:sz w:val="20"/>
          <w:szCs w:val="20"/>
          <w:color w:val="auto"/>
        </w:rPr>
        <w:t>Assets</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 xml:space="preserve">Money market investments </w:t>
      </w:r>
      <w:r>
        <w:rPr>
          <w:rFonts w:ascii="Arial" w:cs="Arial" w:eastAsia="Arial" w:hAnsi="Arial"/>
          <w:sz w:val="13"/>
          <w:szCs w:val="13"/>
          <w:color w:val="auto"/>
        </w:rPr>
        <w:t>&lt;</w:t>
      </w:r>
      <w:r>
        <w:rPr>
          <w:rFonts w:ascii="Arial" w:cs="Arial" w:eastAsia="Arial" w:hAnsi="Arial"/>
          <w:sz w:val="24"/>
          <w:szCs w:val="24"/>
          <w:color w:val="auto"/>
          <w:vertAlign w:val="superscript"/>
        </w:rPr>
        <w:t>1</w:t>
      </w:r>
      <w:r>
        <w:rPr>
          <w:rFonts w:ascii="Arial" w:cs="Arial" w:eastAsia="Arial" w:hAnsi="Arial"/>
          <w:sz w:val="15"/>
          <w:szCs w:val="15"/>
          <w:color w:val="auto"/>
        </w:rPr>
        <w:t>&gt; .. . .... . ... . .. . .............. .</w:t>
      </w:r>
    </w:p>
    <w:tbl>
      <w:tblPr>
        <w:tblLayout w:type="fixed"/>
        <w:tblInd w:w="120" w:type="dxa"/>
        <w:tblCellMar>
          <w:top w:w="0" w:type="dxa"/>
          <w:left w:w="0" w:type="dxa"/>
          <w:bottom w:w="0" w:type="dxa"/>
          <w:right w:w="0" w:type="dxa"/>
        </w:tblCellMar>
      </w:tblPr>
      <w:tr>
        <w:trPr>
          <w:trHeight w:val="85"/>
        </w:trPr>
        <w:tc>
          <w:tcPr>
            <w:tcW w:w="2300" w:type="dxa"/>
            <w:vAlign w:val="bottom"/>
            <w:vMerge w:val="restart"/>
          </w:tcPr>
          <w:p>
            <w:pPr>
              <w:spacing w:after="0" w:line="210" w:lineRule="exact"/>
              <w:rPr>
                <w:sz w:val="20"/>
                <w:szCs w:val="20"/>
                <w:color w:val="auto"/>
              </w:rPr>
            </w:pPr>
            <w:r>
              <w:rPr>
                <w:rFonts w:ascii="Times New Roman" w:cs="Times New Roman" w:eastAsia="Times New Roman" w:hAnsi="Times New Roman"/>
                <w:sz w:val="19"/>
                <w:szCs w:val="19"/>
                <w:color w:val="auto"/>
              </w:rPr>
              <w:t>Marketable equity securities</w:t>
            </w:r>
          </w:p>
        </w:tc>
        <w:tc>
          <w:tcPr>
            <w:tcW w:w="2240" w:type="dxa"/>
            <w:vAlign w:val="bottom"/>
          </w:tcPr>
          <w:p>
            <w:pPr>
              <w:ind w:left="60"/>
              <w:spacing w:after="0" w:line="85" w:lineRule="exact"/>
              <w:rPr>
                <w:sz w:val="20"/>
                <w:szCs w:val="20"/>
                <w:color w:val="auto"/>
              </w:rPr>
            </w:pPr>
            <w:r>
              <w:rPr>
                <w:rFonts w:ascii="Times New Roman" w:cs="Times New Roman" w:eastAsia="Times New Roman" w:hAnsi="Times New Roman"/>
                <w:sz w:val="9"/>
                <w:szCs w:val="9"/>
                <w:color w:val="auto"/>
              </w:rPr>
              <w:t>2</w:t>
            </w: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300" w:type="dxa"/>
            <w:vAlign w:val="bottom"/>
            <w:vMerge w:val="continue"/>
          </w:tcPr>
          <w:p>
            <w:pPr>
              <w:spacing w:after="0"/>
              <w:rPr>
                <w:sz w:val="10"/>
                <w:szCs w:val="10"/>
                <w:color w:val="auto"/>
              </w:rPr>
            </w:pPr>
          </w:p>
        </w:tc>
        <w:tc>
          <w:tcPr>
            <w:tcW w:w="3120" w:type="dxa"/>
            <w:vAlign w:val="bottom"/>
            <w:gridSpan w:val="2"/>
          </w:tcPr>
          <w:p>
            <w:pPr>
              <w:jc w:val="right"/>
              <w:spacing w:after="0" w:line="126" w:lineRule="exact"/>
              <w:rPr>
                <w:sz w:val="20"/>
                <w:szCs w:val="20"/>
                <w:color w:val="auto"/>
              </w:rPr>
            </w:pPr>
            <w:r>
              <w:rPr>
                <w:rFonts w:ascii="Arial" w:cs="Arial" w:eastAsia="Arial" w:hAnsi="Arial"/>
                <w:sz w:val="14"/>
                <w:szCs w:val="14"/>
                <w:color w:val="auto"/>
              </w:rPr>
              <w:t>&lt;&gt; ... . ........................ .</w:t>
            </w:r>
          </w:p>
        </w:tc>
        <w:tc>
          <w:tcPr>
            <w:tcW w:w="0" w:type="dxa"/>
            <w:vAlign w:val="bottom"/>
          </w:tcPr>
          <w:p>
            <w:pPr>
              <w:spacing w:after="0"/>
              <w:rPr>
                <w:sz w:val="1"/>
                <w:szCs w:val="1"/>
                <w:color w:val="auto"/>
              </w:rPr>
            </w:pPr>
          </w:p>
        </w:tc>
      </w:tr>
      <w:tr>
        <w:trPr>
          <w:trHeight w:val="210"/>
        </w:trPr>
        <w:tc>
          <w:tcPr>
            <w:tcW w:w="230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 xml:space="preserve">Other curre nt investments </w:t>
            </w:r>
            <w:r>
              <w:rPr>
                <w:rFonts w:ascii="Times New Roman" w:cs="Times New Roman" w:eastAsia="Times New Roman" w:hAnsi="Times New Roman"/>
                <w:sz w:val="11"/>
                <w:szCs w:val="11"/>
                <w:color w:val="auto"/>
              </w:rPr>
              <w:t>(3)</w:t>
            </w:r>
          </w:p>
        </w:tc>
        <w:tc>
          <w:tcPr>
            <w:tcW w:w="2240" w:type="dxa"/>
            <w:vAlign w:val="bottom"/>
          </w:tcPr>
          <w:p>
            <w:pPr>
              <w:ind w:left="80"/>
              <w:spacing w:after="0"/>
              <w:rPr>
                <w:sz w:val="20"/>
                <w:szCs w:val="20"/>
                <w:color w:val="auto"/>
              </w:rPr>
            </w:pPr>
            <w:r>
              <w:rPr>
                <w:rFonts w:ascii="Times New Roman" w:cs="Times New Roman" w:eastAsia="Times New Roman" w:hAnsi="Times New Roman"/>
                <w:sz w:val="12"/>
                <w:szCs w:val="12"/>
                <w:color w:val="auto"/>
              </w:rPr>
              <w:t>........ • .............</w:t>
            </w:r>
          </w:p>
        </w:tc>
        <w:tc>
          <w:tcPr>
            <w:tcW w:w="8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0" w:type="dxa"/>
            <w:vAlign w:val="bottom"/>
          </w:tcPr>
          <w:p>
            <w:pPr>
              <w:spacing w:after="0"/>
              <w:rPr>
                <w:sz w:val="1"/>
                <w:szCs w:val="1"/>
                <w:color w:val="auto"/>
              </w:rPr>
            </w:pPr>
          </w:p>
        </w:tc>
      </w:tr>
      <w:tr>
        <w:trPr>
          <w:trHeight w:val="319"/>
        </w:trPr>
        <w:tc>
          <w:tcPr>
            <w:tcW w:w="2300" w:type="dxa"/>
            <w:vAlign w:val="bottom"/>
          </w:tcPr>
          <w:p>
            <w:pPr>
              <w:ind w:left="400"/>
              <w:spacing w:after="0"/>
              <w:rPr>
                <w:sz w:val="20"/>
                <w:szCs w:val="20"/>
                <w:color w:val="auto"/>
              </w:rPr>
            </w:pPr>
            <w:r>
              <w:rPr>
                <w:rFonts w:ascii="Times New Roman" w:cs="Times New Roman" w:eastAsia="Times New Roman" w:hAnsi="Times New Roman"/>
                <w:sz w:val="20"/>
                <w:szCs w:val="20"/>
                <w:color w:val="auto"/>
              </w:rPr>
              <w:t>Total Financial Assets</w:t>
            </w:r>
          </w:p>
        </w:tc>
        <w:tc>
          <w:tcPr>
            <w:tcW w:w="31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w:t>
            </w:r>
          </w:p>
        </w:tc>
        <w:tc>
          <w:tcPr>
            <w:tcW w:w="0" w:type="dxa"/>
            <w:vAlign w:val="bottom"/>
          </w:tcPr>
          <w:p>
            <w:pPr>
              <w:spacing w:after="0"/>
              <w:rPr>
                <w:sz w:val="1"/>
                <w:szCs w:val="1"/>
                <w:color w:val="auto"/>
              </w:rPr>
            </w:pPr>
          </w:p>
        </w:tc>
      </w:tr>
      <w:tr>
        <w:trPr>
          <w:trHeight w:val="362"/>
        </w:trPr>
        <w:tc>
          <w:tcPr>
            <w:tcW w:w="2300" w:type="dxa"/>
            <w:vAlign w:val="bottom"/>
          </w:tcPr>
          <w:p>
            <w:pPr>
              <w:spacing w:after="0"/>
              <w:rPr>
                <w:sz w:val="20"/>
                <w:szCs w:val="20"/>
                <w:color w:val="auto"/>
              </w:rPr>
            </w:pPr>
            <w:r>
              <w:rPr>
                <w:rFonts w:ascii="Times New Roman" w:cs="Times New Roman" w:eastAsia="Times New Roman" w:hAnsi="Times New Roman"/>
                <w:sz w:val="20"/>
                <w:szCs w:val="20"/>
                <w:color w:val="auto"/>
              </w:rPr>
              <w:t>Liabilities</w:t>
            </w:r>
          </w:p>
        </w:tc>
        <w:tc>
          <w:tcPr>
            <w:tcW w:w="2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0"/>
        </w:trPr>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ind w:right="45"/>
              <w:spacing w:after="0"/>
              <w:rPr>
                <w:sz w:val="20"/>
                <w:szCs w:val="20"/>
                <w:color w:val="auto"/>
              </w:rPr>
            </w:pPr>
            <w:r>
              <w:rPr>
                <w:rFonts w:ascii="Times New Roman" w:cs="Times New Roman" w:eastAsia="Times New Roman" w:hAnsi="Times New Roman"/>
                <w:sz w:val="19"/>
                <w:szCs w:val="19"/>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5,577</w:t>
            </w:r>
          </w:p>
        </w:tc>
        <w:tc>
          <w:tcPr>
            <w:tcW w:w="940" w:type="dxa"/>
            <w:vAlign w:val="bottom"/>
            <w:gridSpan w:val="3"/>
          </w:tcPr>
          <w:p>
            <w:pPr>
              <w:jc w:val="right"/>
              <w:ind w:right="6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5,577</w:t>
            </w:r>
          </w:p>
        </w:tc>
      </w:tr>
      <w:tr>
        <w:trPr>
          <w:trHeight w:val="237"/>
        </w:trPr>
        <w:tc>
          <w:tcPr>
            <w:tcW w:w="100" w:type="dxa"/>
            <w:vAlign w:val="bottom"/>
          </w:tcPr>
          <w:p>
            <w:pPr>
              <w:spacing w:after="0"/>
              <w:rPr>
                <w:sz w:val="20"/>
                <w:szCs w:val="20"/>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690,153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96"/>
              </w:rPr>
              <w:t>690, 153</w:t>
            </w:r>
          </w:p>
        </w:tc>
      </w:tr>
      <w:tr>
        <w:trPr>
          <w:trHeight w:val="238"/>
        </w:trPr>
        <w:tc>
          <w:tcPr>
            <w:tcW w:w="100" w:type="dxa"/>
            <w:vAlign w:val="bottom"/>
          </w:tcPr>
          <w:p>
            <w:pPr>
              <w:spacing w:after="0"/>
              <w:rPr>
                <w:sz w:val="20"/>
                <w:szCs w:val="20"/>
                <w:color w:val="auto"/>
              </w:rPr>
            </w:pP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6,875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6,875</w:t>
            </w:r>
          </w:p>
        </w:tc>
      </w:tr>
      <w:tr>
        <w:trPr>
          <w:trHeight w:val="36"/>
        </w:trPr>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504C4C"/>
            </w:tcBorders>
          </w:tcPr>
          <w:p>
            <w:pPr>
              <w:spacing w:after="0"/>
              <w:rPr>
                <w:sz w:val="3"/>
                <w:szCs w:val="3"/>
                <w:color w:val="auto"/>
              </w:rPr>
            </w:pPr>
          </w:p>
        </w:tc>
        <w:tc>
          <w:tcPr>
            <w:tcW w:w="520" w:type="dxa"/>
            <w:vAlign w:val="bottom"/>
            <w:tcBorders>
              <w:bottom w:val="single" w:sz="8" w:color="504C4C"/>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r>
      <w:tr>
        <w:trPr>
          <w:trHeight w:val="260"/>
        </w:trPr>
        <w:tc>
          <w:tcPr>
            <w:tcW w:w="100" w:type="dxa"/>
            <w:vAlign w:val="bottom"/>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74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697,028</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5,577</w:t>
            </w:r>
          </w:p>
        </w:tc>
        <w:tc>
          <w:tcPr>
            <w:tcW w:w="940" w:type="dxa"/>
            <w:vAlign w:val="bottom"/>
            <w:gridSpan w:val="3"/>
          </w:tcPr>
          <w:p>
            <w:pPr>
              <w:jc w:val="right"/>
              <w:ind w:right="660"/>
              <w:spacing w:after="0"/>
              <w:rPr>
                <w:sz w:val="20"/>
                <w:szCs w:val="20"/>
                <w:color w:val="auto"/>
              </w:rPr>
            </w:pPr>
            <w:r>
              <w:rPr>
                <w:rFonts w:ascii="Times New Roman" w:cs="Times New Roman" w:eastAsia="Times New Roman" w:hAnsi="Times New Roman"/>
                <w:sz w:val="19"/>
                <w:szCs w:val="19"/>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702,605</w:t>
            </w:r>
          </w:p>
        </w:tc>
      </w:tr>
      <w:tr>
        <w:trPr>
          <w:trHeight w:val="38"/>
        </w:trPr>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6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r>
    </w:tbl>
    <w:p>
      <w:pPr>
        <w:spacing w:after="0" w:line="314" w:lineRule="exact"/>
        <w:rPr>
          <w:sz w:val="20"/>
          <w:szCs w:val="20"/>
          <w:color w:val="auto"/>
        </w:rPr>
      </w:pPr>
    </w:p>
    <w:p>
      <w:pPr>
        <w:sectPr>
          <w:pgSz w:w="12240" w:h="15850" w:orient="portrait"/>
          <w:cols w:equalWidth="0" w:num="2">
            <w:col w:w="5540" w:space="200"/>
            <w:col w:w="3625"/>
          </w:cols>
          <w:pgMar w:left="1440" w:top="1394" w:right="1440" w:bottom="721" w:gutter="0" w:footer="0" w:header="0"/>
          <w:type w:val="continuous"/>
        </w:sectPr>
      </w:pPr>
    </w:p>
    <w:tbl>
      <w:tblPr>
        <w:tblLayout w:type="fixed"/>
        <w:tblInd w:w="120" w:type="dxa"/>
        <w:tblCellMar>
          <w:top w:w="0" w:type="dxa"/>
          <w:left w:w="0" w:type="dxa"/>
          <w:bottom w:w="0" w:type="dxa"/>
          <w:right w:w="0" w:type="dxa"/>
        </w:tblCellMar>
      </w:tblPr>
      <w:tr>
        <w:trPr>
          <w:trHeight w:val="230"/>
        </w:trPr>
        <w:tc>
          <w:tcPr>
            <w:tcW w:w="34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Contingent consideration liabilities </w:t>
            </w:r>
            <w:r>
              <w:rPr>
                <w:rFonts w:ascii="Times New Roman" w:cs="Times New Roman" w:eastAsia="Times New Roman" w:hAnsi="Times New Roman"/>
                <w:sz w:val="12"/>
                <w:szCs w:val="12"/>
                <w:color w:val="auto"/>
              </w:rPr>
              <w:t>(5) •• . •</w:t>
            </w:r>
          </w:p>
        </w:tc>
        <w:tc>
          <w:tcPr>
            <w:tcW w:w="3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 ••</w:t>
            </w:r>
          </w:p>
        </w:tc>
        <w:tc>
          <w:tcPr>
            <w:tcW w:w="1060" w:type="dxa"/>
            <w:vAlign w:val="bottom"/>
          </w:tcPr>
          <w:p>
            <w:pPr>
              <w:jc w:val="right"/>
              <w:ind w:right="25"/>
              <w:spacing w:after="0"/>
              <w:rPr>
                <w:sz w:val="20"/>
                <w:szCs w:val="20"/>
                <w:color w:val="auto"/>
              </w:rPr>
            </w:pPr>
            <w:r>
              <w:rPr>
                <w:rFonts w:ascii="Times New Roman" w:cs="Times New Roman" w:eastAsia="Times New Roman" w:hAnsi="Times New Roman"/>
                <w:sz w:val="12"/>
                <w:szCs w:val="12"/>
                <w:color w:val="auto"/>
              </w:rPr>
              <w:t>.. • • .. • ..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788</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788</w:t>
            </w:r>
          </w:p>
        </w:tc>
        <w:tc>
          <w:tcPr>
            <w:tcW w:w="0" w:type="dxa"/>
            <w:vAlign w:val="bottom"/>
          </w:tcPr>
          <w:p>
            <w:pPr>
              <w:spacing w:after="0"/>
              <w:rPr>
                <w:sz w:val="1"/>
                <w:szCs w:val="1"/>
                <w:color w:val="auto"/>
              </w:rPr>
            </w:pPr>
          </w:p>
        </w:tc>
      </w:tr>
      <w:tr>
        <w:trPr>
          <w:trHeight w:val="235"/>
        </w:trPr>
        <w:tc>
          <w:tcPr>
            <w:tcW w:w="19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Interest rate swap </w:t>
            </w:r>
            <w:r>
              <w:rPr>
                <w:rFonts w:ascii="Arial" w:cs="Arial" w:eastAsia="Arial" w:hAnsi="Arial"/>
                <w:sz w:val="11"/>
                <w:szCs w:val="11"/>
                <w:color w:val="auto"/>
              </w:rPr>
              <w:t>(6) ...</w:t>
            </w:r>
          </w:p>
        </w:tc>
        <w:tc>
          <w:tcPr>
            <w:tcW w:w="660" w:type="dxa"/>
            <w:vAlign w:val="bottom"/>
          </w:tcPr>
          <w:p>
            <w:pPr>
              <w:spacing w:after="0"/>
              <w:rPr>
                <w:sz w:val="20"/>
                <w:szCs w:val="20"/>
                <w:color w:val="auto"/>
              </w:rPr>
            </w:pPr>
            <w:r>
              <w:rPr>
                <w:rFonts w:ascii="Arial" w:cs="Arial" w:eastAsia="Arial" w:hAnsi="Arial"/>
                <w:sz w:val="12"/>
                <w:szCs w:val="12"/>
                <w:color w:val="auto"/>
              </w:rPr>
              <w:t>• ......</w:t>
            </w:r>
          </w:p>
        </w:tc>
        <w:tc>
          <w:tcPr>
            <w:tcW w:w="880" w:type="dxa"/>
            <w:vAlign w:val="bottom"/>
          </w:tcPr>
          <w:p>
            <w:pPr>
              <w:spacing w:after="0"/>
              <w:rPr>
                <w:sz w:val="20"/>
                <w:szCs w:val="20"/>
                <w:color w:val="auto"/>
              </w:rPr>
            </w:pPr>
            <w:r>
              <w:rPr>
                <w:rFonts w:ascii="Arial" w:cs="Arial" w:eastAsia="Arial" w:hAnsi="Arial"/>
                <w:sz w:val="12"/>
                <w:szCs w:val="12"/>
                <w:color w:val="auto"/>
              </w:rPr>
              <w:t>• . • . •• ..</w:t>
            </w:r>
          </w:p>
        </w:tc>
        <w:tc>
          <w:tcPr>
            <w:tcW w:w="340" w:type="dxa"/>
            <w:vAlign w:val="bottom"/>
          </w:tcPr>
          <w:p>
            <w:pPr>
              <w:spacing w:after="0"/>
              <w:rPr>
                <w:sz w:val="20"/>
                <w:szCs w:val="20"/>
                <w:color w:val="auto"/>
              </w:rPr>
            </w:pPr>
            <w:r>
              <w:rPr>
                <w:rFonts w:ascii="Arial" w:cs="Arial" w:eastAsia="Arial" w:hAnsi="Arial"/>
                <w:sz w:val="12"/>
                <w:szCs w:val="12"/>
                <w:color w:val="auto"/>
                <w:w w:val="93"/>
              </w:rPr>
              <w:t>. • ......</w:t>
            </w:r>
          </w:p>
        </w:tc>
        <w:tc>
          <w:tcPr>
            <w:tcW w:w="640" w:type="dxa"/>
            <w:vAlign w:val="bottom"/>
          </w:tcPr>
          <w:p>
            <w:pPr>
              <w:jc w:val="right"/>
              <w:spacing w:after="0"/>
              <w:rPr>
                <w:sz w:val="20"/>
                <w:szCs w:val="20"/>
                <w:color w:val="auto"/>
              </w:rPr>
            </w:pPr>
            <w:r>
              <w:rPr>
                <w:rFonts w:ascii="Arial" w:cs="Arial" w:eastAsia="Arial" w:hAnsi="Arial"/>
                <w:sz w:val="12"/>
                <w:szCs w:val="12"/>
                <w:color w:val="auto"/>
              </w:rPr>
              <w:t>•• ......</w:t>
            </w:r>
          </w:p>
        </w:tc>
        <w:tc>
          <w:tcPr>
            <w:tcW w:w="1060" w:type="dxa"/>
            <w:vAlign w:val="bottom"/>
          </w:tcPr>
          <w:p>
            <w:pPr>
              <w:jc w:val="right"/>
              <w:ind w:right="105"/>
              <w:spacing w:after="0"/>
              <w:rPr>
                <w:sz w:val="20"/>
                <w:szCs w:val="20"/>
                <w:color w:val="auto"/>
              </w:rPr>
            </w:pPr>
            <w:r>
              <w:rPr>
                <w:rFonts w:ascii="Arial" w:cs="Arial" w:eastAsia="Arial" w:hAnsi="Arial"/>
                <w:sz w:val="12"/>
                <w:szCs w:val="12"/>
                <w:color w:val="auto"/>
              </w:rPr>
              <w:t>• ...</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2,76 1</w:t>
            </w: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2,76 1</w:t>
            </w:r>
          </w:p>
        </w:tc>
        <w:tc>
          <w:tcPr>
            <w:tcW w:w="0" w:type="dxa"/>
            <w:vAlign w:val="bottom"/>
          </w:tcPr>
          <w:p>
            <w:pPr>
              <w:spacing w:after="0"/>
              <w:rPr>
                <w:sz w:val="1"/>
                <w:szCs w:val="1"/>
                <w:color w:val="auto"/>
              </w:rPr>
            </w:pPr>
          </w:p>
        </w:tc>
      </w:tr>
      <w:tr>
        <w:trPr>
          <w:trHeight w:val="248"/>
        </w:trPr>
        <w:tc>
          <w:tcPr>
            <w:tcW w:w="348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 xml:space="preserve">Foreign exchange swap </w:t>
            </w:r>
            <w:r>
              <w:rPr>
                <w:rFonts w:ascii="Arial" w:cs="Arial" w:eastAsia="Arial" w:hAnsi="Arial"/>
                <w:sz w:val="15"/>
                <w:szCs w:val="15"/>
                <w:color w:val="auto"/>
              </w:rPr>
              <w:t>&lt;S&gt; ..... . . . .... .</w:t>
            </w:r>
          </w:p>
        </w:tc>
        <w:tc>
          <w:tcPr>
            <w:tcW w:w="340" w:type="dxa"/>
            <w:vAlign w:val="bottom"/>
          </w:tcPr>
          <w:p>
            <w:pPr>
              <w:spacing w:after="0"/>
              <w:rPr>
                <w:sz w:val="20"/>
                <w:szCs w:val="20"/>
                <w:color w:val="auto"/>
              </w:rPr>
            </w:pPr>
            <w:r>
              <w:rPr>
                <w:rFonts w:ascii="Arial" w:cs="Arial" w:eastAsia="Arial" w:hAnsi="Arial"/>
                <w:sz w:val="16"/>
                <w:szCs w:val="16"/>
                <w:color w:val="auto"/>
              </w:rPr>
              <w:t>. . ..</w:t>
            </w:r>
          </w:p>
        </w:tc>
        <w:tc>
          <w:tcPr>
            <w:tcW w:w="640" w:type="dxa"/>
            <w:vAlign w:val="bottom"/>
          </w:tcPr>
          <w:p>
            <w:pPr>
              <w:jc w:val="right"/>
              <w:spacing w:after="0"/>
              <w:rPr>
                <w:sz w:val="20"/>
                <w:szCs w:val="20"/>
                <w:color w:val="auto"/>
              </w:rPr>
            </w:pPr>
            <w:r>
              <w:rPr>
                <w:rFonts w:ascii="Arial" w:cs="Arial" w:eastAsia="Arial" w:hAnsi="Arial"/>
                <w:sz w:val="16"/>
                <w:szCs w:val="16"/>
                <w:color w:val="auto"/>
              </w:rPr>
              <w:t>. .... .</w:t>
            </w:r>
          </w:p>
        </w:tc>
        <w:tc>
          <w:tcPr>
            <w:tcW w:w="1060" w:type="dxa"/>
            <w:vAlign w:val="bottom"/>
          </w:tcPr>
          <w:p>
            <w:pPr>
              <w:jc w:val="right"/>
              <w:ind w:right="25"/>
              <w:spacing w:after="0"/>
              <w:rPr>
                <w:sz w:val="20"/>
                <w:szCs w:val="20"/>
                <w:color w:val="auto"/>
              </w:rPr>
            </w:pPr>
            <w:r>
              <w:rPr>
                <w:rFonts w:ascii="Arial" w:cs="Arial" w:eastAsia="Arial" w:hAnsi="Arial"/>
                <w:sz w:val="16"/>
                <w:szCs w:val="16"/>
                <w:color w:val="auto"/>
              </w:rPr>
              <w:t>. • ........</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86</w:t>
            </w:r>
          </w:p>
        </w:tc>
        <w:tc>
          <w:tcPr>
            <w:tcW w:w="0" w:type="dxa"/>
            <w:vAlign w:val="bottom"/>
          </w:tcPr>
          <w:p>
            <w:pPr>
              <w:spacing w:after="0"/>
              <w:rPr>
                <w:sz w:val="1"/>
                <w:szCs w:val="1"/>
                <w:color w:val="auto"/>
              </w:rPr>
            </w:pPr>
          </w:p>
        </w:tc>
      </w:tr>
      <w:tr>
        <w:trPr>
          <w:trHeight w:val="229"/>
        </w:trPr>
        <w:tc>
          <w:tcPr>
            <w:tcW w:w="5520" w:type="dxa"/>
            <w:vAlign w:val="bottom"/>
            <w:gridSpan w:val="6"/>
          </w:tcPr>
          <w:p>
            <w:pPr>
              <w:spacing w:after="0"/>
              <w:rPr>
                <w:sz w:val="20"/>
                <w:szCs w:val="20"/>
                <w:color w:val="auto"/>
              </w:rPr>
            </w:pPr>
            <w:r>
              <w:rPr>
                <w:rFonts w:ascii="Times New Roman" w:cs="Times New Roman" w:eastAsia="Times New Roman" w:hAnsi="Times New Roman"/>
                <w:sz w:val="19"/>
                <w:szCs w:val="19"/>
                <w:color w:val="auto"/>
              </w:rPr>
              <w:t xml:space="preserve">Mandatorily redeemable noncontrolling interest </w:t>
            </w:r>
            <w:r>
              <w:rPr>
                <w:rFonts w:ascii="Times New Roman" w:cs="Times New Roman" w:eastAsia="Times New Roman" w:hAnsi="Times New Roman"/>
                <w:sz w:val="11"/>
                <w:szCs w:val="11"/>
                <w:color w:val="auto"/>
              </w:rPr>
              <w:t>(7)   ............  .</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40,764</w:t>
            </w: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40,764</w:t>
            </w:r>
          </w:p>
        </w:tc>
        <w:tc>
          <w:tcPr>
            <w:tcW w:w="0" w:type="dxa"/>
            <w:vAlign w:val="bottom"/>
          </w:tcPr>
          <w:p>
            <w:pPr>
              <w:spacing w:after="0"/>
              <w:rPr>
                <w:sz w:val="1"/>
                <w:szCs w:val="1"/>
                <w:color w:val="auto"/>
              </w:rPr>
            </w:pPr>
          </w:p>
        </w:tc>
      </w:tr>
      <w:tr>
        <w:trPr>
          <w:trHeight w:val="46"/>
        </w:trPr>
        <w:tc>
          <w:tcPr>
            <w:tcW w:w="3480" w:type="dxa"/>
            <w:vAlign w:val="bottom"/>
            <w:gridSpan w:val="3"/>
            <w:vMerge w:val="restart"/>
          </w:tcPr>
          <w:p>
            <w:pPr>
              <w:ind w:left="400"/>
              <w:spacing w:after="0"/>
              <w:rPr>
                <w:sz w:val="20"/>
                <w:szCs w:val="20"/>
                <w:color w:val="auto"/>
              </w:rPr>
            </w:pPr>
            <w:r>
              <w:rPr>
                <w:rFonts w:ascii="Times New Roman" w:cs="Times New Roman" w:eastAsia="Times New Roman" w:hAnsi="Times New Roman"/>
                <w:sz w:val="20"/>
                <w:szCs w:val="20"/>
                <w:color w:val="auto"/>
              </w:rPr>
              <w:t>Total Financial Liabilities</w:t>
            </w: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504C4C"/>
            </w:tcBorders>
          </w:tcPr>
          <w:p>
            <w:pPr>
              <w:spacing w:after="0"/>
              <w:rPr>
                <w:sz w:val="3"/>
                <w:szCs w:val="3"/>
                <w:color w:val="auto"/>
              </w:rPr>
            </w:pPr>
          </w:p>
        </w:tc>
        <w:tc>
          <w:tcPr>
            <w:tcW w:w="40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504C4C"/>
            </w:tcBorders>
          </w:tcPr>
          <w:p>
            <w:pPr>
              <w:spacing w:after="0"/>
              <w:rPr>
                <w:sz w:val="3"/>
                <w:szCs w:val="3"/>
                <w:color w:val="auto"/>
              </w:rPr>
            </w:pPr>
          </w:p>
        </w:tc>
        <w:tc>
          <w:tcPr>
            <w:tcW w:w="520" w:type="dxa"/>
            <w:vAlign w:val="bottom"/>
            <w:tcBorders>
              <w:bottom w:val="single" w:sz="8" w:color="504C4C"/>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3820" w:type="dxa"/>
            <w:vAlign w:val="bottom"/>
            <w:gridSpan w:val="4"/>
            <w:vMerge w:val="continue"/>
          </w:tcPr>
          <w:p>
            <w:pPr>
              <w:ind w:left="2660"/>
              <w:spacing w:after="0" w:line="228" w:lineRule="exact"/>
              <w:rPr>
                <w:sz w:val="20"/>
                <w:szCs w:val="20"/>
                <w:color w:val="auto"/>
              </w:rPr>
            </w:pPr>
            <w:r>
              <w:rPr>
                <w:rFonts w:ascii="Times New Roman" w:cs="Times New Roman" w:eastAsia="Times New Roman" w:hAnsi="Times New Roman"/>
                <w:sz w:val="20"/>
                <w:szCs w:val="20"/>
                <w:color w:val="auto"/>
              </w:rPr>
              <w:t>.. . ................</w:t>
            </w:r>
          </w:p>
        </w:tc>
        <w:tc>
          <w:tcPr>
            <w:tcW w:w="640" w:type="dxa"/>
            <w:vAlign w:val="bottom"/>
          </w:tcPr>
          <w:p>
            <w:pPr>
              <w:spacing w:after="0"/>
              <w:rPr>
                <w:sz w:val="19"/>
                <w:szCs w:val="19"/>
                <w:color w:val="auto"/>
              </w:rPr>
            </w:pPr>
          </w:p>
        </w:tc>
        <w:tc>
          <w:tcPr>
            <w:tcW w:w="1060" w:type="dxa"/>
            <w:vAlign w:val="bottom"/>
          </w:tcPr>
          <w:p>
            <w:pPr>
              <w:jc w:val="right"/>
              <w:ind w:right="25"/>
              <w:spacing w:after="0" w:line="228" w:lineRule="exact"/>
              <w:rPr>
                <w:sz w:val="20"/>
                <w:szCs w:val="20"/>
                <w:color w:val="auto"/>
              </w:rPr>
            </w:pPr>
            <w:r>
              <w:rPr>
                <w:rFonts w:ascii="Times New Roman" w:cs="Times New Roman" w:eastAsia="Times New Roman" w:hAnsi="Times New Roman"/>
                <w:sz w:val="20"/>
                <w:szCs w:val="20"/>
                <w:color w:val="auto"/>
              </w:rPr>
              <w:t>. ....... .</w:t>
            </w:r>
          </w:p>
        </w:tc>
        <w:tc>
          <w:tcPr>
            <w:tcW w:w="460" w:type="dxa"/>
            <w:vAlign w:val="bottom"/>
            <w:gridSpan w:val="2"/>
          </w:tcPr>
          <w:p>
            <w:pPr>
              <w:ind w:left="100"/>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00" w:type="dxa"/>
            <w:vAlign w:val="bottom"/>
          </w:tcPr>
          <w:p>
            <w:pPr>
              <w:spacing w:after="0"/>
              <w:rPr>
                <w:sz w:val="19"/>
                <w:szCs w:val="19"/>
                <w:color w:val="auto"/>
              </w:rPr>
            </w:pP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2,847</w:t>
            </w:r>
          </w:p>
        </w:tc>
        <w:tc>
          <w:tcPr>
            <w:tcW w:w="10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tcPr>
          <w:p>
            <w:pPr>
              <w:jc w:val="right"/>
              <w:ind w:right="5"/>
              <w:spacing w:after="0"/>
              <w:rPr>
                <w:sz w:val="20"/>
                <w:szCs w:val="20"/>
                <w:color w:val="auto"/>
              </w:rPr>
            </w:pPr>
            <w:r>
              <w:rPr>
                <w:rFonts w:ascii="Times New Roman" w:cs="Times New Roman" w:eastAsia="Times New Roman" w:hAnsi="Times New Roman"/>
                <w:sz w:val="19"/>
                <w:szCs w:val="19"/>
                <w:color w:val="auto"/>
              </w:rPr>
              <w:t>41,552</w:t>
            </w:r>
          </w:p>
        </w:tc>
        <w:tc>
          <w:tcPr>
            <w:tcW w:w="2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44,399</w:t>
            </w:r>
          </w:p>
        </w:tc>
        <w:tc>
          <w:tcPr>
            <w:tcW w:w="0" w:type="dxa"/>
            <w:vAlign w:val="bottom"/>
          </w:tcPr>
          <w:p>
            <w:pPr>
              <w:spacing w:after="0"/>
              <w:rPr>
                <w:sz w:val="1"/>
                <w:szCs w:val="1"/>
                <w:color w:val="auto"/>
              </w:rPr>
            </w:pPr>
          </w:p>
        </w:tc>
      </w:tr>
      <w:tr>
        <w:trPr>
          <w:trHeight w:val="196"/>
        </w:trPr>
        <w:tc>
          <w:tcPr>
            <w:tcW w:w="19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60" w:type="dxa"/>
            <w:vAlign w:val="bottom"/>
            <w:gridSpan w:val="4"/>
          </w:tcPr>
          <w:p>
            <w:pPr>
              <w:ind w:left="8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both"/>
        <w:ind w:left="420" w:right="125" w:hanging="315"/>
        <w:spacing w:after="0" w:line="298" w:lineRule="auto"/>
        <w:tabs>
          <w:tab w:leader="none" w:pos="400" w:val="left"/>
        </w:tabs>
        <w:rPr>
          <w:sz w:val="20"/>
          <w:szCs w:val="20"/>
          <w:color w:val="auto"/>
        </w:rPr>
      </w:pPr>
      <w:r>
        <w:rPr>
          <w:rFonts w:ascii="Arial" w:cs="Arial" w:eastAsia="Arial" w:hAnsi="Arial"/>
          <w:sz w:val="14"/>
          <w:szCs w:val="14"/>
          <w:color w:val="auto"/>
        </w:rPr>
        <w:t>( I)</w:t>
      </w:r>
      <w:r>
        <w:rPr>
          <w:sz w:val="20"/>
          <w:szCs w:val="20"/>
          <w:color w:val="auto"/>
        </w:rPr>
        <w:tab/>
      </w:r>
      <w:r>
        <w:rPr>
          <w:rFonts w:ascii="Arial" w:cs="Arial" w:eastAsia="Arial" w:hAnsi="Arial"/>
          <w:sz w:val="14"/>
          <w:szCs w:val="14"/>
          <w:color w:val="auto"/>
        </w:rPr>
        <w:t>The Company's money market investments are included in cash and cash equi valents and the value considers the liquidity of the counterparty.</w:t>
      </w:r>
    </w:p>
    <w:p>
      <w:pPr>
        <w:spacing w:after="0" w:line="1" w:lineRule="exact"/>
        <w:rPr>
          <w:sz w:val="20"/>
          <w:szCs w:val="20"/>
          <w:color w:val="auto"/>
        </w:rPr>
      </w:pPr>
    </w:p>
    <w:p>
      <w:pPr>
        <w:ind w:left="440" w:right="125" w:hanging="328"/>
        <w:spacing w:after="0" w:line="298" w:lineRule="auto"/>
        <w:tabs>
          <w:tab w:leader="none" w:pos="433"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Company'sinvestments in marketable equity securities are held in common shares of'U.S. corporations that are acti vely traded on U.S. exchanges. Price quotes for these shares are readily available.</w:t>
      </w:r>
    </w:p>
    <w:p>
      <w:pPr>
        <w:ind w:left="420" w:right="125" w:hanging="308"/>
        <w:spacing w:after="0" w:line="290" w:lineRule="auto"/>
        <w:tabs>
          <w:tab w:leader="none" w:pos="427" w:val="left"/>
        </w:tabs>
        <w:numPr>
          <w:ilvl w:val="0"/>
          <w:numId w:val="82"/>
        </w:numPr>
        <w:rPr>
          <w:rFonts w:ascii="Arial" w:cs="Arial" w:eastAsia="Arial" w:hAnsi="Arial"/>
          <w:sz w:val="14"/>
          <w:szCs w:val="14"/>
          <w:color w:val="auto"/>
        </w:rPr>
      </w:pPr>
      <w:r>
        <w:rPr>
          <w:rFonts w:ascii="Arial" w:cs="Arial" w:eastAsia="Arial" w:hAnsi="Arial"/>
          <w:sz w:val="14"/>
          <w:szCs w:val="14"/>
          <w:color w:val="auto"/>
        </w:rPr>
        <w:t xml:space="preserve">Includes mutual funds, which arc valued using a market approach based on </w:t>
      </w:r>
      <w:r>
        <w:rPr>
          <w:rFonts w:ascii="Arial" w:cs="Arial" w:eastAsia="Arial" w:hAnsi="Arial"/>
          <w:sz w:val="11"/>
          <w:szCs w:val="11"/>
          <w:color w:val="auto"/>
        </w:rPr>
        <w:t>~he</w:t>
      </w:r>
      <w:r>
        <w:rPr>
          <w:rFonts w:ascii="Arial" w:cs="Arial" w:eastAsia="Arial" w:hAnsi="Arial"/>
          <w:sz w:val="14"/>
          <w:szCs w:val="14"/>
          <w:color w:val="auto"/>
        </w:rPr>
        <w:t xml:space="preserve"> quoted market prices of the security or inputs that include quoted market prices for similar instruments.</w:t>
      </w:r>
    </w:p>
    <w:p>
      <w:pPr>
        <w:sectPr>
          <w:pgSz w:w="12240" w:h="15850" w:orient="portrait"/>
          <w:cols w:equalWidth="0" w:num="1">
            <w:col w:w="9365"/>
          </w:cols>
          <w:pgMar w:left="1440" w:top="1394" w:right="1440" w:bottom="721" w:gutter="0" w:footer="0" w:header="0"/>
          <w:type w:val="continuous"/>
        </w:sectPr>
      </w:pPr>
    </w:p>
    <w:p>
      <w:pPr>
        <w:spacing w:after="0" w:line="200" w:lineRule="exact"/>
        <w:rPr>
          <w:sz w:val="20"/>
          <w:szCs w:val="20"/>
          <w:color w:val="auto"/>
        </w:rPr>
      </w:pPr>
    </w:p>
    <w:p>
      <w:pPr>
        <w:spacing w:after="0" w:line="291"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123</w:t>
      </w:r>
    </w:p>
    <w:p>
      <w:pPr>
        <w:sectPr>
          <w:pgSz w:w="12240" w:h="15850" w:orient="portrait"/>
          <w:cols w:equalWidth="0" w:num="1">
            <w:col w:w="9365"/>
          </w:cols>
          <w:pgMar w:left="1440" w:top="1394" w:right="1440" w:bottom="721" w:gutter="0" w:footer="0" w:header="0"/>
          <w:type w:val="continuous"/>
        </w:sectPr>
      </w:pPr>
    </w:p>
    <w:bookmarkStart w:id="139" w:name="page140"/>
    <w:bookmarkEnd w:id="139"/>
    <w:p>
      <w:pPr>
        <w:ind w:left="440" w:right="125" w:hanging="327"/>
        <w:spacing w:after="0" w:line="258" w:lineRule="auto"/>
        <w:tabs>
          <w:tab w:leader="none" w:pos="43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47">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Included in O ther cun·ent assets and valued based on a valuation model that calculates the differential between the contract price and the market-based forward rate.</w:t>
      </w:r>
    </w:p>
    <w:p>
      <w:pPr>
        <w:spacing w:after="0" w:line="20" w:lineRule="exact"/>
        <w:rPr>
          <w:rFonts w:ascii="Times New Roman" w:cs="Times New Roman" w:eastAsia="Times New Roman" w:hAnsi="Times New Roman"/>
          <w:sz w:val="15"/>
          <w:szCs w:val="15"/>
          <w:color w:val="auto"/>
        </w:rPr>
      </w:pPr>
    </w:p>
    <w:p>
      <w:pPr>
        <w:jc w:val="both"/>
        <w:ind w:left="440" w:right="125" w:hanging="327"/>
        <w:spacing w:after="0" w:line="276" w:lineRule="auto"/>
        <w:tabs>
          <w:tab w:leader="none" w:pos="45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Accounts payable, veh icle floor plan payable and accrued liabilities and Other Liabilities. The Company determined the fair value of the contingent cons ideration liabilities using either a Monte Carlo simulation, Black-Scholes model, or probability-weighted analysis depending on the type of target incl.uded in the contingent consideration requirements (revenue, EBITDA, client retention). All analyses included estimated financial projections for the acquired businesses and acquisition-specific discount rates.</w:t>
      </w:r>
    </w:p>
    <w:p>
      <w:pPr>
        <w:spacing w:after="0" w:line="7" w:lineRule="exact"/>
        <w:rPr>
          <w:rFonts w:ascii="Times New Roman" w:cs="Times New Roman" w:eastAsia="Times New Roman" w:hAnsi="Times New Roman"/>
          <w:sz w:val="15"/>
          <w:szCs w:val="15"/>
          <w:color w:val="auto"/>
        </w:rPr>
      </w:pPr>
    </w:p>
    <w:p>
      <w:pPr>
        <w:ind w:left="440" w:right="125" w:hanging="327"/>
        <w:spacing w:after="0" w:line="272" w:lineRule="auto"/>
        <w:tabs>
          <w:tab w:leader="none" w:pos="44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Other Liabilities. The Company utilized a market approach model using the noti&lt;mal amount of the interest rate swap multiplied by the observable inputs of time to maturity and market interest rates.</w:t>
      </w:r>
    </w:p>
    <w:p>
      <w:pPr>
        <w:jc w:val="both"/>
        <w:ind w:left="420" w:right="125" w:hanging="307"/>
        <w:spacing w:after="0" w:line="280" w:lineRule="auto"/>
        <w:tabs>
          <w:tab w:leader="none" w:pos="420"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fair value of the mandatorily redeemable noncontrolling interest is based on the fair value of the unde rlying subsidiaries owned by GHC One and GHC Two, after taking into account any debt and other noncontrolling interests of its subsidiary investments . The fair value of the owned subsidiaries is determined using enterprise value analyses which include an equal weighing between guideli ne public company and discounted cash flow analyses.</w:t>
      </w:r>
    </w:p>
    <w:p>
      <w:pPr>
        <w:spacing w:after="0" w:line="5" w:lineRule="exact"/>
        <w:rPr>
          <w:rFonts w:ascii="Times New Roman" w:cs="Times New Roman" w:eastAsia="Times New Roman" w:hAnsi="Times New Roman"/>
          <w:sz w:val="15"/>
          <w:szCs w:val="15"/>
          <w:color w:val="auto"/>
        </w:rPr>
      </w:pPr>
    </w:p>
    <w:p>
      <w:pPr>
        <w:ind w:left="440" w:right="125" w:hanging="327"/>
        <w:spacing w:after="0" w:line="258" w:lineRule="auto"/>
        <w:tabs>
          <w:tab w:leader="none" w:pos="439"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Included in Accounts payable, vehicle floor plan payable and accrued liabilities, and valued based on a valuation model that calculates the differential between the contract price and the market-based forward rate.</w:t>
      </w:r>
    </w:p>
    <w:p>
      <w:pPr>
        <w:spacing w:after="0" w:line="301" w:lineRule="exact"/>
        <w:rPr>
          <w:sz w:val="20"/>
          <w:szCs w:val="20"/>
          <w:color w:val="auto"/>
        </w:rPr>
      </w:pPr>
    </w:p>
    <w:p>
      <w:pPr>
        <w:jc w:val="both"/>
        <w:ind w:left="120" w:right="125" w:hanging="10"/>
        <w:spacing w:after="0" w:line="252" w:lineRule="auto"/>
        <w:rPr>
          <w:sz w:val="20"/>
          <w:szCs w:val="20"/>
          <w:color w:val="auto"/>
        </w:rPr>
      </w:pPr>
      <w:r>
        <w:rPr>
          <w:rFonts w:ascii="Times New Roman" w:cs="Times New Roman" w:eastAsia="Times New Roman" w:hAnsi="Times New Roman"/>
          <w:sz w:val="19"/>
          <w:szCs w:val="19"/>
          <w:color w:val="auto"/>
        </w:rPr>
        <w:t>The following table provides a reconciliation of changes in the Company's financial liabilities measured at fair value on a recuning basis, using Level 3 inputs:</w:t>
      </w:r>
    </w:p>
    <w:p>
      <w:pPr>
        <w:spacing w:after="0" w:line="242"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43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gridSpan w:val="4"/>
          </w:tcPr>
          <w:p>
            <w:pPr>
              <w:jc w:val="center"/>
              <w:spacing w:after="0"/>
              <w:rPr>
                <w:sz w:val="20"/>
                <w:szCs w:val="20"/>
                <w:color w:val="auto"/>
              </w:rPr>
            </w:pPr>
            <w:r>
              <w:rPr>
                <w:rFonts w:ascii="Times New Roman" w:cs="Times New Roman" w:eastAsia="Times New Roman" w:hAnsi="Times New Roman"/>
                <w:sz w:val="15"/>
                <w:szCs w:val="15"/>
                <w:color w:val="auto"/>
              </w:rPr>
              <w:t>Mandato rily</w:t>
            </w:r>
          </w:p>
        </w:tc>
        <w:tc>
          <w:tcPr>
            <w:tcW w:w="0" w:type="dxa"/>
            <w:vAlign w:val="bottom"/>
          </w:tcPr>
          <w:p>
            <w:pPr>
              <w:spacing w:after="0"/>
              <w:rPr>
                <w:sz w:val="1"/>
                <w:szCs w:val="1"/>
                <w:color w:val="auto"/>
              </w:rPr>
            </w:pPr>
          </w:p>
        </w:tc>
      </w:tr>
      <w:tr>
        <w:trPr>
          <w:trHeight w:val="153"/>
        </w:trPr>
        <w:tc>
          <w:tcPr>
            <w:tcW w:w="4340" w:type="dxa"/>
            <w:vAlign w:val="bottom"/>
          </w:tcPr>
          <w:p>
            <w:pPr>
              <w:spacing w:after="0"/>
              <w:rPr>
                <w:sz w:val="13"/>
                <w:szCs w:val="13"/>
                <w:color w:val="auto"/>
              </w:rPr>
            </w:pPr>
          </w:p>
        </w:tc>
        <w:tc>
          <w:tcPr>
            <w:tcW w:w="1220" w:type="dxa"/>
            <w:vAlign w:val="bottom"/>
          </w:tcPr>
          <w:p>
            <w:pPr>
              <w:jc w:val="center"/>
              <w:spacing w:after="0" w:line="153" w:lineRule="exact"/>
              <w:rPr>
                <w:sz w:val="20"/>
                <w:szCs w:val="20"/>
                <w:color w:val="auto"/>
              </w:rPr>
            </w:pPr>
            <w:r>
              <w:rPr>
                <w:rFonts w:ascii="Times New Roman" w:cs="Times New Roman" w:eastAsia="Times New Roman" w:hAnsi="Times New Roman"/>
                <w:sz w:val="15"/>
                <w:szCs w:val="15"/>
                <w:color w:val="auto"/>
              </w:rPr>
              <w:t>Contingent</w:t>
            </w:r>
          </w:p>
        </w:tc>
        <w:tc>
          <w:tcPr>
            <w:tcW w:w="160" w:type="dxa"/>
            <w:vAlign w:val="bottom"/>
          </w:tcPr>
          <w:p>
            <w:pPr>
              <w:spacing w:after="0"/>
              <w:rPr>
                <w:sz w:val="13"/>
                <w:szCs w:val="13"/>
                <w:color w:val="auto"/>
              </w:rPr>
            </w:pPr>
          </w:p>
        </w:tc>
        <w:tc>
          <w:tcPr>
            <w:tcW w:w="1000" w:type="dxa"/>
            <w:vAlign w:val="bottom"/>
            <w:gridSpan w:val="4"/>
          </w:tcPr>
          <w:p>
            <w:pPr>
              <w:jc w:val="center"/>
              <w:ind w:right="20"/>
              <w:spacing w:after="0" w:line="153" w:lineRule="exact"/>
              <w:rPr>
                <w:sz w:val="20"/>
                <w:szCs w:val="20"/>
                <w:color w:val="auto"/>
              </w:rPr>
            </w:pPr>
            <w:r>
              <w:rPr>
                <w:rFonts w:ascii="Times New Roman" w:cs="Times New Roman" w:eastAsia="Times New Roman" w:hAnsi="Times New Roman"/>
                <w:sz w:val="15"/>
                <w:szCs w:val="15"/>
                <w:color w:val="auto"/>
              </w:rPr>
              <w:t>r edeemable</w:t>
            </w:r>
          </w:p>
        </w:tc>
        <w:tc>
          <w:tcPr>
            <w:tcW w:w="0" w:type="dxa"/>
            <w:vAlign w:val="bottom"/>
          </w:tcPr>
          <w:p>
            <w:pPr>
              <w:spacing w:after="0"/>
              <w:rPr>
                <w:sz w:val="1"/>
                <w:szCs w:val="1"/>
                <w:color w:val="auto"/>
              </w:rPr>
            </w:pPr>
          </w:p>
        </w:tc>
      </w:tr>
      <w:tr>
        <w:trPr>
          <w:trHeight w:val="168"/>
        </w:trPr>
        <w:tc>
          <w:tcPr>
            <w:tcW w:w="4340" w:type="dxa"/>
            <w:vAlign w:val="bottom"/>
          </w:tcPr>
          <w:p>
            <w:pPr>
              <w:spacing w:after="0"/>
              <w:rPr>
                <w:sz w:val="14"/>
                <w:szCs w:val="14"/>
                <w:color w:val="auto"/>
              </w:rPr>
            </w:pPr>
          </w:p>
        </w:tc>
        <w:tc>
          <w:tcPr>
            <w:tcW w:w="122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consideration</w:t>
            </w:r>
          </w:p>
        </w:tc>
        <w:tc>
          <w:tcPr>
            <w:tcW w:w="1160" w:type="dxa"/>
            <w:vAlign w:val="bottom"/>
            <w:gridSpan w:val="5"/>
          </w:tcPr>
          <w:p>
            <w:pPr>
              <w:jc w:val="center"/>
              <w:ind w:left="69"/>
              <w:spacing w:after="0" w:line="168" w:lineRule="exact"/>
              <w:rPr>
                <w:sz w:val="20"/>
                <w:szCs w:val="20"/>
                <w:color w:val="auto"/>
              </w:rPr>
            </w:pPr>
            <w:r>
              <w:rPr>
                <w:rFonts w:ascii="Times New Roman" w:cs="Times New Roman" w:eastAsia="Times New Roman" w:hAnsi="Times New Roman"/>
                <w:sz w:val="15"/>
                <w:szCs w:val="15"/>
                <w:color w:val="auto"/>
              </w:rPr>
              <w:t>noncontrolling</w:t>
            </w:r>
          </w:p>
        </w:tc>
        <w:tc>
          <w:tcPr>
            <w:tcW w:w="0" w:type="dxa"/>
            <w:vAlign w:val="bottom"/>
          </w:tcPr>
          <w:p>
            <w:pPr>
              <w:spacing w:after="0"/>
              <w:rPr>
                <w:sz w:val="1"/>
                <w:szCs w:val="1"/>
                <w:color w:val="auto"/>
              </w:rPr>
            </w:pPr>
          </w:p>
        </w:tc>
      </w:tr>
      <w:tr>
        <w:trPr>
          <w:trHeight w:val="172"/>
        </w:trPr>
        <w:tc>
          <w:tcPr>
            <w:tcW w:w="4340" w:type="dxa"/>
            <w:vAlign w:val="bottom"/>
          </w:tcPr>
          <w:p>
            <w:pPr>
              <w:spacing w:after="0"/>
              <w:rPr>
                <w:sz w:val="20"/>
                <w:szCs w:val="20"/>
                <w:color w:val="auto"/>
              </w:rPr>
            </w:pPr>
            <w:r>
              <w:rPr>
                <w:rFonts w:ascii="Times New Roman" w:cs="Times New Roman" w:eastAsia="Times New Roman" w:hAnsi="Times New Roman"/>
                <w:sz w:val="15"/>
                <w:szCs w:val="15"/>
                <w:color w:val="auto"/>
              </w:rPr>
              <w:t>(in t housand s)</w:t>
            </w:r>
          </w:p>
        </w:tc>
        <w:tc>
          <w:tcPr>
            <w:tcW w:w="12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liabilities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center"/>
              <w:ind w:right="220"/>
              <w:spacing w:after="0"/>
              <w:rPr>
                <w:sz w:val="20"/>
                <w:szCs w:val="20"/>
                <w:color w:val="auto"/>
              </w:rPr>
            </w:pPr>
            <w:r>
              <w:rPr>
                <w:rFonts w:ascii="Times New Roman" w:cs="Times New Roman" w:eastAsia="Times New Roman" w:hAnsi="Times New Roman"/>
                <w:sz w:val="15"/>
                <w:szCs w:val="15"/>
                <w:color w:val="auto"/>
              </w:rPr>
              <w:t>interest</w:t>
            </w:r>
          </w:p>
        </w:tc>
        <w:tc>
          <w:tcPr>
            <w:tcW w:w="0" w:type="dxa"/>
            <w:vAlign w:val="bottom"/>
          </w:tcPr>
          <w:p>
            <w:pPr>
              <w:spacing w:after="0"/>
              <w:rPr>
                <w:sz w:val="1"/>
                <w:szCs w:val="1"/>
                <w:color w:val="auto"/>
              </w:rPr>
            </w:pPr>
          </w:p>
        </w:tc>
      </w:tr>
      <w:tr>
        <w:trPr>
          <w:trHeight w:val="35"/>
        </w:trPr>
        <w:tc>
          <w:tcPr>
            <w:tcW w:w="434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Borders>
              <w:bottom w:val="single" w:sz="8" w:color="181414"/>
            </w:tcBorders>
          </w:tcPr>
          <w:p>
            <w:pPr>
              <w:spacing w:after="0"/>
              <w:rPr>
                <w:sz w:val="3"/>
                <w:szCs w:val="3"/>
                <w:color w:val="auto"/>
              </w:rPr>
            </w:pPr>
          </w:p>
        </w:tc>
        <w:tc>
          <w:tcPr>
            <w:tcW w:w="80" w:type="dxa"/>
            <w:vAlign w:val="bottom"/>
            <w:tcBorders>
              <w:bottom w:val="single" w:sz="8" w:color="181414"/>
            </w:tcBorders>
          </w:tcPr>
          <w:p>
            <w:pPr>
              <w:spacing w:after="0"/>
              <w:rPr>
                <w:sz w:val="3"/>
                <w:szCs w:val="3"/>
                <w:color w:val="auto"/>
              </w:rPr>
            </w:pPr>
          </w:p>
        </w:tc>
        <w:tc>
          <w:tcPr>
            <w:tcW w:w="660" w:type="dxa"/>
            <w:vAlign w:val="bottom"/>
            <w:tcBorders>
              <w:bottom w:val="single" w:sz="8" w:color="181414"/>
            </w:tcBorders>
          </w:tcPr>
          <w:p>
            <w:pPr>
              <w:spacing w:after="0"/>
              <w:rPr>
                <w:sz w:val="3"/>
                <w:szCs w:val="3"/>
                <w:color w:val="auto"/>
              </w:rPr>
            </w:pPr>
          </w:p>
        </w:tc>
        <w:tc>
          <w:tcPr>
            <w:tcW w:w="120" w:type="dxa"/>
            <w:vAlign w:val="bottom"/>
            <w:tcBorders>
              <w:bottom w:val="single" w:sz="8" w:color="181414"/>
            </w:tcBorders>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As of December 31 , 2022</w:t>
            </w: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$ 8,423</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30,845</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Acquisition of business ...................... .</w:t>
            </w:r>
          </w:p>
        </w:tc>
        <w:tc>
          <w:tcPr>
            <w:tcW w:w="12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220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Changes in fair value </w:t>
            </w:r>
            <w:r>
              <w:rPr>
                <w:rFonts w:ascii="Arial" w:cs="Arial" w:eastAsia="Arial" w:hAnsi="Arial"/>
                <w:sz w:val="12"/>
                <w:szCs w:val="12"/>
                <w:color w:val="auto"/>
              </w:rPr>
              <w:t>(I)   ............. . .. . .... .</w:t>
            </w:r>
          </w:p>
        </w:tc>
        <w:tc>
          <w:tcPr>
            <w:tcW w:w="12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(7,423)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10,122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Capital contributions ........................ .</w:t>
            </w: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411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Accretion of value included in net income </w:t>
            </w:r>
            <w:r>
              <w:rPr>
                <w:rFonts w:ascii="Times New Roman" w:cs="Times New Roman" w:eastAsia="Times New Roman" w:hAnsi="Times New Roman"/>
                <w:sz w:val="13"/>
                <w:szCs w:val="13"/>
                <w:color w:val="auto"/>
              </w:rPr>
              <w:t>&lt;t)  . • ... •</w:t>
            </w:r>
          </w:p>
        </w:tc>
        <w:tc>
          <w:tcPr>
            <w:tcW w:w="12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830</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Settlements or distributions  . . . . . .. . . . . .. ..... .</w:t>
            </w:r>
          </w:p>
        </w:tc>
        <w:tc>
          <w:tcPr>
            <w:tcW w:w="1220" w:type="dxa"/>
            <w:vAlign w:val="bottom"/>
          </w:tcPr>
          <w:p>
            <w:pPr>
              <w:jc w:val="right"/>
              <w:ind w:right="146"/>
              <w:spacing w:after="0"/>
              <w:rPr>
                <w:sz w:val="20"/>
                <w:szCs w:val="20"/>
                <w:color w:val="auto"/>
              </w:rPr>
            </w:pPr>
            <w:r>
              <w:rPr>
                <w:rFonts w:ascii="Times New Roman" w:cs="Times New Roman" w:eastAsia="Times New Roman" w:hAnsi="Times New Roman"/>
                <w:sz w:val="19"/>
                <w:szCs w:val="19"/>
                <w:color w:val="auto"/>
              </w:rPr>
              <w:t>(1,262)</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color w:val="auto"/>
              </w:rPr>
              <w:t>(614)</w:t>
            </w:r>
          </w:p>
        </w:tc>
        <w:tc>
          <w:tcPr>
            <w:tcW w:w="0" w:type="dxa"/>
            <w:vAlign w:val="bottom"/>
          </w:tcPr>
          <w:p>
            <w:pPr>
              <w:spacing w:after="0"/>
              <w:rPr>
                <w:sz w:val="1"/>
                <w:szCs w:val="1"/>
                <w:color w:val="auto"/>
              </w:rPr>
            </w:pPr>
          </w:p>
        </w:tc>
      </w:tr>
      <w:tr>
        <w:trPr>
          <w:trHeight w:val="324"/>
        </w:trPr>
        <w:tc>
          <w:tcPr>
            <w:tcW w:w="4340" w:type="dxa"/>
            <w:vAlign w:val="bottom"/>
          </w:tcPr>
          <w:p>
            <w:pPr>
              <w:spacing w:after="0"/>
              <w:rPr>
                <w:sz w:val="20"/>
                <w:szCs w:val="20"/>
                <w:color w:val="auto"/>
              </w:rPr>
            </w:pPr>
            <w:r>
              <w:rPr>
                <w:rFonts w:ascii="Times New Roman" w:cs="Times New Roman" w:eastAsia="Times New Roman" w:hAnsi="Times New Roman"/>
                <w:sz w:val="19"/>
                <w:szCs w:val="19"/>
                <w:color w:val="auto"/>
              </w:rPr>
              <w:t>As of December 31, 2023  .. . ................. .</w:t>
            </w:r>
          </w:p>
        </w:tc>
        <w:tc>
          <w:tcPr>
            <w:tcW w:w="1220" w:type="dxa"/>
            <w:vAlign w:val="bottom"/>
          </w:tcPr>
          <w:p>
            <w:pPr>
              <w:jc w:val="right"/>
              <w:ind w:right="206"/>
              <w:spacing w:after="0"/>
              <w:rPr>
                <w:sz w:val="20"/>
                <w:szCs w:val="20"/>
                <w:color w:val="auto"/>
              </w:rPr>
            </w:pPr>
            <w:r>
              <w:rPr>
                <w:rFonts w:ascii="Times New Roman" w:cs="Times New Roman" w:eastAsia="Times New Roman" w:hAnsi="Times New Roman"/>
                <w:sz w:val="19"/>
                <w:szCs w:val="19"/>
                <w:color w:val="auto"/>
              </w:rPr>
              <w:t>788</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40,764</w:t>
            </w:r>
          </w:p>
        </w:tc>
        <w:tc>
          <w:tcPr>
            <w:tcW w:w="0" w:type="dxa"/>
            <w:vAlign w:val="bottom"/>
          </w:tcPr>
          <w:p>
            <w:pPr>
              <w:spacing w:after="0"/>
              <w:rPr>
                <w:sz w:val="1"/>
                <w:szCs w:val="1"/>
                <w:color w:val="auto"/>
              </w:rPr>
            </w:pPr>
          </w:p>
        </w:tc>
      </w:tr>
      <w:tr>
        <w:trPr>
          <w:trHeight w:val="242"/>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Acquisition of business .... . . . .... .......... .</w:t>
            </w:r>
          </w:p>
        </w:tc>
        <w:tc>
          <w:tcPr>
            <w:tcW w:w="1220" w:type="dxa"/>
            <w:vAlign w:val="bottom"/>
          </w:tcPr>
          <w:p>
            <w:pPr>
              <w:jc w:val="right"/>
              <w:ind w:right="206"/>
              <w:spacing w:after="0"/>
              <w:rPr>
                <w:sz w:val="20"/>
                <w:szCs w:val="20"/>
                <w:color w:val="auto"/>
              </w:rPr>
            </w:pPr>
            <w:r>
              <w:rPr>
                <w:rFonts w:ascii="Times New Roman" w:cs="Times New Roman" w:eastAsia="Times New Roman" w:hAnsi="Times New Roman"/>
                <w:sz w:val="20"/>
                <w:szCs w:val="20"/>
                <w:color w:val="auto"/>
              </w:rPr>
              <w:t>1,293</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Changes in fair value </w:t>
            </w:r>
            <w:r>
              <w:rPr>
                <w:rFonts w:ascii="Times New Roman" w:cs="Times New Roman" w:eastAsia="Times New Roman" w:hAnsi="Times New Roman"/>
                <w:sz w:val="14"/>
                <w:szCs w:val="14"/>
                <w:color w:val="auto"/>
              </w:rPr>
              <w:t>&lt;t)   .. • ..................</w:t>
            </w:r>
          </w:p>
        </w:tc>
        <w:tc>
          <w:tcPr>
            <w:tcW w:w="122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(75)</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8"/>
              </w:rPr>
              <w:t>119,295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Capital contributions  .... . ................. .</w:t>
            </w:r>
          </w:p>
        </w:tc>
        <w:tc>
          <w:tcPr>
            <w:tcW w:w="1220" w:type="dxa"/>
            <w:vAlign w:val="bottom"/>
            <w:vMerge w:val="restart"/>
          </w:tcPr>
          <w:p>
            <w:pPr>
              <w:jc w:val="right"/>
              <w:ind w:right="206"/>
              <w:spacing w:after="0"/>
              <w:rPr>
                <w:sz w:val="20"/>
                <w:szCs w:val="20"/>
                <w:color w:val="auto"/>
              </w:rPr>
            </w:pPr>
            <w:r>
              <w:rPr>
                <w:rFonts w:ascii="Times New Roman" w:cs="Times New Roman" w:eastAsia="Times New Roman" w:hAnsi="Times New Roman"/>
                <w:sz w:val="20"/>
                <w:szCs w:val="20"/>
                <w:color w:val="auto"/>
              </w:rPr>
              <w:t>190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4340" w:type="dxa"/>
            <w:vAlign w:val="bottom"/>
          </w:tcPr>
          <w:p>
            <w:pPr>
              <w:spacing w:after="0" w:line="62" w:lineRule="exact"/>
              <w:rPr>
                <w:sz w:val="20"/>
                <w:szCs w:val="20"/>
                <w:color w:val="auto"/>
              </w:rPr>
            </w:pPr>
            <w:r>
              <w:rPr>
                <w:rFonts w:ascii="Times New Roman" w:cs="Times New Roman" w:eastAsia="Times New Roman" w:hAnsi="Times New Roman"/>
                <w:sz w:val="7"/>
                <w:szCs w:val="7"/>
                <w:color w:val="auto"/>
              </w:rPr>
              <w:t xml:space="preserve">Accretion of value included in net income </w:t>
            </w:r>
            <w:r>
              <w:rPr>
                <w:rFonts w:ascii="Arial" w:cs="Arial" w:eastAsia="Arial" w:hAnsi="Arial"/>
                <w:sz w:val="6"/>
                <w:szCs w:val="6"/>
                <w:color w:val="auto"/>
              </w:rPr>
              <w:t>&lt;l  ... .</w:t>
            </w:r>
          </w:p>
        </w:tc>
        <w:tc>
          <w:tcPr>
            <w:tcW w:w="12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7"/>
        </w:trPr>
        <w:tc>
          <w:tcPr>
            <w:tcW w:w="4340" w:type="dxa"/>
            <w:vAlign w:val="bottom"/>
          </w:tcPr>
          <w:p>
            <w:pPr>
              <w:ind w:left="3620"/>
              <w:spacing w:after="0" w:line="137" w:lineRule="exact"/>
              <w:rPr>
                <w:sz w:val="20"/>
                <w:szCs w:val="20"/>
                <w:color w:val="auto"/>
              </w:rPr>
            </w:pPr>
            <w:r>
              <w:rPr>
                <w:rFonts w:ascii="Times New Roman" w:cs="Times New Roman" w:eastAsia="Times New Roman" w:hAnsi="Times New Roman"/>
                <w:sz w:val="12"/>
                <w:szCs w:val="12"/>
                <w:color w:val="auto"/>
              </w:rPr>
              <w:t>1</w:t>
            </w:r>
          </w:p>
        </w:tc>
        <w:tc>
          <w:tcPr>
            <w:tcW w:w="1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Settlements or distributions ................. .</w:t>
            </w:r>
          </w:p>
        </w:tc>
        <w:tc>
          <w:tcPr>
            <w:tcW w:w="1220" w:type="dxa"/>
            <w:vAlign w:val="bottom"/>
          </w:tcPr>
          <w:p>
            <w:pPr>
              <w:jc w:val="right"/>
              <w:ind w:right="146"/>
              <w:spacing w:after="0"/>
              <w:rPr>
                <w:sz w:val="20"/>
                <w:szCs w:val="20"/>
                <w:color w:val="auto"/>
              </w:rPr>
            </w:pPr>
            <w:r>
              <w:rPr>
                <w:rFonts w:ascii="Times New Roman" w:cs="Times New Roman" w:eastAsia="Times New Roman" w:hAnsi="Times New Roman"/>
                <w:sz w:val="20"/>
                <w:szCs w:val="20"/>
                <w:color w:val="auto"/>
              </w:rPr>
              <w:t>(719)</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38"/>
        </w:trPr>
        <w:tc>
          <w:tcPr>
            <w:tcW w:w="4340" w:type="dxa"/>
            <w:vAlign w:val="bottom"/>
          </w:tcPr>
          <w:p>
            <w:pPr>
              <w:spacing w:after="0"/>
              <w:rPr>
                <w:sz w:val="20"/>
                <w:szCs w:val="20"/>
                <w:color w:val="auto"/>
              </w:rPr>
            </w:pPr>
            <w:r>
              <w:rPr>
                <w:rFonts w:ascii="Times New Roman" w:cs="Times New Roman" w:eastAsia="Times New Roman" w:hAnsi="Times New Roman"/>
                <w:sz w:val="20"/>
                <w:szCs w:val="20"/>
                <w:color w:val="auto"/>
              </w:rPr>
              <w:t>Foreign currency exchange rate changes ...... .</w:t>
            </w:r>
          </w:p>
        </w:tc>
        <w:tc>
          <w:tcPr>
            <w:tcW w:w="1220" w:type="dxa"/>
            <w:vAlign w:val="bottom"/>
          </w:tcPr>
          <w:p>
            <w:pPr>
              <w:jc w:val="right"/>
              <w:ind w:right="126"/>
              <w:spacing w:after="0"/>
              <w:rPr>
                <w:sz w:val="20"/>
                <w:szCs w:val="20"/>
                <w:color w:val="auto"/>
              </w:rPr>
            </w:pPr>
            <w:r>
              <w:rPr>
                <w:rFonts w:ascii="Times New Roman" w:cs="Times New Roman" w:eastAsia="Times New Roman" w:hAnsi="Times New Roman"/>
                <w:sz w:val="20"/>
                <w:szCs w:val="20"/>
                <w:color w:val="auto"/>
              </w:rPr>
              <w:t>(58)</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
        </w:trPr>
        <w:tc>
          <w:tcPr>
            <w:tcW w:w="434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As of December 31, 2024  ................... .</w:t>
            </w:r>
          </w:p>
        </w:tc>
        <w:tc>
          <w:tcPr>
            <w:tcW w:w="1220" w:type="dxa"/>
            <w:vAlign w:val="bottom"/>
          </w:tcPr>
          <w:p>
            <w:pPr>
              <w:spacing w:after="0"/>
              <w:rPr>
                <w:sz w:val="2"/>
                <w:szCs w:val="2"/>
                <w:color w:val="auto"/>
              </w:rPr>
            </w:pPr>
          </w:p>
        </w:tc>
        <w:tc>
          <w:tcPr>
            <w:tcW w:w="300" w:type="dxa"/>
            <w:vAlign w:val="bottom"/>
            <w:gridSpan w:val="2"/>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66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4340" w:type="dxa"/>
            <w:vAlign w:val="bottom"/>
            <w:vMerge w:val="continue"/>
          </w:tcPr>
          <w:p>
            <w:pPr>
              <w:spacing w:after="0"/>
              <w:rPr>
                <w:sz w:val="24"/>
                <w:szCs w:val="24"/>
                <w:color w:val="auto"/>
              </w:rPr>
            </w:pPr>
          </w:p>
        </w:tc>
        <w:tc>
          <w:tcPr>
            <w:tcW w:w="1220" w:type="dxa"/>
            <w:vAlign w:val="bottom"/>
          </w:tcPr>
          <w:p>
            <w:pPr>
              <w:jc w:val="right"/>
              <w:ind w:right="206"/>
              <w:spacing w:after="0"/>
              <w:rPr>
                <w:sz w:val="20"/>
                <w:szCs w:val="20"/>
                <w:color w:val="auto"/>
              </w:rPr>
            </w:pPr>
            <w:r>
              <w:rPr>
                <w:rFonts w:ascii="Times New Roman" w:cs="Times New Roman" w:eastAsia="Times New Roman" w:hAnsi="Times New Roman"/>
                <w:sz w:val="20"/>
                <w:szCs w:val="20"/>
                <w:color w:val="auto"/>
              </w:rPr>
              <w:t>$ 1,419</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w w:val="98"/>
              </w:rPr>
              <w:t>159,548</w:t>
            </w:r>
          </w:p>
        </w:tc>
        <w:tc>
          <w:tcPr>
            <w:tcW w:w="0" w:type="dxa"/>
            <w:vAlign w:val="bottom"/>
          </w:tcPr>
          <w:p>
            <w:pPr>
              <w:spacing w:after="0"/>
              <w:rPr>
                <w:sz w:val="1"/>
                <w:szCs w:val="1"/>
                <w:color w:val="auto"/>
              </w:rPr>
            </w:pPr>
          </w:p>
        </w:tc>
      </w:tr>
    </w:tbl>
    <w:p>
      <w:pPr>
        <w:spacing w:after="0" w:line="287" w:lineRule="exact"/>
        <w:rPr>
          <w:sz w:val="20"/>
          <w:szCs w:val="20"/>
          <w:color w:val="auto"/>
        </w:rPr>
      </w:pPr>
    </w:p>
    <w:p>
      <w:pPr>
        <w:jc w:val="both"/>
        <w:ind w:left="420" w:right="105" w:hanging="314"/>
        <w:spacing w:after="0" w:line="272" w:lineRule="auto"/>
        <w:tabs>
          <w:tab w:leader="none" w:pos="400" w:val="left"/>
        </w:tabs>
        <w:rPr>
          <w:sz w:val="20"/>
          <w:szCs w:val="20"/>
          <w:color w:val="auto"/>
        </w:rPr>
      </w:pPr>
      <w:r>
        <w:rPr>
          <w:rFonts w:ascii="Times New Roman" w:cs="Times New Roman" w:eastAsia="Times New Roman" w:hAnsi="Times New Roman"/>
          <w:sz w:val="15"/>
          <w:szCs w:val="15"/>
          <w:color w:val="auto"/>
        </w:rPr>
        <w:t>( I)</w:t>
        <w:tab/>
        <w:t>Changes in fair value and accretion of value of contingent consideration liabilities are included! in Sell ing, general and administrative expenses and the changes in fair value olf mandatorily redeemable noncontroll ing interest is included in Interest expense in the</w:t>
      </w:r>
    </w:p>
    <w:p>
      <w:pPr>
        <w:spacing w:after="0" w:line="1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Company's Consol idated Statements of Operations.</w:t>
      </w:r>
    </w:p>
    <w:p>
      <w:pPr>
        <w:spacing w:after="0" w:line="170"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For the years ended December 31, 2024, 2023 and 2022, the Company recorded goodwill and other long- lived asset impairment charges of $49.8 million, $99. 1 million and $ 129.0 million, respectively (see Note 9). The remeasurement of goodwill and other long-lived assets is classified as a Level 3 fair value assessment due to the significance of unobservable inputs developed in the determination of the fair value. The Company used a discounted cash flow model to determine the estimated fair value of the reporting units, indefinite-lived intangible assets, and other long-lived assets. Where appropriate, a market value approach was also utilized to supplement the discounted cash flow model. The Company made estimates and assumptions regarding future cash flows, royalty rates, discount rates, market values, and long-term growth rates.</w:t>
      </w:r>
    </w:p>
    <w:p>
      <w:pPr>
        <w:spacing w:after="0" w:line="277" w:lineRule="exact"/>
        <w:rPr>
          <w:sz w:val="20"/>
          <w:szCs w:val="20"/>
          <w:color w:val="auto"/>
        </w:rPr>
      </w:pPr>
    </w:p>
    <w:p>
      <w:pPr>
        <w:jc w:val="both"/>
        <w:ind w:left="120" w:right="125" w:firstLine="10"/>
        <w:spacing w:after="0" w:line="262" w:lineRule="auto"/>
        <w:rPr>
          <w:sz w:val="20"/>
          <w:szCs w:val="20"/>
          <w:color w:val="auto"/>
        </w:rPr>
      </w:pPr>
      <w:r>
        <w:rPr>
          <w:rFonts w:ascii="Times New Roman" w:cs="Times New Roman" w:eastAsia="Times New Roman" w:hAnsi="Times New Roman"/>
          <w:sz w:val="19"/>
          <w:szCs w:val="19"/>
          <w:color w:val="auto"/>
        </w:rPr>
        <w:t>During the year ended December 3 J, 2024, the Company recorded losses of $ 1.7 million to equity securities that are accounted for as cost method investments based on observable transactions for identical or similar investments of the sarne issuer. For the years e nded December 3 I, 2024, 2023 and 2022, the Company recorded gains of $0.2 million, $3.1 million and $6.9 million, respectively, to those equity securities based on observable transactions. For the years ended December 31, 2024, 2023 and 2022, the Company recorded impairment losses</w:t>
      </w:r>
    </w:p>
    <w:p>
      <w:pPr>
        <w:sectPr>
          <w:pgSz w:w="12240" w:h="15850" w:orient="portrait"/>
          <w:cols w:equalWidth="0" w:num="1">
            <w:col w:w="9365"/>
          </w:cols>
          <w:pgMar w:left="1440" w:top="1389" w:right="1440" w:bottom="721" w:gutter="0" w:footer="0" w:header="0"/>
        </w:sectPr>
      </w:pPr>
    </w:p>
    <w:p>
      <w:pPr>
        <w:spacing w:after="0" w:line="200" w:lineRule="exact"/>
        <w:rPr>
          <w:sz w:val="20"/>
          <w:szCs w:val="20"/>
          <w:color w:val="auto"/>
        </w:rPr>
      </w:pPr>
    </w:p>
    <w:p>
      <w:pPr>
        <w:spacing w:after="0" w:line="288"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124</w:t>
        <w:tab/>
        <w:t>2024 FORM 10-K</w:t>
      </w:r>
    </w:p>
    <w:p>
      <w:pPr>
        <w:sectPr>
          <w:pgSz w:w="12240" w:h="15850" w:orient="portrait"/>
          <w:cols w:equalWidth="0" w:num="1">
            <w:col w:w="9365"/>
          </w:cols>
          <w:pgMar w:left="1440" w:top="1389" w:right="1440" w:bottom="721" w:gutter="0" w:footer="0" w:header="0"/>
          <w:type w:val="continuous"/>
        </w:sectPr>
      </w:pPr>
    </w:p>
    <w:bookmarkStart w:id="140" w:name="page141"/>
    <w:bookmarkEnd w:id="140"/>
    <w:p>
      <w:pPr>
        <w:jc w:val="both"/>
        <w:ind w:left="120" w:right="125" w:hanging="10"/>
        <w:spacing w:after="0" w:line="249"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4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of $0.</w:t>
      </w:r>
      <w:r>
        <w:rPr>
          <w:rFonts w:ascii="Arial" w:cs="Arial" w:eastAsia="Arial" w:hAnsi="Arial"/>
          <w:sz w:val="19"/>
          <w:szCs w:val="19"/>
          <w:color w:val="auto"/>
        </w:rPr>
        <w:t>.7</w:t>
      </w:r>
      <w:r>
        <w:rPr>
          <w:rFonts w:ascii="Times New Roman" w:cs="Times New Roman" w:eastAsia="Times New Roman" w:hAnsi="Times New Roman"/>
          <w:sz w:val="19"/>
          <w:szCs w:val="19"/>
          <w:color w:val="auto"/>
        </w:rPr>
        <w:t xml:space="preserve"> million, $0.5 million and $1.3 million, respectively, to equity securities that are accounted for as cost method investments (See Note 4).</w:t>
      </w:r>
    </w:p>
    <w:p>
      <w:pPr>
        <w:spacing w:after="0" w:line="258" w:lineRule="exact"/>
        <w:rPr>
          <w:sz w:val="20"/>
          <w:szCs w:val="20"/>
          <w:color w:val="auto"/>
        </w:rPr>
      </w:pPr>
    </w:p>
    <w:p>
      <w:pPr>
        <w:jc w:val="both"/>
        <w:ind w:left="120" w:right="125" w:firstLine="11"/>
        <w:spacing w:after="0" w:line="257" w:lineRule="auto"/>
        <w:rPr>
          <w:sz w:val="20"/>
          <w:szCs w:val="20"/>
          <w:color w:val="auto"/>
        </w:rPr>
      </w:pPr>
      <w:r>
        <w:rPr>
          <w:rFonts w:ascii="Times New Roman" w:cs="Times New Roman" w:eastAsia="Times New Roman" w:hAnsi="Times New Roman"/>
          <w:sz w:val="19"/>
          <w:szCs w:val="19"/>
          <w:color w:val="auto"/>
        </w:rPr>
        <w:t>For the year ended December 31,2024, the Company recorded impairment charges of $ 14.4 million on one of its investments in affiliates (see Note 4). The Company used a market approach to determine the estimated fair value of its investment in the affiliate.</w:t>
      </w:r>
    </w:p>
    <w:p>
      <w:pPr>
        <w:spacing w:after="0" w:line="321" w:lineRule="exact"/>
        <w:rPr>
          <w:sz w:val="20"/>
          <w:szCs w:val="20"/>
          <w:color w:val="auto"/>
        </w:rPr>
      </w:pPr>
    </w:p>
    <w:p>
      <w:pPr>
        <w:ind w:left="120"/>
        <w:spacing w:after="0"/>
        <w:tabs>
          <w:tab w:leader="none" w:pos="540" w:val="left"/>
        </w:tabs>
        <w:rPr>
          <w:sz w:val="20"/>
          <w:szCs w:val="20"/>
          <w:color w:val="auto"/>
        </w:rPr>
      </w:pPr>
      <w:r>
        <w:rPr>
          <w:rFonts w:ascii="Times New Roman" w:cs="Times New Roman" w:eastAsia="Times New Roman" w:hAnsi="Times New Roman"/>
          <w:sz w:val="21"/>
          <w:szCs w:val="21"/>
          <w:color w:val="auto"/>
        </w:rPr>
        <w:t>13.</w:t>
        <w:tab/>
        <w:t>REVENUE FROM CONTRACTS WITH CUSTOMERS</w:t>
      </w:r>
    </w:p>
    <w:p>
      <w:pPr>
        <w:spacing w:after="0" w:line="138" w:lineRule="exact"/>
        <w:rPr>
          <w:sz w:val="20"/>
          <w:szCs w:val="20"/>
          <w:color w:val="auto"/>
        </w:rPr>
      </w:pPr>
    </w:p>
    <w:p>
      <w:pPr>
        <w:jc w:val="both"/>
        <w:ind w:left="120" w:right="125" w:hanging="10"/>
        <w:spacing w:after="0" w:line="253" w:lineRule="auto"/>
        <w:rPr>
          <w:sz w:val="20"/>
          <w:szCs w:val="20"/>
          <w:color w:val="auto"/>
        </w:rPr>
      </w:pPr>
      <w:r>
        <w:rPr>
          <w:rFonts w:ascii="Times New Roman" w:cs="Times New Roman" w:eastAsia="Times New Roman" w:hAnsi="Times New Roman"/>
          <w:sz w:val="19"/>
          <w:szCs w:val="19"/>
          <w:color w:val="auto"/>
        </w:rPr>
        <w:t>The Company generated 79%, 79% and 81 % of its revenue from U.S. domestic sales in 2024, 2023 and 2022, respectively. The remruning 21%, 21% and 19% of revenue was generated from non-U.S. sales.</w:t>
      </w:r>
    </w:p>
    <w:p>
      <w:pPr>
        <w:spacing w:after="0" w:line="245" w:lineRule="exact"/>
        <w:rPr>
          <w:sz w:val="20"/>
          <w:szCs w:val="20"/>
          <w:color w:val="auto"/>
        </w:rPr>
      </w:pPr>
    </w:p>
    <w:p>
      <w:pPr>
        <w:jc w:val="both"/>
        <w:ind w:left="120" w:right="105" w:firstLine="1"/>
        <w:spacing w:after="0" w:line="257" w:lineRule="auto"/>
        <w:rPr>
          <w:sz w:val="20"/>
          <w:szCs w:val="20"/>
          <w:color w:val="auto"/>
        </w:rPr>
      </w:pPr>
      <w:r>
        <w:rPr>
          <w:rFonts w:ascii="Times New Roman" w:cs="Times New Roman" w:eastAsia="Times New Roman" w:hAnsi="Times New Roman"/>
          <w:sz w:val="19"/>
          <w:szCs w:val="19"/>
          <w:color w:val="auto"/>
        </w:rPr>
        <w:t>In 2024, 2023 and 2022, the Company recognized 54%, 54% and 58%, respectively, of its revenue over time as control of the services and goods transferred to the customer. The remaining 46%, 46% and 42%, respectively, of revenue was recognized at a point in time, when the customer obtained control of the promised goods.</w:t>
      </w:r>
    </w:p>
    <w:p>
      <w:pPr>
        <w:spacing w:after="0" w:line="242" w:lineRule="exact"/>
        <w:rPr>
          <w:sz w:val="20"/>
          <w:szCs w:val="20"/>
          <w:color w:val="auto"/>
        </w:rPr>
      </w:pPr>
    </w:p>
    <w:p>
      <w:pPr>
        <w:jc w:val="both"/>
        <w:ind w:left="120" w:right="125" w:hanging="8"/>
        <w:spacing w:after="0" w:line="258" w:lineRule="auto"/>
        <w:rPr>
          <w:sz w:val="20"/>
          <w:szCs w:val="20"/>
          <w:color w:val="auto"/>
        </w:rPr>
      </w:pPr>
      <w:r>
        <w:rPr>
          <w:rFonts w:ascii="Times New Roman" w:cs="Times New Roman" w:eastAsia="Times New Roman" w:hAnsi="Times New Roman"/>
          <w:sz w:val="19"/>
          <w:szCs w:val="19"/>
          <w:color w:val="auto"/>
        </w:rPr>
        <w:t>The determination of the method by which the Company measures its progress towards the satisfaction of its performance obligations requires judgment and is described in the Summary of Significant Accounting Policies (Note 2).</w:t>
      </w:r>
    </w:p>
    <w:p>
      <w:pPr>
        <w:spacing w:after="0" w:line="234"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Contract Assets. As of December 31, 2024, the Company recognized a total contract asset of $36.6 million related to a contract at a Kaplan International business, of which $1.9 million is included in Other current assets and $34.7 mi llion is included in Deferred Charges and Other Assets. The Company expects to recognize an additional $266.3 million related to the remaining performance obligation in the contract over the next five years. As of December 31, 2023, the contract asset was $39.8 million. Additional contract assets of $3.1 million are included in Other current assets on the Company's Consolidated Balance Sheet as of December 31, 2024.</w:t>
      </w:r>
    </w:p>
    <w:p>
      <w:pPr>
        <w:spacing w:after="0" w:line="238" w:lineRule="exact"/>
        <w:rPr>
          <w:sz w:val="20"/>
          <w:szCs w:val="20"/>
          <w:color w:val="auto"/>
        </w:rPr>
      </w:pPr>
    </w:p>
    <w:p>
      <w:pPr>
        <w:jc w:val="both"/>
        <w:ind w:left="120" w:right="125" w:firstLine="1"/>
        <w:spacing w:after="0" w:line="259" w:lineRule="auto"/>
        <w:rPr>
          <w:sz w:val="20"/>
          <w:szCs w:val="20"/>
          <w:color w:val="auto"/>
        </w:rPr>
      </w:pPr>
      <w:r>
        <w:rPr>
          <w:rFonts w:ascii="Times New Roman" w:cs="Times New Roman" w:eastAsia="Times New Roman" w:hAnsi="Times New Roman"/>
          <w:sz w:val="19"/>
          <w:szCs w:val="19"/>
          <w:color w:val="auto"/>
        </w:rPr>
        <w:t>Deferred Revenue. The Company records deferred revenue when cash payments are received or due in advance of the Company's performance which includes some payments that are refundable due to the contractual right of the customer to cancel the agreement. As of December 31, 2024 and 2023, 19% and 20%, respectively, of the Company's deferred revenue consisted of prepaid amounts which are refundable. The following table presents the change in the Company's deferred revenue balance during the year ended December 3 [ , 2024:</w:t>
      </w:r>
    </w:p>
    <w:p>
      <w:pPr>
        <w:spacing w:after="0" w:line="187"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40" w:type="dxa"/>
            <w:vAlign w:val="bottom"/>
          </w:tcPr>
          <w:p>
            <w:pPr>
              <w:spacing w:after="0"/>
              <w:rPr>
                <w:sz w:val="16"/>
                <w:szCs w:val="16"/>
                <w:color w:val="auto"/>
              </w:rPr>
            </w:pPr>
          </w:p>
        </w:tc>
        <w:tc>
          <w:tcPr>
            <w:tcW w:w="2660" w:type="dxa"/>
            <w:vAlign w:val="bottom"/>
          </w:tcPr>
          <w:p>
            <w:pPr>
              <w:spacing w:after="0"/>
              <w:rPr>
                <w:sz w:val="16"/>
                <w:szCs w:val="16"/>
                <w:color w:val="auto"/>
              </w:rPr>
            </w:pPr>
          </w:p>
        </w:tc>
        <w:tc>
          <w:tcPr>
            <w:tcW w:w="170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As of December 31</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40" w:type="dxa"/>
            <w:vAlign w:val="bottom"/>
          </w:tcPr>
          <w:p>
            <w:pPr>
              <w:spacing w:after="0"/>
              <w:rPr>
                <w:sz w:val="2"/>
                <w:szCs w:val="2"/>
                <w:color w:val="auto"/>
              </w:rPr>
            </w:pPr>
          </w:p>
        </w:tc>
        <w:tc>
          <w:tcPr>
            <w:tcW w:w="2660" w:type="dxa"/>
            <w:vAlign w:val="bottom"/>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180" w:type="dxa"/>
            <w:vAlign w:val="bottom"/>
            <w:tcBorders>
              <w:bottom w:val="single" w:sz="8" w:color="181414"/>
            </w:tcBorders>
          </w:tcPr>
          <w:p>
            <w:pPr>
              <w:spacing w:after="0"/>
              <w:rPr>
                <w:sz w:val="2"/>
                <w:szCs w:val="2"/>
                <w:color w:val="auto"/>
              </w:rPr>
            </w:pPr>
          </w:p>
        </w:tc>
        <w:tc>
          <w:tcPr>
            <w:tcW w:w="760" w:type="dxa"/>
            <w:vAlign w:val="bottom"/>
            <w:tcBorders>
              <w:bottom w:val="single" w:sz="8" w:color="181414"/>
            </w:tcBorders>
          </w:tcPr>
          <w:p>
            <w:pPr>
              <w:spacing w:after="0"/>
              <w:rPr>
                <w:sz w:val="2"/>
                <w:szCs w:val="2"/>
                <w:color w:val="auto"/>
              </w:rPr>
            </w:pPr>
          </w:p>
        </w:tc>
        <w:tc>
          <w:tcPr>
            <w:tcW w:w="720" w:type="dxa"/>
            <w:vAlign w:val="bottom"/>
            <w:gridSpan w:val="2"/>
            <w:vMerge w:val="restart"/>
          </w:tcPr>
          <w:p>
            <w:pPr>
              <w:ind w:left="40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5"/>
        </w:trPr>
        <w:tc>
          <w:tcPr>
            <w:tcW w:w="4040" w:type="dxa"/>
            <w:vAlign w:val="bottom"/>
          </w:tcPr>
          <w:p>
            <w:pPr>
              <w:spacing w:after="0"/>
              <w:rPr>
                <w:sz w:val="15"/>
                <w:szCs w:val="15"/>
                <w:color w:val="auto"/>
              </w:rPr>
            </w:pPr>
          </w:p>
        </w:tc>
        <w:tc>
          <w:tcPr>
            <w:tcW w:w="26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4040" w:type="dxa"/>
            <w:vAlign w:val="bottom"/>
          </w:tcPr>
          <w:p>
            <w:pPr>
              <w:spacing w:after="0" w:line="173" w:lineRule="exact"/>
              <w:rPr>
                <w:sz w:val="20"/>
                <w:szCs w:val="20"/>
                <w:color w:val="auto"/>
              </w:rPr>
            </w:pPr>
            <w:r>
              <w:rPr>
                <w:rFonts w:ascii="Times New Roman" w:cs="Times New Roman" w:eastAsia="Times New Roman" w:hAnsi="Times New Roman"/>
                <w:sz w:val="16"/>
                <w:szCs w:val="16"/>
                <w:color w:val="auto"/>
              </w:rPr>
              <w:t>(in lbousands)</w:t>
            </w:r>
          </w:p>
        </w:tc>
        <w:tc>
          <w:tcPr>
            <w:tcW w:w="3420" w:type="dxa"/>
            <w:vAlign w:val="bottom"/>
            <w:gridSpan w:val="2"/>
          </w:tcPr>
          <w:p>
            <w:pPr>
              <w:jc w:val="right"/>
              <w:ind w:right="142"/>
              <w:spacing w:after="0" w:line="173" w:lineRule="exact"/>
              <w:rPr>
                <w:sz w:val="20"/>
                <w:szCs w:val="20"/>
                <w:color w:val="auto"/>
              </w:rPr>
            </w:pPr>
            <w:r>
              <w:rPr>
                <w:rFonts w:ascii="Times New Roman" w:cs="Times New Roman" w:eastAsia="Times New Roman" w:hAnsi="Times New Roman"/>
                <w:sz w:val="16"/>
                <w:szCs w:val="16"/>
                <w:color w:val="auto"/>
              </w:rPr>
              <w:t>2024</w:t>
            </w:r>
          </w:p>
        </w:tc>
        <w:tc>
          <w:tcPr>
            <w:tcW w:w="940" w:type="dxa"/>
            <w:vAlign w:val="bottom"/>
            <w:gridSpan w:val="2"/>
          </w:tcPr>
          <w:p>
            <w:pPr>
              <w:jc w:val="right"/>
              <w:ind w:right="220"/>
              <w:spacing w:after="0" w:line="173" w:lineRule="exact"/>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5"/>
                <w:szCs w:val="15"/>
                <w:color w:val="auto"/>
              </w:rPr>
            </w:pPr>
          </w:p>
        </w:tc>
        <w:tc>
          <w:tcPr>
            <w:tcW w:w="700" w:type="dxa"/>
            <w:vAlign w:val="bottom"/>
          </w:tcPr>
          <w:p>
            <w:pPr>
              <w:ind w:left="180"/>
              <w:spacing w:after="0" w:line="173" w:lineRule="exact"/>
              <w:rPr>
                <w:sz w:val="20"/>
                <w:szCs w:val="20"/>
                <w:color w:val="auto"/>
              </w:rPr>
            </w:pPr>
            <w:r>
              <w:rPr>
                <w:rFonts w:ascii="Times New Roman" w:cs="Times New Roman" w:eastAsia="Times New Roman" w:hAnsi="Times New Roman"/>
                <w:sz w:val="16"/>
                <w:szCs w:val="16"/>
                <w:color w:val="auto"/>
                <w:w w:val="94"/>
              </w:rPr>
              <w:t>Cha nge</w:t>
            </w:r>
          </w:p>
        </w:tc>
        <w:tc>
          <w:tcPr>
            <w:tcW w:w="0" w:type="dxa"/>
            <w:vAlign w:val="bottom"/>
          </w:tcPr>
          <w:p>
            <w:pPr>
              <w:spacing w:after="0"/>
              <w:rPr>
                <w:sz w:val="1"/>
                <w:szCs w:val="1"/>
                <w:color w:val="auto"/>
              </w:rPr>
            </w:pPr>
          </w:p>
        </w:tc>
      </w:tr>
      <w:tr>
        <w:trPr>
          <w:trHeight w:val="41"/>
        </w:trPr>
        <w:tc>
          <w:tcPr>
            <w:tcW w:w="4040" w:type="dxa"/>
            <w:vAlign w:val="bottom"/>
          </w:tcPr>
          <w:p>
            <w:pPr>
              <w:spacing w:after="0"/>
              <w:rPr>
                <w:sz w:val="3"/>
                <w:szCs w:val="3"/>
                <w:color w:val="auto"/>
              </w:rPr>
            </w:pPr>
          </w:p>
        </w:tc>
        <w:tc>
          <w:tcPr>
            <w:tcW w:w="2660" w:type="dxa"/>
            <w:vAlign w:val="bottom"/>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760" w:type="dxa"/>
            <w:vAlign w:val="bottom"/>
            <w:tcBorders>
              <w:bottom w:val="single" w:sz="8" w:color="403C3C"/>
            </w:tcBorders>
          </w:tcPr>
          <w:p>
            <w:pPr>
              <w:spacing w:after="0"/>
              <w:rPr>
                <w:sz w:val="3"/>
                <w:szCs w:val="3"/>
                <w:color w:val="auto"/>
              </w:rPr>
            </w:pPr>
          </w:p>
        </w:tc>
        <w:tc>
          <w:tcPr>
            <w:tcW w:w="20" w:type="dxa"/>
            <w:vAlign w:val="bottom"/>
            <w:tcBorders>
              <w:bottom w:val="single" w:sz="8" w:color="403C3C"/>
            </w:tcBorders>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9"/>
        </w:trPr>
        <w:tc>
          <w:tcPr>
            <w:tcW w:w="4040" w:type="dxa"/>
            <w:vAlign w:val="bottom"/>
          </w:tcPr>
          <w:p>
            <w:pPr>
              <w:spacing w:after="0"/>
              <w:rPr>
                <w:sz w:val="20"/>
                <w:szCs w:val="20"/>
                <w:color w:val="auto"/>
              </w:rPr>
            </w:pPr>
            <w:r>
              <w:rPr>
                <w:rFonts w:ascii="Times New Roman" w:cs="Times New Roman" w:eastAsia="Times New Roman" w:hAnsi="Times New Roman"/>
                <w:sz w:val="19"/>
                <w:szCs w:val="19"/>
                <w:color w:val="auto"/>
              </w:rPr>
              <w:t>Deferred revenue</w:t>
            </w:r>
          </w:p>
        </w:tc>
        <w:tc>
          <w:tcPr>
            <w:tcW w:w="34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$397,435</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$400,347</w:t>
            </w:r>
          </w:p>
        </w:tc>
        <w:tc>
          <w:tcPr>
            <w:tcW w:w="20" w:type="dxa"/>
            <w:vAlign w:val="bottom"/>
          </w:tcPr>
          <w:p>
            <w:pPr>
              <w:spacing w:after="0"/>
              <w:rPr>
                <w:sz w:val="22"/>
                <w:szCs w:val="22"/>
                <w:color w:val="auto"/>
              </w:rPr>
            </w:pPr>
          </w:p>
        </w:tc>
        <w:tc>
          <w:tcPr>
            <w:tcW w:w="700" w:type="dxa"/>
            <w:vAlign w:val="bottom"/>
          </w:tcPr>
          <w:p>
            <w:pPr>
              <w:ind w:left="360"/>
              <w:spacing w:after="0"/>
              <w:rPr>
                <w:sz w:val="20"/>
                <w:szCs w:val="20"/>
                <w:color w:val="auto"/>
              </w:rPr>
            </w:pPr>
            <w:r>
              <w:rPr>
                <w:rFonts w:ascii="Arial" w:cs="Arial" w:eastAsia="Arial" w:hAnsi="Arial"/>
                <w:sz w:val="18"/>
                <w:szCs w:val="18"/>
                <w:color w:val="auto"/>
              </w:rPr>
              <w:t>(I)</w:t>
            </w:r>
          </w:p>
        </w:tc>
        <w:tc>
          <w:tcPr>
            <w:tcW w:w="0" w:type="dxa"/>
            <w:vAlign w:val="bottom"/>
          </w:tcPr>
          <w:p>
            <w:pPr>
              <w:spacing w:after="0"/>
              <w:rPr>
                <w:sz w:val="1"/>
                <w:szCs w:val="1"/>
                <w:color w:val="auto"/>
              </w:rPr>
            </w:pPr>
          </w:p>
        </w:tc>
      </w:tr>
    </w:tbl>
    <w:p>
      <w:pPr>
        <w:spacing w:after="0" w:line="256" w:lineRule="exact"/>
        <w:rPr>
          <w:sz w:val="20"/>
          <w:szCs w:val="20"/>
          <w:color w:val="auto"/>
        </w:rPr>
      </w:pPr>
    </w:p>
    <w:p>
      <w:pPr>
        <w:jc w:val="both"/>
        <w:ind w:left="120" w:right="105" w:hanging="9"/>
        <w:spacing w:after="0" w:line="259" w:lineRule="auto"/>
        <w:rPr>
          <w:sz w:val="20"/>
          <w:szCs w:val="20"/>
          <w:color w:val="auto"/>
        </w:rPr>
      </w:pPr>
      <w:r>
        <w:rPr>
          <w:rFonts w:ascii="Times New Roman" w:cs="Times New Roman" w:eastAsia="Times New Roman" w:hAnsi="Times New Roman"/>
          <w:sz w:val="19"/>
          <w:szCs w:val="19"/>
          <w:color w:val="auto"/>
        </w:rPr>
        <w:t>In April 2020, GHG received $3 1.5 million under the expanded Medicare Accelerated and Advanced Payment Program modified by the CARES Act as a result of COVID-19. The Department of Health and Human Services began to recoup this ad vance 365 days after the payment was issued. The advance had been recouped in full as of December 31, 2022. For the year ended December 31, 2022, GHG recognized $12.6 million of the balance in revenue for claims submitted for eligible services.</w:t>
      </w:r>
    </w:p>
    <w:p>
      <w:pPr>
        <w:spacing w:after="0" w:line="252" w:lineRule="exact"/>
        <w:rPr>
          <w:sz w:val="20"/>
          <w:szCs w:val="20"/>
          <w:color w:val="auto"/>
        </w:rPr>
      </w:pPr>
    </w:p>
    <w:p>
      <w:pPr>
        <w:jc w:val="both"/>
        <w:ind w:left="120" w:right="125" w:firstLine="11"/>
        <w:spacing w:after="0" w:line="257" w:lineRule="auto"/>
        <w:rPr>
          <w:sz w:val="20"/>
          <w:szCs w:val="20"/>
          <w:color w:val="auto"/>
        </w:rPr>
      </w:pPr>
      <w:r>
        <w:rPr>
          <w:rFonts w:ascii="Times New Roman" w:cs="Times New Roman" w:eastAsia="Times New Roman" w:hAnsi="Times New Roman"/>
          <w:sz w:val="19"/>
          <w:szCs w:val="19"/>
          <w:color w:val="auto"/>
        </w:rPr>
        <w:t>During the year ended December 31, 2024, the Company recognized $355.4 million from the Company's deferred revenue balance as of December 31, 2023, including $66.8 million of prepaid amounts which were refundable at the prior year-end.</w:t>
      </w:r>
    </w:p>
    <w:p>
      <w:pPr>
        <w:spacing w:after="0" w:line="236" w:lineRule="exact"/>
        <w:rPr>
          <w:sz w:val="20"/>
          <w:szCs w:val="20"/>
          <w:color w:val="auto"/>
        </w:rPr>
      </w:pPr>
    </w:p>
    <w:p>
      <w:pPr>
        <w:jc w:val="both"/>
        <w:ind w:left="120" w:right="125" w:firstLine="12"/>
        <w:spacing w:after="0" w:line="261" w:lineRule="auto"/>
        <w:rPr>
          <w:sz w:val="20"/>
          <w:szCs w:val="20"/>
          <w:color w:val="auto"/>
        </w:rPr>
      </w:pPr>
      <w:r>
        <w:rPr>
          <w:rFonts w:ascii="Times New Roman" w:cs="Times New Roman" w:eastAsia="Times New Roman" w:hAnsi="Times New Roman"/>
          <w:sz w:val="19"/>
          <w:szCs w:val="19"/>
          <w:color w:val="auto"/>
        </w:rPr>
        <w:t>Revernue allocated to remaining performance obligations represents deferred revenue amounts that will be recognized as revenue in future periods. As of December 3l, 2024, the deferred revenue balance related to certain medical and nursing qualifications with an original contract length greater than 12 months at Kaplan Supplemental Education was $5.4 million. Kaplan Supplemental Education expects to recognize 64% of this revenue over the next 12 months and the remainder thereafter.</w:t>
      </w:r>
    </w:p>
    <w:p>
      <w:pPr>
        <w:sectPr>
          <w:pgSz w:w="12240" w:h="15850" w:orient="portrait"/>
          <w:cols w:equalWidth="0" w:num="1">
            <w:col w:w="9365"/>
          </w:cols>
          <w:pgMar w:left="1440" w:top="1386" w:right="1440" w:bottom="721" w:gutter="0" w:footer="0" w:header="0"/>
        </w:sectPr>
      </w:pPr>
    </w:p>
    <w:p>
      <w:pPr>
        <w:spacing w:after="0" w:line="200" w:lineRule="exact"/>
        <w:rPr>
          <w:sz w:val="20"/>
          <w:szCs w:val="20"/>
          <w:color w:val="auto"/>
        </w:rPr>
      </w:pPr>
    </w:p>
    <w:p>
      <w:pPr>
        <w:spacing w:after="0" w:line="299"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125</w:t>
      </w:r>
    </w:p>
    <w:p>
      <w:pPr>
        <w:sectPr>
          <w:pgSz w:w="12240" w:h="15850" w:orient="portrait"/>
          <w:cols w:equalWidth="0" w:num="1">
            <w:col w:w="9365"/>
          </w:cols>
          <w:pgMar w:left="1440" w:top="1386" w:right="1440" w:bottom="721" w:gutter="0" w:footer="0" w:header="0"/>
          <w:type w:val="continuous"/>
        </w:sectPr>
      </w:pPr>
    </w:p>
    <w:bookmarkStart w:id="141" w:name="page142"/>
    <w:bookmarkEnd w:id="141"/>
    <w:p>
      <w:pPr>
        <w:jc w:val="both"/>
        <w:ind w:left="120" w:right="125"/>
        <w:spacing w:after="0" w:line="242"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Costs to </w:t>
      </w:r>
      <w:r>
        <w:rPr>
          <w:rFonts w:ascii="Times New Roman" w:cs="Times New Roman" w:eastAsia="Times New Roman" w:hAnsi="Times New Roman"/>
          <w:sz w:val="20"/>
          <w:szCs w:val="20"/>
          <w:color w:val="auto"/>
        </w:rPr>
        <w:t>Obtain</w:t>
      </w:r>
      <w:r>
        <w:rPr>
          <w:rFonts w:ascii="Times New Roman" w:cs="Times New Roman" w:eastAsia="Times New Roman" w:hAnsi="Times New Roman"/>
          <w:sz w:val="19"/>
          <w:szCs w:val="19"/>
          <w:color w:val="auto"/>
        </w:rPr>
        <w:t xml:space="preserve"> a Contract. The following table presents changes in the Company's costs to obtain a contract asset:</w:t>
      </w:r>
    </w:p>
    <w:p>
      <w:pPr>
        <w:spacing w:after="0" w:line="200" w:lineRule="exact"/>
        <w:rPr>
          <w:sz w:val="20"/>
          <w:szCs w:val="20"/>
          <w:color w:val="auto"/>
        </w:rPr>
      </w:pP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Costs</w:t>
            </w:r>
          </w:p>
        </w:tc>
        <w:tc>
          <w:tcPr>
            <w:tcW w:w="2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Less: Costs</w:t>
            </w:r>
          </w:p>
        </w:tc>
        <w:tc>
          <w:tcPr>
            <w:tcW w:w="86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Balance</w:t>
            </w:r>
          </w:p>
        </w:tc>
      </w:tr>
      <w:tr>
        <w:trPr>
          <w:trHeight w:val="153"/>
        </w:trPr>
        <w:tc>
          <w:tcPr>
            <w:tcW w:w="2960" w:type="dxa"/>
            <w:vAlign w:val="bottom"/>
          </w:tcPr>
          <w:p>
            <w:pPr>
              <w:spacing w:after="0"/>
              <w:rPr>
                <w:sz w:val="13"/>
                <w:szCs w:val="13"/>
                <w:color w:val="auto"/>
              </w:rPr>
            </w:pPr>
          </w:p>
        </w:tc>
        <w:tc>
          <w:tcPr>
            <w:tcW w:w="2720" w:type="dxa"/>
            <w:vAlign w:val="bottom"/>
            <w:gridSpan w:val="2"/>
          </w:tcPr>
          <w:p>
            <w:pPr>
              <w:jc w:val="center"/>
              <w:ind w:left="1921"/>
              <w:spacing w:after="0" w:line="153" w:lineRule="exact"/>
              <w:rPr>
                <w:sz w:val="20"/>
                <w:szCs w:val="20"/>
                <w:color w:val="auto"/>
              </w:rPr>
            </w:pPr>
            <w:r>
              <w:rPr>
                <w:rFonts w:ascii="Times New Roman" w:cs="Times New Roman" w:eastAsia="Times New Roman" w:hAnsi="Times New Roman"/>
                <w:sz w:val="16"/>
                <w:szCs w:val="16"/>
                <w:color w:val="auto"/>
              </w:rPr>
              <w:t>Bala nce at</w:t>
            </w:r>
          </w:p>
        </w:tc>
        <w:tc>
          <w:tcPr>
            <w:tcW w:w="940" w:type="dxa"/>
            <w:vAlign w:val="bottom"/>
            <w:gridSpan w:val="2"/>
          </w:tcPr>
          <w:p>
            <w:pPr>
              <w:jc w:val="center"/>
              <w:ind w:left="101"/>
              <w:spacing w:after="0" w:line="153" w:lineRule="exact"/>
              <w:rPr>
                <w:sz w:val="20"/>
                <w:szCs w:val="20"/>
                <w:color w:val="auto"/>
              </w:rPr>
            </w:pPr>
            <w:r>
              <w:rPr>
                <w:rFonts w:ascii="Times New Roman" w:cs="Times New Roman" w:eastAsia="Times New Roman" w:hAnsi="Times New Roman"/>
                <w:sz w:val="16"/>
                <w:szCs w:val="16"/>
                <w:color w:val="auto"/>
              </w:rPr>
              <w:t>Associated</w:t>
            </w:r>
          </w:p>
        </w:tc>
        <w:tc>
          <w:tcPr>
            <w:tcW w:w="20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Amortized</w:t>
            </w:r>
          </w:p>
        </w:tc>
        <w:tc>
          <w:tcPr>
            <w:tcW w:w="860" w:type="dxa"/>
            <w:vAlign w:val="bottom"/>
          </w:tcPr>
          <w:p>
            <w:pPr>
              <w:spacing w:after="0"/>
              <w:rPr>
                <w:sz w:val="13"/>
                <w:szCs w:val="13"/>
                <w:color w:val="auto"/>
              </w:rPr>
            </w:pPr>
          </w:p>
        </w:tc>
        <w:tc>
          <w:tcPr>
            <w:tcW w:w="64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at</w:t>
            </w:r>
          </w:p>
        </w:tc>
      </w:tr>
      <w:tr>
        <w:trPr>
          <w:trHeight w:val="162"/>
        </w:trPr>
        <w:tc>
          <w:tcPr>
            <w:tcW w:w="29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w w:val="98"/>
              </w:rPr>
              <w:t>Begiinning</w:t>
            </w:r>
          </w:p>
        </w:tc>
        <w:tc>
          <w:tcPr>
            <w:tcW w:w="200" w:type="dxa"/>
            <w:vAlign w:val="bottom"/>
          </w:tcPr>
          <w:p>
            <w:pPr>
              <w:spacing w:after="0"/>
              <w:rPr>
                <w:sz w:val="14"/>
                <w:szCs w:val="14"/>
                <w:color w:val="auto"/>
              </w:rPr>
            </w:pPr>
          </w:p>
        </w:tc>
        <w:tc>
          <w:tcPr>
            <w:tcW w:w="7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with New</w:t>
            </w:r>
          </w:p>
        </w:tc>
        <w:tc>
          <w:tcPr>
            <w:tcW w:w="2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During the</w:t>
            </w:r>
          </w:p>
        </w:tc>
        <w:tc>
          <w:tcPr>
            <w:tcW w:w="860" w:type="dxa"/>
            <w:vAlign w:val="bottom"/>
          </w:tcPr>
          <w:p>
            <w:pPr>
              <w:spacing w:after="0"/>
              <w:rPr>
                <w:sz w:val="14"/>
                <w:szCs w:val="14"/>
                <w:color w:val="auto"/>
              </w:rPr>
            </w:pPr>
          </w:p>
        </w:tc>
        <w:tc>
          <w:tcPr>
            <w:tcW w:w="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End of</w:t>
            </w:r>
          </w:p>
        </w:tc>
      </w:tr>
      <w:tr>
        <w:trPr>
          <w:trHeight w:val="174"/>
        </w:trPr>
        <w:tc>
          <w:tcPr>
            <w:tcW w:w="2960" w:type="dxa"/>
            <w:vAlign w:val="bottom"/>
          </w:tcPr>
          <w:p>
            <w:pPr>
              <w:spacing w:after="0"/>
              <w:rPr>
                <w:sz w:val="20"/>
                <w:szCs w:val="20"/>
                <w:color w:val="auto"/>
              </w:rPr>
            </w:pPr>
            <w:r>
              <w:rPr>
                <w:rFonts w:ascii="Arial" w:cs="Arial" w:eastAsia="Arial" w:hAnsi="Arial"/>
                <w:sz w:val="14"/>
                <w:szCs w:val="14"/>
                <w:color w:val="auto"/>
              </w:rPr>
              <w:t xml:space="preserve">(in </w:t>
            </w:r>
            <w:r>
              <w:rPr>
                <w:rFonts w:ascii="Times New Roman" w:cs="Times New Roman" w:eastAsia="Times New Roman" w:hAnsi="Times New Roman"/>
                <w:sz w:val="15"/>
                <w:szCs w:val="15"/>
                <w:color w:val="auto"/>
              </w:rPr>
              <w:t>thousands)</w:t>
            </w:r>
          </w:p>
        </w:tc>
        <w:tc>
          <w:tcPr>
            <w:tcW w:w="2000" w:type="dxa"/>
            <w:vAlign w:val="bottom"/>
          </w:tcPr>
          <w:p>
            <w:pPr>
              <w:spacing w:after="0"/>
              <w:rPr>
                <w:sz w:val="15"/>
                <w:szCs w:val="15"/>
                <w:color w:val="auto"/>
              </w:rPr>
            </w:pPr>
          </w:p>
        </w:tc>
        <w:tc>
          <w:tcPr>
            <w:tcW w:w="7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of Year</w:t>
            </w:r>
          </w:p>
        </w:tc>
        <w:tc>
          <w:tcPr>
            <w:tcW w:w="200" w:type="dxa"/>
            <w:vAlign w:val="bottom"/>
          </w:tcPr>
          <w:p>
            <w:pPr>
              <w:spacing w:after="0"/>
              <w:rPr>
                <w:sz w:val="15"/>
                <w:szCs w:val="15"/>
                <w:color w:val="auto"/>
              </w:rPr>
            </w:pPr>
          </w:p>
        </w:tc>
        <w:tc>
          <w:tcPr>
            <w:tcW w:w="7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Contracts</w:t>
            </w:r>
          </w:p>
        </w:tc>
        <w:tc>
          <w:tcPr>
            <w:tcW w:w="200" w:type="dxa"/>
            <w:vAlign w:val="bottom"/>
          </w:tcPr>
          <w:p>
            <w:pPr>
              <w:spacing w:after="0"/>
              <w:rPr>
                <w:sz w:val="15"/>
                <w:szCs w:val="15"/>
                <w:color w:val="auto"/>
              </w:rPr>
            </w:pPr>
          </w:p>
        </w:tc>
        <w:tc>
          <w:tcPr>
            <w:tcW w:w="80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Year</w:t>
            </w:r>
          </w:p>
        </w:tc>
        <w:tc>
          <w:tcPr>
            <w:tcW w:w="860" w:type="dxa"/>
            <w:vAlign w:val="bottom"/>
          </w:tcPr>
          <w:p>
            <w:pPr>
              <w:ind w:left="220"/>
              <w:spacing w:after="0" w:line="174" w:lineRule="exact"/>
              <w:rPr>
                <w:sz w:val="20"/>
                <w:szCs w:val="20"/>
                <w:color w:val="auto"/>
              </w:rPr>
            </w:pPr>
            <w:r>
              <w:rPr>
                <w:rFonts w:ascii="Times New Roman" w:cs="Times New Roman" w:eastAsia="Times New Roman" w:hAnsi="Times New Roman"/>
                <w:sz w:val="16"/>
                <w:szCs w:val="16"/>
                <w:color w:val="auto"/>
              </w:rPr>
              <w:t>Other</w:t>
            </w:r>
          </w:p>
        </w:tc>
        <w:tc>
          <w:tcPr>
            <w:tcW w:w="6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Year</w:t>
            </w:r>
          </w:p>
        </w:tc>
      </w:tr>
      <w:tr>
        <w:trPr>
          <w:trHeight w:val="33"/>
        </w:trPr>
        <w:tc>
          <w:tcPr>
            <w:tcW w:w="29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720" w:type="dxa"/>
            <w:vAlign w:val="bottom"/>
            <w:tcBorders>
              <w:bottom w:val="single" w:sz="8" w:color="181818"/>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Borders>
              <w:bottom w:val="single" w:sz="8" w:color="141414"/>
            </w:tcBorders>
          </w:tcPr>
          <w:p>
            <w:pPr>
              <w:spacing w:after="0"/>
              <w:rPr>
                <w:sz w:val="2"/>
                <w:szCs w:val="2"/>
                <w:color w:val="auto"/>
              </w:rPr>
            </w:pPr>
          </w:p>
        </w:tc>
        <w:tc>
          <w:tcPr>
            <w:tcW w:w="860" w:type="dxa"/>
            <w:vAlign w:val="bottom"/>
          </w:tcPr>
          <w:p>
            <w:pPr>
              <w:spacing w:after="0"/>
              <w:rPr>
                <w:sz w:val="2"/>
                <w:szCs w:val="2"/>
                <w:color w:val="auto"/>
              </w:rPr>
            </w:pPr>
          </w:p>
        </w:tc>
        <w:tc>
          <w:tcPr>
            <w:tcW w:w="640" w:type="dxa"/>
            <w:vAlign w:val="bottom"/>
            <w:tcBorders>
              <w:bottom w:val="single" w:sz="8" w:color="181818"/>
            </w:tcBorders>
          </w:tcPr>
          <w:p>
            <w:pPr>
              <w:spacing w:after="0"/>
              <w:rPr>
                <w:sz w:val="2"/>
                <w:szCs w:val="2"/>
                <w:color w:val="auto"/>
              </w:rPr>
            </w:pPr>
          </w:p>
        </w:tc>
      </w:tr>
    </w:tbl>
    <w:p>
      <w:pPr>
        <w:spacing w:after="0" w:line="6" w:lineRule="exact"/>
        <w:rPr>
          <w:sz w:val="20"/>
          <w:szCs w:val="20"/>
          <w:color w:val="auto"/>
        </w:rPr>
      </w:pPr>
    </w:p>
    <w:tbl>
      <w:tblPr>
        <w:tblLayout w:type="fixed"/>
        <w:tblInd w:w="120" w:type="dxa"/>
        <w:tblCellMar>
          <w:top w:w="0" w:type="dxa"/>
          <w:left w:w="0" w:type="dxa"/>
          <w:bottom w:w="0" w:type="dxa"/>
          <w:right w:w="0" w:type="dxa"/>
        </w:tblCellMar>
      </w:tblPr>
      <w:tr>
        <w:trPr>
          <w:trHeight w:val="277"/>
        </w:trPr>
        <w:tc>
          <w:tcPr>
            <w:tcW w:w="460" w:type="dxa"/>
            <w:vAlign w:val="bottom"/>
          </w:tcPr>
          <w:p>
            <w:pPr>
              <w:spacing w:after="0"/>
              <w:rPr>
                <w:sz w:val="20"/>
                <w:szCs w:val="20"/>
                <w:color w:val="auto"/>
              </w:rPr>
            </w:pPr>
            <w:r>
              <w:rPr>
                <w:rFonts w:ascii="Times New Roman" w:cs="Times New Roman" w:eastAsia="Times New Roman" w:hAnsi="Times New Roman"/>
                <w:sz w:val="20"/>
                <w:szCs w:val="20"/>
                <w:color w:val="auto"/>
              </w:rPr>
              <w:t>2024</w:t>
            </w:r>
          </w:p>
        </w:tc>
        <w:tc>
          <w:tcPr>
            <w:tcW w:w="4420" w:type="dxa"/>
            <w:vAlign w:val="bottom"/>
          </w:tcPr>
          <w:p>
            <w:pPr>
              <w:ind w:left="60"/>
              <w:spacing w:after="0"/>
              <w:rPr>
                <w:sz w:val="20"/>
                <w:szCs w:val="20"/>
                <w:color w:val="auto"/>
              </w:rPr>
            </w:pPr>
            <w:r>
              <w:rPr>
                <w:rFonts w:ascii="Arial" w:cs="Arial" w:eastAsia="Arial" w:hAnsi="Arial"/>
                <w:sz w:val="18"/>
                <w:szCs w:val="18"/>
                <w:color w:val="auto"/>
              </w:rPr>
              <w:t xml:space="preserve">............ . </w:t>
            </w:r>
            <w:r>
              <w:rPr>
                <w:rFonts w:ascii="Times New Roman" w:cs="Times New Roman" w:eastAsia="Times New Roman" w:hAnsi="Times New Roman"/>
                <w:sz w:val="24"/>
                <w:szCs w:val="24"/>
                <w:color w:val="auto"/>
              </w:rPr>
              <w:t>-</w:t>
            </w:r>
            <w:r>
              <w:rPr>
                <w:rFonts w:ascii="Arial" w:cs="Arial" w:eastAsia="Arial" w:hAnsi="Arial"/>
                <w:sz w:val="18"/>
                <w:szCs w:val="18"/>
                <w:color w:val="auto"/>
              </w:rPr>
              <w:t>..... ..... .. ..... . ........ .. .</w:t>
            </w:r>
          </w:p>
        </w:tc>
        <w:tc>
          <w:tcPr>
            <w:tcW w:w="90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$41,634</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$99,588</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$(101,914)</w:t>
            </w:r>
          </w:p>
        </w:tc>
        <w:tc>
          <w:tcPr>
            <w:tcW w:w="660" w:type="dxa"/>
            <w:vAlign w:val="bottom"/>
          </w:tcPr>
          <w:p>
            <w:pPr>
              <w:jc w:val="right"/>
              <w:ind w:right="23"/>
              <w:spacing w:after="0"/>
              <w:rPr>
                <w:sz w:val="20"/>
                <w:szCs w:val="20"/>
                <w:color w:val="auto"/>
              </w:rPr>
            </w:pPr>
            <w:r>
              <w:rPr>
                <w:rFonts w:ascii="Times New Roman" w:cs="Times New Roman" w:eastAsia="Times New Roman" w:hAnsi="Times New Roman"/>
                <w:sz w:val="20"/>
                <w:szCs w:val="20"/>
                <w:color w:val="auto"/>
              </w:rPr>
              <w:t>2,813</w:t>
            </w: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$42,121</w:t>
            </w:r>
          </w:p>
        </w:tc>
      </w:tr>
      <w:tr>
        <w:trPr>
          <w:trHeight w:val="201"/>
        </w:trPr>
        <w:tc>
          <w:tcPr>
            <w:tcW w:w="460" w:type="dxa"/>
            <w:vAlign w:val="bottom"/>
          </w:tcPr>
          <w:p>
            <w:pPr>
              <w:spacing w:after="0" w:line="202" w:lineRule="exact"/>
              <w:rPr>
                <w:sz w:val="20"/>
                <w:szCs w:val="20"/>
                <w:color w:val="auto"/>
              </w:rPr>
            </w:pPr>
            <w:r>
              <w:rPr>
                <w:rFonts w:ascii="Times New Roman" w:cs="Times New Roman" w:eastAsia="Times New Roman" w:hAnsi="Times New Roman"/>
                <w:sz w:val="19"/>
                <w:szCs w:val="19"/>
                <w:color w:val="auto"/>
              </w:rPr>
              <w:t>2023</w:t>
            </w:r>
          </w:p>
        </w:tc>
        <w:tc>
          <w:tcPr>
            <w:tcW w:w="4420" w:type="dxa"/>
            <w:vAlign w:val="bottom"/>
          </w:tcPr>
          <w:p>
            <w:pPr>
              <w:ind w:left="60"/>
              <w:spacing w:after="0"/>
              <w:rPr>
                <w:sz w:val="20"/>
                <w:szCs w:val="20"/>
                <w:color w:val="auto"/>
              </w:rPr>
            </w:pPr>
            <w:r>
              <w:rPr>
                <w:rFonts w:ascii="Times New Roman" w:cs="Times New Roman" w:eastAsia="Times New Roman" w:hAnsi="Times New Roman"/>
                <w:sz w:val="3"/>
                <w:szCs w:val="3"/>
                <w:color w:val="auto"/>
              </w:rPr>
              <w:t>•••••••0•••••-•••••••••••••••••••••••••••••</w:t>
            </w:r>
          </w:p>
        </w:tc>
        <w:tc>
          <w:tcPr>
            <w:tcW w:w="900" w:type="dxa"/>
            <w:vAlign w:val="bottom"/>
          </w:tcPr>
          <w:p>
            <w:pPr>
              <w:jc w:val="right"/>
              <w:ind w:right="43"/>
              <w:spacing w:after="0" w:line="202" w:lineRule="exact"/>
              <w:rPr>
                <w:sz w:val="20"/>
                <w:szCs w:val="20"/>
                <w:color w:val="auto"/>
              </w:rPr>
            </w:pPr>
            <w:r>
              <w:rPr>
                <w:rFonts w:ascii="Times New Roman" w:cs="Times New Roman" w:eastAsia="Times New Roman" w:hAnsi="Times New Roman"/>
                <w:sz w:val="19"/>
                <w:szCs w:val="19"/>
                <w:color w:val="auto"/>
              </w:rPr>
              <w:t>31,647</w:t>
            </w:r>
          </w:p>
        </w:tc>
        <w:tc>
          <w:tcPr>
            <w:tcW w:w="900" w:type="dxa"/>
            <w:vAlign w:val="bottom"/>
          </w:tcPr>
          <w:p>
            <w:pPr>
              <w:jc w:val="right"/>
              <w:ind w:right="23"/>
              <w:spacing w:after="0" w:line="202" w:lineRule="exact"/>
              <w:rPr>
                <w:sz w:val="20"/>
                <w:szCs w:val="20"/>
                <w:color w:val="auto"/>
              </w:rPr>
            </w:pPr>
            <w:r>
              <w:rPr>
                <w:rFonts w:ascii="Times New Roman" w:cs="Times New Roman" w:eastAsia="Times New Roman" w:hAnsi="Times New Roman"/>
                <w:sz w:val="19"/>
                <w:szCs w:val="19"/>
                <w:color w:val="auto"/>
              </w:rPr>
              <w:t>98,527</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(90,839)</w:t>
            </w:r>
          </w:p>
        </w:tc>
        <w:tc>
          <w:tcPr>
            <w:tcW w:w="660" w:type="dxa"/>
            <w:vAlign w:val="bottom"/>
          </w:tcPr>
          <w:p>
            <w:pPr>
              <w:jc w:val="right"/>
              <w:ind w:right="23"/>
              <w:spacing w:after="0" w:line="202" w:lineRule="exact"/>
              <w:rPr>
                <w:sz w:val="20"/>
                <w:szCs w:val="20"/>
                <w:color w:val="auto"/>
              </w:rPr>
            </w:pPr>
            <w:r>
              <w:rPr>
                <w:rFonts w:ascii="Times New Roman" w:cs="Times New Roman" w:eastAsia="Times New Roman" w:hAnsi="Times New Roman"/>
                <w:sz w:val="19"/>
                <w:szCs w:val="19"/>
                <w:color w:val="auto"/>
              </w:rPr>
              <w:t>2,299</w:t>
            </w:r>
          </w:p>
        </w:tc>
        <w:tc>
          <w:tcPr>
            <w:tcW w:w="720" w:type="dxa"/>
            <w:vAlign w:val="bottom"/>
          </w:tcPr>
          <w:p>
            <w:pPr>
              <w:jc w:val="right"/>
              <w:spacing w:after="0" w:line="202" w:lineRule="exact"/>
              <w:rPr>
                <w:sz w:val="20"/>
                <w:szCs w:val="20"/>
                <w:color w:val="auto"/>
              </w:rPr>
            </w:pPr>
            <w:r>
              <w:rPr>
                <w:rFonts w:ascii="Times New Roman" w:cs="Times New Roman" w:eastAsia="Times New Roman" w:hAnsi="Times New Roman"/>
                <w:sz w:val="19"/>
                <w:szCs w:val="19"/>
                <w:color w:val="auto"/>
              </w:rPr>
              <w:t>41,634</w:t>
            </w:r>
          </w:p>
        </w:tc>
      </w:tr>
      <w:tr>
        <w:trPr>
          <w:trHeight w:val="275"/>
        </w:trPr>
        <w:tc>
          <w:tcPr>
            <w:tcW w:w="460" w:type="dxa"/>
            <w:vAlign w:val="bottom"/>
          </w:tcPr>
          <w:p>
            <w:pPr>
              <w:spacing w:after="0"/>
              <w:rPr>
                <w:sz w:val="20"/>
                <w:szCs w:val="20"/>
                <w:color w:val="auto"/>
              </w:rPr>
            </w:pPr>
            <w:r>
              <w:rPr>
                <w:rFonts w:ascii="Times New Roman" w:cs="Times New Roman" w:eastAsia="Times New Roman" w:hAnsi="Times New Roman"/>
                <w:sz w:val="19"/>
                <w:szCs w:val="19"/>
                <w:color w:val="auto"/>
              </w:rPr>
              <w:t>2022</w:t>
            </w:r>
          </w:p>
        </w:tc>
        <w:tc>
          <w:tcPr>
            <w:tcW w:w="4420" w:type="dxa"/>
            <w:vAlign w:val="bottom"/>
          </w:tcPr>
          <w:p>
            <w:pPr>
              <w:ind w:left="60"/>
              <w:spacing w:after="0" w:line="275" w:lineRule="exact"/>
              <w:rPr>
                <w:sz w:val="20"/>
                <w:szCs w:val="20"/>
                <w:color w:val="auto"/>
              </w:rPr>
            </w:pPr>
            <w:r>
              <w:rPr>
                <w:rFonts w:ascii="Arial" w:cs="Arial" w:eastAsia="Arial" w:hAnsi="Arial"/>
                <w:sz w:val="18"/>
                <w:szCs w:val="18"/>
                <w:color w:val="auto"/>
              </w:rPr>
              <w:t xml:space="preserve">.. . ......... . </w:t>
            </w:r>
            <w:r>
              <w:rPr>
                <w:rFonts w:ascii="Times New Roman" w:cs="Times New Roman" w:eastAsia="Times New Roman" w:hAnsi="Times New Roman"/>
                <w:sz w:val="24"/>
                <w:szCs w:val="24"/>
                <w:color w:val="auto"/>
              </w:rPr>
              <w:t>-</w:t>
            </w:r>
            <w:r>
              <w:rPr>
                <w:rFonts w:ascii="Arial" w:cs="Arial" w:eastAsia="Arial" w:hAnsi="Arial"/>
                <w:sz w:val="18"/>
                <w:szCs w:val="18"/>
                <w:color w:val="auto"/>
              </w:rPr>
              <w:t>......... . ...... ... .... ......</w:t>
            </w:r>
          </w:p>
        </w:tc>
        <w:tc>
          <w:tcPr>
            <w:tcW w:w="900" w:type="dxa"/>
            <w:vAlign w:val="bottom"/>
          </w:tcPr>
          <w:p>
            <w:pPr>
              <w:jc w:val="right"/>
              <w:ind w:right="63"/>
              <w:spacing w:after="0"/>
              <w:rPr>
                <w:sz w:val="20"/>
                <w:szCs w:val="20"/>
                <w:color w:val="auto"/>
              </w:rPr>
            </w:pPr>
            <w:r>
              <w:rPr>
                <w:rFonts w:ascii="Times New Roman" w:cs="Times New Roman" w:eastAsia="Times New Roman" w:hAnsi="Times New Roman"/>
                <w:sz w:val="19"/>
                <w:szCs w:val="19"/>
                <w:color w:val="auto"/>
              </w:rPr>
              <w:t>26,081</w:t>
            </w:r>
          </w:p>
        </w:tc>
        <w:tc>
          <w:tcPr>
            <w:tcW w:w="900" w:type="dxa"/>
            <w:vAlign w:val="bottom"/>
          </w:tcPr>
          <w:p>
            <w:pPr>
              <w:jc w:val="right"/>
              <w:ind w:right="23"/>
              <w:spacing w:after="0"/>
              <w:rPr>
                <w:sz w:val="20"/>
                <w:szCs w:val="20"/>
                <w:color w:val="auto"/>
              </w:rPr>
            </w:pPr>
            <w:r>
              <w:rPr>
                <w:rFonts w:ascii="Times New Roman" w:cs="Times New Roman" w:eastAsia="Times New Roman" w:hAnsi="Times New Roman"/>
                <w:sz w:val="19"/>
                <w:szCs w:val="19"/>
                <w:color w:val="auto"/>
              </w:rPr>
              <w:t>72,606</w:t>
            </w:r>
          </w:p>
        </w:tc>
        <w:tc>
          <w:tcPr>
            <w:tcW w:w="10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(66,064)</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(976)</w:t>
            </w:r>
          </w:p>
        </w:tc>
        <w:tc>
          <w:tcPr>
            <w:tcW w:w="7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31,647</w:t>
            </w:r>
          </w:p>
        </w:tc>
      </w:tr>
    </w:tbl>
    <w:p>
      <w:pPr>
        <w:spacing w:after="0" w:line="261" w:lineRule="exact"/>
        <w:rPr>
          <w:sz w:val="20"/>
          <w:szCs w:val="20"/>
          <w:color w:val="auto"/>
        </w:rPr>
      </w:pPr>
    </w:p>
    <w:p>
      <w:pPr>
        <w:jc w:val="both"/>
        <w:ind w:left="120" w:right="125"/>
        <w:spacing w:after="0" w:line="253" w:lineRule="auto"/>
        <w:rPr>
          <w:sz w:val="20"/>
          <w:szCs w:val="20"/>
          <w:color w:val="auto"/>
        </w:rPr>
      </w:pPr>
      <w:r>
        <w:rPr>
          <w:rFonts w:ascii="Times New Roman" w:cs="Times New Roman" w:eastAsia="Times New Roman" w:hAnsi="Times New Roman"/>
          <w:sz w:val="19"/>
          <w:szCs w:val="19"/>
          <w:color w:val="auto"/>
        </w:rPr>
        <w:t>The majority of other activity was related to currency translation adjustments and other adjustments in 2024, 2023 and 2022.</w:t>
      </w:r>
    </w:p>
    <w:p>
      <w:pPr>
        <w:spacing w:after="0" w:line="24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14. CAPITAL STOCK, STOCK AWARDS AND STOCK OPTIONS</w:t>
      </w:r>
    </w:p>
    <w:p>
      <w:pPr>
        <w:spacing w:after="0" w:line="149" w:lineRule="exact"/>
        <w:rPr>
          <w:sz w:val="20"/>
          <w:szCs w:val="20"/>
          <w:color w:val="auto"/>
        </w:rPr>
      </w:pPr>
    </w:p>
    <w:p>
      <w:pPr>
        <w:jc w:val="both"/>
        <w:ind w:left="120" w:right="105" w:firstLine="9"/>
        <w:spacing w:after="0" w:line="261" w:lineRule="auto"/>
        <w:rPr>
          <w:sz w:val="20"/>
          <w:szCs w:val="20"/>
          <w:color w:val="auto"/>
        </w:rPr>
      </w:pPr>
      <w:r>
        <w:rPr>
          <w:rFonts w:ascii="Times New Roman" w:cs="Times New Roman" w:eastAsia="Times New Roman" w:hAnsi="Times New Roman"/>
          <w:sz w:val="19"/>
          <w:szCs w:val="19"/>
          <w:color w:val="auto"/>
        </w:rPr>
        <w:t>Capital Stock. Each share of Class A common stock and Class B common stock participates equally in dividends. The C lass B stock has limited voting rights and, as a class, has the rig!ht to e lect 30% of the Board of Directors; the C lass A stock has unlimited voting rights, including the right to elect a majority of the Board of Directors.</w:t>
      </w:r>
    </w:p>
    <w:p>
      <w:pPr>
        <w:spacing w:after="0" w:line="200" w:lineRule="exact"/>
        <w:rPr>
          <w:sz w:val="20"/>
          <w:szCs w:val="20"/>
          <w:color w:val="auto"/>
        </w:rPr>
      </w:pPr>
    </w:p>
    <w:p>
      <w:pPr>
        <w:spacing w:after="0" w:line="279" w:lineRule="exact"/>
        <w:rPr>
          <w:sz w:val="20"/>
          <w:szCs w:val="20"/>
          <w:color w:val="auto"/>
        </w:rPr>
      </w:pPr>
    </w:p>
    <w:p>
      <w:pPr>
        <w:jc w:val="both"/>
        <w:ind w:left="120" w:right="105" w:firstLine="12"/>
        <w:spacing w:after="0" w:line="262" w:lineRule="auto"/>
        <w:rPr>
          <w:sz w:val="20"/>
          <w:szCs w:val="20"/>
          <w:color w:val="auto"/>
        </w:rPr>
      </w:pPr>
      <w:r>
        <w:rPr>
          <w:rFonts w:ascii="Times New Roman" w:cs="Times New Roman" w:eastAsia="Times New Roman" w:hAnsi="Times New Roman"/>
          <w:sz w:val="19"/>
          <w:szCs w:val="19"/>
          <w:color w:val="auto"/>
        </w:rPr>
        <w:t>During 2024, 2023 and 2022 the Company purchased a total of 152,948, 325,134 and 121,761 shares, respectively, of its Class B common stock at a cost of approximately $ 11 5.2 million, $195.0 million and $7 1.4 million, respectively, including commissions and excise taxes. On September 12, 2024, the Board of Directors authorized the Company to purchase up to 500,000 shares of its Class B common stock. This authorization includes shares that remained under the previous authorization. The Company did not announce a ceiling price or time limit for the purchases. At December 31, 2024, the Company had remaining authorization from the Board of Directors to purchase up to 466,460 shares of C lass B common stock.</w:t>
      </w:r>
    </w:p>
    <w:p>
      <w:pPr>
        <w:spacing w:after="0" w:line="257" w:lineRule="exact"/>
        <w:rPr>
          <w:sz w:val="20"/>
          <w:szCs w:val="20"/>
          <w:color w:val="auto"/>
        </w:rPr>
      </w:pPr>
    </w:p>
    <w:p>
      <w:pPr>
        <w:jc w:val="both"/>
        <w:ind w:left="120" w:right="125" w:hanging="1"/>
        <w:spacing w:after="0" w:line="260" w:lineRule="auto"/>
        <w:rPr>
          <w:sz w:val="20"/>
          <w:szCs w:val="20"/>
          <w:color w:val="auto"/>
        </w:rPr>
      </w:pPr>
      <w:r>
        <w:rPr>
          <w:rFonts w:ascii="Times New Roman" w:cs="Times New Roman" w:eastAsia="Times New Roman" w:hAnsi="Times New Roman"/>
          <w:sz w:val="19"/>
          <w:szCs w:val="19"/>
          <w:color w:val="auto"/>
        </w:rPr>
        <w:t xml:space="preserve">Stock Awards. In 2012, the Company adopted an incentive compensation plan (the 2012 Plan), which, among other provisions, authorizes the awarding of Class B common stock to key employees in the form of stock awards, stock options and other awards involving the issuance of shares. Stock awards made under the 2012 Plan are primarily subject to the general restriction that stock awarded to a participant will be forfeited and revert to Company ownership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participant's employment terminates lbefore the end of a specified period of service to the Company. At December 31, 2024, there were </w:t>
      </w:r>
      <w:r>
        <w:rPr>
          <w:rFonts w:ascii="Arial" w:cs="Arial" w:eastAsia="Arial" w:hAnsi="Arial"/>
          <w:sz w:val="18"/>
          <w:szCs w:val="18"/>
          <w:color w:val="auto"/>
        </w:rPr>
        <w:t>I</w:t>
      </w:r>
      <w:r>
        <w:rPr>
          <w:rFonts w:ascii="Times New Roman" w:cs="Times New Roman" w:eastAsia="Times New Roman" w:hAnsi="Times New Roman"/>
          <w:sz w:val="19"/>
          <w:szCs w:val="19"/>
          <w:color w:val="auto"/>
        </w:rPr>
        <w:t xml:space="preserve"> 12,556 shares reserved for issuance under the 20 12 Plan, which were all subject to stock awards and stock options outstanding.</w:t>
      </w:r>
    </w:p>
    <w:p>
      <w:pPr>
        <w:spacing w:after="0" w:line="259" w:lineRule="exact"/>
        <w:rPr>
          <w:sz w:val="20"/>
          <w:szCs w:val="20"/>
          <w:color w:val="auto"/>
        </w:rPr>
      </w:pPr>
    </w:p>
    <w:p>
      <w:pPr>
        <w:jc w:val="both"/>
        <w:ind w:left="120" w:right="125" w:firstLine="10"/>
        <w:spacing w:after="0" w:line="263" w:lineRule="auto"/>
        <w:rPr>
          <w:sz w:val="20"/>
          <w:szCs w:val="20"/>
          <w:color w:val="auto"/>
        </w:rPr>
      </w:pPr>
      <w:r>
        <w:rPr>
          <w:rFonts w:ascii="Times New Roman" w:cs="Times New Roman" w:eastAsia="Times New Roman" w:hAnsi="Times New Roman"/>
          <w:sz w:val="19"/>
          <w:szCs w:val="19"/>
          <w:color w:val="auto"/>
        </w:rPr>
        <w:t>In 2022, the Company adopted a new incentive compensation plan (the 2022 Plan), which, among other provis ions, authorizes the awarding of Class B common stock to key employees and non-employee Directors in the form of stock awards, stock options and other awards involving the issuance of shares. All stock awards, stock optio ns and other awards involving the issuance of shares issued subsequent to the adoption of this plan are covered under this new incentive compensation plan. Stock awards made under the 2022 Plan are primarily subject to the general restriction that stock awarded to a participant will be forfeited and revert to Company ownership if the participant's employment terminates before the end of a specified period of service to the Company. The number of Class B common shares authorized for issuance under the 2022 Plan is 500,000 shares. At December 3 1, 2024, there were 498,310 shares reserved for issuance under the 2022 Plan. Of this number, 15,545 shares were subject to stock awards and 482,765 shares were available for f uture awards.</w:t>
      </w:r>
    </w:p>
    <w:p>
      <w:pPr>
        <w:sectPr>
          <w:pgSz w:w="12240" w:h="15850" w:orient="portrait"/>
          <w:cols w:equalWidth="0" w:num="1">
            <w:col w:w="9365"/>
          </w:cols>
          <w:pgMar w:left="1440" w:top="1377"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126</w:t>
        <w:tab/>
        <w:t>2024 FORM 10-K</w:t>
      </w:r>
    </w:p>
    <w:p>
      <w:pPr>
        <w:sectPr>
          <w:pgSz w:w="12240" w:h="15850" w:orient="portrait"/>
          <w:cols w:equalWidth="0" w:num="1">
            <w:col w:w="9365"/>
          </w:cols>
          <w:pgMar w:left="1440" w:top="1377" w:right="1440" w:bottom="721" w:gutter="0" w:footer="0" w:header="0"/>
          <w:type w:val="continuous"/>
        </w:sectPr>
      </w:pPr>
    </w:p>
    <w:bookmarkStart w:id="142" w:name="page143"/>
    <w:bookmarkEnd w:id="142"/>
    <w:p>
      <w:pPr>
        <w:jc w:val="both"/>
        <w:ind w:left="120" w:right="125"/>
        <w:spacing w:after="0" w:line="238" w:lineRule="auto"/>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5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Activity related to stock awards under these incentive compensation plans for the year ended December 31, 2024 was as follows:</w:t>
      </w:r>
    </w:p>
    <w:p>
      <w:pPr>
        <w:spacing w:after="0" w:line="230"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color w:val="auto"/>
              </w:rPr>
              <w:t>Average</w:t>
            </w:r>
          </w:p>
        </w:tc>
      </w:tr>
      <w:tr>
        <w:trPr>
          <w:trHeight w:val="162"/>
        </w:trPr>
        <w:tc>
          <w:tcPr>
            <w:tcW w:w="4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color w:val="auto"/>
              </w:rPr>
              <w:t>G rant-</w:t>
            </w:r>
          </w:p>
        </w:tc>
      </w:tr>
      <w:tr>
        <w:trPr>
          <w:trHeight w:val="153"/>
        </w:trPr>
        <w:tc>
          <w:tcPr>
            <w:tcW w:w="4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gridSpan w:val="2"/>
          </w:tcPr>
          <w:p>
            <w:pPr>
              <w:jc w:val="center"/>
              <w:ind w:right="20"/>
              <w:spacing w:after="0" w:line="153" w:lineRule="exact"/>
              <w:rPr>
                <w:sz w:val="20"/>
                <w:szCs w:val="20"/>
                <w:color w:val="auto"/>
              </w:rPr>
            </w:pPr>
            <w:r>
              <w:rPr>
                <w:rFonts w:ascii="Times New Roman" w:cs="Times New Roman" w:eastAsia="Times New Roman" w:hAnsi="Times New Roman"/>
                <w:sz w:val="16"/>
                <w:szCs w:val="16"/>
                <w:color w:val="auto"/>
              </w:rPr>
              <w:t>Date</w:t>
            </w:r>
          </w:p>
        </w:tc>
      </w:tr>
      <w:tr>
        <w:trPr>
          <w:trHeight w:val="162"/>
        </w:trPr>
        <w:tc>
          <w:tcPr>
            <w:tcW w:w="4880" w:type="dxa"/>
            <w:vAlign w:val="bottom"/>
          </w:tcPr>
          <w:p>
            <w:pPr>
              <w:spacing w:after="0"/>
              <w:rPr>
                <w:sz w:val="14"/>
                <w:szCs w:val="14"/>
                <w:color w:val="auto"/>
              </w:rPr>
            </w:pPr>
          </w:p>
        </w:tc>
        <w:tc>
          <w:tcPr>
            <w:tcW w:w="1040" w:type="dxa"/>
            <w:vAlign w:val="bottom"/>
            <w:gridSpan w:val="3"/>
          </w:tcPr>
          <w:p>
            <w:pPr>
              <w:jc w:val="center"/>
              <w:spacing w:after="0" w:line="162" w:lineRule="exact"/>
              <w:rPr>
                <w:sz w:val="20"/>
                <w:szCs w:val="20"/>
                <w:color w:val="auto"/>
              </w:rPr>
            </w:pPr>
            <w:r>
              <w:rPr>
                <w:rFonts w:ascii="Times New Roman" w:cs="Times New Roman" w:eastAsia="Times New Roman" w:hAnsi="Times New Roman"/>
                <w:sz w:val="16"/>
                <w:szCs w:val="16"/>
                <w:color w:val="auto"/>
              </w:rPr>
              <w:t>Number of</w:t>
            </w:r>
          </w:p>
        </w:tc>
        <w:tc>
          <w:tcPr>
            <w:tcW w:w="160" w:type="dxa"/>
            <w:vAlign w:val="bottom"/>
          </w:tcPr>
          <w:p>
            <w:pPr>
              <w:spacing w:after="0"/>
              <w:rPr>
                <w:sz w:val="14"/>
                <w:szCs w:val="14"/>
                <w:color w:val="auto"/>
              </w:rPr>
            </w:pPr>
          </w:p>
        </w:tc>
        <w:tc>
          <w:tcPr>
            <w:tcW w:w="660" w:type="dxa"/>
            <w:vAlign w:val="bottom"/>
            <w:gridSpan w:val="2"/>
          </w:tcPr>
          <w:p>
            <w:pPr>
              <w:jc w:val="center"/>
              <w:ind w:right="40"/>
              <w:spacing w:after="0" w:line="162" w:lineRule="exact"/>
              <w:rPr>
                <w:sz w:val="20"/>
                <w:szCs w:val="20"/>
                <w:color w:val="auto"/>
              </w:rPr>
            </w:pPr>
            <w:r>
              <w:rPr>
                <w:rFonts w:ascii="Times New Roman" w:cs="Times New Roman" w:eastAsia="Times New Roman" w:hAnsi="Times New Roman"/>
                <w:sz w:val="16"/>
                <w:szCs w:val="16"/>
                <w:color w:val="auto"/>
              </w:rPr>
              <w:t>Fair</w:t>
            </w:r>
          </w:p>
        </w:tc>
      </w:tr>
      <w:tr>
        <w:trPr>
          <w:trHeight w:val="179"/>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2"/>
          </w:tcPr>
          <w:p>
            <w:pPr>
              <w:jc w:val="center"/>
              <w:ind w:right="160"/>
              <w:spacing w:after="0" w:line="179" w:lineRule="exact"/>
              <w:rPr>
                <w:sz w:val="20"/>
                <w:szCs w:val="20"/>
                <w:color w:val="auto"/>
              </w:rPr>
            </w:pPr>
            <w:r>
              <w:rPr>
                <w:rFonts w:ascii="Times New Roman" w:cs="Times New Roman" w:eastAsia="Times New Roman" w:hAnsi="Times New Roman"/>
                <w:sz w:val="16"/>
                <w:szCs w:val="16"/>
                <w:color w:val="auto"/>
              </w:rPr>
              <w:t>Shares</w:t>
            </w:r>
          </w:p>
        </w:tc>
        <w:tc>
          <w:tcPr>
            <w:tcW w:w="160" w:type="dxa"/>
            <w:vAlign w:val="bottom"/>
          </w:tcPr>
          <w:p>
            <w:pPr>
              <w:spacing w:after="0"/>
              <w:rPr>
                <w:sz w:val="15"/>
                <w:szCs w:val="15"/>
                <w:color w:val="auto"/>
              </w:rPr>
            </w:pPr>
          </w:p>
        </w:tc>
        <w:tc>
          <w:tcPr>
            <w:tcW w:w="660" w:type="dxa"/>
            <w:vAlign w:val="bottom"/>
            <w:gridSpan w:val="2"/>
          </w:tcPr>
          <w:p>
            <w:pPr>
              <w:jc w:val="center"/>
              <w:ind w:right="20"/>
              <w:spacing w:after="0" w:line="179" w:lineRule="exact"/>
              <w:rPr>
                <w:sz w:val="20"/>
                <w:szCs w:val="20"/>
                <w:color w:val="auto"/>
              </w:rPr>
            </w:pPr>
            <w:r>
              <w:rPr>
                <w:rFonts w:ascii="Times New Roman" w:cs="Times New Roman" w:eastAsia="Times New Roman" w:hAnsi="Times New Roman"/>
                <w:sz w:val="16"/>
                <w:szCs w:val="16"/>
                <w:color w:val="auto"/>
              </w:rPr>
              <w:t>Value</w:t>
            </w:r>
          </w:p>
        </w:tc>
      </w:tr>
      <w:tr>
        <w:trPr>
          <w:trHeight w:val="32"/>
        </w:trPr>
        <w:tc>
          <w:tcPr>
            <w:tcW w:w="4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Borders>
              <w:bottom w:val="single" w:sz="8" w:color="302C30"/>
            </w:tcBorders>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Borders>
              <w:bottom w:val="single" w:sz="8" w:color="302C30"/>
            </w:tcBorders>
          </w:tcPr>
          <w:p>
            <w:pPr>
              <w:spacing w:after="0"/>
              <w:rPr>
                <w:sz w:val="2"/>
                <w:szCs w:val="2"/>
                <w:color w:val="auto"/>
              </w:rPr>
            </w:pPr>
          </w:p>
        </w:tc>
        <w:tc>
          <w:tcPr>
            <w:tcW w:w="20" w:type="dxa"/>
            <w:vAlign w:val="bottom"/>
          </w:tcPr>
          <w:p>
            <w:pPr>
              <w:spacing w:after="0"/>
              <w:rPr>
                <w:sz w:val="2"/>
                <w:szCs w:val="2"/>
                <w:color w:val="auto"/>
              </w:rPr>
            </w:pPr>
          </w:p>
        </w:tc>
      </w:tr>
      <w:tr>
        <w:trPr>
          <w:trHeight w:val="271"/>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year, unvested  .......... . .. . .. . . .... . .</w:t>
            </w: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20"/>
                <w:szCs w:val="20"/>
                <w:color w:val="auto"/>
              </w:rPr>
              <w:t>29,649</w:t>
            </w:r>
          </w:p>
        </w:tc>
        <w:tc>
          <w:tcPr>
            <w:tcW w:w="140" w:type="dxa"/>
            <w:vAlign w:val="bottom"/>
          </w:tcPr>
          <w:p>
            <w:pPr>
              <w:spacing w:after="0"/>
              <w:rPr>
                <w:sz w:val="23"/>
                <w:szCs w:val="23"/>
                <w:color w:val="auto"/>
              </w:rPr>
            </w:pPr>
          </w:p>
        </w:tc>
        <w:tc>
          <w:tcPr>
            <w:tcW w:w="820" w:type="dxa"/>
            <w:vAlign w:val="bottom"/>
            <w:gridSpan w:val="3"/>
          </w:tcPr>
          <w:p>
            <w:pPr>
              <w:jc w:val="center"/>
              <w:ind w:left="42"/>
              <w:spacing w:after="0"/>
              <w:rPr>
                <w:sz w:val="20"/>
                <w:szCs w:val="20"/>
                <w:color w:val="auto"/>
              </w:rPr>
            </w:pPr>
            <w:r>
              <w:rPr>
                <w:rFonts w:ascii="Times New Roman" w:cs="Times New Roman" w:eastAsia="Times New Roman" w:hAnsi="Times New Roman"/>
                <w:sz w:val="20"/>
                <w:szCs w:val="20"/>
                <w:color w:val="auto"/>
                <w:w w:val="97"/>
              </w:rPr>
              <w:t>$57 1.11</w:t>
            </w: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Awarded  . ...... . .............. . .. . .. ....... . .. .</w:t>
            </w: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20"/>
                <w:szCs w:val="20"/>
                <w:color w:val="auto"/>
              </w:rPr>
              <w:t>1,088</w:t>
            </w:r>
          </w:p>
        </w:tc>
        <w:tc>
          <w:tcPr>
            <w:tcW w:w="14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8"/>
              </w:rPr>
              <w:t>715.43</w:t>
            </w:r>
          </w:p>
        </w:tc>
        <w:tc>
          <w:tcPr>
            <w:tcW w:w="20" w:type="dxa"/>
            <w:vAlign w:val="bottom"/>
          </w:tcPr>
          <w:p>
            <w:pPr>
              <w:spacing w:after="0"/>
              <w:rPr>
                <w:sz w:val="20"/>
                <w:szCs w:val="20"/>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Vested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(386)</w:t>
            </w:r>
          </w:p>
        </w:tc>
        <w:tc>
          <w:tcPr>
            <w:tcW w:w="14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8"/>
              </w:rPr>
              <w:t>623.03</w:t>
            </w:r>
          </w:p>
        </w:tc>
        <w:tc>
          <w:tcPr>
            <w:tcW w:w="20" w:type="dxa"/>
            <w:vAlign w:val="bottom"/>
          </w:tcPr>
          <w:p>
            <w:pPr>
              <w:spacing w:after="0"/>
              <w:rPr>
                <w:sz w:val="20"/>
                <w:szCs w:val="20"/>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Forfeited  . . .. . . .... . .......... . ... . .. . .... .. ... .</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(1,037)</w:t>
            </w:r>
          </w:p>
        </w:tc>
        <w:tc>
          <w:tcPr>
            <w:tcW w:w="140" w:type="dxa"/>
            <w:vAlign w:val="bottom"/>
          </w:tcPr>
          <w:p>
            <w:pPr>
              <w:spacing w:after="0"/>
              <w:rPr>
                <w:sz w:val="20"/>
                <w:szCs w:val="20"/>
                <w:color w:val="auto"/>
              </w:rPr>
            </w:pPr>
          </w:p>
        </w:tc>
        <w:tc>
          <w:tcPr>
            <w:tcW w:w="8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w w:val="98"/>
              </w:rPr>
              <w:t>584.01</w:t>
            </w:r>
          </w:p>
        </w:tc>
        <w:tc>
          <w:tcPr>
            <w:tcW w:w="20" w:type="dxa"/>
            <w:vAlign w:val="bottom"/>
          </w:tcPr>
          <w:p>
            <w:pPr>
              <w:spacing w:after="0"/>
              <w:rPr>
                <w:sz w:val="20"/>
                <w:szCs w:val="20"/>
                <w:color w:val="auto"/>
              </w:rPr>
            </w:pPr>
          </w:p>
        </w:tc>
      </w:tr>
      <w:tr>
        <w:trPr>
          <w:trHeight w:val="324"/>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 xml:space="preserve">E nd </w:t>
            </w:r>
            <w:r>
              <w:rPr>
                <w:rFonts w:ascii="Times New Roman" w:cs="Times New Roman" w:eastAsia="Times New Roman" w:hAnsi="Times New Roman"/>
                <w:sz w:val="18"/>
                <w:szCs w:val="18"/>
                <w:color w:val="auto"/>
              </w:rPr>
              <w:t>of</w:t>
            </w:r>
            <w:r>
              <w:rPr>
                <w:rFonts w:ascii="Times New Roman" w:cs="Times New Roman" w:eastAsia="Times New Roman" w:hAnsi="Times New Roman"/>
                <w:sz w:val="20"/>
                <w:szCs w:val="20"/>
                <w:color w:val="auto"/>
              </w:rPr>
              <w:t xml:space="preserve"> Year, unvested . ....... .... . . . .... . . . ... . . .</w:t>
            </w:r>
          </w:p>
        </w:tc>
        <w:tc>
          <w:tcPr>
            <w:tcW w:w="900" w:type="dxa"/>
            <w:vAlign w:val="bottom"/>
            <w:gridSpan w:val="2"/>
          </w:tcPr>
          <w:p>
            <w:pPr>
              <w:jc w:val="right"/>
              <w:ind w:right="19"/>
              <w:spacing w:after="0"/>
              <w:rPr>
                <w:sz w:val="20"/>
                <w:szCs w:val="20"/>
                <w:color w:val="auto"/>
              </w:rPr>
            </w:pPr>
            <w:r>
              <w:rPr>
                <w:rFonts w:ascii="Times New Roman" w:cs="Times New Roman" w:eastAsia="Times New Roman" w:hAnsi="Times New Roman"/>
                <w:sz w:val="20"/>
                <w:szCs w:val="20"/>
                <w:color w:val="auto"/>
              </w:rPr>
              <w:t>29,314</w:t>
            </w:r>
          </w:p>
        </w:tc>
        <w:tc>
          <w:tcPr>
            <w:tcW w:w="140" w:type="dxa"/>
            <w:vAlign w:val="bottom"/>
          </w:tcPr>
          <w:p>
            <w:pPr>
              <w:spacing w:after="0"/>
              <w:rPr>
                <w:sz w:val="24"/>
                <w:szCs w:val="24"/>
                <w:color w:val="auto"/>
              </w:rPr>
            </w:pPr>
          </w:p>
        </w:tc>
        <w:tc>
          <w:tcPr>
            <w:tcW w:w="820" w:type="dxa"/>
            <w:vAlign w:val="bottom"/>
            <w:gridSpan w:val="3"/>
          </w:tcPr>
          <w:p>
            <w:pPr>
              <w:ind w:left="240"/>
              <w:spacing w:after="0"/>
              <w:rPr>
                <w:sz w:val="20"/>
                <w:szCs w:val="20"/>
                <w:color w:val="auto"/>
              </w:rPr>
            </w:pPr>
            <w:r>
              <w:rPr>
                <w:rFonts w:ascii="Times New Roman" w:cs="Times New Roman" w:eastAsia="Times New Roman" w:hAnsi="Times New Roman"/>
                <w:sz w:val="20"/>
                <w:szCs w:val="20"/>
                <w:color w:val="auto"/>
              </w:rPr>
              <w:t>575.33</w:t>
            </w:r>
          </w:p>
        </w:tc>
      </w:tr>
    </w:tbl>
    <w:p>
      <w:pPr>
        <w:ind w:left="6420"/>
        <w:spacing w:after="0" w:line="201" w:lineRule="auto"/>
        <w:rPr>
          <w:sz w:val="20"/>
          <w:szCs w:val="20"/>
          <w:color w:val="auto"/>
        </w:rPr>
      </w:pPr>
      <w:r>
        <w:rPr>
          <w:rFonts w:ascii="Times New Roman" w:cs="Times New Roman" w:eastAsia="Times New Roman" w:hAnsi="Times New Roman"/>
          <w:sz w:val="25"/>
          <w:szCs w:val="25"/>
          <w:color w:val="auto"/>
        </w:rPr>
        <w:t>---</w:t>
      </w:r>
    </w:p>
    <w:p>
      <w:pPr>
        <w:spacing w:after="0" w:line="247" w:lineRule="exact"/>
        <w:rPr>
          <w:sz w:val="20"/>
          <w:szCs w:val="20"/>
          <w:color w:val="auto"/>
        </w:rPr>
      </w:pPr>
    </w:p>
    <w:p>
      <w:pPr>
        <w:jc w:val="both"/>
        <w:ind w:left="120" w:right="105" w:firstLine="2"/>
        <w:spacing w:after="0" w:line="244" w:lineRule="auto"/>
        <w:rPr>
          <w:sz w:val="20"/>
          <w:szCs w:val="20"/>
          <w:color w:val="auto"/>
        </w:rPr>
      </w:pPr>
      <w:r>
        <w:rPr>
          <w:rFonts w:ascii="Times New Roman" w:cs="Times New Roman" w:eastAsia="Times New Roman" w:hAnsi="Times New Roman"/>
          <w:sz w:val="20"/>
          <w:szCs w:val="20"/>
          <w:color w:val="auto"/>
        </w:rPr>
        <w:t>For the share awards outstanding at December 31, 2024, the aforementioned restriction is expected to lapse in 2025 for 12,769 shares and 2027 for 16,545 shares. Also, early in 2025, the Company issued stock awards of 11,386 shares. Stock-based compensation costs resulting from Company stock awards were $4.0 million, $3.9 million and $3.4 million in 2024, 2023 and 2022, respectively.</w:t>
      </w:r>
    </w:p>
    <w:p>
      <w:pPr>
        <w:spacing w:after="0" w:line="295" w:lineRule="exact"/>
        <w:rPr>
          <w:sz w:val="20"/>
          <w:szCs w:val="20"/>
          <w:color w:val="auto"/>
        </w:rPr>
      </w:pPr>
    </w:p>
    <w:p>
      <w:pPr>
        <w:jc w:val="both"/>
        <w:ind w:left="120" w:right="105" w:firstLine="2"/>
        <w:spacing w:after="0" w:line="247" w:lineRule="auto"/>
        <w:rPr>
          <w:sz w:val="20"/>
          <w:szCs w:val="20"/>
          <w:color w:val="auto"/>
        </w:rPr>
      </w:pPr>
      <w:r>
        <w:rPr>
          <w:rFonts w:ascii="Times New Roman" w:cs="Times New Roman" w:eastAsia="Times New Roman" w:hAnsi="Times New Roman"/>
          <w:sz w:val="20"/>
          <w:szCs w:val="20"/>
          <w:color w:val="auto"/>
        </w:rPr>
        <w:t>As of December 31, 2024, there was $5.0 million of total unrecognized compensation expense related to these awards. That cost is expected to be recognized on a straight-line basis over a weighted average period of 1.1 years.</w:t>
      </w:r>
    </w:p>
    <w:p>
      <w:pPr>
        <w:spacing w:after="0" w:line="291" w:lineRule="exact"/>
        <w:rPr>
          <w:sz w:val="20"/>
          <w:szCs w:val="20"/>
          <w:color w:val="auto"/>
        </w:rPr>
      </w:pPr>
    </w:p>
    <w:p>
      <w:pPr>
        <w:jc w:val="both"/>
        <w:ind w:left="120" w:right="125" w:hanging="1"/>
        <w:spacing w:after="0" w:line="246" w:lineRule="auto"/>
        <w:rPr>
          <w:sz w:val="20"/>
          <w:szCs w:val="20"/>
          <w:color w:val="auto"/>
        </w:rPr>
      </w:pPr>
      <w:r>
        <w:rPr>
          <w:rFonts w:ascii="Times New Roman" w:cs="Times New Roman" w:eastAsia="Times New Roman" w:hAnsi="Times New Roman"/>
          <w:sz w:val="20"/>
          <w:szCs w:val="20"/>
          <w:color w:val="auto"/>
        </w:rPr>
        <w:t>Stock Options.</w:t>
      </w:r>
      <w:r>
        <w:rPr>
          <w:sz w:val="20"/>
          <w:szCs w:val="20"/>
          <w:color w:val="auto"/>
        </w:rPr>
        <w:t xml:space="preserve"> </w:t>
      </w:r>
      <w:r>
        <w:rPr>
          <w:rFonts w:ascii="Times New Roman" w:cs="Times New Roman" w:eastAsia="Times New Roman" w:hAnsi="Times New Roman"/>
          <w:sz w:val="20"/>
          <w:szCs w:val="20"/>
          <w:color w:val="auto"/>
        </w:rPr>
        <w:t>Stock options granted! under the incentive compensation plans cannot be less than the fair value on the grant date, generally vest over six years and have a maximum term of 10 years.</w:t>
      </w:r>
    </w:p>
    <w:p>
      <w:pPr>
        <w:spacing w:after="0" w:line="2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Activity related to options outstanding for the year ended December 31, 2024 was as follows:</w:t>
      </w:r>
    </w:p>
    <w:p>
      <w:pPr>
        <w:spacing w:after="0" w:line="221"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Average</w:t>
            </w:r>
          </w:p>
        </w:tc>
        <w:tc>
          <w:tcPr>
            <w:tcW w:w="0" w:type="dxa"/>
            <w:vAlign w:val="bottom"/>
          </w:tcPr>
          <w:p>
            <w:pPr>
              <w:spacing w:after="0"/>
              <w:rPr>
                <w:sz w:val="1"/>
                <w:szCs w:val="1"/>
                <w:color w:val="auto"/>
              </w:rPr>
            </w:pPr>
          </w:p>
        </w:tc>
      </w:tr>
      <w:tr>
        <w:trPr>
          <w:trHeight w:val="162"/>
        </w:trPr>
        <w:tc>
          <w:tcPr>
            <w:tcW w:w="4880" w:type="dxa"/>
            <w:vAlign w:val="bottom"/>
          </w:tcPr>
          <w:p>
            <w:pPr>
              <w:spacing w:after="0"/>
              <w:rPr>
                <w:sz w:val="14"/>
                <w:szCs w:val="14"/>
                <w:color w:val="auto"/>
              </w:rPr>
            </w:pPr>
          </w:p>
        </w:tc>
        <w:tc>
          <w:tcPr>
            <w:tcW w:w="900" w:type="dxa"/>
            <w:vAlign w:val="bottom"/>
            <w:gridSpan w:val="5"/>
          </w:tcPr>
          <w:p>
            <w:pPr>
              <w:jc w:val="right"/>
              <w:spacing w:after="0" w:line="162" w:lineRule="exact"/>
              <w:rPr>
                <w:sz w:val="20"/>
                <w:szCs w:val="20"/>
                <w:color w:val="auto"/>
              </w:rPr>
            </w:pPr>
            <w:r>
              <w:rPr>
                <w:rFonts w:ascii="Times New Roman" w:cs="Times New Roman" w:eastAsia="Times New Roman" w:hAnsi="Times New Roman"/>
                <w:sz w:val="16"/>
                <w:szCs w:val="16"/>
                <w:color w:val="auto"/>
              </w:rPr>
              <w:t>Number of</w:t>
            </w:r>
          </w:p>
        </w:tc>
        <w:tc>
          <w:tcPr>
            <w:tcW w:w="300" w:type="dxa"/>
            <w:vAlign w:val="bottom"/>
          </w:tcPr>
          <w:p>
            <w:pPr>
              <w:spacing w:after="0"/>
              <w:rPr>
                <w:sz w:val="14"/>
                <w:szCs w:val="14"/>
                <w:color w:val="auto"/>
              </w:rPr>
            </w:pPr>
          </w:p>
        </w:tc>
        <w:tc>
          <w:tcPr>
            <w:tcW w:w="6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Option</w:t>
            </w:r>
          </w:p>
        </w:tc>
        <w:tc>
          <w:tcPr>
            <w:tcW w:w="0" w:type="dxa"/>
            <w:vAlign w:val="bottom"/>
          </w:tcPr>
          <w:p>
            <w:pPr>
              <w:spacing w:after="0"/>
              <w:rPr>
                <w:sz w:val="1"/>
                <w:szCs w:val="1"/>
                <w:color w:val="auto"/>
              </w:rPr>
            </w:pPr>
          </w:p>
        </w:tc>
      </w:tr>
      <w:tr>
        <w:trPr>
          <w:trHeight w:val="179"/>
        </w:trPr>
        <w:tc>
          <w:tcPr>
            <w:tcW w:w="4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gridSpan w:val="2"/>
          </w:tcPr>
          <w:p>
            <w:pPr>
              <w:jc w:val="right"/>
              <w:ind w:right="140"/>
              <w:spacing w:after="0" w:line="179" w:lineRule="exact"/>
              <w:rPr>
                <w:sz w:val="20"/>
                <w:szCs w:val="20"/>
                <w:color w:val="auto"/>
              </w:rPr>
            </w:pPr>
            <w:r>
              <w:rPr>
                <w:rFonts w:ascii="Times New Roman" w:cs="Times New Roman" w:eastAsia="Times New Roman" w:hAnsi="Times New Roman"/>
                <w:sz w:val="16"/>
                <w:szCs w:val="16"/>
                <w:color w:val="auto"/>
              </w:rPr>
              <w:t>Shares</w:t>
            </w:r>
          </w:p>
        </w:tc>
        <w:tc>
          <w:tcPr>
            <w:tcW w:w="300" w:type="dxa"/>
            <w:vAlign w:val="bottom"/>
          </w:tcPr>
          <w:p>
            <w:pPr>
              <w:spacing w:after="0"/>
              <w:rPr>
                <w:sz w:val="15"/>
                <w:szCs w:val="15"/>
                <w:color w:val="auto"/>
              </w:rPr>
            </w:pPr>
          </w:p>
        </w:tc>
        <w:tc>
          <w:tcPr>
            <w:tcW w:w="6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Price</w:t>
            </w:r>
          </w:p>
        </w:tc>
        <w:tc>
          <w:tcPr>
            <w:tcW w:w="0" w:type="dxa"/>
            <w:vAlign w:val="bottom"/>
          </w:tcPr>
          <w:p>
            <w:pPr>
              <w:spacing w:after="0"/>
              <w:rPr>
                <w:sz w:val="1"/>
                <w:szCs w:val="1"/>
                <w:color w:val="auto"/>
              </w:rPr>
            </w:pPr>
          </w:p>
        </w:tc>
      </w:tr>
      <w:tr>
        <w:trPr>
          <w:trHeight w:val="42"/>
        </w:trPr>
        <w:tc>
          <w:tcPr>
            <w:tcW w:w="48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Borders>
              <w:bottom w:val="single" w:sz="8" w:color="403C3C"/>
            </w:tcBorders>
            <w:gridSpan w:val="2"/>
          </w:tcPr>
          <w:p>
            <w:pPr>
              <w:spacing w:after="0"/>
              <w:rPr>
                <w:sz w:val="3"/>
                <w:szCs w:val="3"/>
                <w:color w:val="auto"/>
              </w:rPr>
            </w:pPr>
          </w:p>
        </w:tc>
        <w:tc>
          <w:tcPr>
            <w:tcW w:w="660" w:type="dxa"/>
            <w:vAlign w:val="bottom"/>
            <w:tcBorders>
              <w:bottom w:val="single" w:sz="8" w:color="403C3C"/>
            </w:tcBorders>
          </w:tcPr>
          <w:p>
            <w:pPr>
              <w:spacing w:after="0"/>
              <w:rPr>
                <w:sz w:val="3"/>
                <w:szCs w:val="3"/>
                <w:color w:val="auto"/>
              </w:rPr>
            </w:pPr>
          </w:p>
        </w:tc>
        <w:tc>
          <w:tcPr>
            <w:tcW w:w="40" w:type="dxa"/>
            <w:vAlign w:val="bottom"/>
            <w:tcBorders>
              <w:bottom w:val="single" w:sz="8" w:color="403C3C"/>
            </w:tcBorders>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Beginning of year  .. . ..... .. ........ . ... . ........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175,045</w:t>
            </w:r>
          </w:p>
        </w:tc>
        <w:tc>
          <w:tcPr>
            <w:tcW w:w="40" w:type="dxa"/>
            <w:vAlign w:val="bottom"/>
          </w:tcPr>
          <w:p>
            <w:pPr>
              <w:spacing w:after="0"/>
              <w:rPr>
                <w:sz w:val="23"/>
                <w:szCs w:val="23"/>
                <w:color w:val="auto"/>
              </w:rPr>
            </w:pPr>
          </w:p>
        </w:tc>
        <w:tc>
          <w:tcPr>
            <w:tcW w:w="940" w:type="dxa"/>
            <w:vAlign w:val="bottom"/>
            <w:gridSpan w:val="2"/>
          </w:tcPr>
          <w:p>
            <w:pPr>
              <w:jc w:val="center"/>
              <w:ind w:left="182"/>
              <w:spacing w:after="0"/>
              <w:rPr>
                <w:sz w:val="20"/>
                <w:szCs w:val="20"/>
                <w:color w:val="auto"/>
              </w:rPr>
            </w:pPr>
            <w:r>
              <w:rPr>
                <w:rFonts w:ascii="Times New Roman" w:cs="Times New Roman" w:eastAsia="Times New Roman" w:hAnsi="Times New Roman"/>
                <w:sz w:val="20"/>
                <w:szCs w:val="20"/>
                <w:color w:val="auto"/>
              </w:rPr>
              <w:t>$622.80</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Granted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Exercised  . ...... . ...... . . ..... ..... .. .. . ....... .</w:t>
            </w: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(77,258)</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719.15</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Expired or forfeited  . .. . .... . . ..... . ..............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8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E nd of Year  .. . .........</w:t>
            </w:r>
          </w:p>
        </w:tc>
        <w:tc>
          <w:tcPr>
            <w:tcW w:w="200" w:type="dxa"/>
            <w:vAlign w:val="bottom"/>
            <w:gridSpan w:val="3"/>
          </w:tcPr>
          <w:p>
            <w:pPr>
              <w:spacing w:after="0"/>
              <w:rPr>
                <w:sz w:val="2"/>
                <w:szCs w:val="2"/>
                <w:color w:val="auto"/>
              </w:rPr>
            </w:pPr>
          </w:p>
        </w:tc>
        <w:tc>
          <w:tcPr>
            <w:tcW w:w="660" w:type="dxa"/>
            <w:vAlign w:val="bottom"/>
            <w:tcBorders>
              <w:bottom w:val="single" w:sz="8" w:color="0C080C"/>
            </w:tcBorders>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4880" w:type="dxa"/>
            <w:vAlign w:val="bottom"/>
            <w:vMerge w:val="continue"/>
          </w:tcPr>
          <w:p>
            <w:pPr>
              <w:ind w:left="2380"/>
              <w:spacing w:after="0" w:line="218" w:lineRule="exact"/>
              <w:rPr>
                <w:sz w:val="20"/>
                <w:szCs w:val="20"/>
                <w:color w:val="auto"/>
              </w:rPr>
            </w:pPr>
            <w:r>
              <w:rPr>
                <w:rFonts w:ascii="Times New Roman" w:cs="Times New Roman" w:eastAsia="Times New Roman" w:hAnsi="Times New Roman"/>
                <w:sz w:val="20"/>
                <w:szCs w:val="20"/>
                <w:color w:val="auto"/>
              </w:rPr>
              <w:t>. .......... . . . ..... .. .. .</w:t>
            </w: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97,787</w:t>
            </w:r>
          </w:p>
        </w:tc>
        <w:tc>
          <w:tcPr>
            <w:tcW w:w="40" w:type="dxa"/>
            <w:vAlign w:val="bottom"/>
          </w:tcPr>
          <w:p>
            <w:pPr>
              <w:spacing w:after="0"/>
              <w:rPr>
                <w:sz w:val="22"/>
                <w:szCs w:val="22"/>
                <w:color w:val="auto"/>
              </w:rPr>
            </w:pP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546.68</w:t>
            </w:r>
          </w:p>
        </w:tc>
        <w:tc>
          <w:tcPr>
            <w:tcW w:w="0" w:type="dxa"/>
            <w:vAlign w:val="bottom"/>
          </w:tcPr>
          <w:p>
            <w:pPr>
              <w:spacing w:after="0"/>
              <w:rPr>
                <w:sz w:val="1"/>
                <w:szCs w:val="1"/>
                <w:color w:val="auto"/>
              </w:rPr>
            </w:pPr>
          </w:p>
        </w:tc>
      </w:tr>
      <w:tr>
        <w:trPr>
          <w:trHeight w:val="114"/>
        </w:trPr>
        <w:tc>
          <w:tcPr>
            <w:tcW w:w="4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bottom w:val="single" w:sz="8" w:color="0C080C"/>
            </w:tcBorders>
          </w:tcPr>
          <w:p>
            <w:pPr>
              <w:spacing w:after="0"/>
              <w:rPr>
                <w:sz w:val="9"/>
                <w:szCs w:val="9"/>
                <w:color w:val="auto"/>
              </w:rPr>
            </w:pPr>
          </w:p>
        </w:tc>
        <w:tc>
          <w:tcPr>
            <w:tcW w:w="660" w:type="dxa"/>
            <w:vAlign w:val="bottom"/>
            <w:tcBorders>
              <w:bottom w:val="single" w:sz="8" w:color="0C080C"/>
            </w:tcBorders>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44" w:lineRule="exact"/>
        <w:rPr>
          <w:sz w:val="20"/>
          <w:szCs w:val="20"/>
          <w:color w:val="auto"/>
        </w:rPr>
      </w:pPr>
    </w:p>
    <w:p>
      <w:pPr>
        <w:jc w:val="both"/>
        <w:ind w:left="120" w:right="125"/>
        <w:spacing w:after="0" w:line="244" w:lineRule="auto"/>
        <w:rPr>
          <w:sz w:val="20"/>
          <w:szCs w:val="20"/>
          <w:color w:val="auto"/>
        </w:rPr>
      </w:pPr>
      <w:r>
        <w:rPr>
          <w:rFonts w:ascii="Times New Roman" w:cs="Times New Roman" w:eastAsia="Times New Roman" w:hAnsi="Times New Roman"/>
          <w:sz w:val="20"/>
          <w:szCs w:val="20"/>
          <w:color w:val="auto"/>
        </w:rPr>
        <w:t>Of the shares covered by options outstanding at the end of 2024, 72,033 are now exercisable; 12,877 are expected to become exercisable in 2025; and 12,877 are expected to become exercisable in 2026. For each of 2024, 2023 and 2022, the Company recorded expense of $1.2 million related to stock options. Information related to stock optiorns outstanding and exercisable at December 31, 2024, is as follows:</w:t>
      </w:r>
    </w:p>
    <w:p>
      <w:pPr>
        <w:spacing w:after="0" w:line="254" w:lineRule="exact"/>
        <w:rPr>
          <w:sz w:val="20"/>
          <w:szCs w:val="20"/>
          <w:color w:val="auto"/>
        </w:rPr>
      </w:pPr>
    </w:p>
    <w:tbl>
      <w:tblPr>
        <w:tblLayout w:type="fixed"/>
        <w:tblInd w:w="380" w:type="dxa"/>
        <w:tblCellMar>
          <w:top w:w="0" w:type="dxa"/>
          <w:left w:w="0" w:type="dxa"/>
          <w:bottom w:w="0" w:type="dxa"/>
          <w:right w:w="0" w:type="dxa"/>
        </w:tblCellMar>
      </w:tblPr>
      <w:tr>
        <w:trPr>
          <w:trHeight w:val="184"/>
        </w:trPr>
        <w:tc>
          <w:tcPr>
            <w:tcW w:w="8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80" w:type="dxa"/>
            <w:vAlign w:val="bottom"/>
            <w:gridSpan w:val="3"/>
          </w:tcPr>
          <w:p>
            <w:pPr>
              <w:ind w:left="120"/>
              <w:spacing w:after="0"/>
              <w:rPr>
                <w:sz w:val="20"/>
                <w:szCs w:val="20"/>
                <w:color w:val="auto"/>
              </w:rPr>
            </w:pPr>
            <w:r>
              <w:rPr>
                <w:rFonts w:ascii="Times New Roman" w:cs="Times New Roman" w:eastAsia="Times New Roman" w:hAnsi="Times New Roman"/>
                <w:sz w:val="16"/>
                <w:szCs w:val="16"/>
                <w:color w:val="auto"/>
              </w:rPr>
              <w:t>Options O utstanding</w:t>
            </w: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720" w:type="dxa"/>
            <w:vAlign w:val="bottom"/>
            <w:gridSpan w:val="3"/>
          </w:tcPr>
          <w:p>
            <w:pPr>
              <w:ind w:left="180"/>
              <w:spacing w:after="0"/>
              <w:rPr>
                <w:sz w:val="20"/>
                <w:szCs w:val="20"/>
                <w:color w:val="auto"/>
              </w:rPr>
            </w:pPr>
            <w:r>
              <w:rPr>
                <w:rFonts w:ascii="Times New Roman" w:cs="Times New Roman" w:eastAsia="Times New Roman" w:hAnsi="Times New Roman"/>
                <w:sz w:val="16"/>
                <w:szCs w:val="16"/>
                <w:color w:val="auto"/>
              </w:rPr>
              <w:t>O ptions Exercisable</w:t>
            </w: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8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Borders>
              <w:bottom w:val="single" w:sz="8" w:color="403C40"/>
            </w:tcBorders>
          </w:tcPr>
          <w:p>
            <w:pPr>
              <w:spacing w:after="0"/>
              <w:rPr>
                <w:sz w:val="3"/>
                <w:szCs w:val="3"/>
                <w:color w:val="auto"/>
              </w:rPr>
            </w:pPr>
          </w:p>
        </w:tc>
        <w:tc>
          <w:tcPr>
            <w:tcW w:w="520" w:type="dxa"/>
            <w:vAlign w:val="bottom"/>
            <w:tcBorders>
              <w:bottom w:val="single" w:sz="8" w:color="403C40"/>
            </w:tcBorders>
          </w:tcPr>
          <w:p>
            <w:pPr>
              <w:spacing w:after="0"/>
              <w:rPr>
                <w:sz w:val="3"/>
                <w:szCs w:val="3"/>
                <w:color w:val="auto"/>
              </w:rPr>
            </w:pPr>
          </w:p>
        </w:tc>
        <w:tc>
          <w:tcPr>
            <w:tcW w:w="840" w:type="dxa"/>
            <w:vAlign w:val="bottom"/>
            <w:tcBorders>
              <w:bottom w:val="single" w:sz="8" w:color="403C40"/>
            </w:tcBorders>
          </w:tcPr>
          <w:p>
            <w:pPr>
              <w:spacing w:after="0"/>
              <w:rPr>
                <w:sz w:val="3"/>
                <w:szCs w:val="3"/>
                <w:color w:val="auto"/>
              </w:rPr>
            </w:pPr>
          </w:p>
        </w:tc>
        <w:tc>
          <w:tcPr>
            <w:tcW w:w="520" w:type="dxa"/>
            <w:vAlign w:val="bottom"/>
            <w:tcBorders>
              <w:bottom w:val="single" w:sz="8" w:color="403C40"/>
            </w:tcBorders>
          </w:tcPr>
          <w:p>
            <w:pPr>
              <w:spacing w:after="0"/>
              <w:rPr>
                <w:sz w:val="3"/>
                <w:szCs w:val="3"/>
                <w:color w:val="auto"/>
              </w:rPr>
            </w:pPr>
          </w:p>
        </w:tc>
        <w:tc>
          <w:tcPr>
            <w:tcW w:w="660" w:type="dxa"/>
            <w:vAlign w:val="bottom"/>
            <w:tcBorders>
              <w:bottom w:val="single" w:sz="8" w:color="403C40"/>
            </w:tcBorders>
          </w:tcPr>
          <w:p>
            <w:pPr>
              <w:spacing w:after="0"/>
              <w:rPr>
                <w:sz w:val="3"/>
                <w:szCs w:val="3"/>
                <w:color w:val="auto"/>
              </w:rPr>
            </w:pPr>
          </w:p>
        </w:tc>
        <w:tc>
          <w:tcPr>
            <w:tcW w:w="520" w:type="dxa"/>
            <w:vAlign w:val="bottom"/>
          </w:tcPr>
          <w:p>
            <w:pPr>
              <w:spacing w:after="0"/>
              <w:rPr>
                <w:sz w:val="3"/>
                <w:szCs w:val="3"/>
                <w:color w:val="auto"/>
              </w:rPr>
            </w:pPr>
          </w:p>
        </w:tc>
        <w:tc>
          <w:tcPr>
            <w:tcW w:w="800" w:type="dxa"/>
            <w:vAlign w:val="bottom"/>
            <w:tcBorders>
              <w:bottom w:val="single" w:sz="8" w:color="403C40"/>
            </w:tcBorders>
          </w:tcPr>
          <w:p>
            <w:pPr>
              <w:spacing w:after="0"/>
              <w:rPr>
                <w:sz w:val="3"/>
                <w:szCs w:val="3"/>
                <w:color w:val="auto"/>
              </w:rPr>
            </w:pPr>
          </w:p>
        </w:tc>
        <w:tc>
          <w:tcPr>
            <w:tcW w:w="520" w:type="dxa"/>
            <w:vAlign w:val="bottom"/>
            <w:tcBorders>
              <w:bottom w:val="single" w:sz="8" w:color="403C40"/>
            </w:tcBorders>
          </w:tcPr>
          <w:p>
            <w:pPr>
              <w:spacing w:after="0"/>
              <w:rPr>
                <w:sz w:val="3"/>
                <w:szCs w:val="3"/>
                <w:color w:val="auto"/>
              </w:rPr>
            </w:pPr>
          </w:p>
        </w:tc>
        <w:tc>
          <w:tcPr>
            <w:tcW w:w="840" w:type="dxa"/>
            <w:vAlign w:val="bottom"/>
            <w:tcBorders>
              <w:bottom w:val="single" w:sz="8" w:color="403C40"/>
            </w:tcBorders>
          </w:tcPr>
          <w:p>
            <w:pPr>
              <w:spacing w:after="0"/>
              <w:rPr>
                <w:sz w:val="3"/>
                <w:szCs w:val="3"/>
                <w:color w:val="auto"/>
              </w:rPr>
            </w:pPr>
          </w:p>
        </w:tc>
        <w:tc>
          <w:tcPr>
            <w:tcW w:w="360" w:type="dxa"/>
            <w:vAlign w:val="bottom"/>
            <w:tcBorders>
              <w:bottom w:val="single" w:sz="8" w:color="403C40"/>
            </w:tcBorders>
          </w:tcPr>
          <w:p>
            <w:pPr>
              <w:spacing w:after="0"/>
              <w:rPr>
                <w:sz w:val="3"/>
                <w:szCs w:val="3"/>
                <w:color w:val="auto"/>
              </w:rPr>
            </w:pPr>
          </w:p>
        </w:tc>
        <w:tc>
          <w:tcPr>
            <w:tcW w:w="160" w:type="dxa"/>
            <w:vAlign w:val="bottom"/>
            <w:tcBorders>
              <w:bottom w:val="single" w:sz="8" w:color="403C40"/>
            </w:tcBorders>
          </w:tcPr>
          <w:p>
            <w:pPr>
              <w:spacing w:after="0"/>
              <w:rPr>
                <w:sz w:val="3"/>
                <w:szCs w:val="3"/>
                <w:color w:val="auto"/>
              </w:rPr>
            </w:pPr>
          </w:p>
        </w:tc>
        <w:tc>
          <w:tcPr>
            <w:tcW w:w="660" w:type="dxa"/>
            <w:vAlign w:val="bottom"/>
            <w:tcBorders>
              <w:bottom w:val="single" w:sz="8" w:color="403C40"/>
            </w:tcBorders>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360" w:type="dxa"/>
            <w:vAlign w:val="bottom"/>
            <w:gridSpan w:val="2"/>
          </w:tcPr>
          <w:p>
            <w:pPr>
              <w:jc w:val="center"/>
              <w:ind w:right="560"/>
              <w:spacing w:after="0" w:line="161" w:lineRule="exact"/>
              <w:rPr>
                <w:sz w:val="20"/>
                <w:szCs w:val="20"/>
                <w:color w:val="auto"/>
              </w:rPr>
            </w:pPr>
            <w:r>
              <w:rPr>
                <w:rFonts w:ascii="Times New Roman" w:cs="Times New Roman" w:eastAsia="Times New Roman" w:hAnsi="Times New Roman"/>
                <w:sz w:val="16"/>
                <w:szCs w:val="16"/>
                <w:color w:val="auto"/>
              </w:rPr>
              <w:t>Weighted</w:t>
            </w: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0" w:type="dxa"/>
            <w:vAlign w:val="bottom"/>
            <w:gridSpan w:val="2"/>
          </w:tcPr>
          <w:p>
            <w:pPr>
              <w:jc w:val="center"/>
              <w:ind w:right="400"/>
              <w:spacing w:after="0" w:line="161" w:lineRule="exact"/>
              <w:rPr>
                <w:sz w:val="20"/>
                <w:szCs w:val="20"/>
                <w:color w:val="auto"/>
              </w:rPr>
            </w:pPr>
            <w:r>
              <w:rPr>
                <w:rFonts w:ascii="Times New Roman" w:cs="Times New Roman" w:eastAsia="Times New Roman" w:hAnsi="Times New Roman"/>
                <w:sz w:val="16"/>
                <w:szCs w:val="16"/>
                <w:color w:val="auto"/>
              </w:rPr>
              <w:t>Weighted</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rPr>
              <w:t>Range of</w:t>
            </w:r>
          </w:p>
        </w:tc>
        <w:tc>
          <w:tcPr>
            <w:tcW w:w="520" w:type="dxa"/>
            <w:vAlign w:val="bottom"/>
          </w:tcPr>
          <w:p>
            <w:pPr>
              <w:spacing w:after="0"/>
              <w:rPr>
                <w:sz w:val="14"/>
                <w:szCs w:val="14"/>
                <w:color w:val="auto"/>
              </w:rPr>
            </w:pPr>
          </w:p>
        </w:tc>
        <w:tc>
          <w:tcPr>
            <w:tcW w:w="8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 res</w:t>
            </w:r>
          </w:p>
        </w:tc>
        <w:tc>
          <w:tcPr>
            <w:tcW w:w="520" w:type="dxa"/>
            <w:vAlign w:val="bottom"/>
          </w:tcPr>
          <w:p>
            <w:pPr>
              <w:spacing w:after="0"/>
              <w:rPr>
                <w:sz w:val="14"/>
                <w:szCs w:val="14"/>
                <w:color w:val="auto"/>
              </w:rPr>
            </w:pPr>
          </w:p>
        </w:tc>
        <w:tc>
          <w:tcPr>
            <w:tcW w:w="1360" w:type="dxa"/>
            <w:vAlign w:val="bottom"/>
            <w:gridSpan w:val="2"/>
          </w:tcPr>
          <w:p>
            <w:pPr>
              <w:jc w:val="center"/>
              <w:ind w:right="540"/>
              <w:spacing w:after="0" w:line="162" w:lineRule="exact"/>
              <w:rPr>
                <w:sz w:val="20"/>
                <w:szCs w:val="20"/>
                <w:color w:val="auto"/>
              </w:rPr>
            </w:pPr>
            <w:r>
              <w:rPr>
                <w:rFonts w:ascii="Times New Roman" w:cs="Times New Roman" w:eastAsia="Times New Roman" w:hAnsi="Times New Roman"/>
                <w:sz w:val="16"/>
                <w:szCs w:val="16"/>
                <w:color w:val="auto"/>
              </w:rPr>
              <w:t>Average</w:t>
            </w: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Weighted</w:t>
            </w:r>
          </w:p>
        </w:tc>
        <w:tc>
          <w:tcPr>
            <w:tcW w:w="52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Shares</w:t>
            </w:r>
          </w:p>
        </w:tc>
        <w:tc>
          <w:tcPr>
            <w:tcW w:w="52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color w:val="auto"/>
              </w:rPr>
              <w:t>Average</w:t>
            </w:r>
          </w:p>
        </w:tc>
        <w:tc>
          <w:tcPr>
            <w:tcW w:w="820" w:type="dxa"/>
            <w:vAlign w:val="bottom"/>
            <w:gridSpan w:val="2"/>
          </w:tcPr>
          <w:p>
            <w:pPr>
              <w:jc w:val="center"/>
              <w:ind w:left="59"/>
              <w:spacing w:after="0" w:line="162" w:lineRule="exact"/>
              <w:rPr>
                <w:sz w:val="20"/>
                <w:szCs w:val="20"/>
                <w:color w:val="auto"/>
              </w:rPr>
            </w:pPr>
            <w:r>
              <w:rPr>
                <w:rFonts w:ascii="Times New Roman" w:cs="Times New Roman" w:eastAsia="Times New Roman" w:hAnsi="Times New Roman"/>
                <w:sz w:val="16"/>
                <w:szCs w:val="16"/>
                <w:color w:val="auto"/>
              </w:rPr>
              <w:t>Weighted</w:t>
            </w:r>
          </w:p>
        </w:tc>
        <w:tc>
          <w:tcPr>
            <w:tcW w:w="0" w:type="dxa"/>
            <w:vAlign w:val="bottom"/>
          </w:tcPr>
          <w:p>
            <w:pPr>
              <w:spacing w:after="0"/>
              <w:rPr>
                <w:sz w:val="1"/>
                <w:szCs w:val="1"/>
                <w:color w:val="auto"/>
              </w:rPr>
            </w:pPr>
          </w:p>
        </w:tc>
      </w:tr>
      <w:tr>
        <w:trPr>
          <w:trHeight w:val="162"/>
        </w:trPr>
        <w:tc>
          <w:tcPr>
            <w:tcW w:w="820" w:type="dxa"/>
            <w:vAlign w:val="bottom"/>
            <w:vMerge w:val="continue"/>
          </w:tcPr>
          <w:p>
            <w:pPr>
              <w:spacing w:after="0"/>
              <w:rPr>
                <w:sz w:val="14"/>
                <w:szCs w:val="14"/>
                <w:color w:val="auto"/>
              </w:rPr>
            </w:pPr>
          </w:p>
        </w:tc>
        <w:tc>
          <w:tcPr>
            <w:tcW w:w="1380" w:type="dxa"/>
            <w:vAlign w:val="bottom"/>
            <w:gridSpan w:val="2"/>
          </w:tcPr>
          <w:p>
            <w:pPr>
              <w:jc w:val="center"/>
              <w:ind w:left="399"/>
              <w:spacing w:after="0" w:line="162" w:lineRule="exact"/>
              <w:rPr>
                <w:sz w:val="20"/>
                <w:szCs w:val="20"/>
                <w:color w:val="auto"/>
              </w:rPr>
            </w:pPr>
            <w:r>
              <w:rPr>
                <w:rFonts w:ascii="Times New Roman" w:cs="Times New Roman" w:eastAsia="Times New Roman" w:hAnsi="Times New Roman"/>
                <w:sz w:val="16"/>
                <w:szCs w:val="16"/>
                <w:color w:val="auto"/>
              </w:rPr>
              <w:t>O utstanding</w:t>
            </w:r>
          </w:p>
        </w:tc>
        <w:tc>
          <w:tcPr>
            <w:tcW w:w="520" w:type="dxa"/>
            <w:vAlign w:val="bottom"/>
          </w:tcPr>
          <w:p>
            <w:pPr>
              <w:spacing w:after="0"/>
              <w:rPr>
                <w:sz w:val="14"/>
                <w:szCs w:val="14"/>
                <w:color w:val="auto"/>
              </w:rPr>
            </w:pPr>
          </w:p>
        </w:tc>
        <w:tc>
          <w:tcPr>
            <w:tcW w:w="1360" w:type="dxa"/>
            <w:vAlign w:val="bottom"/>
            <w:gridSpan w:val="2"/>
          </w:tcPr>
          <w:p>
            <w:pPr>
              <w:jc w:val="center"/>
              <w:ind w:right="540"/>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Average</w:t>
            </w:r>
          </w:p>
        </w:tc>
        <w:tc>
          <w:tcPr>
            <w:tcW w:w="1320" w:type="dxa"/>
            <w:vAlign w:val="bottom"/>
            <w:gridSpan w:val="2"/>
          </w:tcPr>
          <w:p>
            <w:pPr>
              <w:jc w:val="center"/>
              <w:ind w:left="419"/>
              <w:spacing w:after="0" w:line="162" w:lineRule="exact"/>
              <w:rPr>
                <w:sz w:val="20"/>
                <w:szCs w:val="20"/>
                <w:color w:val="auto"/>
              </w:rPr>
            </w:pPr>
            <w:r>
              <w:rPr>
                <w:rFonts w:ascii="Times New Roman" w:cs="Times New Roman" w:eastAsia="Times New Roman" w:hAnsi="Times New Roman"/>
                <w:sz w:val="16"/>
                <w:szCs w:val="16"/>
                <w:color w:val="auto"/>
              </w:rPr>
              <w:t>Exercisable</w:t>
            </w:r>
          </w:p>
        </w:tc>
        <w:tc>
          <w:tcPr>
            <w:tcW w:w="520" w:type="dxa"/>
            <w:vAlign w:val="bottom"/>
          </w:tcPr>
          <w:p>
            <w:pPr>
              <w:spacing w:after="0"/>
              <w:rPr>
                <w:sz w:val="14"/>
                <w:szCs w:val="14"/>
                <w:color w:val="auto"/>
              </w:rPr>
            </w:pPr>
          </w:p>
        </w:tc>
        <w:tc>
          <w:tcPr>
            <w:tcW w:w="1200" w:type="dxa"/>
            <w:vAlign w:val="bottom"/>
            <w:gridSpan w:val="2"/>
          </w:tcPr>
          <w:p>
            <w:pPr>
              <w:jc w:val="center"/>
              <w:ind w:right="380"/>
              <w:spacing w:after="0" w:line="162" w:lineRule="exact"/>
              <w:rPr>
                <w:sz w:val="20"/>
                <w:szCs w:val="20"/>
                <w:color w:val="auto"/>
              </w:rPr>
            </w:pPr>
            <w:r>
              <w:rPr>
                <w:rFonts w:ascii="Times New Roman" w:cs="Times New Roman" w:eastAsia="Times New Roman" w:hAnsi="Times New Roman"/>
                <w:sz w:val="16"/>
                <w:szCs w:val="16"/>
                <w:color w:val="auto"/>
              </w:rPr>
              <w:t>Remaining</w:t>
            </w:r>
          </w:p>
        </w:tc>
        <w:tc>
          <w:tcPr>
            <w:tcW w:w="160" w:type="dxa"/>
            <w:vAlign w:val="bottom"/>
          </w:tcPr>
          <w:p>
            <w:pPr>
              <w:spacing w:after="0"/>
              <w:rPr>
                <w:sz w:val="14"/>
                <w:szCs w:val="14"/>
                <w:color w:val="auto"/>
              </w:rPr>
            </w:pPr>
          </w:p>
        </w:tc>
        <w:tc>
          <w:tcPr>
            <w:tcW w:w="6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Average</w:t>
            </w:r>
          </w:p>
        </w:tc>
        <w:tc>
          <w:tcPr>
            <w:tcW w:w="0" w:type="dxa"/>
            <w:vAlign w:val="bottom"/>
          </w:tcPr>
          <w:p>
            <w:pPr>
              <w:spacing w:after="0"/>
              <w:rPr>
                <w:sz w:val="1"/>
                <w:szCs w:val="1"/>
                <w:color w:val="auto"/>
              </w:rPr>
            </w:pPr>
          </w:p>
        </w:tc>
      </w:tr>
      <w:tr>
        <w:trPr>
          <w:trHeight w:val="153"/>
        </w:trPr>
        <w:tc>
          <w:tcPr>
            <w:tcW w:w="82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Exercise</w:t>
            </w:r>
          </w:p>
        </w:tc>
        <w:tc>
          <w:tcPr>
            <w:tcW w:w="520" w:type="dxa"/>
            <w:vAlign w:val="bottom"/>
          </w:tcPr>
          <w:p>
            <w:pPr>
              <w:spacing w:after="0"/>
              <w:rPr>
                <w:sz w:val="13"/>
                <w:szCs w:val="13"/>
                <w:color w:val="auto"/>
              </w:rPr>
            </w:pPr>
          </w:p>
        </w:tc>
        <w:tc>
          <w:tcPr>
            <w:tcW w:w="8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at</w:t>
            </w:r>
          </w:p>
        </w:tc>
        <w:tc>
          <w:tcPr>
            <w:tcW w:w="1880" w:type="dxa"/>
            <w:vAlign w:val="bottom"/>
            <w:gridSpan w:val="3"/>
          </w:tcPr>
          <w:p>
            <w:pPr>
              <w:jc w:val="center"/>
              <w:ind w:right="20"/>
              <w:spacing w:after="0" w:line="153" w:lineRule="exact"/>
              <w:rPr>
                <w:sz w:val="20"/>
                <w:szCs w:val="20"/>
                <w:color w:val="auto"/>
              </w:rPr>
            </w:pPr>
            <w:r>
              <w:rPr>
                <w:rFonts w:ascii="Times New Roman" w:cs="Times New Roman" w:eastAsia="Times New Roman" w:hAnsi="Times New Roman"/>
                <w:sz w:val="16"/>
                <w:szCs w:val="16"/>
                <w:color w:val="auto"/>
              </w:rPr>
              <w:t>Contractual</w:t>
            </w: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Exercise</w:t>
            </w:r>
          </w:p>
        </w:tc>
        <w:tc>
          <w:tcPr>
            <w:tcW w:w="520" w:type="dxa"/>
            <w:vAlign w:val="bottom"/>
          </w:tcPr>
          <w:p>
            <w:pPr>
              <w:spacing w:after="0"/>
              <w:rPr>
                <w:sz w:val="13"/>
                <w:szCs w:val="13"/>
                <w:color w:val="auto"/>
              </w:rPr>
            </w:pPr>
          </w:p>
        </w:tc>
        <w:tc>
          <w:tcPr>
            <w:tcW w:w="80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at</w:t>
            </w:r>
          </w:p>
        </w:tc>
        <w:tc>
          <w:tcPr>
            <w:tcW w:w="1720" w:type="dxa"/>
            <w:vAlign w:val="bottom"/>
            <w:gridSpan w:val="3"/>
          </w:tcPr>
          <w:p>
            <w:pPr>
              <w:jc w:val="center"/>
              <w:ind w:left="59"/>
              <w:spacing w:after="0" w:line="153" w:lineRule="exact"/>
              <w:rPr>
                <w:sz w:val="20"/>
                <w:szCs w:val="20"/>
                <w:color w:val="auto"/>
              </w:rPr>
            </w:pPr>
            <w:r>
              <w:rPr>
                <w:rFonts w:ascii="Times New Roman" w:cs="Times New Roman" w:eastAsia="Times New Roman" w:hAnsi="Times New Roman"/>
                <w:sz w:val="16"/>
                <w:szCs w:val="16"/>
                <w:color w:val="auto"/>
              </w:rPr>
              <w:t>Contractua l</w:t>
            </w:r>
          </w:p>
        </w:tc>
        <w:tc>
          <w:tcPr>
            <w:tcW w:w="160" w:type="dxa"/>
            <w:vAlign w:val="bottom"/>
          </w:tcPr>
          <w:p>
            <w:pPr>
              <w:spacing w:after="0"/>
              <w:rPr>
                <w:sz w:val="13"/>
                <w:szCs w:val="13"/>
                <w:color w:val="auto"/>
              </w:rPr>
            </w:pPr>
          </w:p>
        </w:tc>
        <w:tc>
          <w:tcPr>
            <w:tcW w:w="66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Exercise</w:t>
            </w:r>
          </w:p>
        </w:tc>
        <w:tc>
          <w:tcPr>
            <w:tcW w:w="0" w:type="dxa"/>
            <w:vAlign w:val="bottom"/>
          </w:tcPr>
          <w:p>
            <w:pPr>
              <w:spacing w:after="0"/>
              <w:rPr>
                <w:sz w:val="1"/>
                <w:szCs w:val="1"/>
                <w:color w:val="auto"/>
              </w:rPr>
            </w:pPr>
          </w:p>
        </w:tc>
      </w:tr>
      <w:tr>
        <w:trPr>
          <w:trHeight w:val="188"/>
        </w:trPr>
        <w:tc>
          <w:tcPr>
            <w:tcW w:w="8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Pl'ices</w:t>
            </w:r>
          </w:p>
        </w:tc>
        <w:tc>
          <w:tcPr>
            <w:tcW w:w="138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w w:val="96"/>
              </w:rPr>
              <w:t>12/3112024</w:t>
            </w:r>
          </w:p>
        </w:tc>
        <w:tc>
          <w:tcPr>
            <w:tcW w:w="520" w:type="dxa"/>
            <w:vAlign w:val="bottom"/>
          </w:tcPr>
          <w:p>
            <w:pPr>
              <w:spacing w:after="0"/>
              <w:rPr>
                <w:sz w:val="16"/>
                <w:szCs w:val="16"/>
                <w:color w:val="auto"/>
              </w:rPr>
            </w:pPr>
          </w:p>
        </w:tc>
        <w:tc>
          <w:tcPr>
            <w:tcW w:w="1360" w:type="dxa"/>
            <w:vAlign w:val="bottom"/>
            <w:gridSpan w:val="2"/>
          </w:tcPr>
          <w:p>
            <w:pPr>
              <w:jc w:val="center"/>
              <w:ind w:right="540"/>
              <w:spacing w:after="0" w:line="179" w:lineRule="exact"/>
              <w:rPr>
                <w:sz w:val="20"/>
                <w:szCs w:val="20"/>
                <w:color w:val="auto"/>
              </w:rPr>
            </w:pPr>
            <w:r>
              <w:rPr>
                <w:rFonts w:ascii="Times New Roman" w:cs="Times New Roman" w:eastAsia="Times New Roman" w:hAnsi="Times New Roman"/>
                <w:sz w:val="16"/>
                <w:szCs w:val="16"/>
                <w:color w:val="auto"/>
              </w:rPr>
              <w:t>Life (years)</w:t>
            </w: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Price</w:t>
            </w:r>
          </w:p>
        </w:tc>
        <w:tc>
          <w:tcPr>
            <w:tcW w:w="1320" w:type="dxa"/>
            <w:vAlign w:val="bottom"/>
            <w:gridSpan w:val="2"/>
          </w:tcPr>
          <w:p>
            <w:pPr>
              <w:jc w:val="center"/>
              <w:ind w:left="439"/>
              <w:spacing w:after="0"/>
              <w:rPr>
                <w:sz w:val="20"/>
                <w:szCs w:val="20"/>
                <w:color w:val="auto"/>
              </w:rPr>
            </w:pPr>
            <w:r>
              <w:rPr>
                <w:rFonts w:ascii="Times New Roman" w:cs="Times New Roman" w:eastAsia="Times New Roman" w:hAnsi="Times New Roman"/>
                <w:sz w:val="16"/>
                <w:szCs w:val="16"/>
                <w:color w:val="auto"/>
                <w:w w:val="94"/>
              </w:rPr>
              <w:t>12131/2024</w:t>
            </w:r>
          </w:p>
        </w:tc>
        <w:tc>
          <w:tcPr>
            <w:tcW w:w="520" w:type="dxa"/>
            <w:vAlign w:val="bottom"/>
          </w:tcPr>
          <w:p>
            <w:pPr>
              <w:spacing w:after="0"/>
              <w:rPr>
                <w:sz w:val="16"/>
                <w:szCs w:val="16"/>
                <w:color w:val="auto"/>
              </w:rPr>
            </w:pPr>
          </w:p>
        </w:tc>
        <w:tc>
          <w:tcPr>
            <w:tcW w:w="1200" w:type="dxa"/>
            <w:vAlign w:val="bottom"/>
            <w:gridSpan w:val="2"/>
          </w:tcPr>
          <w:p>
            <w:pPr>
              <w:jc w:val="center"/>
              <w:ind w:right="380"/>
              <w:spacing w:after="0" w:line="179" w:lineRule="exact"/>
              <w:rPr>
                <w:sz w:val="20"/>
                <w:szCs w:val="20"/>
                <w:color w:val="auto"/>
              </w:rPr>
            </w:pPr>
            <w:r>
              <w:rPr>
                <w:rFonts w:ascii="Times New Roman" w:cs="Times New Roman" w:eastAsia="Times New Roman" w:hAnsi="Times New Roman"/>
                <w:sz w:val="16"/>
                <w:szCs w:val="16"/>
                <w:color w:val="auto"/>
                <w:w w:val="98"/>
              </w:rPr>
              <w:t>Life (yea rs)</w:t>
            </w:r>
          </w:p>
        </w:tc>
        <w:tc>
          <w:tcPr>
            <w:tcW w:w="160" w:type="dxa"/>
            <w:vAlign w:val="bottom"/>
          </w:tcPr>
          <w:p>
            <w:pPr>
              <w:spacing w:after="0"/>
              <w:rPr>
                <w:sz w:val="16"/>
                <w:szCs w:val="16"/>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 ice</w:t>
            </w:r>
          </w:p>
        </w:tc>
        <w:tc>
          <w:tcPr>
            <w:tcW w:w="0" w:type="dxa"/>
            <w:vAlign w:val="bottom"/>
          </w:tcPr>
          <w:p>
            <w:pPr>
              <w:spacing w:after="0"/>
              <w:rPr>
                <w:sz w:val="1"/>
                <w:szCs w:val="1"/>
                <w:color w:val="auto"/>
              </w:rPr>
            </w:pPr>
          </w:p>
        </w:tc>
      </w:tr>
      <w:tr>
        <w:trPr>
          <w:trHeight w:val="33"/>
        </w:trPr>
        <w:tc>
          <w:tcPr>
            <w:tcW w:w="820" w:type="dxa"/>
            <w:vAlign w:val="bottom"/>
            <w:tcBorders>
              <w:bottom w:val="single" w:sz="8" w:color="181414"/>
            </w:tcBorders>
          </w:tcPr>
          <w:p>
            <w:pPr>
              <w:spacing w:after="0"/>
              <w:rPr>
                <w:sz w:val="2"/>
                <w:szCs w:val="2"/>
                <w:color w:val="auto"/>
              </w:rPr>
            </w:pPr>
          </w:p>
        </w:tc>
        <w:tc>
          <w:tcPr>
            <w:tcW w:w="520" w:type="dxa"/>
            <w:vAlign w:val="bottom"/>
          </w:tcPr>
          <w:p>
            <w:pPr>
              <w:spacing w:after="0"/>
              <w:rPr>
                <w:sz w:val="2"/>
                <w:szCs w:val="2"/>
                <w:color w:val="auto"/>
              </w:rPr>
            </w:pPr>
          </w:p>
        </w:tc>
        <w:tc>
          <w:tcPr>
            <w:tcW w:w="860" w:type="dxa"/>
            <w:vAlign w:val="bottom"/>
            <w:tcBorders>
              <w:bottom w:val="single" w:sz="8" w:color="181414"/>
            </w:tcBorders>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Borders>
              <w:bottom w:val="single" w:sz="8" w:color="181414"/>
            </w:tcBorders>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Borders>
              <w:bottom w:val="single" w:sz="8" w:color="181414"/>
            </w:tcBorders>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Borders>
              <w:bottom w:val="single" w:sz="8" w:color="181414"/>
            </w:tcBorders>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Borders>
              <w:bottom w:val="single" w:sz="8" w:color="181414"/>
            </w:tcBorders>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Borders>
              <w:bottom w:val="single" w:sz="8" w:color="181414"/>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tbl>
      <w:tblPr>
        <w:tblLayout w:type="fixed"/>
        <w:tblInd w:w="380" w:type="dxa"/>
        <w:tblCellMar>
          <w:top w:w="0" w:type="dxa"/>
          <w:left w:w="0" w:type="dxa"/>
          <w:bottom w:w="0" w:type="dxa"/>
          <w:right w:w="0" w:type="dxa"/>
        </w:tblCellMar>
      </w:tblPr>
      <w:tr>
        <w:trPr>
          <w:trHeight w:val="241"/>
        </w:trPr>
        <w:tc>
          <w:tcPr>
            <w:tcW w:w="300" w:type="dxa"/>
            <w:vAlign w:val="bottom"/>
          </w:tcPr>
          <w:p>
            <w:pPr>
              <w:jc w:val="right"/>
              <w:ind w:right="99"/>
              <w:spacing w:after="0"/>
              <w:rPr>
                <w:sz w:val="20"/>
                <w:szCs w:val="20"/>
                <w:color w:val="auto"/>
              </w:rPr>
            </w:pPr>
            <w:r>
              <w:rPr>
                <w:rFonts w:ascii="Times New Roman" w:cs="Times New Roman" w:eastAsia="Times New Roman" w:hAnsi="Times New Roman"/>
                <w:sz w:val="21"/>
                <w:szCs w:val="21"/>
                <w:color w:val="auto"/>
                <w:w w:val="75"/>
              </w:rPr>
              <w:t>$</w:t>
            </w:r>
          </w:p>
        </w:tc>
        <w:tc>
          <w:tcPr>
            <w:tcW w:w="84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427</w:t>
            </w: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20"/>
                <w:szCs w:val="20"/>
                <w:color w:val="auto"/>
              </w:rPr>
              <w:t>71,045</w:t>
            </w: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5.7</w:t>
            </w:r>
          </w:p>
        </w:tc>
        <w:tc>
          <w:tcPr>
            <w:tcW w:w="132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426.86</w:t>
            </w:r>
          </w:p>
        </w:tc>
        <w:tc>
          <w:tcPr>
            <w:tcW w:w="1380" w:type="dxa"/>
            <w:vAlign w:val="bottom"/>
          </w:tcPr>
          <w:p>
            <w:pPr>
              <w:jc w:val="center"/>
              <w:ind w:right="23"/>
              <w:spacing w:after="0"/>
              <w:rPr>
                <w:sz w:val="20"/>
                <w:szCs w:val="20"/>
                <w:color w:val="auto"/>
              </w:rPr>
            </w:pPr>
            <w:r>
              <w:rPr>
                <w:rFonts w:ascii="Times New Roman" w:cs="Times New Roman" w:eastAsia="Times New Roman" w:hAnsi="Times New Roman"/>
                <w:sz w:val="20"/>
                <w:szCs w:val="20"/>
                <w:color w:val="auto"/>
                <w:w w:val="98"/>
              </w:rPr>
              <w:t>45,291</w:t>
            </w: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5.7</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426.86</w:t>
            </w:r>
          </w:p>
        </w:tc>
      </w:tr>
      <w:tr>
        <w:trPr>
          <w:trHeight w:val="236"/>
        </w:trPr>
        <w:tc>
          <w:tcPr>
            <w:tcW w:w="1140" w:type="dxa"/>
            <w:vAlign w:val="bottom"/>
            <w:gridSpan w:val="2"/>
          </w:tcPr>
          <w:p>
            <w:pPr>
              <w:jc w:val="right"/>
              <w:ind w:right="242"/>
              <w:spacing w:after="0"/>
              <w:rPr>
                <w:sz w:val="20"/>
                <w:szCs w:val="20"/>
                <w:color w:val="auto"/>
              </w:rPr>
            </w:pPr>
            <w:r>
              <w:rPr>
                <w:rFonts w:ascii="Times New Roman" w:cs="Times New Roman" w:eastAsia="Times New Roman" w:hAnsi="Times New Roman"/>
                <w:sz w:val="20"/>
                <w:szCs w:val="20"/>
                <w:color w:val="auto"/>
              </w:rPr>
              <w:t>805-872</w:t>
            </w: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20"/>
                <w:szCs w:val="20"/>
                <w:color w:val="auto"/>
              </w:rPr>
              <w:t>26,742</w:t>
            </w: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1.0</w:t>
            </w:r>
          </w:p>
        </w:tc>
        <w:tc>
          <w:tcPr>
            <w:tcW w:w="132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865.02</w:t>
            </w:r>
          </w:p>
        </w:tc>
        <w:tc>
          <w:tcPr>
            <w:tcW w:w="1380" w:type="dxa"/>
            <w:vAlign w:val="bottom"/>
          </w:tcPr>
          <w:p>
            <w:pPr>
              <w:jc w:val="center"/>
              <w:ind w:right="23"/>
              <w:spacing w:after="0"/>
              <w:rPr>
                <w:sz w:val="20"/>
                <w:szCs w:val="20"/>
                <w:color w:val="auto"/>
              </w:rPr>
            </w:pPr>
            <w:r>
              <w:rPr>
                <w:rFonts w:ascii="Times New Roman" w:cs="Times New Roman" w:eastAsia="Times New Roman" w:hAnsi="Times New Roman"/>
                <w:sz w:val="20"/>
                <w:szCs w:val="20"/>
                <w:color w:val="auto"/>
                <w:w w:val="98"/>
              </w:rPr>
              <w:t>26,742</w:t>
            </w: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1.0</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865.02</w:t>
            </w:r>
          </w:p>
        </w:tc>
      </w:tr>
      <w:tr>
        <w:trPr>
          <w:trHeight w:val="263"/>
        </w:trPr>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380" w:type="dxa"/>
            <w:vAlign w:val="bottom"/>
          </w:tcPr>
          <w:p>
            <w:pPr>
              <w:jc w:val="center"/>
              <w:ind w:right="43"/>
              <w:spacing w:after="0"/>
              <w:rPr>
                <w:sz w:val="20"/>
                <w:szCs w:val="20"/>
                <w:color w:val="auto"/>
              </w:rPr>
            </w:pPr>
            <w:r>
              <w:rPr>
                <w:rFonts w:ascii="Times New Roman" w:cs="Times New Roman" w:eastAsia="Times New Roman" w:hAnsi="Times New Roman"/>
                <w:sz w:val="20"/>
                <w:szCs w:val="20"/>
                <w:color w:val="auto"/>
              </w:rPr>
              <w:t>?7,787</w:t>
            </w:r>
          </w:p>
        </w:tc>
        <w:tc>
          <w:tcPr>
            <w:tcW w:w="118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4.4</w:t>
            </w:r>
          </w:p>
        </w:tc>
        <w:tc>
          <w:tcPr>
            <w:tcW w:w="1320" w:type="dxa"/>
            <w:vAlign w:val="bottom"/>
          </w:tcPr>
          <w:p>
            <w:pPr>
              <w:jc w:val="right"/>
              <w:ind w:right="242"/>
              <w:spacing w:after="0"/>
              <w:rPr>
                <w:sz w:val="20"/>
                <w:szCs w:val="20"/>
                <w:color w:val="auto"/>
              </w:rPr>
            </w:pPr>
            <w:r>
              <w:rPr>
                <w:rFonts w:ascii="Times New Roman" w:cs="Times New Roman" w:eastAsia="Times New Roman" w:hAnsi="Times New Roman"/>
                <w:sz w:val="20"/>
                <w:szCs w:val="20"/>
                <w:color w:val="auto"/>
              </w:rPr>
              <w:t>546.68</w:t>
            </w:r>
          </w:p>
        </w:tc>
        <w:tc>
          <w:tcPr>
            <w:tcW w:w="1380" w:type="dxa"/>
            <w:vAlign w:val="bottom"/>
          </w:tcPr>
          <w:p>
            <w:pPr>
              <w:jc w:val="center"/>
              <w:ind w:right="23"/>
              <w:spacing w:after="0"/>
              <w:rPr>
                <w:sz w:val="20"/>
                <w:szCs w:val="20"/>
                <w:color w:val="auto"/>
              </w:rPr>
            </w:pPr>
            <w:r>
              <w:rPr>
                <w:rFonts w:ascii="Times New Roman" w:cs="Times New Roman" w:eastAsia="Times New Roman" w:hAnsi="Times New Roman"/>
                <w:sz w:val="20"/>
                <w:szCs w:val="20"/>
                <w:color w:val="auto"/>
                <w:w w:val="98"/>
              </w:rPr>
              <w:t>72,033</w:t>
            </w:r>
          </w:p>
        </w:tc>
        <w:tc>
          <w:tcPr>
            <w:tcW w:w="1160" w:type="dxa"/>
            <w:vAlign w:val="bottom"/>
          </w:tcPr>
          <w:p>
            <w:pPr>
              <w:jc w:val="right"/>
              <w:ind w:right="342"/>
              <w:spacing w:after="0"/>
              <w:rPr>
                <w:sz w:val="20"/>
                <w:szCs w:val="20"/>
                <w:color w:val="auto"/>
              </w:rPr>
            </w:pPr>
            <w:r>
              <w:rPr>
                <w:rFonts w:ascii="Times New Roman" w:cs="Times New Roman" w:eastAsia="Times New Roman" w:hAnsi="Times New Roman"/>
                <w:sz w:val="20"/>
                <w:szCs w:val="20"/>
                <w:color w:val="auto"/>
              </w:rPr>
              <w:t>3.9</w:t>
            </w:r>
          </w:p>
        </w:tc>
        <w:tc>
          <w:tcPr>
            <w:tcW w:w="9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589.52</w:t>
            </w:r>
          </w:p>
        </w:tc>
      </w:tr>
      <w:tr>
        <w:trPr>
          <w:trHeight w:val="204"/>
        </w:trPr>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80" w:type="dxa"/>
            <w:vAlign w:val="bottom"/>
          </w:tcPr>
          <w:p>
            <w:pPr>
              <w:jc w:val="center"/>
              <w:ind w:right="63"/>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380" w:type="dxa"/>
            <w:vAlign w:val="bottom"/>
          </w:tcPr>
          <w:p>
            <w:pPr>
              <w:jc w:val="center"/>
              <w:ind w:right="23"/>
              <w:spacing w:after="0" w:line="204" w:lineRule="exact"/>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200" w:lineRule="exact"/>
        <w:rPr>
          <w:sz w:val="20"/>
          <w:szCs w:val="20"/>
          <w:color w:val="auto"/>
        </w:rPr>
      </w:pPr>
    </w:p>
    <w:p>
      <w:pPr>
        <w:sectPr>
          <w:pgSz w:w="12240" w:h="15850" w:orient="portrait"/>
          <w:cols w:equalWidth="0" w:num="1">
            <w:col w:w="9365"/>
          </w:cols>
          <w:pgMar w:left="1440" w:top="1388" w:right="1440" w:bottom="727" w:gutter="0" w:footer="0" w:header="0"/>
        </w:sectPr>
      </w:pPr>
    </w:p>
    <w:p>
      <w:pPr>
        <w:spacing w:after="0" w:line="270"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7"/>
          <w:szCs w:val="17"/>
          <w:color w:val="auto"/>
        </w:rPr>
        <w:t>127</w:t>
      </w:r>
    </w:p>
    <w:p>
      <w:pPr>
        <w:sectPr>
          <w:pgSz w:w="12240" w:h="15850" w:orient="portrait"/>
          <w:cols w:equalWidth="0" w:num="1">
            <w:col w:w="9365"/>
          </w:cols>
          <w:pgMar w:left="1440" w:top="1388" w:right="1440" w:bottom="727" w:gutter="0" w:footer="0" w:header="0"/>
          <w:type w:val="continuous"/>
        </w:sectPr>
      </w:pPr>
    </w:p>
    <w:bookmarkStart w:id="143" w:name="page144"/>
    <w:bookmarkEnd w:id="143"/>
    <w:p>
      <w:pPr>
        <w:jc w:val="both"/>
        <w:ind w:left="120" w:right="105" w:firstLine="12"/>
        <w:spacing w:after="0" w:line="260"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5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At December 3 1, 2024, the intrinsic value for all options outstanding, exercisable and unvested was $31.8 million, $20.3 million and $11.5 million, respectively. The intrinsic value of a stock option is the amount by which the market value of the underlying stock exceeds the exercise price of the option. The market value of the Company's stock was $871.92 at December 31, 2024. At December 31, 2024, there were 25,754 unvested options related to this plan with an average exercise price of $426.86 and a weighted average remaining contractual term of 5. 7 years. At December 31, 2023, there were 38,630 unvested options with an average exercise price of $426.86 and a weighted average remaining cont..actual term of 6. 7 years.</w:t>
      </w:r>
    </w:p>
    <w:p>
      <w:pPr>
        <w:spacing w:after="0" w:line="250" w:lineRule="exact"/>
        <w:rPr>
          <w:sz w:val="20"/>
          <w:szCs w:val="20"/>
          <w:color w:val="auto"/>
        </w:rPr>
      </w:pPr>
    </w:p>
    <w:p>
      <w:pPr>
        <w:jc w:val="both"/>
        <w:ind w:left="120" w:right="105" w:firstLine="12"/>
        <w:spacing w:after="0" w:line="263" w:lineRule="auto"/>
        <w:rPr>
          <w:sz w:val="20"/>
          <w:szCs w:val="20"/>
          <w:color w:val="auto"/>
        </w:rPr>
      </w:pPr>
      <w:r>
        <w:rPr>
          <w:rFonts w:ascii="Times New Roman" w:cs="Times New Roman" w:eastAsia="Times New Roman" w:hAnsi="Times New Roman"/>
          <w:sz w:val="19"/>
          <w:szCs w:val="19"/>
          <w:color w:val="auto"/>
        </w:rPr>
        <w:t>As of December 31, 2024, total unrecognized stock-based compensation expense related to stock options was $2.0 million, which is expected to be recognized on a straight-line basis over a weighted average period of approximately 1.7 year s. There were 77,258 options exercised d uring 2024. The total intrinsic value of options exercised during 2024 was $8.0 million; a tax benefit from these option exercises of $2.1 million was realized. There were 3,060 options exercised during 2023. The total intrinsic value of options exercised during 2023 was $0.5 million; a tax benefit from these option exercises of $0.1 million was realized. There were 5,084 options exercised during 2022. The total intrinsic value of options exercised during 2022 was $1.2 million; a tax benefit from these option exercises of $0.3 million was realized.</w:t>
      </w:r>
    </w:p>
    <w:p>
      <w:pPr>
        <w:spacing w:after="0" w:line="2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 options were granted during 2024, 2023 or 2022.</w:t>
      </w:r>
    </w:p>
    <w:p>
      <w:pPr>
        <w:spacing w:after="0" w:line="266" w:lineRule="exact"/>
        <w:rPr>
          <w:sz w:val="20"/>
          <w:szCs w:val="20"/>
          <w:color w:val="auto"/>
        </w:rPr>
      </w:pPr>
    </w:p>
    <w:p>
      <w:pPr>
        <w:jc w:val="both"/>
        <w:ind w:left="120" w:right="125"/>
        <w:spacing w:after="0" w:line="263" w:lineRule="auto"/>
        <w:rPr>
          <w:sz w:val="20"/>
          <w:szCs w:val="20"/>
          <w:color w:val="auto"/>
        </w:rPr>
      </w:pPr>
      <w:r>
        <w:rPr>
          <w:rFonts w:ascii="Times New Roman" w:cs="Times New Roman" w:eastAsia="Times New Roman" w:hAnsi="Times New Roman"/>
          <w:sz w:val="19"/>
          <w:szCs w:val="19"/>
          <w:color w:val="auto"/>
        </w:rPr>
        <w:t>Other Awards.</w:t>
      </w:r>
      <w:r>
        <w:rPr>
          <w:sz w:val="20"/>
          <w:szCs w:val="20"/>
          <w:color w:val="auto"/>
        </w:rPr>
        <w:t xml:space="preserve"> </w:t>
      </w:r>
      <w:r>
        <w:rPr>
          <w:rFonts w:ascii="Times New Roman" w:cs="Times New Roman" w:eastAsia="Times New Roman" w:hAnsi="Times New Roman"/>
          <w:sz w:val="19"/>
          <w:szCs w:val="19"/>
          <w:color w:val="auto"/>
        </w:rPr>
        <w:t>fn 2022, the Company granted a stock award to an executive officer that is subject to price-based vesting conditions. The stock award provides the executive officer the right to receive 1,000 shares of the Company's Class B common stock each time the Company's closing share price exceeds a certain share price target for a 90 consecutive day period; the award period expires on December 3 1, 2027. The grant date fair value of the stock award totaled $3.5 million, which was estimated using a Monte Carlo simulation. The grant date fair value is recognized over the derived service period of each tranche. In 2024; the first tranche of 1;000 shares related to this award vested following satisfaction of the price-based vesting condition. No shares related to this award vested in 2023 or 2022. The Company recognized $0.7 million, $1.1 million and $1.3 million in stock-based compensation expense related to this award in 2024, 2023 and 2022, respectively.</w:t>
      </w:r>
    </w:p>
    <w:p>
      <w:pPr>
        <w:spacing w:after="0" w:line="239" w:lineRule="exact"/>
        <w:rPr>
          <w:sz w:val="20"/>
          <w:szCs w:val="20"/>
          <w:color w:val="auto"/>
        </w:rPr>
      </w:pPr>
    </w:p>
    <w:p>
      <w:pPr>
        <w:jc w:val="both"/>
        <w:ind w:left="120" w:right="125" w:firstLine="2"/>
        <w:spacing w:after="0" w:line="263" w:lineRule="auto"/>
        <w:rPr>
          <w:sz w:val="20"/>
          <w:szCs w:val="20"/>
          <w:color w:val="auto"/>
        </w:rPr>
      </w:pPr>
      <w:r>
        <w:rPr>
          <w:rFonts w:ascii="Times New Roman" w:cs="Times New Roman" w:eastAsia="Times New Roman" w:hAnsi="Times New Roman"/>
          <w:sz w:val="19"/>
          <w:szCs w:val="19"/>
          <w:color w:val="auto"/>
        </w:rPr>
        <w:t>For the years ended December 31, 2024, 2023 and 2022, the Company recognized expense of $0.4 miHion, $0.4 million and $0.2 million, respectively, related to the issuance and vesting of 532, 731 and 345 shares, respectively, to non-employee Directors under the 2022 Plan.</w:t>
      </w:r>
    </w:p>
    <w:p>
      <w:pPr>
        <w:spacing w:after="0" w:line="255" w:lineRule="exact"/>
        <w:rPr>
          <w:sz w:val="20"/>
          <w:szCs w:val="20"/>
          <w:color w:val="auto"/>
        </w:rPr>
      </w:pPr>
    </w:p>
    <w:p>
      <w:pPr>
        <w:jc w:val="both"/>
        <w:ind w:left="120" w:right="125" w:hanging="10"/>
        <w:spacing w:after="0" w:line="264" w:lineRule="auto"/>
        <w:rPr>
          <w:sz w:val="20"/>
          <w:szCs w:val="20"/>
          <w:color w:val="auto"/>
        </w:rPr>
      </w:pPr>
      <w:r>
        <w:rPr>
          <w:rFonts w:ascii="Times New Roman" w:cs="Times New Roman" w:eastAsia="Times New Roman" w:hAnsi="Times New Roman"/>
          <w:sz w:val="19"/>
          <w:szCs w:val="19"/>
          <w:color w:val="auto"/>
        </w:rPr>
        <w:t>The Company also maintains a stock option plan at Kaplan. Undler the provisions of this plan, options are issued with an exercise price equal to the estimated fair value of Kaplan's common stock, and options vest ratably over the number of years specified (generally four to five years) at the time of the grant. Upon exercise, an option holder may receive Kaplan shares or cash equal to the difference between the exercise price and the then fair value.</w:t>
      </w:r>
    </w:p>
    <w:p>
      <w:pPr>
        <w:spacing w:after="0" w:line="200" w:lineRule="exact"/>
        <w:rPr>
          <w:sz w:val="20"/>
          <w:szCs w:val="20"/>
          <w:color w:val="auto"/>
        </w:rPr>
      </w:pPr>
    </w:p>
    <w:p>
      <w:pPr>
        <w:spacing w:after="0" w:line="279" w:lineRule="exact"/>
        <w:rPr>
          <w:sz w:val="20"/>
          <w:szCs w:val="20"/>
          <w:color w:val="auto"/>
        </w:rPr>
      </w:pPr>
    </w:p>
    <w:p>
      <w:pPr>
        <w:jc w:val="both"/>
        <w:ind w:left="120" w:right="125" w:firstLine="11"/>
        <w:spacing w:after="0" w:line="264" w:lineRule="auto"/>
        <w:rPr>
          <w:sz w:val="20"/>
          <w:szCs w:val="20"/>
          <w:color w:val="auto"/>
        </w:rPr>
      </w:pPr>
      <w:r>
        <w:rPr>
          <w:rFonts w:ascii="Times New Roman" w:cs="Times New Roman" w:eastAsia="Times New Roman" w:hAnsi="Times New Roman"/>
          <w:sz w:val="19"/>
          <w:szCs w:val="19"/>
          <w:color w:val="auto"/>
        </w:rPr>
        <w:t>At December 31, 2024, a Kaplan senior manager held 7,206 Kaplan restiicted shares. The fair value of Kaplan's common stock is determined by the Company's compensation committee of the Board of Directors, and in January 2025, the committee set the fair value price at $1,769 per share. No options were awarded during 2024, 2023, or 2022; no options were exercised during 2024, 2023 or 2022; and no options were outstanding at December 31,2024.</w:t>
      </w:r>
    </w:p>
    <w:p>
      <w:pPr>
        <w:spacing w:after="0" w:line="200" w:lineRule="exact"/>
        <w:rPr>
          <w:sz w:val="20"/>
          <w:szCs w:val="20"/>
          <w:color w:val="auto"/>
        </w:rPr>
      </w:pPr>
    </w:p>
    <w:p>
      <w:pPr>
        <w:spacing w:after="0" w:line="279" w:lineRule="exact"/>
        <w:rPr>
          <w:sz w:val="20"/>
          <w:szCs w:val="20"/>
          <w:color w:val="auto"/>
        </w:rPr>
      </w:pPr>
    </w:p>
    <w:p>
      <w:pPr>
        <w:jc w:val="both"/>
        <w:ind w:left="120" w:right="125" w:firstLine="10"/>
        <w:spacing w:after="0" w:line="257" w:lineRule="auto"/>
        <w:rPr>
          <w:sz w:val="20"/>
          <w:szCs w:val="20"/>
          <w:color w:val="auto"/>
        </w:rPr>
      </w:pPr>
      <w:r>
        <w:rPr>
          <w:rFonts w:ascii="Times New Roman" w:cs="Times New Roman" w:eastAsia="Times New Roman" w:hAnsi="Times New Roman"/>
          <w:sz w:val="19"/>
          <w:szCs w:val="19"/>
          <w:color w:val="auto"/>
        </w:rPr>
        <w:t>Kaplan recorded stock compensation expense of $0.5 million, $1.0 million and $ 1.0 million in 2024, 2023 and 2022, respectively. At December 31; 2024, the Company's accrual balance related to the Kaplan restricted shares totaled $12.7 million. There were no payouts in 2024, 2023 or 2022.</w:t>
      </w:r>
    </w:p>
    <w:p>
      <w:pPr>
        <w:spacing w:after="0" w:line="261" w:lineRule="exact"/>
        <w:rPr>
          <w:sz w:val="20"/>
          <w:szCs w:val="20"/>
          <w:color w:val="auto"/>
        </w:rPr>
      </w:pPr>
    </w:p>
    <w:p>
      <w:pPr>
        <w:jc w:val="both"/>
        <w:ind w:left="120" w:right="125" w:firstLine="1"/>
        <w:spacing w:after="0" w:line="257" w:lineRule="auto"/>
        <w:rPr>
          <w:sz w:val="20"/>
          <w:szCs w:val="20"/>
          <w:color w:val="auto"/>
        </w:rPr>
      </w:pPr>
      <w:r>
        <w:rPr>
          <w:rFonts w:ascii="Times New Roman" w:cs="Times New Roman" w:eastAsia="Times New Roman" w:hAnsi="Times New Roman"/>
          <w:sz w:val="19"/>
          <w:szCs w:val="19"/>
          <w:color w:val="auto"/>
        </w:rPr>
        <w:t>Earnings Per Share. The Company's unvested restricted stock awards contain nonforfeitable rights to dividends and, therefore, are considered participating securities. for purposes of computing earnings per share pursuant to the two-class method. The diluted earnings per share computed under the two-class method is lower</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92"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128</w:t>
        <w:tab/>
        <w:t>2024 FORM 10-K</w:t>
      </w:r>
    </w:p>
    <w:p>
      <w:pPr>
        <w:sectPr>
          <w:pgSz w:w="12240" w:h="15850" w:orient="portrait"/>
          <w:cols w:equalWidth="0" w:num="1">
            <w:col w:w="9365"/>
          </w:cols>
          <w:pgMar w:left="1440" w:top="1392" w:right="1440" w:bottom="721" w:gutter="0" w:footer="0" w:header="0"/>
          <w:type w:val="continuous"/>
        </w:sectPr>
      </w:pPr>
    </w:p>
    <w:bookmarkStart w:id="144" w:name="page145"/>
    <w:bookmarkEnd w:id="144"/>
    <w:p>
      <w:pPr>
        <w:jc w:val="both"/>
        <w:ind w:left="140" w:right="160" w:hanging="7"/>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than the diluted earnings per share computed under the treasury stock method, res ulting in the presentation of the lower amoun t in d iluted earnings per share. T he computatio n of earnings per share under the two-class method</w:t>
      </w:r>
    </w:p>
    <w:p>
      <w:pPr>
        <w:spacing w:after="0" w:line="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excluues the income auributable to the unvested restricted stock awards from the numerator and excludes the</w:t>
      </w:r>
    </w:p>
    <w:p>
      <w:pPr>
        <w:spacing w:after="0" w:line="1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diluti ve impact of those underlying shares from the denominator.</w:t>
      </w:r>
    </w:p>
    <w:p>
      <w:pPr>
        <w:spacing w:after="0" w:line="268" w:lineRule="exact"/>
        <w:rPr>
          <w:sz w:val="20"/>
          <w:szCs w:val="20"/>
          <w:color w:val="auto"/>
        </w:rPr>
      </w:pPr>
    </w:p>
    <w:p>
      <w:pPr>
        <w:jc w:val="both"/>
        <w:ind w:left="120" w:right="160"/>
        <w:spacing w:after="0" w:line="250" w:lineRule="auto"/>
        <w:rPr>
          <w:sz w:val="20"/>
          <w:szCs w:val="20"/>
          <w:color w:val="auto"/>
        </w:rPr>
      </w:pPr>
      <w:r>
        <w:rPr>
          <w:rFonts w:ascii="Times New Roman" w:cs="Times New Roman" w:eastAsia="Times New Roman" w:hAnsi="Times New Roman"/>
          <w:sz w:val="19"/>
          <w:szCs w:val="19"/>
          <w:color w:val="auto"/>
        </w:rPr>
        <w:t>The fo llowing reflects the Company's net income and share data used in the basic and d iluted earnings per share computations using the two-class method:</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262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Year Ended December 31</w:t>
            </w:r>
          </w:p>
        </w:tc>
      </w:tr>
      <w:tr>
        <w:trPr>
          <w:trHeight w:val="42"/>
        </w:trPr>
        <w:tc>
          <w:tcPr>
            <w:tcW w:w="6500" w:type="dxa"/>
            <w:vAlign w:val="bottom"/>
          </w:tcPr>
          <w:p>
            <w:pPr>
              <w:spacing w:after="0"/>
              <w:rPr>
                <w:sz w:val="3"/>
                <w:szCs w:val="3"/>
                <w:color w:val="auto"/>
              </w:rPr>
            </w:pPr>
          </w:p>
        </w:tc>
        <w:tc>
          <w:tcPr>
            <w:tcW w:w="760" w:type="dxa"/>
            <w:vAlign w:val="bottom"/>
            <w:tcBorders>
              <w:bottom w:val="single" w:sz="8" w:color="141414"/>
            </w:tcBorders>
          </w:tcPr>
          <w:p>
            <w:pPr>
              <w:spacing w:after="0"/>
              <w:rPr>
                <w:sz w:val="3"/>
                <w:szCs w:val="3"/>
                <w:color w:val="auto"/>
              </w:rPr>
            </w:pPr>
          </w:p>
        </w:tc>
        <w:tc>
          <w:tcPr>
            <w:tcW w:w="200" w:type="dxa"/>
            <w:vAlign w:val="bottom"/>
            <w:tcBorders>
              <w:bottom w:val="single" w:sz="8" w:color="141414"/>
            </w:tcBorders>
          </w:tcPr>
          <w:p>
            <w:pPr>
              <w:spacing w:after="0"/>
              <w:rPr>
                <w:sz w:val="3"/>
                <w:szCs w:val="3"/>
                <w:color w:val="auto"/>
              </w:rPr>
            </w:pPr>
          </w:p>
        </w:tc>
        <w:tc>
          <w:tcPr>
            <w:tcW w:w="760" w:type="dxa"/>
            <w:vAlign w:val="bottom"/>
            <w:tcBorders>
              <w:bottom w:val="single" w:sz="8" w:color="141414"/>
            </w:tcBorders>
          </w:tcPr>
          <w:p>
            <w:pPr>
              <w:spacing w:after="0"/>
              <w:rPr>
                <w:sz w:val="3"/>
                <w:szCs w:val="3"/>
                <w:color w:val="auto"/>
              </w:rPr>
            </w:pPr>
          </w:p>
        </w:tc>
        <w:tc>
          <w:tcPr>
            <w:tcW w:w="900" w:type="dxa"/>
            <w:vAlign w:val="bottom"/>
            <w:tcBorders>
              <w:bottom w:val="single" w:sz="8" w:color="141414"/>
            </w:tcBorders>
          </w:tcPr>
          <w:p>
            <w:pPr>
              <w:spacing w:after="0"/>
              <w:rPr>
                <w:sz w:val="3"/>
                <w:szCs w:val="3"/>
                <w:color w:val="auto"/>
              </w:rPr>
            </w:pPr>
          </w:p>
        </w:tc>
      </w:tr>
      <w:tr>
        <w:trPr>
          <w:trHeight w:val="217"/>
        </w:trPr>
        <w:tc>
          <w:tcPr>
            <w:tcW w:w="65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 except per sba re amotmts)</w:t>
            </w:r>
          </w:p>
        </w:tc>
        <w:tc>
          <w:tcPr>
            <w:tcW w:w="760" w:type="dxa"/>
            <w:vAlign w:val="bottom"/>
            <w:tcBorders>
              <w:bottom w:val="single" w:sz="8" w:color="141414"/>
            </w:tcBorders>
          </w:tcPr>
          <w:p>
            <w:pPr>
              <w:jc w:val="right"/>
              <w:ind w:right="135"/>
              <w:spacing w:after="0" w:line="201" w:lineRule="exact"/>
              <w:rPr>
                <w:sz w:val="20"/>
                <w:szCs w:val="20"/>
                <w:color w:val="auto"/>
              </w:rPr>
            </w:pPr>
            <w:r>
              <w:rPr>
                <w:rFonts w:ascii="Times New Roman" w:cs="Times New Roman" w:eastAsia="Times New Roman" w:hAnsi="Times New Roman"/>
                <w:sz w:val="18"/>
                <w:szCs w:val="18"/>
                <w:color w:val="auto"/>
              </w:rPr>
              <w:t>2024</w:t>
            </w:r>
          </w:p>
        </w:tc>
        <w:tc>
          <w:tcPr>
            <w:tcW w:w="200" w:type="dxa"/>
            <w:vAlign w:val="bottom"/>
          </w:tcPr>
          <w:p>
            <w:pPr>
              <w:spacing w:after="0"/>
              <w:rPr>
                <w:sz w:val="18"/>
                <w:szCs w:val="18"/>
                <w:color w:val="auto"/>
              </w:rPr>
            </w:pPr>
          </w:p>
        </w:tc>
        <w:tc>
          <w:tcPr>
            <w:tcW w:w="760" w:type="dxa"/>
            <w:vAlign w:val="bottom"/>
            <w:tcBorders>
              <w:bottom w:val="single" w:sz="8" w:color="181818"/>
            </w:tcBorders>
          </w:tcPr>
          <w:p>
            <w:pPr>
              <w:jc w:val="right"/>
              <w:ind w:right="129"/>
              <w:spacing w:after="0" w:line="201" w:lineRule="exact"/>
              <w:rPr>
                <w:sz w:val="20"/>
                <w:szCs w:val="20"/>
                <w:color w:val="auto"/>
              </w:rPr>
            </w:pPr>
            <w:r>
              <w:rPr>
                <w:rFonts w:ascii="Times New Roman" w:cs="Times New Roman" w:eastAsia="Times New Roman" w:hAnsi="Times New Roman"/>
                <w:sz w:val="18"/>
                <w:szCs w:val="18"/>
                <w:color w:val="auto"/>
              </w:rPr>
              <w:t>2023</w:t>
            </w:r>
          </w:p>
        </w:tc>
        <w:tc>
          <w:tcPr>
            <w:tcW w:w="900" w:type="dxa"/>
            <w:vAlign w:val="bottom"/>
          </w:tcPr>
          <w:p>
            <w:pPr>
              <w:jc w:val="right"/>
              <w:ind w:right="89"/>
              <w:spacing w:after="0" w:line="201" w:lineRule="exact"/>
              <w:rPr>
                <w:sz w:val="20"/>
                <w:szCs w:val="20"/>
                <w:color w:val="auto"/>
              </w:rPr>
            </w:pPr>
            <w:r>
              <w:rPr>
                <w:rFonts w:ascii="Times New Roman" w:cs="Times New Roman" w:eastAsia="Times New Roman" w:hAnsi="Times New Roman"/>
                <w:sz w:val="18"/>
                <w:szCs w:val="18"/>
                <w:color w:val="auto"/>
              </w:rPr>
              <w:t>2022</w:t>
            </w: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Numerator:</w:t>
      </w:r>
    </w:p>
    <w:p>
      <w:pPr>
        <w:spacing w:after="0" w:line="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Numerator for basic earnings per share:</w:t>
      </w:r>
    </w:p>
    <w:p>
      <w:pPr>
        <w:spacing w:after="0" w:line="28"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6480" w:type="dxa"/>
            <w:vAlign w:val="bottom"/>
            <w:gridSpan w:val="2"/>
          </w:tcPr>
          <w:p>
            <w:pPr>
              <w:ind w:left="800"/>
              <w:spacing w:after="0"/>
              <w:rPr>
                <w:sz w:val="20"/>
                <w:szCs w:val="20"/>
                <w:color w:val="auto"/>
              </w:rPr>
            </w:pPr>
            <w:r>
              <w:rPr>
                <w:rFonts w:ascii="Times New Roman" w:cs="Times New Roman" w:eastAsia="Times New Roman" w:hAnsi="Times New Roman"/>
                <w:sz w:val="19"/>
                <w:szCs w:val="19"/>
                <w:color w:val="auto"/>
              </w:rPr>
              <w:t>Net income attributable to Graham Holdings Company common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960" w:type="dxa"/>
            <w:vAlign w:val="bottom"/>
          </w:tcPr>
          <w:p>
            <w:pPr>
              <w:spacing w:after="0"/>
              <w:rPr>
                <w:sz w:val="19"/>
                <w:szCs w:val="19"/>
                <w:color w:val="auto"/>
              </w:rPr>
            </w:pPr>
          </w:p>
        </w:tc>
        <w:tc>
          <w:tcPr>
            <w:tcW w:w="552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stockholders  ...................... .. ... .............. .</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724,634</w:t>
            </w:r>
          </w:p>
        </w:tc>
        <w:tc>
          <w:tcPr>
            <w:tcW w:w="180" w:type="dxa"/>
            <w:vAlign w:val="bottom"/>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205,288</w:t>
            </w:r>
          </w:p>
        </w:tc>
        <w:tc>
          <w:tcPr>
            <w:tcW w:w="160" w:type="dxa"/>
            <w:vAlign w:val="bottom"/>
          </w:tcPr>
          <w:p>
            <w:pPr>
              <w:spacing w:after="0"/>
              <w:rPr>
                <w:sz w:val="19"/>
                <w:szCs w:val="19"/>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67,079</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gridSpan w:val="2"/>
          </w:tcPr>
          <w:p>
            <w:pPr>
              <w:ind w:left="800"/>
              <w:spacing w:after="0"/>
              <w:rPr>
                <w:sz w:val="20"/>
                <w:szCs w:val="20"/>
                <w:color w:val="auto"/>
              </w:rPr>
            </w:pPr>
            <w:r>
              <w:rPr>
                <w:rFonts w:ascii="Times New Roman" w:cs="Times New Roman" w:eastAsia="Times New Roman" w:hAnsi="Times New Roman"/>
                <w:sz w:val="19"/>
                <w:szCs w:val="19"/>
                <w:color w:val="auto"/>
              </w:rPr>
              <w:t>Less: Dividends paid-common stock outstanding and unvested</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552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restricted shares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(30,347)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(30,953)</w:t>
            </w:r>
          </w:p>
        </w:tc>
        <w:tc>
          <w:tcPr>
            <w:tcW w:w="900" w:type="dxa"/>
            <w:vAlign w:val="bottom"/>
            <w:gridSpan w:val="5"/>
          </w:tcPr>
          <w:p>
            <w:pPr>
              <w:jc w:val="right"/>
              <w:ind w:right="100"/>
              <w:spacing w:after="0"/>
              <w:rPr>
                <w:sz w:val="20"/>
                <w:szCs w:val="20"/>
                <w:color w:val="auto"/>
              </w:rPr>
            </w:pPr>
            <w:r>
              <w:rPr>
                <w:rFonts w:ascii="Times New Roman" w:cs="Times New Roman" w:eastAsia="Times New Roman" w:hAnsi="Times New Roman"/>
                <w:sz w:val="19"/>
                <w:szCs w:val="19"/>
                <w:color w:val="auto"/>
              </w:rPr>
              <w:t>(30,712)</w:t>
            </w:r>
          </w:p>
        </w:tc>
        <w:tc>
          <w:tcPr>
            <w:tcW w:w="0" w:type="dxa"/>
            <w:vAlign w:val="bottom"/>
          </w:tcPr>
          <w:p>
            <w:pPr>
              <w:spacing w:after="0"/>
              <w:rPr>
                <w:sz w:val="1"/>
                <w:szCs w:val="1"/>
                <w:color w:val="auto"/>
              </w:rPr>
            </w:pPr>
          </w:p>
        </w:tc>
      </w:tr>
      <w:tr>
        <w:trPr>
          <w:trHeight w:val="36"/>
        </w:trPr>
        <w:tc>
          <w:tcPr>
            <w:tcW w:w="64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9"/>
                <w:szCs w:val="19"/>
                <w:color w:val="auto"/>
              </w:rPr>
              <w:t>Undistributed earnings</w:t>
            </w: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66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8"/>
        </w:trPr>
        <w:tc>
          <w:tcPr>
            <w:tcW w:w="6480" w:type="dxa"/>
            <w:vAlign w:val="bottom"/>
            <w:gridSpan w:val="2"/>
            <w:vMerge w:val="continue"/>
          </w:tcPr>
          <w:p>
            <w:pPr>
              <w:jc w:val="right"/>
              <w:ind w:right="86"/>
              <w:spacing w:after="0"/>
              <w:rPr>
                <w:sz w:val="20"/>
                <w:szCs w:val="20"/>
                <w:color w:val="auto"/>
              </w:rPr>
            </w:pPr>
            <w:r>
              <w:rPr>
                <w:rFonts w:ascii="Times New Roman" w:cs="Times New Roman" w:eastAsia="Times New Roman" w:hAnsi="Times New Roman"/>
                <w:sz w:val="19"/>
                <w:szCs w:val="19"/>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694,287</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174,335</w:t>
            </w: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36,367</w:t>
            </w: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ind w:left="800"/>
              <w:spacing w:after="0"/>
              <w:rPr>
                <w:sz w:val="20"/>
                <w:szCs w:val="20"/>
                <w:color w:val="auto"/>
              </w:rPr>
            </w:pPr>
            <w:r>
              <w:rPr>
                <w:rFonts w:ascii="Times New Roman" w:cs="Times New Roman" w:eastAsia="Times New Roman" w:hAnsi="Times New Roman"/>
                <w:sz w:val="19"/>
                <w:szCs w:val="19"/>
                <w:color w:val="auto"/>
              </w:rPr>
              <w:t>Percent allocated to common stockholders .. . ..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99.32%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99.34%</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99.43%</w:t>
            </w:r>
          </w:p>
        </w:tc>
        <w:tc>
          <w:tcPr>
            <w:tcW w:w="0" w:type="dxa"/>
            <w:vAlign w:val="bottom"/>
          </w:tcPr>
          <w:p>
            <w:pPr>
              <w:spacing w:after="0"/>
              <w:rPr>
                <w:sz w:val="1"/>
                <w:szCs w:val="1"/>
                <w:color w:val="auto"/>
              </w:rPr>
            </w:pPr>
          </w:p>
        </w:tc>
      </w:tr>
      <w:tr>
        <w:trPr>
          <w:trHeight w:val="46"/>
        </w:trPr>
        <w:tc>
          <w:tcPr>
            <w:tcW w:w="960" w:type="dxa"/>
            <w:vAlign w:val="bottom"/>
          </w:tcPr>
          <w:p>
            <w:pPr>
              <w:spacing w:after="0"/>
              <w:rPr>
                <w:sz w:val="4"/>
                <w:szCs w:val="4"/>
                <w:color w:val="auto"/>
              </w:rPr>
            </w:pPr>
          </w:p>
        </w:tc>
        <w:tc>
          <w:tcPr>
            <w:tcW w:w="5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bottom w:val="single" w:sz="8" w:color="0C0808"/>
            </w:tcBorders>
          </w:tcPr>
          <w:p>
            <w:pPr>
              <w:spacing w:after="0"/>
              <w:rPr>
                <w:sz w:val="4"/>
                <w:szCs w:val="4"/>
                <w:color w:val="auto"/>
              </w:rPr>
            </w:pPr>
          </w:p>
        </w:tc>
        <w:tc>
          <w:tcPr>
            <w:tcW w:w="660" w:type="dxa"/>
            <w:vAlign w:val="bottom"/>
            <w:tcBorders>
              <w:bottom w:val="single" w:sz="8" w:color="0C0808"/>
            </w:tcBorders>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0C080C"/>
            </w:tcBorders>
          </w:tcPr>
          <w:p>
            <w:pPr>
              <w:spacing w:after="0"/>
              <w:rPr>
                <w:sz w:val="4"/>
                <w:szCs w:val="4"/>
                <w:color w:val="auto"/>
              </w:rPr>
            </w:pPr>
          </w:p>
        </w:tc>
        <w:tc>
          <w:tcPr>
            <w:tcW w:w="680" w:type="dxa"/>
            <w:vAlign w:val="bottom"/>
            <w:tcBorders>
              <w:bottom w:val="single" w:sz="8" w:color="0C080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Borders>
              <w:bottom w:val="single" w:sz="8" w:color="0C080C"/>
            </w:tcBorders>
          </w:tcPr>
          <w:p>
            <w:pPr>
              <w:spacing w:after="0"/>
              <w:rPr>
                <w:sz w:val="4"/>
                <w:szCs w:val="4"/>
                <w:color w:val="auto"/>
              </w:rPr>
            </w:pPr>
          </w:p>
        </w:tc>
        <w:tc>
          <w:tcPr>
            <w:tcW w:w="580" w:type="dxa"/>
            <w:vAlign w:val="bottom"/>
            <w:tcBorders>
              <w:bottom w:val="single" w:sz="8" w:color="0C080C"/>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960" w:type="dxa"/>
            <w:vAlign w:val="bottom"/>
          </w:tcPr>
          <w:p>
            <w:pPr>
              <w:spacing w:after="0"/>
              <w:rPr>
                <w:sz w:val="22"/>
                <w:szCs w:val="22"/>
                <w:color w:val="auto"/>
              </w:rPr>
            </w:pPr>
          </w:p>
        </w:tc>
        <w:tc>
          <w:tcPr>
            <w:tcW w:w="5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689,588</w:t>
            </w: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173,182</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36,160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6480" w:type="dxa"/>
            <w:vAlign w:val="bottom"/>
            <w:gridSpan w:val="2"/>
          </w:tcPr>
          <w:p>
            <w:pPr>
              <w:ind w:left="820"/>
              <w:spacing w:after="0"/>
              <w:rPr>
                <w:sz w:val="20"/>
                <w:szCs w:val="20"/>
                <w:color w:val="auto"/>
              </w:rPr>
            </w:pPr>
            <w:r>
              <w:rPr>
                <w:rFonts w:ascii="Times New Roman" w:cs="Times New Roman" w:eastAsia="Times New Roman" w:hAnsi="Times New Roman"/>
                <w:sz w:val="19"/>
                <w:szCs w:val="19"/>
                <w:color w:val="auto"/>
              </w:rPr>
              <w:t>Add: Dividends paid-common stock outstanding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30,147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30,756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30,540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6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color w:val="auto"/>
              </w:rPr>
              <w:t>Numerator for basic earnings per share</w:t>
            </w:r>
          </w:p>
        </w:tc>
        <w:tc>
          <w:tcPr>
            <w:tcW w:w="2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680" w:type="dxa"/>
            <w:vAlign w:val="bottom"/>
            <w:tcBorders>
              <w:bottom w:val="single" w:sz="8" w:color="504C4C"/>
            </w:tcBorders>
            <w:gridSpan w:val="2"/>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Borders>
              <w:bottom w:val="single" w:sz="8" w:color="504C4C"/>
            </w:tcBorders>
          </w:tcPr>
          <w:p>
            <w:pPr>
              <w:spacing w:after="0"/>
              <w:rPr>
                <w:sz w:val="3"/>
                <w:szCs w:val="3"/>
                <w:color w:val="auto"/>
              </w:rPr>
            </w:pPr>
          </w:p>
        </w:tc>
        <w:tc>
          <w:tcPr>
            <w:tcW w:w="58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6480" w:type="dxa"/>
            <w:vAlign w:val="bottom"/>
            <w:gridSpan w:val="2"/>
            <w:vMerge w:val="continue"/>
          </w:tcPr>
          <w:p>
            <w:pPr>
              <w:jc w:val="right"/>
              <w:ind w:right="86"/>
              <w:spacing w:after="0" w:line="228" w:lineRule="exact"/>
              <w:rPr>
                <w:sz w:val="20"/>
                <w:szCs w:val="20"/>
                <w:color w:val="auto"/>
              </w:rPr>
            </w:pPr>
            <w:r>
              <w:rPr>
                <w:rFonts w:ascii="Times New Roman" w:cs="Times New Roman" w:eastAsia="Times New Roman" w:hAnsi="Times New Roman"/>
                <w:sz w:val="20"/>
                <w:szCs w:val="20"/>
                <w:color w:val="auto"/>
              </w:rPr>
              <w:t>........................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719,735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203,938</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66,700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4"/>
        </w:trPr>
        <w:tc>
          <w:tcPr>
            <w:tcW w:w="64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9"/>
                <w:szCs w:val="19"/>
                <w:color w:val="auto"/>
              </w:rPr>
              <w:t>Add: Additional undistributed earnings due to dilutive stock</w:t>
            </w:r>
          </w:p>
        </w:tc>
        <w:tc>
          <w:tcPr>
            <w:tcW w:w="20" w:type="dxa"/>
            <w:vAlign w:val="bottom"/>
          </w:tcPr>
          <w:p>
            <w:pPr>
              <w:spacing w:after="0"/>
              <w:rPr>
                <w:sz w:val="2"/>
                <w:szCs w:val="2"/>
                <w:color w:val="auto"/>
              </w:rPr>
            </w:pPr>
          </w:p>
        </w:tc>
        <w:tc>
          <w:tcPr>
            <w:tcW w:w="100" w:type="dxa"/>
            <w:vAlign w:val="bottom"/>
            <w:tcBorders>
              <w:bottom w:val="single" w:sz="8" w:color="0C080C"/>
            </w:tcBorders>
          </w:tcPr>
          <w:p>
            <w:pPr>
              <w:spacing w:after="0"/>
              <w:rPr>
                <w:sz w:val="2"/>
                <w:szCs w:val="2"/>
                <w:color w:val="auto"/>
              </w:rPr>
            </w:pPr>
          </w:p>
        </w:tc>
        <w:tc>
          <w:tcPr>
            <w:tcW w:w="660" w:type="dxa"/>
            <w:vAlign w:val="bottom"/>
            <w:tcBorders>
              <w:bottom w:val="single" w:sz="8" w:color="0C080C"/>
            </w:tcBorders>
          </w:tcPr>
          <w:p>
            <w:pPr>
              <w:spacing w:after="0"/>
              <w:rPr>
                <w:sz w:val="2"/>
                <w:szCs w:val="2"/>
                <w:color w:val="auto"/>
              </w:rPr>
            </w:pPr>
          </w:p>
        </w:tc>
        <w:tc>
          <w:tcPr>
            <w:tcW w:w="180" w:type="dxa"/>
            <w:vAlign w:val="bottom"/>
            <w:tcBorders>
              <w:bottom w:val="single" w:sz="8" w:color="0C080C"/>
            </w:tcBorders>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80" w:type="dxa"/>
            <w:vAlign w:val="bottom"/>
            <w:tcBorders>
              <w:bottom w:val="single" w:sz="8" w:color="0C080C"/>
            </w:tcBorders>
          </w:tcPr>
          <w:p>
            <w:pPr>
              <w:spacing w:after="0"/>
              <w:rPr>
                <w:sz w:val="2"/>
                <w:szCs w:val="2"/>
                <w:color w:val="auto"/>
              </w:rPr>
            </w:pPr>
          </w:p>
        </w:tc>
        <w:tc>
          <w:tcPr>
            <w:tcW w:w="660" w:type="dxa"/>
            <w:vAlign w:val="bottom"/>
            <w:tcBorders>
              <w:bottom w:val="single" w:sz="8" w:color="0C080C"/>
            </w:tcBorders>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60" w:type="dxa"/>
            <w:vAlign w:val="bottom"/>
            <w:tcBorders>
              <w:bottom w:val="single" w:sz="8" w:color="0C080C"/>
            </w:tcBorders>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40" w:type="dxa"/>
            <w:vAlign w:val="bottom"/>
            <w:tcBorders>
              <w:bottom w:val="single" w:sz="8" w:color="0C080C"/>
            </w:tcBorders>
          </w:tcPr>
          <w:p>
            <w:pPr>
              <w:spacing w:after="0"/>
              <w:rPr>
                <w:sz w:val="2"/>
                <w:szCs w:val="2"/>
                <w:color w:val="auto"/>
              </w:rPr>
            </w:pPr>
          </w:p>
        </w:tc>
        <w:tc>
          <w:tcPr>
            <w:tcW w:w="580" w:type="dxa"/>
            <w:vAlign w:val="bottom"/>
            <w:tcBorders>
              <w:bottom w:val="single" w:sz="8" w:color="0C080C"/>
            </w:tcBorders>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40" w:type="dxa"/>
            <w:vAlign w:val="bottom"/>
            <w:tcBorders>
              <w:bottom w:val="single" w:sz="8" w:color="0C080C"/>
            </w:tcBorders>
          </w:tcPr>
          <w:p>
            <w:pPr>
              <w:spacing w:after="0"/>
              <w:rPr>
                <w:sz w:val="2"/>
                <w:szCs w:val="2"/>
                <w:color w:val="auto"/>
              </w:rPr>
            </w:pPr>
          </w:p>
        </w:tc>
        <w:tc>
          <w:tcPr>
            <w:tcW w:w="0" w:type="dxa"/>
            <w:vAlign w:val="bottom"/>
          </w:tcPr>
          <w:p>
            <w:pPr>
              <w:spacing w:after="0"/>
              <w:rPr>
                <w:sz w:val="1"/>
                <w:szCs w:val="1"/>
                <w:color w:val="auto"/>
              </w:rPr>
            </w:pPr>
          </w:p>
        </w:tc>
      </w:tr>
      <w:tr>
        <w:trPr>
          <w:trHeight w:val="306"/>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960" w:type="dxa"/>
            <w:vAlign w:val="bottom"/>
          </w:tcPr>
          <w:p>
            <w:pPr>
              <w:spacing w:after="0"/>
              <w:rPr>
                <w:sz w:val="20"/>
                <w:szCs w:val="20"/>
                <w:color w:val="auto"/>
              </w:rPr>
            </w:pPr>
          </w:p>
        </w:tc>
        <w:tc>
          <w:tcPr>
            <w:tcW w:w="5520" w:type="dxa"/>
            <w:vAlign w:val="bottom"/>
          </w:tcPr>
          <w:p>
            <w:pPr>
              <w:jc w:val="right"/>
              <w:ind w:right="86"/>
              <w:spacing w:after="0"/>
              <w:rPr>
                <w:sz w:val="20"/>
                <w:szCs w:val="20"/>
                <w:color w:val="auto"/>
              </w:rPr>
            </w:pPr>
            <w:r>
              <w:rPr>
                <w:rFonts w:ascii="Times New Roman" w:cs="Times New Roman" w:eastAsia="Times New Roman" w:hAnsi="Times New Roman"/>
                <w:sz w:val="19"/>
                <w:szCs w:val="19"/>
                <w:color w:val="auto"/>
              </w:rPr>
              <w:t>options . ...... . . . .... . . .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color w:val="auto"/>
              </w:rPr>
              <w:t>Numerator for diluted earnings per share</w:t>
            </w: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66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680" w:type="dxa"/>
            <w:vAlign w:val="bottom"/>
            <w:tcBorders>
              <w:bottom w:val="single" w:sz="8" w:color="504C4C"/>
            </w:tcBorders>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480" w:type="dxa"/>
            <w:vAlign w:val="bottom"/>
            <w:gridSpan w:val="2"/>
            <w:vMerge w:val="continue"/>
          </w:tcPr>
          <w:p>
            <w:pPr>
              <w:jc w:val="right"/>
              <w:ind w:right="86"/>
              <w:spacing w:after="0"/>
              <w:rPr>
                <w:sz w:val="20"/>
                <w:szCs w:val="20"/>
                <w:color w:val="auto"/>
              </w:rPr>
            </w:pPr>
            <w:r>
              <w:rPr>
                <w:rFonts w:ascii="Times New Roman" w:cs="Times New Roman" w:eastAsia="Times New Roman" w:hAnsi="Times New Roman"/>
                <w:sz w:val="20"/>
                <w:szCs w:val="20"/>
                <w:color w:val="auto"/>
              </w:rPr>
              <w:t>...................... .</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719,770</w:t>
            </w:r>
          </w:p>
        </w:tc>
        <w:tc>
          <w:tcPr>
            <w:tcW w:w="1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203,942</w:t>
            </w:r>
          </w:p>
        </w:tc>
        <w:tc>
          <w:tcPr>
            <w:tcW w:w="16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66,700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Denominator:</w:t>
            </w:r>
          </w:p>
        </w:tc>
        <w:tc>
          <w:tcPr>
            <w:tcW w:w="20" w:type="dxa"/>
            <w:vAlign w:val="bottom"/>
            <w:tcBorders>
              <w:bottom w:val="single" w:sz="8" w:color="0C0808"/>
            </w:tcBorders>
          </w:tcPr>
          <w:p>
            <w:pPr>
              <w:spacing w:after="0"/>
              <w:rPr>
                <w:sz w:val="2"/>
                <w:szCs w:val="2"/>
                <w:color w:val="auto"/>
              </w:rPr>
            </w:pPr>
          </w:p>
        </w:tc>
        <w:tc>
          <w:tcPr>
            <w:tcW w:w="100" w:type="dxa"/>
            <w:vAlign w:val="bottom"/>
            <w:tcBorders>
              <w:bottom w:val="single" w:sz="8" w:color="0C0808"/>
            </w:tcBorders>
          </w:tcPr>
          <w:p>
            <w:pPr>
              <w:spacing w:after="0"/>
              <w:rPr>
                <w:sz w:val="2"/>
                <w:szCs w:val="2"/>
                <w:color w:val="auto"/>
              </w:rPr>
            </w:pPr>
          </w:p>
        </w:tc>
        <w:tc>
          <w:tcPr>
            <w:tcW w:w="660" w:type="dxa"/>
            <w:vAlign w:val="bottom"/>
            <w:tcBorders>
              <w:bottom w:val="single" w:sz="8" w:color="0C0808"/>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80" w:type="dxa"/>
            <w:vAlign w:val="bottom"/>
            <w:tcBorders>
              <w:bottom w:val="single" w:sz="8" w:color="0C080C"/>
            </w:tcBorders>
          </w:tcPr>
          <w:p>
            <w:pPr>
              <w:spacing w:after="0"/>
              <w:rPr>
                <w:sz w:val="2"/>
                <w:szCs w:val="2"/>
                <w:color w:val="auto"/>
              </w:rPr>
            </w:pPr>
          </w:p>
        </w:tc>
        <w:tc>
          <w:tcPr>
            <w:tcW w:w="660" w:type="dxa"/>
            <w:vAlign w:val="bottom"/>
            <w:tcBorders>
              <w:bottom w:val="single" w:sz="8" w:color="0C080C"/>
            </w:tcBorders>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Borders>
              <w:bottom w:val="single" w:sz="8" w:color="0C080C"/>
            </w:tcBorders>
          </w:tcPr>
          <w:p>
            <w:pPr>
              <w:spacing w:after="0"/>
              <w:rPr>
                <w:sz w:val="2"/>
                <w:szCs w:val="2"/>
                <w:color w:val="auto"/>
              </w:rPr>
            </w:pPr>
          </w:p>
        </w:tc>
        <w:tc>
          <w:tcPr>
            <w:tcW w:w="140" w:type="dxa"/>
            <w:vAlign w:val="bottom"/>
            <w:tcBorders>
              <w:bottom w:val="single" w:sz="8" w:color="0C080C"/>
            </w:tcBorders>
          </w:tcPr>
          <w:p>
            <w:pPr>
              <w:spacing w:after="0"/>
              <w:rPr>
                <w:sz w:val="2"/>
                <w:szCs w:val="2"/>
                <w:color w:val="auto"/>
              </w:rPr>
            </w:pPr>
          </w:p>
        </w:tc>
        <w:tc>
          <w:tcPr>
            <w:tcW w:w="580" w:type="dxa"/>
            <w:vAlign w:val="bottom"/>
            <w:tcBorders>
              <w:bottom w:val="single" w:sz="8" w:color="0C080C"/>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8"/>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4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Denominator for basic earnings per share: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6480" w:type="dxa"/>
            <w:vAlign w:val="bottom"/>
            <w:gridSpan w:val="2"/>
          </w:tcPr>
          <w:p>
            <w:pPr>
              <w:ind w:left="800"/>
              <w:spacing w:after="0"/>
              <w:rPr>
                <w:sz w:val="20"/>
                <w:szCs w:val="20"/>
                <w:color w:val="auto"/>
              </w:rPr>
            </w:pPr>
            <w:r>
              <w:rPr>
                <w:rFonts w:ascii="Times New Roman" w:cs="Times New Roman" w:eastAsia="Times New Roman" w:hAnsi="Times New Roman"/>
                <w:sz w:val="19"/>
                <w:szCs w:val="19"/>
                <w:color w:val="auto"/>
              </w:rPr>
              <w:t>Weighted average shares outstanding ... .. ... .... ... ......... .</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4,372</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4,639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4,823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480" w:type="dxa"/>
            <w:vAlign w:val="bottom"/>
            <w:gridSpan w:val="2"/>
          </w:tcPr>
          <w:p>
            <w:pPr>
              <w:ind w:left="800"/>
              <w:spacing w:after="0"/>
              <w:rPr>
                <w:sz w:val="20"/>
                <w:szCs w:val="20"/>
                <w:color w:val="auto"/>
              </w:rPr>
            </w:pPr>
            <w:r>
              <w:rPr>
                <w:rFonts w:ascii="Times New Roman" w:cs="Times New Roman" w:eastAsia="Times New Roman" w:hAnsi="Times New Roman"/>
                <w:sz w:val="19"/>
                <w:szCs w:val="19"/>
                <w:color w:val="auto"/>
              </w:rPr>
              <w:t>Add: Effect of dilutive stock options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Denominator for diluted earnings per share</w:t>
            </w: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66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680" w:type="dxa"/>
            <w:vAlign w:val="bottom"/>
            <w:tcBorders>
              <w:bottom w:val="single" w:sz="8" w:color="504C4C"/>
            </w:tcBorders>
            <w:gridSpan w:val="2"/>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480" w:type="dxa"/>
            <w:vAlign w:val="bottom"/>
            <w:gridSpan w:val="2"/>
            <w:vMerge w:val="continue"/>
          </w:tcPr>
          <w:p>
            <w:pPr>
              <w:jc w:val="right"/>
              <w:ind w:right="86"/>
              <w:spacing w:after="0" w:line="228" w:lineRule="exact"/>
              <w:rPr>
                <w:sz w:val="20"/>
                <w:szCs w:val="20"/>
                <w:color w:val="auto"/>
              </w:rPr>
            </w:pPr>
            <w:r>
              <w:rPr>
                <w:rFonts w:ascii="Times New Roman" w:cs="Times New Roman" w:eastAsia="Times New Roman" w:hAnsi="Times New Roman"/>
                <w:sz w:val="20"/>
                <w:szCs w:val="20"/>
                <w:color w:val="auto"/>
              </w:rPr>
              <w:t>.. . ..................... .</w:t>
            </w: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4,405</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4,654</w:t>
            </w: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4,836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4"/>
        </w:trPr>
        <w:tc>
          <w:tcPr>
            <w:tcW w:w="6480" w:type="dxa"/>
            <w:vAlign w:val="bottom"/>
            <w:gridSpan w:val="2"/>
            <w:vMerge w:val="restart"/>
          </w:tcPr>
          <w:p>
            <w:pPr>
              <w:spacing w:after="0"/>
              <w:rPr>
                <w:sz w:val="20"/>
                <w:szCs w:val="20"/>
                <w:color w:val="auto"/>
              </w:rPr>
            </w:pPr>
            <w:r>
              <w:rPr>
                <w:rFonts w:ascii="Times New Roman" w:cs="Times New Roman" w:eastAsia="Times New Roman" w:hAnsi="Times New Roman"/>
                <w:sz w:val="21"/>
                <w:szCs w:val="21"/>
                <w:color w:val="auto"/>
              </w:rPr>
              <w:t>Graham Holdings Company Common Stockholders:</w:t>
            </w:r>
          </w:p>
        </w:tc>
        <w:tc>
          <w:tcPr>
            <w:tcW w:w="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18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6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14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1"/>
        </w:trPr>
        <w:tc>
          <w:tcPr>
            <w:tcW w:w="648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480" w:type="dxa"/>
            <w:vAlign w:val="bottom"/>
            <w:gridSpan w:val="2"/>
          </w:tcPr>
          <w:p>
            <w:pPr>
              <w:ind w:left="400"/>
              <w:spacing w:after="0"/>
              <w:rPr>
                <w:sz w:val="20"/>
                <w:szCs w:val="20"/>
                <w:color w:val="auto"/>
              </w:rPr>
            </w:pPr>
            <w:r>
              <w:rPr>
                <w:rFonts w:ascii="Times New Roman" w:cs="Times New Roman" w:eastAsia="Times New Roman" w:hAnsi="Times New Roman"/>
                <w:sz w:val="20"/>
                <w:szCs w:val="20"/>
                <w:color w:val="auto"/>
              </w:rPr>
              <w:t>Basic earnings per share .......... . .......................... .</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164.62</w:t>
            </w:r>
          </w:p>
        </w:tc>
        <w:tc>
          <w:tcPr>
            <w:tcW w:w="1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w w:val="83"/>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43 .96</w:t>
            </w:r>
          </w:p>
        </w:tc>
        <w:tc>
          <w:tcPr>
            <w:tcW w:w="160" w:type="dxa"/>
            <w:vAlign w:val="bottom"/>
          </w:tcPr>
          <w:p>
            <w:pPr>
              <w:spacing w:after="0"/>
              <w:rPr>
                <w:sz w:val="21"/>
                <w:szCs w:val="21"/>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9"/>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13.83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4"/>
        </w:trPr>
        <w:tc>
          <w:tcPr>
            <w:tcW w:w="6480" w:type="dxa"/>
            <w:vAlign w:val="bottom"/>
            <w:gridSpan w:val="2"/>
            <w:vMerge w:val="restart"/>
          </w:tcPr>
          <w:p>
            <w:pPr>
              <w:ind w:left="400"/>
              <w:spacing w:after="0"/>
              <w:rPr>
                <w:sz w:val="20"/>
                <w:szCs w:val="20"/>
                <w:color w:val="auto"/>
              </w:rPr>
            </w:pPr>
            <w:r>
              <w:rPr>
                <w:rFonts w:ascii="Times New Roman" w:cs="Times New Roman" w:eastAsia="Times New Roman" w:hAnsi="Times New Roman"/>
                <w:sz w:val="20"/>
                <w:szCs w:val="20"/>
                <w:color w:val="auto"/>
              </w:rPr>
              <w:t>Diluted earnings per share</w:t>
            </w:r>
          </w:p>
        </w:tc>
        <w:tc>
          <w:tcPr>
            <w:tcW w:w="20" w:type="dxa"/>
            <w:vAlign w:val="bottom"/>
          </w:tcPr>
          <w:p>
            <w:pPr>
              <w:spacing w:after="0"/>
              <w:rPr>
                <w:sz w:val="3"/>
                <w:szCs w:val="3"/>
                <w:color w:val="auto"/>
              </w:rPr>
            </w:pPr>
          </w:p>
        </w:tc>
        <w:tc>
          <w:tcPr>
            <w:tcW w:w="100" w:type="dxa"/>
            <w:vAlign w:val="bottom"/>
            <w:tcBorders>
              <w:bottom w:val="single" w:sz="8" w:color="0C0C0C"/>
            </w:tcBorders>
          </w:tcPr>
          <w:p>
            <w:pPr>
              <w:spacing w:after="0"/>
              <w:rPr>
                <w:sz w:val="3"/>
                <w:szCs w:val="3"/>
                <w:color w:val="auto"/>
              </w:rPr>
            </w:pPr>
          </w:p>
        </w:tc>
        <w:tc>
          <w:tcPr>
            <w:tcW w:w="660" w:type="dxa"/>
            <w:vAlign w:val="bottom"/>
            <w:tcBorders>
              <w:bottom w:val="single" w:sz="8" w:color="0C0C0C"/>
            </w:tcBorders>
          </w:tcPr>
          <w:p>
            <w:pPr>
              <w:spacing w:after="0"/>
              <w:rPr>
                <w:sz w:val="3"/>
                <w:szCs w:val="3"/>
                <w:color w:val="auto"/>
              </w:rPr>
            </w:pPr>
          </w:p>
        </w:tc>
        <w:tc>
          <w:tcPr>
            <w:tcW w:w="180" w:type="dxa"/>
            <w:vAlign w:val="bottom"/>
            <w:tcBorders>
              <w:bottom w:val="single" w:sz="8" w:color="0C0C0C"/>
            </w:tcBorders>
          </w:tcPr>
          <w:p>
            <w:pPr>
              <w:spacing w:after="0"/>
              <w:rPr>
                <w:sz w:val="3"/>
                <w:szCs w:val="3"/>
                <w:color w:val="auto"/>
              </w:rPr>
            </w:pPr>
          </w:p>
        </w:tc>
        <w:tc>
          <w:tcPr>
            <w:tcW w:w="100" w:type="dxa"/>
            <w:vAlign w:val="bottom"/>
            <w:tcBorders>
              <w:bottom w:val="single" w:sz="8" w:color="0C0C0C"/>
            </w:tcBorders>
            <w:gridSpan w:val="2"/>
          </w:tcPr>
          <w:p>
            <w:pPr>
              <w:spacing w:after="0"/>
              <w:rPr>
                <w:sz w:val="3"/>
                <w:szCs w:val="3"/>
                <w:color w:val="auto"/>
              </w:rPr>
            </w:pPr>
          </w:p>
        </w:tc>
        <w:tc>
          <w:tcPr>
            <w:tcW w:w="680" w:type="dxa"/>
            <w:vAlign w:val="bottom"/>
            <w:tcBorders>
              <w:bottom w:val="single" w:sz="8" w:color="0C0C0C"/>
            </w:tcBorders>
            <w:gridSpan w:val="2"/>
          </w:tcPr>
          <w:p>
            <w:pPr>
              <w:spacing w:after="0"/>
              <w:rPr>
                <w:sz w:val="3"/>
                <w:szCs w:val="3"/>
                <w:color w:val="auto"/>
              </w:rPr>
            </w:pPr>
          </w:p>
        </w:tc>
        <w:tc>
          <w:tcPr>
            <w:tcW w:w="160" w:type="dxa"/>
            <w:vAlign w:val="bottom"/>
            <w:tcBorders>
              <w:bottom w:val="single" w:sz="8" w:color="0C0C0C"/>
            </w:tcBorders>
          </w:tcPr>
          <w:p>
            <w:pPr>
              <w:spacing w:after="0"/>
              <w:rPr>
                <w:sz w:val="3"/>
                <w:szCs w:val="3"/>
                <w:color w:val="auto"/>
              </w:rPr>
            </w:pPr>
          </w:p>
        </w:tc>
        <w:tc>
          <w:tcPr>
            <w:tcW w:w="160" w:type="dxa"/>
            <w:vAlign w:val="bottom"/>
            <w:tcBorders>
              <w:bottom w:val="single" w:sz="8" w:color="0C0C0C"/>
            </w:tcBorders>
            <w:gridSpan w:val="2"/>
          </w:tcPr>
          <w:p>
            <w:pPr>
              <w:spacing w:after="0"/>
              <w:rPr>
                <w:sz w:val="3"/>
                <w:szCs w:val="3"/>
                <w:color w:val="auto"/>
              </w:rPr>
            </w:pPr>
          </w:p>
        </w:tc>
        <w:tc>
          <w:tcPr>
            <w:tcW w:w="580" w:type="dxa"/>
            <w:vAlign w:val="bottom"/>
            <w:tcBorders>
              <w:bottom w:val="single" w:sz="8" w:color="0C0C0C"/>
            </w:tcBorders>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6480" w:type="dxa"/>
            <w:vAlign w:val="bottom"/>
            <w:gridSpan w:val="2"/>
            <w:vMerge w:val="continue"/>
          </w:tcPr>
          <w:p>
            <w:pPr>
              <w:jc w:val="right"/>
              <w:ind w:right="86"/>
              <w:spacing w:after="0"/>
              <w:rPr>
                <w:sz w:val="20"/>
                <w:szCs w:val="20"/>
                <w:color w:val="auto"/>
              </w:rPr>
            </w:pPr>
            <w:r>
              <w:rPr>
                <w:rFonts w:ascii="Times New Roman" w:cs="Times New Roman" w:eastAsia="Times New Roman" w:hAnsi="Times New Roman"/>
                <w:sz w:val="20"/>
                <w:szCs w:val="20"/>
                <w:color w:val="auto"/>
              </w:rPr>
              <w:t>.. ... . .. . .......................... .</w:t>
            </w: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163.40</w:t>
            </w:r>
          </w:p>
        </w:tc>
        <w:tc>
          <w:tcPr>
            <w:tcW w:w="1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6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43 .82</w:t>
            </w:r>
          </w:p>
        </w:tc>
        <w:tc>
          <w:tcPr>
            <w:tcW w:w="160" w:type="dxa"/>
            <w:vAlign w:val="bottom"/>
          </w:tcPr>
          <w:p>
            <w:pPr>
              <w:spacing w:after="0"/>
              <w:rPr>
                <w:sz w:val="24"/>
                <w:szCs w:val="24"/>
                <w:color w:val="auto"/>
              </w:rPr>
            </w:pPr>
          </w:p>
        </w:tc>
        <w:tc>
          <w:tcPr>
            <w:tcW w:w="16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13.79</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
        </w:trPr>
        <w:tc>
          <w:tcPr>
            <w:tcW w:w="960" w:type="dxa"/>
            <w:vAlign w:val="bottom"/>
          </w:tcPr>
          <w:p>
            <w:pPr>
              <w:spacing w:after="0"/>
              <w:rPr>
                <w:sz w:val="3"/>
                <w:szCs w:val="3"/>
                <w:color w:val="auto"/>
              </w:rPr>
            </w:pPr>
          </w:p>
        </w:tc>
        <w:tc>
          <w:tcPr>
            <w:tcW w:w="5520" w:type="dxa"/>
            <w:vAlign w:val="bottom"/>
          </w:tcPr>
          <w:p>
            <w:pPr>
              <w:spacing w:after="0"/>
              <w:rPr>
                <w:sz w:val="3"/>
                <w:szCs w:val="3"/>
                <w:color w:val="auto"/>
              </w:rPr>
            </w:pPr>
          </w:p>
        </w:tc>
        <w:tc>
          <w:tcPr>
            <w:tcW w:w="20" w:type="dxa"/>
            <w:vAlign w:val="bottom"/>
            <w:tcBorders>
              <w:bottom w:val="single" w:sz="8" w:color="0C0C0C"/>
            </w:tcBorders>
          </w:tcPr>
          <w:p>
            <w:pPr>
              <w:spacing w:after="0"/>
              <w:rPr>
                <w:sz w:val="3"/>
                <w:szCs w:val="3"/>
                <w:color w:val="auto"/>
              </w:rPr>
            </w:pPr>
          </w:p>
        </w:tc>
        <w:tc>
          <w:tcPr>
            <w:tcW w:w="100" w:type="dxa"/>
            <w:vAlign w:val="bottom"/>
            <w:tcBorders>
              <w:bottom w:val="single" w:sz="8" w:color="0C0C0C"/>
            </w:tcBorders>
          </w:tcPr>
          <w:p>
            <w:pPr>
              <w:spacing w:after="0"/>
              <w:rPr>
                <w:sz w:val="3"/>
                <w:szCs w:val="3"/>
                <w:color w:val="auto"/>
              </w:rPr>
            </w:pPr>
          </w:p>
        </w:tc>
        <w:tc>
          <w:tcPr>
            <w:tcW w:w="660" w:type="dxa"/>
            <w:vAlign w:val="bottom"/>
            <w:tcBorders>
              <w:bottom w:val="single" w:sz="8" w:color="0C0C0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0C0C0C"/>
            </w:tcBorders>
          </w:tcPr>
          <w:p>
            <w:pPr>
              <w:spacing w:after="0"/>
              <w:rPr>
                <w:sz w:val="3"/>
                <w:szCs w:val="3"/>
                <w:color w:val="auto"/>
              </w:rPr>
            </w:pPr>
          </w:p>
        </w:tc>
        <w:tc>
          <w:tcPr>
            <w:tcW w:w="80" w:type="dxa"/>
            <w:vAlign w:val="bottom"/>
            <w:tcBorders>
              <w:bottom w:val="single" w:sz="8" w:color="0C0C0C"/>
            </w:tcBorders>
          </w:tcPr>
          <w:p>
            <w:pPr>
              <w:spacing w:after="0"/>
              <w:rPr>
                <w:sz w:val="3"/>
                <w:szCs w:val="3"/>
                <w:color w:val="auto"/>
              </w:rPr>
            </w:pPr>
          </w:p>
        </w:tc>
        <w:tc>
          <w:tcPr>
            <w:tcW w:w="660" w:type="dxa"/>
            <w:vAlign w:val="bottom"/>
            <w:tcBorders>
              <w:bottom w:val="single" w:sz="8" w:color="0C0C0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Borders>
              <w:bottom w:val="single" w:sz="8" w:color="0C0C0C"/>
            </w:tcBorders>
          </w:tcPr>
          <w:p>
            <w:pPr>
              <w:spacing w:after="0"/>
              <w:rPr>
                <w:sz w:val="3"/>
                <w:szCs w:val="3"/>
                <w:color w:val="auto"/>
              </w:rPr>
            </w:pPr>
          </w:p>
        </w:tc>
        <w:tc>
          <w:tcPr>
            <w:tcW w:w="140" w:type="dxa"/>
            <w:vAlign w:val="bottom"/>
            <w:tcBorders>
              <w:bottom w:val="single" w:sz="8" w:color="0C0C0C"/>
            </w:tcBorders>
          </w:tcPr>
          <w:p>
            <w:pPr>
              <w:spacing w:after="0"/>
              <w:rPr>
                <w:sz w:val="3"/>
                <w:szCs w:val="3"/>
                <w:color w:val="auto"/>
              </w:rPr>
            </w:pPr>
          </w:p>
        </w:tc>
        <w:tc>
          <w:tcPr>
            <w:tcW w:w="580" w:type="dxa"/>
            <w:vAlign w:val="bottom"/>
            <w:tcBorders>
              <w:bottom w:val="single" w:sz="8" w:color="0C0C0C"/>
            </w:tcBorders>
          </w:tcPr>
          <w:p>
            <w:pPr>
              <w:spacing w:after="0"/>
              <w:rPr>
                <w:sz w:val="3"/>
                <w:szCs w:val="3"/>
                <w:color w:val="auto"/>
              </w:rPr>
            </w:pPr>
          </w:p>
        </w:tc>
        <w:tc>
          <w:tcPr>
            <w:tcW w:w="20" w:type="dxa"/>
            <w:vAlign w:val="bottom"/>
            <w:tcBorders>
              <w:bottom w:val="single" w:sz="8" w:color="0C0C0C"/>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960" w:type="dxa"/>
            <w:vAlign w:val="bottom"/>
            <w:tcBorders>
              <w:bottom w:val="single" w:sz="8" w:color="0C080C"/>
            </w:tcBorders>
          </w:tcPr>
          <w:p>
            <w:pPr>
              <w:spacing w:after="0"/>
              <w:rPr>
                <w:sz w:val="14"/>
                <w:szCs w:val="14"/>
                <w:color w:val="auto"/>
              </w:rPr>
            </w:pPr>
          </w:p>
        </w:tc>
        <w:tc>
          <w:tcPr>
            <w:tcW w:w="5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4"/>
          <w:szCs w:val="14"/>
          <w:color w:val="auto"/>
        </w:rPr>
        <w:t>Earni ngs per share amounts may not recalculate due to rounding.</w:t>
      </w:r>
    </w:p>
    <w:p>
      <w:pPr>
        <w:spacing w:after="0" w:line="154" w:lineRule="exact"/>
        <w:rPr>
          <w:sz w:val="20"/>
          <w:szCs w:val="20"/>
          <w:color w:val="auto"/>
        </w:rPr>
      </w:pPr>
    </w:p>
    <w:p>
      <w:pPr>
        <w:jc w:val="both"/>
        <w:ind w:left="120" w:right="160"/>
        <w:spacing w:after="0" w:line="261" w:lineRule="auto"/>
        <w:rPr>
          <w:sz w:val="20"/>
          <w:szCs w:val="20"/>
          <w:color w:val="auto"/>
        </w:rPr>
      </w:pPr>
      <w:r>
        <w:rPr>
          <w:rFonts w:ascii="Times New Roman" w:cs="Times New Roman" w:eastAsia="Times New Roman" w:hAnsi="Times New Roman"/>
          <w:sz w:val="19"/>
          <w:szCs w:val="19"/>
          <w:color w:val="auto"/>
        </w:rPr>
        <w:t>Diluted earnings per share excludes the following weighted average potential common shares, as the effect would be antidilutive, as computed under the treasury stock method:</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84"/>
        </w:trPr>
        <w:tc>
          <w:tcPr>
            <w:tcW w:w="5000" w:type="dxa"/>
            <w:vAlign w:val="bottom"/>
          </w:tcPr>
          <w:p>
            <w:pPr>
              <w:spacing w:after="0"/>
              <w:rPr>
                <w:sz w:val="16"/>
                <w:szCs w:val="16"/>
                <w:color w:val="auto"/>
              </w:rPr>
            </w:pPr>
          </w:p>
        </w:tc>
        <w:tc>
          <w:tcPr>
            <w:tcW w:w="252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Year E nded December 31</w:t>
            </w:r>
          </w:p>
        </w:tc>
      </w:tr>
      <w:tr>
        <w:trPr>
          <w:trHeight w:val="42"/>
        </w:trPr>
        <w:tc>
          <w:tcPr>
            <w:tcW w:w="5000" w:type="dxa"/>
            <w:vAlign w:val="bottom"/>
          </w:tcPr>
          <w:p>
            <w:pPr>
              <w:spacing w:after="0"/>
              <w:rPr>
                <w:sz w:val="3"/>
                <w:szCs w:val="3"/>
                <w:color w:val="auto"/>
              </w:rPr>
            </w:pPr>
          </w:p>
        </w:tc>
        <w:tc>
          <w:tcPr>
            <w:tcW w:w="780" w:type="dxa"/>
            <w:vAlign w:val="bottom"/>
            <w:tcBorders>
              <w:bottom w:val="single" w:sz="8" w:color="403C3C"/>
            </w:tcBorders>
          </w:tcPr>
          <w:p>
            <w:pPr>
              <w:spacing w:after="0"/>
              <w:rPr>
                <w:sz w:val="3"/>
                <w:szCs w:val="3"/>
                <w:color w:val="auto"/>
              </w:rPr>
            </w:pPr>
          </w:p>
        </w:tc>
        <w:tc>
          <w:tcPr>
            <w:tcW w:w="940" w:type="dxa"/>
            <w:vAlign w:val="bottom"/>
            <w:tcBorders>
              <w:bottom w:val="single" w:sz="8" w:color="403C3C"/>
            </w:tcBorders>
          </w:tcPr>
          <w:p>
            <w:pPr>
              <w:spacing w:after="0"/>
              <w:rPr>
                <w:sz w:val="3"/>
                <w:szCs w:val="3"/>
                <w:color w:val="auto"/>
              </w:rPr>
            </w:pPr>
          </w:p>
        </w:tc>
        <w:tc>
          <w:tcPr>
            <w:tcW w:w="800" w:type="dxa"/>
            <w:vAlign w:val="bottom"/>
            <w:tcBorders>
              <w:bottom w:val="single" w:sz="8" w:color="403C3C"/>
            </w:tcBorders>
          </w:tcPr>
          <w:p>
            <w:pPr>
              <w:spacing w:after="0"/>
              <w:rPr>
                <w:sz w:val="3"/>
                <w:szCs w:val="3"/>
                <w:color w:val="auto"/>
              </w:rPr>
            </w:pPr>
          </w:p>
        </w:tc>
      </w:tr>
      <w:tr>
        <w:trPr>
          <w:trHeight w:val="200"/>
        </w:trPr>
        <w:tc>
          <w:tcPr>
            <w:tcW w:w="5000" w:type="dxa"/>
            <w:vAlign w:val="bottom"/>
          </w:tcPr>
          <w:p>
            <w:pPr>
              <w:spacing w:after="0"/>
              <w:rPr>
                <w:sz w:val="20"/>
                <w:szCs w:val="20"/>
                <w:color w:val="auto"/>
              </w:rPr>
            </w:pPr>
            <w:r>
              <w:rPr>
                <w:rFonts w:ascii="Times New Roman" w:cs="Times New Roman" w:eastAsia="Times New Roman" w:hAnsi="Times New Roman"/>
                <w:sz w:val="16"/>
                <w:szCs w:val="16"/>
                <w:color w:val="auto"/>
              </w:rPr>
              <w:t xml:space="preserve">(in </w:t>
            </w:r>
            <w:r>
              <w:rPr>
                <w:rFonts w:ascii="Times New Roman" w:cs="Times New Roman" w:eastAsia="Times New Roman" w:hAnsi="Times New Roman"/>
                <w:sz w:val="15"/>
                <w:szCs w:val="15"/>
                <w:color w:val="auto"/>
              </w:rPr>
              <w:t>thousands)</w:t>
            </w:r>
          </w:p>
        </w:tc>
        <w:tc>
          <w:tcPr>
            <w:tcW w:w="780" w:type="dxa"/>
            <w:vAlign w:val="bottom"/>
          </w:tcPr>
          <w:p>
            <w:pPr>
              <w:jc w:val="right"/>
              <w:ind w:right="212"/>
              <w:spacing w:after="0" w:line="201" w:lineRule="exact"/>
              <w:rPr>
                <w:sz w:val="20"/>
                <w:szCs w:val="20"/>
                <w:color w:val="auto"/>
              </w:rPr>
            </w:pPr>
            <w:r>
              <w:rPr>
                <w:rFonts w:ascii="Times New Roman" w:cs="Times New Roman" w:eastAsia="Times New Roman" w:hAnsi="Times New Roman"/>
                <w:sz w:val="18"/>
                <w:szCs w:val="18"/>
                <w:color w:val="auto"/>
              </w:rPr>
              <w:t>2024</w:t>
            </w:r>
          </w:p>
        </w:tc>
        <w:tc>
          <w:tcPr>
            <w:tcW w:w="94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88"/>
              </w:rPr>
              <w:t>2023</w:t>
            </w:r>
          </w:p>
        </w:tc>
        <w:tc>
          <w:tcPr>
            <w:tcW w:w="800" w:type="dxa"/>
            <w:vAlign w:val="bottom"/>
          </w:tcPr>
          <w:p>
            <w:pPr>
              <w:jc w:val="right"/>
              <w:ind w:right="68"/>
              <w:spacing w:after="0" w:line="201" w:lineRule="exact"/>
              <w:rPr>
                <w:sz w:val="20"/>
                <w:szCs w:val="20"/>
                <w:color w:val="auto"/>
              </w:rPr>
            </w:pPr>
            <w:r>
              <w:rPr>
                <w:rFonts w:ascii="Times New Roman" w:cs="Times New Roman" w:eastAsia="Times New Roman" w:hAnsi="Times New Roman"/>
                <w:sz w:val="18"/>
                <w:szCs w:val="18"/>
                <w:color w:val="auto"/>
              </w:rPr>
              <w:t>2022</w:t>
            </w:r>
          </w:p>
        </w:tc>
      </w:tr>
      <w:tr>
        <w:trPr>
          <w:trHeight w:val="307"/>
        </w:trPr>
        <w:tc>
          <w:tcPr>
            <w:tcW w:w="5000" w:type="dxa"/>
            <w:vAlign w:val="bottom"/>
          </w:tcPr>
          <w:p>
            <w:pPr>
              <w:spacing w:after="0"/>
              <w:rPr>
                <w:sz w:val="20"/>
                <w:szCs w:val="20"/>
                <w:color w:val="auto"/>
              </w:rPr>
            </w:pPr>
            <w:r>
              <w:rPr>
                <w:rFonts w:ascii="Times New Roman" w:cs="Times New Roman" w:eastAsia="Times New Roman" w:hAnsi="Times New Roman"/>
                <w:sz w:val="19"/>
                <w:szCs w:val="19"/>
                <w:color w:val="auto"/>
              </w:rPr>
              <w:t>Weighted average restricted stock</w:t>
            </w:r>
          </w:p>
        </w:tc>
        <w:tc>
          <w:tcPr>
            <w:tcW w:w="780" w:type="dxa"/>
            <w:vAlign w:val="bottom"/>
          </w:tcPr>
          <w:p>
            <w:pPr>
              <w:jc w:val="right"/>
              <w:ind w:right="272"/>
              <w:spacing w:after="0"/>
              <w:rPr>
                <w:sz w:val="20"/>
                <w:szCs w:val="20"/>
                <w:color w:val="auto"/>
              </w:rPr>
            </w:pPr>
            <w:r>
              <w:rPr>
                <w:rFonts w:ascii="Times New Roman" w:cs="Times New Roman" w:eastAsia="Times New Roman" w:hAnsi="Times New Roman"/>
                <w:sz w:val="19"/>
                <w:szCs w:val="19"/>
                <w:color w:val="auto"/>
              </w:rPr>
              <w:t>21</w:t>
            </w:r>
          </w:p>
        </w:tc>
        <w:tc>
          <w:tcPr>
            <w:tcW w:w="9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12</w:t>
            </w:r>
          </w:p>
        </w:tc>
        <w:tc>
          <w:tcPr>
            <w:tcW w:w="800" w:type="dxa"/>
            <w:vAlign w:val="bottom"/>
          </w:tcPr>
          <w:p>
            <w:pPr>
              <w:jc w:val="right"/>
              <w:ind w:right="128"/>
              <w:spacing w:after="0"/>
              <w:rPr>
                <w:sz w:val="20"/>
                <w:szCs w:val="20"/>
                <w:color w:val="auto"/>
              </w:rPr>
            </w:pPr>
            <w:r>
              <w:rPr>
                <w:rFonts w:ascii="Times New Roman" w:cs="Times New Roman" w:eastAsia="Times New Roman" w:hAnsi="Times New Roman"/>
                <w:sz w:val="19"/>
                <w:szCs w:val="19"/>
                <w:color w:val="auto"/>
              </w:rPr>
              <w:t>18</w:t>
            </w:r>
          </w:p>
        </w:tc>
      </w:tr>
    </w:tbl>
    <w:p>
      <w:pPr>
        <w:spacing w:after="0" w:line="269" w:lineRule="exact"/>
        <w:rPr>
          <w:sz w:val="20"/>
          <w:szCs w:val="20"/>
          <w:color w:val="auto"/>
        </w:rPr>
      </w:pPr>
    </w:p>
    <w:p>
      <w:pPr>
        <w:jc w:val="both"/>
        <w:ind w:left="120" w:right="160" w:hanging="8"/>
        <w:spacing w:after="0" w:line="256" w:lineRule="auto"/>
        <w:rPr>
          <w:sz w:val="20"/>
          <w:szCs w:val="20"/>
          <w:color w:val="auto"/>
        </w:rPr>
      </w:pPr>
      <w:r>
        <w:rPr>
          <w:rFonts w:ascii="Times New Roman" w:cs="Times New Roman" w:eastAsia="Times New Roman" w:hAnsi="Times New Roman"/>
          <w:sz w:val="19"/>
          <w:szCs w:val="19"/>
          <w:color w:val="auto"/>
        </w:rPr>
        <w:t>The 2024, 2023 and 2022 diluted earnings per share amounts exclude the effects of 27,742, 105,000 and 105,000 stock options and contingently issuable shares outstanding, respectively, as their inclusion would have been antidilutive due to a market condition.</w:t>
      </w:r>
    </w:p>
    <w:p>
      <w:pPr>
        <w:spacing w:after="0" w:line="264" w:lineRule="exact"/>
        <w:rPr>
          <w:sz w:val="20"/>
          <w:szCs w:val="20"/>
          <w:color w:val="auto"/>
        </w:rPr>
      </w:pPr>
    </w:p>
    <w:p>
      <w:pPr>
        <w:jc w:val="both"/>
        <w:ind w:left="120" w:right="160"/>
        <w:spacing w:after="0"/>
        <w:rPr>
          <w:sz w:val="20"/>
          <w:szCs w:val="20"/>
          <w:color w:val="auto"/>
        </w:rPr>
      </w:pPr>
      <w:r>
        <w:rPr>
          <w:rFonts w:ascii="Times New Roman" w:cs="Times New Roman" w:eastAsia="Times New Roman" w:hAnsi="Times New Roman"/>
          <w:sz w:val="19"/>
          <w:szCs w:val="19"/>
          <w:color w:val="auto"/>
        </w:rPr>
        <w:t>In 2024, 2023 and 2022, the Company declared regular dividends totaling $6.88, $6.60 and $6.32 per share, respectively.</w:t>
      </w:r>
    </w:p>
    <w:p>
      <w:pPr>
        <w:sectPr>
          <w:pgSz w:w="12240" w:h="15850" w:orient="portrait"/>
          <w:cols w:equalWidth="0" w:num="1">
            <w:col w:w="9400"/>
          </w:cols>
          <w:pgMar w:left="1440" w:top="1395" w:right="1405"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129</w:t>
      </w:r>
    </w:p>
    <w:p>
      <w:pPr>
        <w:sectPr>
          <w:pgSz w:w="12240" w:h="15850" w:orient="portrait"/>
          <w:cols w:equalWidth="0" w:num="1">
            <w:col w:w="9400"/>
          </w:cols>
          <w:pgMar w:left="1440" w:top="1395" w:right="1405" w:bottom="721" w:gutter="0" w:footer="0" w:header="0"/>
          <w:type w:val="continuous"/>
        </w:sectPr>
      </w:pPr>
    </w:p>
    <w:bookmarkStart w:id="145" w:name="page146"/>
    <w:bookmarkEnd w:id="145"/>
    <w:p>
      <w:pPr>
        <w:ind w:left="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5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15. PENSIONS AND OTHER POSTRETIREMENT PLANS</w:t>
      </w:r>
    </w:p>
    <w:p>
      <w:pPr>
        <w:spacing w:after="0" w:line="136" w:lineRule="exact"/>
        <w:rPr>
          <w:sz w:val="20"/>
          <w:szCs w:val="20"/>
          <w:color w:val="auto"/>
        </w:rPr>
      </w:pPr>
    </w:p>
    <w:p>
      <w:pPr>
        <w:jc w:val="both"/>
        <w:ind w:left="120" w:right="125"/>
        <w:spacing w:after="0" w:line="262" w:lineRule="auto"/>
        <w:rPr>
          <w:sz w:val="20"/>
          <w:szCs w:val="20"/>
          <w:color w:val="auto"/>
        </w:rPr>
      </w:pPr>
      <w:r>
        <w:rPr>
          <w:rFonts w:ascii="Times New Roman" w:cs="Times New Roman" w:eastAsia="Times New Roman" w:hAnsi="Times New Roman"/>
          <w:sz w:val="19"/>
          <w:szCs w:val="19"/>
          <w:color w:val="auto"/>
        </w:rPr>
        <w:t>The Company maintains various pension and incentive savings plans and contributed to multiemployer plans on behalf of certain union-represented employee groups. Most of the Company's employees are covered by these plans. The Company also provides healthcare and life insurance benefits to certain retired employees. These employees become eligible for benefits after meeting age and service requirements.</w:t>
      </w:r>
    </w:p>
    <w:p>
      <w:pPr>
        <w:spacing w:after="0" w:line="2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 uses a measurement date of December 31 for its pension and other postretirement benefit plans.</w:t>
      </w:r>
    </w:p>
    <w:p>
      <w:pPr>
        <w:spacing w:after="0" w:line="275" w:lineRule="exact"/>
        <w:rPr>
          <w:sz w:val="20"/>
          <w:szCs w:val="20"/>
          <w:color w:val="auto"/>
        </w:rPr>
      </w:pPr>
    </w:p>
    <w:p>
      <w:pPr>
        <w:jc w:val="both"/>
        <w:ind w:left="120" w:right="125" w:firstLine="12"/>
        <w:spacing w:after="0" w:line="263" w:lineRule="auto"/>
        <w:rPr>
          <w:sz w:val="20"/>
          <w:szCs w:val="20"/>
          <w:color w:val="auto"/>
        </w:rPr>
      </w:pPr>
      <w:r>
        <w:rPr>
          <w:rFonts w:ascii="Times New Roman" w:cs="Times New Roman" w:eastAsia="Times New Roman" w:hAnsi="Times New Roman"/>
          <w:sz w:val="19"/>
          <w:szCs w:val="19"/>
          <w:color w:val="auto"/>
        </w:rPr>
        <w:t>In October 2024, the Company purchased an irrevocable group annuity contract from an insurance company for $461.3 million to settle $457.9 million of the outstanding defined benefit pension obligation related to certain retirees and beneficiaries. The purchase of the group annuity contract was funded from the assets of the Company's pension plan. As a result of this transaction, the Company was relieved of all responsibility for these pension obligations and the insurance company is now required to pay and administer the retirement benefits owed to approximately 1,850 retirees and beneficiaries, with no change to the amount, timing or form of monthly retirement benefit payments. As a result, the Company remeasured the accumulated and projected benefit obligation as of October 17,2024 and recorded a one-time pre-tax settlement gain of $653.4 million. The new measurement basis was used for the recognition of the Company's pension benefit following the remeasurement. The settlement gain is included in non-operating pension and postretirement benefit income on the Consolidated Statements of Operations.</w:t>
      </w:r>
    </w:p>
    <w:p>
      <w:pPr>
        <w:spacing w:after="0" w:line="200" w:lineRule="exact"/>
        <w:rPr>
          <w:sz w:val="20"/>
          <w:szCs w:val="20"/>
          <w:color w:val="auto"/>
        </w:rPr>
      </w:pPr>
    </w:p>
    <w:p>
      <w:pPr>
        <w:spacing w:after="0" w:line="283" w:lineRule="exact"/>
        <w:rPr>
          <w:sz w:val="20"/>
          <w:szCs w:val="20"/>
          <w:color w:val="auto"/>
        </w:rPr>
      </w:pPr>
    </w:p>
    <w:p>
      <w:pPr>
        <w:jc w:val="both"/>
        <w:ind w:left="120" w:right="145" w:hanging="6"/>
        <w:spacing w:after="0" w:line="243" w:lineRule="auto"/>
        <w:rPr>
          <w:sz w:val="20"/>
          <w:szCs w:val="20"/>
          <w:color w:val="auto"/>
        </w:rPr>
      </w:pPr>
      <w:r>
        <w:rPr>
          <w:rFonts w:ascii="Times New Roman" w:cs="Times New Roman" w:eastAsia="Times New Roman" w:hAnsi="Times New Roman"/>
          <w:sz w:val="20"/>
          <w:szCs w:val="20"/>
          <w:b w:val="1"/>
          <w:bCs w:val="1"/>
          <w:color w:val="auto"/>
        </w:rPr>
        <w:t>Defined Benefit Plans .</w:t>
      </w:r>
      <w:r>
        <w:rPr>
          <w:sz w:val="20"/>
          <w:szCs w:val="20"/>
          <w:color w:val="auto"/>
        </w:rPr>
        <w:t xml:space="preserve"> </w:t>
      </w:r>
      <w:r>
        <w:rPr>
          <w:rFonts w:ascii="Times New Roman" w:cs="Times New Roman" w:eastAsia="Times New Roman" w:hAnsi="Times New Roman"/>
          <w:sz w:val="19"/>
          <w:szCs w:val="19"/>
          <w:color w:val="auto"/>
        </w:rPr>
        <w:t>The Company's defined benefit pension plans consist of various pension plans and a Supplemental Executive Retirement Plan (SERP) offered to certain executives of the Company.</w:t>
      </w:r>
    </w:p>
    <w:p>
      <w:pPr>
        <w:spacing w:after="0" w:line="285"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In the first quarter of 2024, the Company recorded $0.4 million in expenses related to a Separation Incentive Program (SIP) for certain Framebridge employees. In the second quarter of 2024, the Company recorded $ 14.8 mi llion in expenses related to a Voluntary Retirement Incentive Program (VRIP) for certain GMG and Corporate employees. Also in the second quarter of2024, the Company recorded $ 1.6 million in expenses related to SIPs for certain Framebridge and Code3 employees. In the third quarter of 2024, the Company recorded $3.7 million in expenses related to SIPs for certain Kaplan, Dekko, WGB, Saatchi Art, Society6, Slate and Decile employees. Jn the fourth quarter of 2024, the Company recorded $0.5 million lin expenses related to SIPs for certain Kaplan, Dekko, WGB and Decile employees. These SIPs and VRIP were funded from the assets of the Company's pension plan.</w:t>
      </w:r>
    </w:p>
    <w:p>
      <w:pPr>
        <w:spacing w:after="0" w:line="200" w:lineRule="exact"/>
        <w:rPr>
          <w:sz w:val="20"/>
          <w:szCs w:val="20"/>
          <w:color w:val="auto"/>
        </w:rPr>
      </w:pPr>
    </w:p>
    <w:p>
      <w:pPr>
        <w:spacing w:after="0" w:line="293"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 xml:space="preserve">Jn the first quarter of 2023, the Company recorded $4.1 million in expenses related to SIPs for certain Leaf and Code3 employees.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the second quarter of 2023, the Company recorded $5.5 mimon in expenses related to SIPs for certain Kaplan, GMG, Leaf, Code3 and Pinna employees. ln the fourth quarter of 2023, the Company recorded $0.2 million in expenses related to a SIP for certain GMG employees. These SIPs were funded from the assets of the Company's pension plan.</w:t>
      </w:r>
    </w:p>
    <w:p>
      <w:pPr>
        <w:spacing w:after="0" w:line="247" w:lineRule="exact"/>
        <w:rPr>
          <w:sz w:val="20"/>
          <w:szCs w:val="20"/>
          <w:color w:val="auto"/>
        </w:rPr>
      </w:pPr>
    </w:p>
    <w:p>
      <w:pPr>
        <w:jc w:val="both"/>
        <w:ind w:left="120" w:right="105" w:firstLine="11"/>
        <w:spacing w:after="0" w:line="262" w:lineRule="auto"/>
        <w:rPr>
          <w:sz w:val="20"/>
          <w:szCs w:val="20"/>
          <w:color w:val="auto"/>
        </w:rPr>
      </w:pPr>
      <w:r>
        <w:rPr>
          <w:rFonts w:ascii="Times New Roman" w:cs="Times New Roman" w:eastAsia="Times New Roman" w:hAnsi="Times New Roman"/>
          <w:sz w:val="19"/>
          <w:szCs w:val="19"/>
          <w:color w:val="auto"/>
        </w:rPr>
        <w:t>In January 2022, a pension credit retention program was implemented by the Company for certain GHG employees; the program offers a pension credit up to $50,000 per employee, cliff vested after three years of continuous employment for certain existing employees and new employees. Effective April I, 2024, this program is no longer being offered to new employees. The Company recorded $ 18.6 million, $ 13.5 million and $ 10.5 million in pension service cost expense in 2024, 2023 and 2022, respectively, related to this program.</w:t>
      </w:r>
    </w:p>
    <w:p>
      <w:pPr>
        <w:spacing w:after="0" w:line="257" w:lineRule="exact"/>
        <w:rPr>
          <w:sz w:val="20"/>
          <w:szCs w:val="20"/>
          <w:color w:val="auto"/>
        </w:rPr>
      </w:pPr>
    </w:p>
    <w:p>
      <w:pPr>
        <w:ind w:left="120" w:right="125" w:firstLine="10"/>
        <w:spacing w:after="0" w:line="253" w:lineRule="auto"/>
        <w:rPr>
          <w:sz w:val="20"/>
          <w:szCs w:val="20"/>
          <w:color w:val="auto"/>
        </w:rPr>
      </w:pPr>
      <w:r>
        <w:rPr>
          <w:rFonts w:ascii="Times New Roman" w:cs="Times New Roman" w:eastAsia="Times New Roman" w:hAnsi="Times New Roman"/>
          <w:sz w:val="19"/>
          <w:szCs w:val="19"/>
          <w:color w:val="auto"/>
        </w:rPr>
        <w:t>In the fourth quarter of 2022, the Company recorded $3.6 million in expenses related to a SIP for certain Kaplan employees, which was funded from the assets of the Company's pension plan.</w:t>
      </w:r>
    </w:p>
    <w:p>
      <w:pPr>
        <w:sectPr>
          <w:pgSz w:w="12240" w:h="15850" w:orient="portrait"/>
          <w:cols w:equalWidth="0" w:num="1">
            <w:col w:w="9365"/>
          </w:cols>
          <w:pgMar w:left="1440" w:top="1356"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130</w:t>
        <w:tab/>
        <w:t>2024 FORM 10-K</w:t>
      </w:r>
    </w:p>
    <w:p>
      <w:pPr>
        <w:sectPr>
          <w:pgSz w:w="12240" w:h="15850" w:orient="portrait"/>
          <w:cols w:equalWidth="0" w:num="1">
            <w:col w:w="9365"/>
          </w:cols>
          <w:pgMar w:left="1440" w:top="1356" w:right="1440" w:bottom="721" w:gutter="0" w:footer="0" w:header="0"/>
          <w:type w:val="continuous"/>
        </w:sectPr>
      </w:pPr>
    </w:p>
    <w:bookmarkStart w:id="146" w:name="page147"/>
    <w:bookmarkEnd w:id="146"/>
    <w:p>
      <w:pPr>
        <w:jc w:val="both"/>
        <w:ind w:left="120" w:right="125" w:hanging="10"/>
        <w:spacing w:after="0" w:line="24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54">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following table sets forth obligation, asset and funding information for the Company's defined benefit pension plans:</w:t>
      </w:r>
    </w:p>
    <w:p>
      <w:pPr>
        <w:spacing w:after="0" w:line="220" w:lineRule="exact"/>
        <w:rPr>
          <w:sz w:val="20"/>
          <w:szCs w:val="20"/>
          <w:color w:val="auto"/>
        </w:rPr>
      </w:pPr>
    </w:p>
    <w:p>
      <w:pPr>
        <w:jc w:val="center"/>
        <w:ind w:left="4620"/>
        <w:spacing w:after="0"/>
        <w:rPr>
          <w:sz w:val="20"/>
          <w:szCs w:val="20"/>
          <w:color w:val="auto"/>
        </w:rPr>
      </w:pPr>
      <w:r>
        <w:rPr>
          <w:rFonts w:ascii="Times New Roman" w:cs="Times New Roman" w:eastAsia="Times New Roman" w:hAnsi="Times New Roman"/>
          <w:sz w:val="16"/>
          <w:szCs w:val="16"/>
          <w:color w:val="auto"/>
        </w:rPr>
        <w:t>Pension Plans</w:t>
      </w:r>
    </w:p>
    <w:p>
      <w:pPr>
        <w:spacing w:after="0" w:line="45" w:lineRule="exact"/>
        <w:rPr>
          <w:sz w:val="20"/>
          <w:szCs w:val="20"/>
          <w:color w:val="auto"/>
        </w:rPr>
      </w:pPr>
    </w:p>
    <w:p>
      <w:pPr>
        <w:ind w:left="6340"/>
        <w:spacing w:after="0"/>
        <w:rPr>
          <w:sz w:val="20"/>
          <w:szCs w:val="20"/>
          <w:color w:val="auto"/>
        </w:rPr>
      </w:pPr>
      <w:r>
        <w:rPr>
          <w:rFonts w:ascii="Times New Roman" w:cs="Times New Roman" w:eastAsia="Times New Roman" w:hAnsi="Times New Roman"/>
          <w:sz w:val="16"/>
          <w:szCs w:val="16"/>
          <w:color w:val="auto"/>
        </w:rPr>
        <w:t>As of Decem ber 31</w:t>
      </w:r>
    </w:p>
    <w:p>
      <w:pPr>
        <w:spacing w:after="0" w:line="6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620" w:type="dxa"/>
            <w:vAlign w:val="bottom"/>
          </w:tcPr>
          <w:p>
            <w:pPr>
              <w:spacing w:after="0"/>
              <w:rPr>
                <w:sz w:val="20"/>
                <w:szCs w:val="20"/>
                <w:color w:val="auto"/>
              </w:rPr>
            </w:pPr>
            <w:r>
              <w:rPr>
                <w:rFonts w:ascii="Times New Roman" w:cs="Times New Roman" w:eastAsia="Times New Roman" w:hAnsi="Times New Roman"/>
                <w:sz w:val="16"/>
                <w:szCs w:val="16"/>
                <w:color w:val="auto"/>
              </w:rPr>
              <w:t>(in tbousands)</w:t>
            </w:r>
          </w:p>
        </w:tc>
        <w:tc>
          <w:tcPr>
            <w:tcW w:w="900" w:type="dxa"/>
            <w:vAlign w:val="bottom"/>
          </w:tcPr>
          <w:p>
            <w:pPr>
              <w:jc w:val="right"/>
              <w:ind w:right="221"/>
              <w:spacing w:after="0"/>
              <w:rPr>
                <w:sz w:val="20"/>
                <w:szCs w:val="20"/>
                <w:color w:val="auto"/>
              </w:rPr>
            </w:pPr>
            <w:r>
              <w:rPr>
                <w:rFonts w:ascii="Times New Roman" w:cs="Times New Roman" w:eastAsia="Times New Roman" w:hAnsi="Times New Roman"/>
                <w:sz w:val="16"/>
                <w:szCs w:val="16"/>
                <w:color w:val="auto"/>
              </w:rPr>
              <w:t>2024</w:t>
            </w: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2023</w:t>
            </w:r>
          </w:p>
        </w:tc>
      </w:tr>
      <w:tr>
        <w:trPr>
          <w:trHeight w:val="33"/>
        </w:trPr>
        <w:tc>
          <w:tcPr>
            <w:tcW w:w="4620" w:type="dxa"/>
            <w:vAlign w:val="bottom"/>
          </w:tcPr>
          <w:p>
            <w:pPr>
              <w:spacing w:after="0"/>
              <w:rPr>
                <w:sz w:val="2"/>
                <w:szCs w:val="2"/>
                <w:color w:val="auto"/>
              </w:rPr>
            </w:pPr>
          </w:p>
        </w:tc>
        <w:tc>
          <w:tcPr>
            <w:tcW w:w="900" w:type="dxa"/>
            <w:vAlign w:val="bottom"/>
            <w:tcBorders>
              <w:bottom w:val="single" w:sz="8" w:color="141414"/>
            </w:tcBorders>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Borders>
              <w:bottom w:val="single" w:sz="8" w:color="141414"/>
            </w:tcBorders>
          </w:tcPr>
          <w:p>
            <w:pPr>
              <w:spacing w:after="0"/>
              <w:rPr>
                <w:sz w:val="2"/>
                <w:szCs w:val="2"/>
                <w:color w:val="auto"/>
              </w:rPr>
            </w:pPr>
          </w:p>
        </w:tc>
      </w:tr>
    </w:tbl>
    <w:p>
      <w:pPr>
        <w:spacing w:after="0" w:line="43"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19"/>
          <w:szCs w:val="19"/>
          <w:color w:val="auto"/>
        </w:rPr>
        <w:t>in</w:t>
      </w:r>
      <w:r>
        <w:rPr>
          <w:rFonts w:ascii="Times New Roman" w:cs="Times New Roman" w:eastAsia="Times New Roman" w:hAnsi="Times New Roman"/>
          <w:sz w:val="20"/>
          <w:szCs w:val="20"/>
          <w:color w:val="auto"/>
        </w:rPr>
        <w:t xml:space="preserve"> Benefit Obligation</w:t>
      </w:r>
    </w:p>
    <w:p>
      <w:pPr>
        <w:spacing w:after="0" w:line="16" w:lineRule="exact"/>
        <w:rPr>
          <w:sz w:val="20"/>
          <w:szCs w:val="20"/>
          <w:color w:val="auto"/>
        </w:rPr>
      </w:pPr>
    </w:p>
    <w:tbl>
      <w:tblPr>
        <w:tblLayout w:type="fixed"/>
        <w:tblInd w:w="1320" w:type="dxa"/>
        <w:tblCellMar>
          <w:top w:w="0" w:type="dxa"/>
          <w:left w:w="0" w:type="dxa"/>
          <w:bottom w:w="0" w:type="dxa"/>
          <w:right w:w="0" w:type="dxa"/>
        </w:tblCellMar>
      </w:tblPr>
      <w:tr>
        <w:trPr>
          <w:trHeight w:val="22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Benefit obligation at beginning of year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892,049</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870,298</w:t>
            </w:r>
          </w:p>
        </w:tc>
        <w:tc>
          <w:tcPr>
            <w:tcW w:w="60" w:type="dxa"/>
            <w:vAlign w:val="bottom"/>
          </w:tcPr>
          <w:p>
            <w:pPr>
              <w:spacing w:after="0"/>
              <w:rPr>
                <w:sz w:val="19"/>
                <w:szCs w:val="19"/>
                <w:color w:val="auto"/>
              </w:rPr>
            </w:pPr>
          </w:p>
        </w:tc>
      </w:tr>
      <w:tr>
        <w:trPr>
          <w:trHeight w:val="229"/>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Service cost  ..... .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57,538</w:t>
            </w:r>
          </w:p>
        </w:tc>
        <w:tc>
          <w:tcPr>
            <w:tcW w:w="1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33,787</w:t>
            </w:r>
          </w:p>
        </w:tc>
        <w:tc>
          <w:tcPr>
            <w:tcW w:w="60" w:type="dxa"/>
            <w:vAlign w:val="bottom"/>
          </w:tcPr>
          <w:p>
            <w:pPr>
              <w:spacing w:after="0"/>
              <w:rPr>
                <w:sz w:val="19"/>
                <w:szCs w:val="19"/>
                <w:color w:val="auto"/>
              </w:rPr>
            </w:pPr>
          </w:p>
        </w:tc>
      </w:tr>
      <w:tr>
        <w:trPr>
          <w:trHeight w:val="24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  . ... . .................. . ......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40,095</w:t>
            </w:r>
          </w:p>
        </w:tc>
        <w:tc>
          <w:tcPr>
            <w:tcW w:w="180" w:type="dxa"/>
            <w:vAlign w:val="bottom"/>
          </w:tcPr>
          <w:p>
            <w:pPr>
              <w:spacing w:after="0"/>
              <w:rPr>
                <w:sz w:val="21"/>
                <w:szCs w:val="21"/>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9"/>
                <w:szCs w:val="19"/>
                <w:color w:val="auto"/>
              </w:rPr>
              <w:t>46,211</w:t>
            </w:r>
          </w:p>
        </w:tc>
        <w:tc>
          <w:tcPr>
            <w:tcW w:w="60" w:type="dxa"/>
            <w:vAlign w:val="bottom"/>
          </w:tcPr>
          <w:p>
            <w:pPr>
              <w:spacing w:after="0"/>
              <w:rPr>
                <w:sz w:val="21"/>
                <w:szCs w:val="21"/>
                <w:color w:val="auto"/>
              </w:rPr>
            </w:pP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Amendments  . .. . . . . . .. . . . .. ....... . . . .... . . .</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(734)</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(11 ,263)</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Actuarial loss ..... . ...... .. ..... .. ...... . . . . .</w:t>
            </w: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9"/>
                <w:szCs w:val="19"/>
                <w:color w:val="auto"/>
              </w:rPr>
              <w:t>19,460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25,585</w:t>
            </w:r>
          </w:p>
        </w:tc>
        <w:tc>
          <w:tcPr>
            <w:tcW w:w="60" w:type="dxa"/>
            <w:vAlign w:val="bottom"/>
          </w:tcPr>
          <w:p>
            <w:pPr>
              <w:spacing w:after="0"/>
              <w:rPr>
                <w:sz w:val="20"/>
                <w:szCs w:val="20"/>
                <w:color w:val="auto"/>
              </w:rPr>
            </w:pPr>
          </w:p>
        </w:tc>
      </w:tr>
      <w:tr>
        <w:trPr>
          <w:trHeight w:val="24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Benefits paid  ........................ .. ... . . .</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(49,963)</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(82,455)</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Special termination benefits  ............. ...... .</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20,998</w:t>
            </w:r>
          </w:p>
        </w:tc>
        <w:tc>
          <w:tcPr>
            <w:tcW w:w="180" w:type="dxa"/>
            <w:vAlign w:val="bottom"/>
          </w:tcPr>
          <w:p>
            <w:pPr>
              <w:spacing w:after="0"/>
              <w:rPr>
                <w:sz w:val="20"/>
                <w:szCs w:val="20"/>
                <w:color w:val="auto"/>
              </w:rPr>
            </w:pPr>
          </w:p>
        </w:tc>
        <w:tc>
          <w:tcPr>
            <w:tcW w:w="108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9,886</w:t>
            </w:r>
          </w:p>
        </w:tc>
      </w:tr>
      <w:tr>
        <w:trPr>
          <w:trHeight w:val="238"/>
        </w:trPr>
        <w:tc>
          <w:tcPr>
            <w:tcW w:w="4480" w:type="dxa"/>
            <w:vAlign w:val="bottom"/>
          </w:tcPr>
          <w:p>
            <w:pPr>
              <w:spacing w:after="0"/>
              <w:rPr>
                <w:sz w:val="20"/>
                <w:szCs w:val="20"/>
                <w:color w:val="auto"/>
              </w:rPr>
            </w:pPr>
            <w:r>
              <w:rPr>
                <w:rFonts w:ascii="Times New Roman" w:cs="Times New Roman" w:eastAsia="Times New Roman" w:hAnsi="Times New Roman"/>
                <w:sz w:val="19"/>
                <w:szCs w:val="19"/>
                <w:color w:val="auto"/>
              </w:rPr>
              <w:t>Settlement  . .... . . . .... . . . ...... .. ...... . . . . .</w:t>
            </w:r>
          </w:p>
        </w:tc>
        <w:tc>
          <w:tcPr>
            <w:tcW w:w="12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(522,793)</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6"/>
        </w:trPr>
        <w:tc>
          <w:tcPr>
            <w:tcW w:w="4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0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43" w:lineRule="exact"/>
        <w:rPr>
          <w:sz w:val="20"/>
          <w:szCs w:val="20"/>
          <w:color w:val="auto"/>
        </w:rPr>
      </w:pPr>
    </w:p>
    <w:tbl>
      <w:tblPr>
        <w:tblLayout w:type="fixed"/>
        <w:tblInd w:w="1320" w:type="dxa"/>
        <w:tblCellMar>
          <w:top w:w="0" w:type="dxa"/>
          <w:left w:w="0" w:type="dxa"/>
          <w:bottom w:w="0" w:type="dxa"/>
          <w:right w:w="0" w:type="dxa"/>
        </w:tblCellMar>
      </w:tblP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20"/>
                <w:szCs w:val="20"/>
                <w:color w:val="auto"/>
              </w:rPr>
              <w:t>Benefit Obligation at End of Year ... . . .. ..... . .</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456,650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892,049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Change in Plan Assets</w:t>
            </w:r>
          </w:p>
        </w:tc>
        <w:tc>
          <w:tcPr>
            <w:tcW w:w="36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52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7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462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Fair value of assets at beginning of year .......... .</w:t>
            </w: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$3,005,687</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$2,528,344</w:t>
            </w: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Actual return on plan assets  ... . ...... . . . .... . . .</w:t>
            </w:r>
          </w:p>
        </w:tc>
        <w:tc>
          <w:tcPr>
            <w:tcW w:w="920" w:type="dxa"/>
            <w:vAlign w:val="bottom"/>
            <w:gridSpan w:val="4"/>
          </w:tcPr>
          <w:p>
            <w:pPr>
              <w:jc w:val="right"/>
              <w:ind w:right="20"/>
              <w:spacing w:after="0"/>
              <w:rPr>
                <w:sz w:val="20"/>
                <w:szCs w:val="20"/>
                <w:color w:val="auto"/>
              </w:rPr>
            </w:pPr>
            <w:r>
              <w:rPr>
                <w:rFonts w:ascii="Times New Roman" w:cs="Times New Roman" w:eastAsia="Times New Roman" w:hAnsi="Times New Roman"/>
                <w:sz w:val="19"/>
                <w:szCs w:val="19"/>
                <w:color w:val="auto"/>
              </w:rPr>
              <w:t>534,239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559,798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Benefits paid  . .... . . . .. . .... . . . ......... . ... .</w:t>
            </w:r>
          </w:p>
        </w:tc>
        <w:tc>
          <w:tcPr>
            <w:tcW w:w="1100" w:type="dxa"/>
            <w:vAlign w:val="bottom"/>
            <w:gridSpan w:val="5"/>
          </w:tcPr>
          <w:p>
            <w:pPr>
              <w:jc w:val="right"/>
              <w:ind w:right="58"/>
              <w:spacing w:after="0"/>
              <w:rPr>
                <w:sz w:val="20"/>
                <w:szCs w:val="20"/>
                <w:color w:val="auto"/>
              </w:rPr>
            </w:pPr>
            <w:r>
              <w:rPr>
                <w:rFonts w:ascii="Times New Roman" w:cs="Times New Roman" w:eastAsia="Times New Roman" w:hAnsi="Times New Roman"/>
                <w:sz w:val="19"/>
                <w:szCs w:val="19"/>
                <w:color w:val="auto"/>
              </w:rPr>
              <w:t>(49,963)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(82,455)</w:t>
            </w:r>
          </w:p>
        </w:tc>
        <w:tc>
          <w:tcPr>
            <w:tcW w:w="0" w:type="dxa"/>
            <w:vAlign w:val="bottom"/>
          </w:tcPr>
          <w:p>
            <w:pPr>
              <w:spacing w:after="0"/>
              <w:rPr>
                <w:sz w:val="1"/>
                <w:szCs w:val="1"/>
                <w:color w:val="auto"/>
              </w:rPr>
            </w:pPr>
          </w:p>
        </w:tc>
      </w:tr>
      <w:tr>
        <w:trPr>
          <w:trHeight w:val="24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Settlement  .......................... .. ..... .</w:t>
            </w:r>
          </w:p>
        </w:tc>
        <w:tc>
          <w:tcPr>
            <w:tcW w:w="1100" w:type="dxa"/>
            <w:vAlign w:val="bottom"/>
            <w:gridSpan w:val="5"/>
          </w:tcPr>
          <w:p>
            <w:pPr>
              <w:jc w:val="right"/>
              <w:ind w:right="58"/>
              <w:spacing w:after="0"/>
              <w:rPr>
                <w:sz w:val="20"/>
                <w:szCs w:val="20"/>
                <w:color w:val="auto"/>
              </w:rPr>
            </w:pPr>
            <w:r>
              <w:rPr>
                <w:rFonts w:ascii="Times New Roman" w:cs="Times New Roman" w:eastAsia="Times New Roman" w:hAnsi="Times New Roman"/>
                <w:sz w:val="19"/>
                <w:szCs w:val="19"/>
                <w:color w:val="auto"/>
              </w:rPr>
              <w:t>(522,793)</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Fair Value of Assets at E nd of Year  .. . . .... . . . .</w:t>
            </w:r>
          </w:p>
        </w:tc>
        <w:tc>
          <w:tcPr>
            <w:tcW w:w="380" w:type="dxa"/>
            <w:vAlign w:val="bottom"/>
            <w:tcBorders>
              <w:bottom w:val="single" w:sz="8" w:color="504C4C"/>
            </w:tcBorders>
            <w:gridSpan w:val="2"/>
          </w:tcPr>
          <w:p>
            <w:pPr>
              <w:spacing w:after="0"/>
              <w:rPr>
                <w:sz w:val="2"/>
                <w:szCs w:val="2"/>
                <w:color w:val="auto"/>
              </w:rPr>
            </w:pPr>
          </w:p>
        </w:tc>
        <w:tc>
          <w:tcPr>
            <w:tcW w:w="540" w:type="dxa"/>
            <w:vAlign w:val="bottom"/>
            <w:tcBorders>
              <w:bottom w:val="single" w:sz="8" w:color="504C4C"/>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504C4C"/>
            </w:tcBorders>
            <w:gridSpan w:val="2"/>
          </w:tcPr>
          <w:p>
            <w:pPr>
              <w:spacing w:after="0"/>
              <w:rPr>
                <w:sz w:val="2"/>
                <w:szCs w:val="2"/>
                <w:color w:val="auto"/>
              </w:rPr>
            </w:pPr>
          </w:p>
        </w:tc>
        <w:tc>
          <w:tcPr>
            <w:tcW w:w="7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620" w:type="dxa"/>
            <w:vAlign w:val="bottom"/>
            <w:vMerge w:val="continue"/>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$2,967,170</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$3,005,687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Funded Status  . . . . . .. ... . .. . . . . . .... . ...... .</w:t>
            </w:r>
          </w:p>
        </w:tc>
        <w:tc>
          <w:tcPr>
            <w:tcW w:w="380" w:type="dxa"/>
            <w:vAlign w:val="bottom"/>
            <w:tcBorders>
              <w:bottom w:val="single" w:sz="8" w:color="504C4C"/>
            </w:tcBorders>
            <w:gridSpan w:val="2"/>
          </w:tcPr>
          <w:p>
            <w:pPr>
              <w:spacing w:after="0"/>
              <w:rPr>
                <w:sz w:val="2"/>
                <w:szCs w:val="2"/>
                <w:color w:val="auto"/>
              </w:rPr>
            </w:pPr>
          </w:p>
        </w:tc>
        <w:tc>
          <w:tcPr>
            <w:tcW w:w="540" w:type="dxa"/>
            <w:vAlign w:val="bottom"/>
            <w:tcBorders>
              <w:bottom w:val="single" w:sz="8" w:color="504C4C"/>
            </w:tcBorders>
            <w:gridSpan w:val="2"/>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bottom w:val="single" w:sz="8" w:color="504C4C"/>
            </w:tcBorders>
            <w:gridSpan w:val="2"/>
          </w:tcPr>
          <w:p>
            <w:pPr>
              <w:spacing w:after="0"/>
              <w:rPr>
                <w:sz w:val="2"/>
                <w:szCs w:val="2"/>
                <w:color w:val="auto"/>
              </w:rPr>
            </w:pPr>
          </w:p>
        </w:tc>
        <w:tc>
          <w:tcPr>
            <w:tcW w:w="7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$2,510,520</w:t>
            </w: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$2,113,638</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
        </w:trPr>
        <w:tc>
          <w:tcPr>
            <w:tcW w:w="4620" w:type="dxa"/>
            <w:vAlign w:val="bottom"/>
          </w:tcPr>
          <w:p>
            <w:pPr>
              <w:spacing w:after="0"/>
              <w:rPr>
                <w:sz w:val="3"/>
                <w:szCs w:val="3"/>
                <w:color w:val="auto"/>
              </w:rPr>
            </w:pPr>
          </w:p>
        </w:tc>
        <w:tc>
          <w:tcPr>
            <w:tcW w:w="360" w:type="dxa"/>
            <w:vAlign w:val="bottom"/>
            <w:tcBorders>
              <w:bottom w:val="single" w:sz="8" w:color="545050"/>
            </w:tcBorders>
          </w:tcPr>
          <w:p>
            <w:pPr>
              <w:spacing w:after="0"/>
              <w:rPr>
                <w:sz w:val="3"/>
                <w:szCs w:val="3"/>
                <w:color w:val="auto"/>
              </w:rPr>
            </w:pPr>
          </w:p>
        </w:tc>
        <w:tc>
          <w:tcPr>
            <w:tcW w:w="20" w:type="dxa"/>
            <w:vAlign w:val="bottom"/>
            <w:tcBorders>
              <w:bottom w:val="single" w:sz="8" w:color="545050"/>
            </w:tcBorders>
          </w:tcPr>
          <w:p>
            <w:pPr>
              <w:spacing w:after="0"/>
              <w:rPr>
                <w:sz w:val="3"/>
                <w:szCs w:val="3"/>
                <w:color w:val="auto"/>
              </w:rPr>
            </w:pPr>
          </w:p>
        </w:tc>
        <w:tc>
          <w:tcPr>
            <w:tcW w:w="520" w:type="dxa"/>
            <w:vAlign w:val="bottom"/>
            <w:tcBorders>
              <w:bottom w:val="single" w:sz="8" w:color="545050"/>
            </w:tcBorders>
          </w:tcPr>
          <w:p>
            <w:pPr>
              <w:spacing w:after="0"/>
              <w:rPr>
                <w:sz w:val="3"/>
                <w:szCs w:val="3"/>
                <w:color w:val="auto"/>
              </w:rPr>
            </w:pPr>
          </w:p>
        </w:tc>
        <w:tc>
          <w:tcPr>
            <w:tcW w:w="20" w:type="dxa"/>
            <w:vAlign w:val="bottom"/>
            <w:tcBorders>
              <w:bottom w:val="single" w:sz="8" w:color="545050"/>
            </w:tcBorders>
          </w:tcPr>
          <w:p>
            <w:pPr>
              <w:spacing w:after="0"/>
              <w:rPr>
                <w:sz w:val="3"/>
                <w:szCs w:val="3"/>
                <w:color w:val="auto"/>
              </w:rPr>
            </w:pPr>
          </w:p>
        </w:tc>
        <w:tc>
          <w:tcPr>
            <w:tcW w:w="180" w:type="dxa"/>
            <w:vAlign w:val="bottom"/>
            <w:tcBorders>
              <w:bottom w:val="single" w:sz="8" w:color="545050"/>
            </w:tcBorders>
          </w:tcPr>
          <w:p>
            <w:pPr>
              <w:spacing w:after="0"/>
              <w:rPr>
                <w:sz w:val="3"/>
                <w:szCs w:val="3"/>
                <w:color w:val="auto"/>
              </w:rPr>
            </w:pPr>
          </w:p>
        </w:tc>
        <w:tc>
          <w:tcPr>
            <w:tcW w:w="300" w:type="dxa"/>
            <w:vAlign w:val="bottom"/>
            <w:tcBorders>
              <w:bottom w:val="single" w:sz="8" w:color="545050"/>
            </w:tcBorders>
            <w:gridSpan w:val="5"/>
          </w:tcPr>
          <w:p>
            <w:pPr>
              <w:spacing w:after="0"/>
              <w:rPr>
                <w:sz w:val="3"/>
                <w:szCs w:val="3"/>
                <w:color w:val="auto"/>
              </w:rPr>
            </w:pPr>
          </w:p>
        </w:tc>
        <w:tc>
          <w:tcPr>
            <w:tcW w:w="700" w:type="dxa"/>
            <w:vAlign w:val="bottom"/>
            <w:tcBorders>
              <w:bottom w:val="single" w:sz="8" w:color="545050"/>
            </w:tcBorders>
          </w:tcPr>
          <w:p>
            <w:pPr>
              <w:spacing w:after="0"/>
              <w:rPr>
                <w:sz w:val="3"/>
                <w:szCs w:val="3"/>
                <w:color w:val="auto"/>
              </w:rPr>
            </w:pPr>
          </w:p>
        </w:tc>
        <w:tc>
          <w:tcPr>
            <w:tcW w:w="60" w:type="dxa"/>
            <w:vAlign w:val="bottom"/>
            <w:tcBorders>
              <w:bottom w:val="single" w:sz="8" w:color="545050"/>
            </w:tcBorders>
          </w:tcPr>
          <w:p>
            <w:pPr>
              <w:spacing w:after="0"/>
              <w:rPr>
                <w:sz w:val="3"/>
                <w:szCs w:val="3"/>
                <w:color w:val="auto"/>
              </w:rPr>
            </w:pPr>
          </w:p>
        </w:tc>
        <w:tc>
          <w:tcPr>
            <w:tcW w:w="0" w:type="dxa"/>
            <w:vAlign w:val="bottom"/>
          </w:tcPr>
          <w:p>
            <w:pPr>
              <w:spacing w:after="0"/>
              <w:rPr>
                <w:sz w:val="1"/>
                <w:szCs w:val="1"/>
                <w:color w:val="auto"/>
              </w:rPr>
            </w:pPr>
          </w:p>
        </w:tc>
      </w:tr>
      <w:tr>
        <w:trPr>
          <w:trHeight w:val="449"/>
        </w:trPr>
        <w:tc>
          <w:tcPr>
            <w:tcW w:w="4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gridSpan w:val="8"/>
          </w:tcPr>
          <w:p>
            <w:pPr>
              <w:jc w:val="right"/>
              <w:ind w:right="720"/>
              <w:spacing w:after="0"/>
              <w:rPr>
                <w:sz w:val="20"/>
                <w:szCs w:val="20"/>
                <w:color w:val="auto"/>
              </w:rPr>
            </w:pPr>
            <w:r>
              <w:rPr>
                <w:rFonts w:ascii="Times New Roman" w:cs="Times New Roman" w:eastAsia="Times New Roman" w:hAnsi="Times New Roman"/>
                <w:sz w:val="16"/>
                <w:szCs w:val="16"/>
                <w:color w:val="auto"/>
              </w:rPr>
              <w:t>SERP</w:t>
            </w:r>
          </w:p>
        </w:tc>
        <w:tc>
          <w:tcPr>
            <w:tcW w:w="0" w:type="dxa"/>
            <w:vAlign w:val="bottom"/>
          </w:tcPr>
          <w:p>
            <w:pPr>
              <w:spacing w:after="0"/>
              <w:rPr>
                <w:sz w:val="1"/>
                <w:szCs w:val="1"/>
                <w:color w:val="auto"/>
              </w:rPr>
            </w:pPr>
          </w:p>
        </w:tc>
      </w:tr>
      <w:tr>
        <w:trPr>
          <w:trHeight w:val="41"/>
        </w:trPr>
        <w:tc>
          <w:tcPr>
            <w:tcW w:w="4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Borders>
              <w:bottom w:val="single" w:sz="8" w:color="2C282C"/>
            </w:tcBorders>
            <w:gridSpan w:val="3"/>
          </w:tcPr>
          <w:p>
            <w:pPr>
              <w:spacing w:after="0"/>
              <w:rPr>
                <w:sz w:val="3"/>
                <w:szCs w:val="3"/>
                <w:color w:val="auto"/>
              </w:rPr>
            </w:pPr>
          </w:p>
        </w:tc>
        <w:tc>
          <w:tcPr>
            <w:tcW w:w="300" w:type="dxa"/>
            <w:vAlign w:val="bottom"/>
            <w:tcBorders>
              <w:bottom w:val="single" w:sz="8" w:color="2C282C"/>
            </w:tcBorders>
            <w:gridSpan w:val="5"/>
          </w:tcPr>
          <w:p>
            <w:pPr>
              <w:spacing w:after="0"/>
              <w:rPr>
                <w:sz w:val="3"/>
                <w:szCs w:val="3"/>
                <w:color w:val="auto"/>
              </w:rPr>
            </w:pPr>
          </w:p>
        </w:tc>
        <w:tc>
          <w:tcPr>
            <w:tcW w:w="700" w:type="dxa"/>
            <w:vAlign w:val="bottom"/>
            <w:tcBorders>
              <w:bottom w:val="single" w:sz="8" w:color="2C282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780" w:type="dxa"/>
            <w:vAlign w:val="bottom"/>
            <w:gridSpan w:val="10"/>
          </w:tcPr>
          <w:p>
            <w:pPr>
              <w:jc w:val="right"/>
              <w:ind w:right="28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33"/>
        </w:trPr>
        <w:tc>
          <w:tcPr>
            <w:tcW w:w="462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8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6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18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700" w:type="dxa"/>
            <w:vAlign w:val="bottom"/>
            <w:tcBorders>
              <w:bottom w:val="single" w:sz="8" w:color="18141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4620" w:type="dxa"/>
            <w:vAlign w:val="bottom"/>
            <w:vMerge w:val="continue"/>
          </w:tcPr>
          <w:p>
            <w:pPr>
              <w:spacing w:after="0"/>
              <w:rPr>
                <w:sz w:val="16"/>
                <w:szCs w:val="16"/>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2024</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 xml:space="preserve">Change </w:t>
            </w:r>
            <w:r>
              <w:rPr>
                <w:rFonts w:ascii="Times New Roman" w:cs="Times New Roman" w:eastAsia="Times New Roman" w:hAnsi="Times New Roman"/>
                <w:sz w:val="19"/>
                <w:szCs w:val="19"/>
                <w:color w:val="auto"/>
              </w:rPr>
              <w:t>in</w:t>
            </w:r>
            <w:r>
              <w:rPr>
                <w:rFonts w:ascii="Times New Roman" w:cs="Times New Roman" w:eastAsia="Times New Roman" w:hAnsi="Times New Roman"/>
                <w:sz w:val="20"/>
                <w:szCs w:val="20"/>
                <w:color w:val="auto"/>
              </w:rPr>
              <w:t xml:space="preserve"> Benefit Obligation</w:t>
            </w:r>
          </w:p>
        </w:tc>
        <w:tc>
          <w:tcPr>
            <w:tcW w:w="360" w:type="dxa"/>
            <w:vAlign w:val="bottom"/>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Borders>
              <w:bottom w:val="single" w:sz="8" w:color="302C30"/>
            </w:tcBorders>
          </w:tcPr>
          <w:p>
            <w:pPr>
              <w:spacing w:after="0"/>
              <w:rPr>
                <w:sz w:val="2"/>
                <w:szCs w:val="2"/>
                <w:color w:val="auto"/>
              </w:rPr>
            </w:pPr>
          </w:p>
        </w:tc>
        <w:tc>
          <w:tcPr>
            <w:tcW w:w="20" w:type="dxa"/>
            <w:vAlign w:val="bottom"/>
            <w:tcBorders>
              <w:bottom w:val="single" w:sz="8" w:color="302C30"/>
            </w:tcBorders>
          </w:tcPr>
          <w:p>
            <w:pPr>
              <w:spacing w:after="0"/>
              <w:rPr>
                <w:sz w:val="2"/>
                <w:szCs w:val="2"/>
                <w:color w:val="auto"/>
              </w:rPr>
            </w:pPr>
          </w:p>
        </w:tc>
        <w:tc>
          <w:tcPr>
            <w:tcW w:w="180" w:type="dxa"/>
            <w:vAlign w:val="bottom"/>
            <w:tcBorders>
              <w:bottom w:val="single" w:sz="8" w:color="302C30"/>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302C3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4620" w:type="dxa"/>
            <w:vAlign w:val="bottom"/>
            <w:vMerge w:val="continue"/>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Benefit obligation at beginning of year  ..............</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$ 89,.876.</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$ 90,018</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Service cost ...... . .... . . . .... . .. .. .. ..... . ... . .</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1,149.</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593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 .................................. . .</w:t>
            </w: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4,514.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4,659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Actuarial (gain) loss  ........ . . . ...... . ........ . ..</w:t>
            </w:r>
          </w:p>
        </w:tc>
        <w:tc>
          <w:tcPr>
            <w:tcW w:w="1180" w:type="dxa"/>
            <w:vAlign w:val="bottom"/>
            <w:gridSpan w:val="7"/>
          </w:tcPr>
          <w:p>
            <w:pPr>
              <w:jc w:val="right"/>
              <w:ind w:right="40"/>
              <w:spacing w:after="0"/>
              <w:rPr>
                <w:sz w:val="20"/>
                <w:szCs w:val="20"/>
                <w:color w:val="auto"/>
              </w:rPr>
            </w:pPr>
            <w:r>
              <w:rPr>
                <w:rFonts w:ascii="Times New Roman" w:cs="Times New Roman" w:eastAsia="Times New Roman" w:hAnsi="Times New Roman"/>
                <w:sz w:val="19"/>
                <w:szCs w:val="19"/>
                <w:color w:val="auto"/>
              </w:rPr>
              <w:t>(1, 886).</w:t>
            </w:r>
          </w:p>
        </w:tc>
        <w:tc>
          <w:tcPr>
            <w:tcW w:w="9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909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620" w:type="dxa"/>
            <w:vAlign w:val="bottom"/>
          </w:tcPr>
          <w:p>
            <w:pPr>
              <w:spacing w:after="0"/>
              <w:rPr>
                <w:sz w:val="20"/>
                <w:szCs w:val="20"/>
                <w:color w:val="auto"/>
              </w:rPr>
            </w:pPr>
            <w:r>
              <w:rPr>
                <w:rFonts w:ascii="Times New Roman" w:cs="Times New Roman" w:eastAsia="Times New Roman" w:hAnsi="Times New Roman"/>
                <w:sz w:val="19"/>
                <w:szCs w:val="19"/>
                <w:color w:val="auto"/>
              </w:rPr>
              <w:t>Benefits paid .... . . . .... . . .. ............. . ......</w:t>
            </w:r>
          </w:p>
        </w:tc>
        <w:tc>
          <w:tcPr>
            <w:tcW w:w="1180" w:type="dxa"/>
            <w:vAlign w:val="bottom"/>
            <w:gridSpan w:val="7"/>
          </w:tcPr>
          <w:p>
            <w:pPr>
              <w:jc w:val="right"/>
              <w:ind w:right="40"/>
              <w:spacing w:after="0"/>
              <w:rPr>
                <w:sz w:val="20"/>
                <w:szCs w:val="20"/>
                <w:color w:val="auto"/>
              </w:rPr>
            </w:pPr>
            <w:r>
              <w:rPr>
                <w:rFonts w:ascii="Times New Roman" w:cs="Times New Roman" w:eastAsia="Times New Roman" w:hAnsi="Times New Roman"/>
                <w:sz w:val="19"/>
                <w:szCs w:val="19"/>
                <w:color w:val="auto"/>
              </w:rPr>
              <w:t>(6,.130).</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(6,303)</w:t>
            </w:r>
          </w:p>
        </w:tc>
        <w:tc>
          <w:tcPr>
            <w:tcW w:w="0" w:type="dxa"/>
            <w:vAlign w:val="bottom"/>
          </w:tcPr>
          <w:p>
            <w:pPr>
              <w:spacing w:after="0"/>
              <w:rPr>
                <w:sz w:val="1"/>
                <w:szCs w:val="1"/>
                <w:color w:val="auto"/>
              </w:rPr>
            </w:pPr>
          </w:p>
        </w:tc>
      </w:tr>
      <w:tr>
        <w:trPr>
          <w:trHeight w:val="36"/>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Benefit Obligation at E nd of Year ....... . ..... .. ..</w:t>
            </w:r>
          </w:p>
        </w:tc>
        <w:tc>
          <w:tcPr>
            <w:tcW w:w="380" w:type="dxa"/>
            <w:vAlign w:val="bottom"/>
            <w:gridSpan w:val="2"/>
          </w:tcPr>
          <w:p>
            <w:pPr>
              <w:spacing w:after="0"/>
              <w:rPr>
                <w:sz w:val="3"/>
                <w:szCs w:val="3"/>
                <w:color w:val="auto"/>
              </w:rPr>
            </w:pPr>
          </w:p>
        </w:tc>
        <w:tc>
          <w:tcPr>
            <w:tcW w:w="720" w:type="dxa"/>
            <w:vAlign w:val="bottom"/>
            <w:tcBorders>
              <w:bottom w:val="single" w:sz="8" w:color="504C4C"/>
            </w:tcBorders>
            <w:gridSpan w:val="3"/>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gridSpan w:val="3"/>
          </w:tcPr>
          <w:p>
            <w:pPr>
              <w:spacing w:after="0"/>
              <w:rPr>
                <w:sz w:val="3"/>
                <w:szCs w:val="3"/>
                <w:color w:val="auto"/>
              </w:rPr>
            </w:pPr>
          </w:p>
        </w:tc>
        <w:tc>
          <w:tcPr>
            <w:tcW w:w="70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4620" w:type="dxa"/>
            <w:vAlign w:val="bottom"/>
            <w:vMerge w:val="continue"/>
          </w:tcPr>
          <w:p>
            <w:pPr>
              <w:spacing w:after="0"/>
              <w:rPr>
                <w:sz w:val="22"/>
                <w:szCs w:val="22"/>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87,523</w:t>
            </w:r>
            <w:r>
              <w:rPr>
                <w:rFonts w:ascii="Times New Roman" w:cs="Times New Roman" w:eastAsia="Times New Roman" w:hAnsi="Times New Roman"/>
                <w:sz w:val="20"/>
                <w:szCs w:val="20"/>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98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$ 89,876</w:t>
            </w:r>
          </w:p>
        </w:tc>
        <w:tc>
          <w:tcPr>
            <w:tcW w:w="0" w:type="dxa"/>
            <w:vAlign w:val="bottom"/>
          </w:tcPr>
          <w:p>
            <w:pPr>
              <w:spacing w:after="0"/>
              <w:rPr>
                <w:sz w:val="1"/>
                <w:szCs w:val="1"/>
                <w:color w:val="auto"/>
              </w:rPr>
            </w:pPr>
          </w:p>
        </w:tc>
      </w:tr>
      <w:tr>
        <w:trPr>
          <w:trHeight w:val="32"/>
        </w:trPr>
        <w:tc>
          <w:tcPr>
            <w:tcW w:w="46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Funded Status  ... . .... . . . .... . .. . ... ..... . .....</w:t>
            </w:r>
          </w:p>
        </w:tc>
        <w:tc>
          <w:tcPr>
            <w:tcW w:w="380" w:type="dxa"/>
            <w:vAlign w:val="bottom"/>
            <w:gridSpan w:val="2"/>
          </w:tcPr>
          <w:p>
            <w:pPr>
              <w:spacing w:after="0"/>
              <w:rPr>
                <w:sz w:val="2"/>
                <w:szCs w:val="2"/>
                <w:color w:val="auto"/>
              </w:rPr>
            </w:pPr>
          </w:p>
        </w:tc>
        <w:tc>
          <w:tcPr>
            <w:tcW w:w="720" w:type="dxa"/>
            <w:vAlign w:val="bottom"/>
            <w:tcBorders>
              <w:bottom w:val="single" w:sz="8" w:color="504C4C"/>
            </w:tcBorders>
            <w:gridSpan w:val="3"/>
          </w:tcPr>
          <w:p>
            <w:pPr>
              <w:spacing w:after="0"/>
              <w:rPr>
                <w:sz w:val="2"/>
                <w:szCs w:val="2"/>
                <w:color w:val="auto"/>
              </w:rPr>
            </w:pPr>
          </w:p>
        </w:tc>
        <w:tc>
          <w:tcPr>
            <w:tcW w:w="80" w:type="dxa"/>
            <w:vAlign w:val="bottom"/>
            <w:gridSpan w:val="2"/>
          </w:tcPr>
          <w:p>
            <w:pPr>
              <w:spacing w:after="0"/>
              <w:rPr>
                <w:sz w:val="2"/>
                <w:szCs w:val="2"/>
                <w:color w:val="auto"/>
              </w:rPr>
            </w:pPr>
          </w:p>
        </w:tc>
        <w:tc>
          <w:tcPr>
            <w:tcW w:w="220" w:type="dxa"/>
            <w:vAlign w:val="bottom"/>
            <w:gridSpan w:val="3"/>
          </w:tcPr>
          <w:p>
            <w:pPr>
              <w:spacing w:after="0"/>
              <w:rPr>
                <w:sz w:val="2"/>
                <w:szCs w:val="2"/>
                <w:color w:val="auto"/>
              </w:rPr>
            </w:pPr>
          </w:p>
        </w:tc>
        <w:tc>
          <w:tcPr>
            <w:tcW w:w="70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4620" w:type="dxa"/>
            <w:vAlign w:val="bottom"/>
            <w:vMerge w:val="continue"/>
          </w:tcPr>
          <w:p>
            <w:pPr>
              <w:spacing w:after="0"/>
              <w:rPr>
                <w:sz w:val="23"/>
                <w:szCs w:val="23"/>
                <w:color w:val="auto"/>
              </w:rPr>
            </w:pPr>
          </w:p>
        </w:tc>
        <w:tc>
          <w:tcPr>
            <w:tcW w:w="1180" w:type="dxa"/>
            <w:vAlign w:val="bottom"/>
            <w:gridSpan w:val="7"/>
          </w:tcPr>
          <w:p>
            <w:pPr>
              <w:jc w:val="right"/>
              <w:ind w:right="20"/>
              <w:spacing w:after="0"/>
              <w:rPr>
                <w:sz w:val="20"/>
                <w:szCs w:val="20"/>
                <w:color w:val="auto"/>
              </w:rPr>
            </w:pPr>
            <w:r>
              <w:rPr>
                <w:rFonts w:ascii="Times New Roman" w:cs="Times New Roman" w:eastAsia="Times New Roman" w:hAnsi="Times New Roman"/>
                <w:sz w:val="19"/>
                <w:szCs w:val="19"/>
                <w:color w:val="auto"/>
              </w:rPr>
              <w:t>$(87,523)</w:t>
            </w:r>
            <w:r>
              <w:rPr>
                <w:rFonts w:ascii="Times New Roman" w:cs="Times New Roman" w:eastAsia="Times New Roman" w:hAnsi="Times New Roman"/>
                <w:sz w:val="20"/>
                <w:szCs w:val="20"/>
                <w:color w:val="auto"/>
              </w:rPr>
              <w:t>.</w:t>
            </w:r>
          </w:p>
        </w:tc>
        <w:tc>
          <w:tcPr>
            <w:tcW w:w="98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$(89,876)</w:t>
            </w:r>
          </w:p>
        </w:tc>
        <w:tc>
          <w:tcPr>
            <w:tcW w:w="0" w:type="dxa"/>
            <w:vAlign w:val="bottom"/>
          </w:tcPr>
          <w:p>
            <w:pPr>
              <w:spacing w:after="0"/>
              <w:rPr>
                <w:sz w:val="1"/>
                <w:szCs w:val="1"/>
                <w:color w:val="auto"/>
              </w:rPr>
            </w:pPr>
          </w:p>
        </w:tc>
      </w:tr>
      <w:tr>
        <w:trPr>
          <w:trHeight w:val="36"/>
        </w:trPr>
        <w:tc>
          <w:tcPr>
            <w:tcW w:w="46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52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8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0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color w:val="auto"/>
        </w:rPr>
        <w:t>The change in the Company' s benefit obligations for the pension plans in 2024 were primarily due to the settlement from the irrevocable group annuity contract and the benefits paid during the year offset by the recognition of an actuarial loss resulting from various experience variances and assumption changes used to measure the benefit obligation and special termination benefits provided to employees. The change in the Company's benefit obligations for the SERP in 2024 were primarily due to the benefits paid during the year and the recognition of an actuarial gain resulting from an increase to the discount rate used to measure the benefit obligation.</w:t>
      </w:r>
    </w:p>
    <w:p>
      <w:pPr>
        <w:spacing w:after="0" w:line="200" w:lineRule="exact"/>
        <w:rPr>
          <w:sz w:val="20"/>
          <w:szCs w:val="20"/>
          <w:color w:val="auto"/>
        </w:rPr>
      </w:pPr>
    </w:p>
    <w:p>
      <w:pPr>
        <w:spacing w:after="0" w:line="286" w:lineRule="exact"/>
        <w:rPr>
          <w:sz w:val="20"/>
          <w:szCs w:val="20"/>
          <w:color w:val="auto"/>
        </w:rPr>
      </w:pPr>
    </w:p>
    <w:p>
      <w:pPr>
        <w:jc w:val="both"/>
        <w:ind w:left="120" w:right="125" w:firstLine="1"/>
        <w:spacing w:after="0" w:line="258" w:lineRule="auto"/>
        <w:rPr>
          <w:sz w:val="20"/>
          <w:szCs w:val="20"/>
          <w:color w:val="auto"/>
        </w:rPr>
      </w:pPr>
      <w:r>
        <w:rPr>
          <w:rFonts w:ascii="Times New Roman" w:cs="Times New Roman" w:eastAsia="Times New Roman" w:hAnsi="Times New Roman"/>
          <w:sz w:val="19"/>
          <w:szCs w:val="19"/>
          <w:color w:val="auto"/>
        </w:rPr>
        <w:t>The accumulated benefit obligation for the Company's pension plans at December 3 1, 2024 and 2023, was $448.7 million and $880.3 million, respectively. The accumulated benefit obligati.on for the Company's SERP at December 3 1, 2024 and 2023, was $84.9 million and $89.4 million, respectively. The amounts recognized in the Company' s Consolidated Balance Sheets for its defined benefit pension plans are as follows:</w:t>
      </w:r>
    </w:p>
    <w:p>
      <w:pPr>
        <w:sectPr>
          <w:pgSz w:w="12240" w:h="15850" w:orient="portrait"/>
          <w:cols w:equalWidth="0" w:num="1">
            <w:col w:w="9365"/>
          </w:cols>
          <w:pgMar w:left="1440" w:top="1394"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7"/>
          <w:szCs w:val="17"/>
          <w:color w:val="auto"/>
        </w:rPr>
        <w:t>131</w:t>
      </w:r>
    </w:p>
    <w:p>
      <w:pPr>
        <w:sectPr>
          <w:pgSz w:w="12240" w:h="15850" w:orient="portrait"/>
          <w:cols w:equalWidth="0" w:num="1">
            <w:col w:w="9365"/>
          </w:cols>
          <w:pgMar w:left="1440" w:top="1394" w:right="1440" w:bottom="721" w:gutter="0" w:footer="0" w:header="0"/>
          <w:type w:val="continuous"/>
        </w:sectPr>
      </w:pPr>
    </w:p>
    <w:bookmarkStart w:id="147" w:name="page148"/>
    <w:bookmarkEnd w:id="147"/>
    <w:tbl>
      <w:tblPr>
        <w:tblLayout w:type="fixed"/>
        <w:tblInd w:w="52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P ension Plans</w:t>
            </w: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140" w:type="dxa"/>
            <w:vAlign w:val="bottom"/>
            <w:gridSpan w:val="3"/>
          </w:tcPr>
          <w:p>
            <w:pPr>
              <w:jc w:val="center"/>
              <w:ind w:right="600"/>
              <w:spacing w:after="0"/>
              <w:rPr>
                <w:sz w:val="20"/>
                <w:szCs w:val="20"/>
                <w:color w:val="auto"/>
              </w:rPr>
            </w:pPr>
            <w:r>
              <w:rPr>
                <w:rFonts w:ascii="Times New Roman" w:cs="Times New Roman" w:eastAsia="Times New Roman" w:hAnsi="Times New Roman"/>
                <w:sz w:val="16"/>
                <w:szCs w:val="16"/>
                <w:color w:val="auto"/>
              </w:rPr>
              <w:t>SERP</w:t>
            </w:r>
          </w:p>
        </w:tc>
      </w:tr>
      <w:tr>
        <w:trPr>
          <w:trHeight w:val="33"/>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Borders>
              <w:bottom w:val="single" w:sz="8" w:color="141414"/>
            </w:tcBorders>
            <w:gridSpan w:val="2"/>
          </w:tcPr>
          <w:p>
            <w:pPr>
              <w:spacing w:after="0"/>
              <w:rPr>
                <w:sz w:val="2"/>
                <w:szCs w:val="2"/>
                <w:color w:val="auto"/>
              </w:rPr>
            </w:pPr>
          </w:p>
        </w:tc>
        <w:tc>
          <w:tcPr>
            <w:tcW w:w="900" w:type="dxa"/>
            <w:vAlign w:val="bottom"/>
            <w:tcBorders>
              <w:bottom w:val="single" w:sz="8" w:color="141414"/>
            </w:tcBorders>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Borders>
              <w:bottom w:val="single" w:sz="8" w:color="141414"/>
            </w:tcBorders>
            <w:gridSpan w:val="2"/>
          </w:tcPr>
          <w:p>
            <w:pPr>
              <w:spacing w:after="0"/>
              <w:rPr>
                <w:sz w:val="2"/>
                <w:szCs w:val="2"/>
                <w:color w:val="auto"/>
              </w:rPr>
            </w:pPr>
          </w:p>
        </w:tc>
        <w:tc>
          <w:tcPr>
            <w:tcW w:w="320" w:type="dxa"/>
            <w:vAlign w:val="bottom"/>
            <w:tcBorders>
              <w:bottom w:val="single" w:sz="8" w:color="141414"/>
            </w:tcBorders>
          </w:tcPr>
          <w:p>
            <w:pPr>
              <w:spacing w:after="0"/>
              <w:rPr>
                <w:sz w:val="2"/>
                <w:szCs w:val="2"/>
                <w:color w:val="auto"/>
              </w:rPr>
            </w:pPr>
          </w:p>
        </w:tc>
        <w:tc>
          <w:tcPr>
            <w:tcW w:w="700" w:type="dxa"/>
            <w:vAlign w:val="bottom"/>
            <w:tcBorders>
              <w:bottom w:val="single" w:sz="8" w:color="141414"/>
            </w:tcBorders>
          </w:tcPr>
          <w:p>
            <w:pPr>
              <w:spacing w:after="0"/>
              <w:rPr>
                <w:sz w:val="2"/>
                <w:szCs w:val="2"/>
                <w:color w:val="auto"/>
              </w:rPr>
            </w:pPr>
          </w:p>
        </w:tc>
      </w:tr>
      <w:tr>
        <w:trPr>
          <w:trHeight w:val="186"/>
        </w:trPr>
        <w:tc>
          <w:tcPr>
            <w:tcW w:w="4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3"/>
          </w:tcPr>
          <w:p>
            <w:pPr>
              <w:jc w:val="center"/>
              <w:ind w:right="40"/>
              <w:spacing w:after="0"/>
              <w:rPr>
                <w:sz w:val="20"/>
                <w:szCs w:val="20"/>
                <w:color w:val="auto"/>
              </w:rPr>
            </w:pPr>
            <w:r>
              <w:rPr>
                <w:rFonts w:ascii="Times New Roman" w:cs="Times New Roman" w:eastAsia="Times New Roman" w:hAnsi="Times New Roman"/>
                <w:sz w:val="16"/>
                <w:szCs w:val="16"/>
                <w:color w:val="auto"/>
              </w:rPr>
              <w:t>As of December 31</w:t>
            </w:r>
          </w:p>
        </w:tc>
        <w:tc>
          <w:tcPr>
            <w:tcW w:w="300" w:type="dxa"/>
            <w:vAlign w:val="bottom"/>
          </w:tcPr>
          <w:p>
            <w:pPr>
              <w:spacing w:after="0"/>
              <w:rPr>
                <w:sz w:val="16"/>
                <w:szCs w:val="16"/>
                <w:color w:val="auto"/>
              </w:rPr>
            </w:pPr>
          </w:p>
        </w:tc>
        <w:tc>
          <w:tcPr>
            <w:tcW w:w="172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As of December 31</w:t>
            </w:r>
          </w:p>
        </w:tc>
      </w:tr>
      <w:tr>
        <w:trPr>
          <w:trHeight w:val="33"/>
        </w:trPr>
        <w:tc>
          <w:tcPr>
            <w:tcW w:w="4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Borders>
              <w:bottom w:val="single" w:sz="8" w:color="141414"/>
            </w:tcBorders>
          </w:tcPr>
          <w:p>
            <w:pPr>
              <w:spacing w:after="0"/>
              <w:rPr>
                <w:sz w:val="2"/>
                <w:szCs w:val="2"/>
                <w:color w:val="auto"/>
              </w:rPr>
            </w:pPr>
          </w:p>
        </w:tc>
        <w:tc>
          <w:tcPr>
            <w:tcW w:w="300" w:type="dxa"/>
            <w:vAlign w:val="bottom"/>
            <w:tcBorders>
              <w:bottom w:val="single" w:sz="8" w:color="141414"/>
            </w:tcBorders>
          </w:tcPr>
          <w:p>
            <w:pPr>
              <w:spacing w:after="0"/>
              <w:rPr>
                <w:sz w:val="2"/>
                <w:szCs w:val="2"/>
                <w:color w:val="auto"/>
              </w:rPr>
            </w:pPr>
          </w:p>
        </w:tc>
        <w:tc>
          <w:tcPr>
            <w:tcW w:w="900" w:type="dxa"/>
            <w:vAlign w:val="bottom"/>
            <w:tcBorders>
              <w:bottom w:val="single" w:sz="8" w:color="141414"/>
            </w:tcBorders>
          </w:tcPr>
          <w:p>
            <w:pPr>
              <w:spacing w:after="0"/>
              <w:rPr>
                <w:sz w:val="2"/>
                <w:szCs w:val="2"/>
                <w:color w:val="auto"/>
              </w:rPr>
            </w:pPr>
          </w:p>
        </w:tc>
        <w:tc>
          <w:tcPr>
            <w:tcW w:w="300" w:type="dxa"/>
            <w:vAlign w:val="bottom"/>
          </w:tcPr>
          <w:p>
            <w:pPr>
              <w:spacing w:after="0"/>
              <w:rPr>
                <w:sz w:val="2"/>
                <w:szCs w:val="2"/>
                <w:color w:val="auto"/>
              </w:rPr>
            </w:pPr>
          </w:p>
        </w:tc>
        <w:tc>
          <w:tcPr>
            <w:tcW w:w="580" w:type="dxa"/>
            <w:vAlign w:val="bottom"/>
            <w:tcBorders>
              <w:bottom w:val="single" w:sz="8" w:color="141414"/>
            </w:tcBorders>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320" w:type="dxa"/>
            <w:vAlign w:val="bottom"/>
            <w:tcBorders>
              <w:bottom w:val="single" w:sz="8" w:color="141414"/>
            </w:tcBorders>
          </w:tcPr>
          <w:p>
            <w:pPr>
              <w:spacing w:after="0"/>
              <w:rPr>
                <w:sz w:val="2"/>
                <w:szCs w:val="2"/>
                <w:color w:val="auto"/>
              </w:rPr>
            </w:pPr>
          </w:p>
        </w:tc>
        <w:tc>
          <w:tcPr>
            <w:tcW w:w="700" w:type="dxa"/>
            <w:vAlign w:val="bottom"/>
            <w:tcBorders>
              <w:bottom w:val="single" w:sz="8" w:color="141414"/>
            </w:tcBorders>
          </w:tcPr>
          <w:p>
            <w:pPr>
              <w:spacing w:after="0"/>
              <w:rPr>
                <w:sz w:val="2"/>
                <w:szCs w:val="2"/>
                <w:color w:val="auto"/>
              </w:rPr>
            </w:pPr>
          </w:p>
        </w:tc>
      </w:tr>
      <w:tr>
        <w:trPr>
          <w:trHeight w:val="176"/>
        </w:trPr>
        <w:tc>
          <w:tcPr>
            <w:tcW w:w="4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(in thousanrls)</w:t>
            </w:r>
          </w:p>
        </w:tc>
        <w:tc>
          <w:tcPr>
            <w:tcW w:w="900" w:type="dxa"/>
            <w:vAlign w:val="bottom"/>
          </w:tcPr>
          <w:p>
            <w:pPr>
              <w:jc w:val="right"/>
              <w:ind w:right="221"/>
              <w:spacing w:after="0" w:line="176" w:lineRule="exact"/>
              <w:rPr>
                <w:sz w:val="20"/>
                <w:szCs w:val="20"/>
                <w:color w:val="auto"/>
              </w:rPr>
            </w:pPr>
            <w:r>
              <w:rPr>
                <w:rFonts w:ascii="Times New Roman" w:cs="Times New Roman" w:eastAsia="Times New Roman" w:hAnsi="Times New Roman"/>
                <w:sz w:val="16"/>
                <w:szCs w:val="16"/>
                <w:color w:val="auto"/>
              </w:rPr>
              <w:t>2024</w:t>
            </w:r>
          </w:p>
        </w:tc>
        <w:tc>
          <w:tcPr>
            <w:tcW w:w="1200" w:type="dxa"/>
            <w:vAlign w:val="bottom"/>
            <w:gridSpan w:val="2"/>
          </w:tcPr>
          <w:p>
            <w:pPr>
              <w:jc w:val="right"/>
              <w:ind w:right="300"/>
              <w:spacing w:after="0" w:line="176" w:lineRule="exact"/>
              <w:rPr>
                <w:sz w:val="20"/>
                <w:szCs w:val="20"/>
                <w:color w:val="auto"/>
              </w:rPr>
            </w:pPr>
            <w:r>
              <w:rPr>
                <w:rFonts w:ascii="Times New Roman" w:cs="Times New Roman" w:eastAsia="Times New Roman" w:hAnsi="Times New Roman"/>
                <w:sz w:val="16"/>
                <w:szCs w:val="16"/>
                <w:color w:val="auto"/>
              </w:rPr>
              <w:t>2023</w:t>
            </w:r>
          </w:p>
        </w:tc>
        <w:tc>
          <w:tcPr>
            <w:tcW w:w="880" w:type="dxa"/>
            <w:vAlign w:val="bottom"/>
            <w:gridSpan w:val="2"/>
          </w:tcPr>
          <w:p>
            <w:pPr>
              <w:jc w:val="right"/>
              <w:ind w:right="1"/>
              <w:spacing w:after="0" w:line="176" w:lineRule="exact"/>
              <w:rPr>
                <w:sz w:val="20"/>
                <w:szCs w:val="20"/>
                <w:color w:val="auto"/>
              </w:rPr>
            </w:pPr>
            <w:r>
              <w:rPr>
                <w:rFonts w:ascii="Times New Roman" w:cs="Times New Roman" w:eastAsia="Times New Roman" w:hAnsi="Times New Roman"/>
                <w:sz w:val="16"/>
                <w:szCs w:val="16"/>
                <w:color w:val="auto"/>
              </w:rPr>
              <w:t>2024</w:t>
            </w:r>
          </w:p>
        </w:tc>
        <w:tc>
          <w:tcPr>
            <w:tcW w:w="1140" w:type="dxa"/>
            <w:vAlign w:val="bottom"/>
            <w:gridSpan w:val="3"/>
          </w:tcPr>
          <w:p>
            <w:pPr>
              <w:jc w:val="right"/>
              <w:ind w:right="200"/>
              <w:spacing w:after="0" w:line="176" w:lineRule="exact"/>
              <w:rPr>
                <w:sz w:val="20"/>
                <w:szCs w:val="20"/>
                <w:color w:val="auto"/>
              </w:rPr>
            </w:pPr>
            <w:r>
              <w:rPr>
                <w:rFonts w:ascii="Times New Roman" w:cs="Times New Roman" w:eastAsia="Times New Roman" w:hAnsi="Times New Roman"/>
                <w:sz w:val="16"/>
                <w:szCs w:val="16"/>
                <w:color w:val="auto"/>
              </w:rPr>
              <w:t>2023</w:t>
            </w:r>
          </w:p>
        </w:tc>
      </w:tr>
      <w:tr>
        <w:trPr>
          <w:trHeight w:val="51"/>
        </w:trPr>
        <w:tc>
          <w:tcPr>
            <w:tcW w:w="4180" w:type="dxa"/>
            <w:vAlign w:val="bottom"/>
          </w:tcPr>
          <w:p>
            <w:pPr>
              <w:spacing w:after="0"/>
              <w:rPr>
                <w:sz w:val="4"/>
                <w:szCs w:val="4"/>
                <w:color w:val="auto"/>
              </w:rPr>
            </w:pPr>
          </w:p>
        </w:tc>
        <w:tc>
          <w:tcPr>
            <w:tcW w:w="20" w:type="dxa"/>
            <w:vAlign w:val="bottom"/>
            <w:tcBorders>
              <w:bottom w:val="single" w:sz="8" w:color="403C3C"/>
            </w:tcBorders>
          </w:tcPr>
          <w:p>
            <w:pPr>
              <w:spacing w:after="0"/>
              <w:rPr>
                <w:sz w:val="4"/>
                <w:szCs w:val="4"/>
                <w:color w:val="auto"/>
              </w:rPr>
            </w:pPr>
          </w:p>
        </w:tc>
        <w:tc>
          <w:tcPr>
            <w:tcW w:w="900" w:type="dxa"/>
            <w:vAlign w:val="bottom"/>
            <w:tcBorders>
              <w:bottom w:val="single" w:sz="8" w:color="403C3C"/>
            </w:tcBorders>
          </w:tcPr>
          <w:p>
            <w:pPr>
              <w:spacing w:after="0"/>
              <w:rPr>
                <w:sz w:val="4"/>
                <w:szCs w:val="4"/>
                <w:color w:val="auto"/>
              </w:rPr>
            </w:pPr>
          </w:p>
        </w:tc>
        <w:tc>
          <w:tcPr>
            <w:tcW w:w="300" w:type="dxa"/>
            <w:vAlign w:val="bottom"/>
          </w:tcPr>
          <w:p>
            <w:pPr>
              <w:spacing w:after="0"/>
              <w:rPr>
                <w:sz w:val="4"/>
                <w:szCs w:val="4"/>
                <w:color w:val="auto"/>
              </w:rPr>
            </w:pPr>
          </w:p>
        </w:tc>
        <w:tc>
          <w:tcPr>
            <w:tcW w:w="900" w:type="dxa"/>
            <w:vAlign w:val="bottom"/>
            <w:tcBorders>
              <w:bottom w:val="single" w:sz="8" w:color="403C3C"/>
            </w:tcBorders>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Borders>
              <w:bottom w:val="single" w:sz="8" w:color="403C3C"/>
            </w:tcBorders>
          </w:tcPr>
          <w:p>
            <w:pPr>
              <w:spacing w:after="0"/>
              <w:rPr>
                <w:sz w:val="4"/>
                <w:szCs w:val="4"/>
                <w:color w:val="auto"/>
              </w:rPr>
            </w:pPr>
          </w:p>
        </w:tc>
        <w:tc>
          <w:tcPr>
            <w:tcW w:w="120" w:type="dxa"/>
            <w:vAlign w:val="bottom"/>
            <w:tcBorders>
              <w:bottom w:val="single" w:sz="8" w:color="403C3C"/>
            </w:tcBorders>
          </w:tcPr>
          <w:p>
            <w:pPr>
              <w:spacing w:after="0"/>
              <w:rPr>
                <w:sz w:val="4"/>
                <w:szCs w:val="4"/>
                <w:color w:val="auto"/>
              </w:rPr>
            </w:pPr>
          </w:p>
        </w:tc>
        <w:tc>
          <w:tcPr>
            <w:tcW w:w="320" w:type="dxa"/>
            <w:vAlign w:val="bottom"/>
          </w:tcPr>
          <w:p>
            <w:pPr>
              <w:spacing w:after="0"/>
              <w:rPr>
                <w:sz w:val="4"/>
                <w:szCs w:val="4"/>
                <w:color w:val="auto"/>
              </w:rPr>
            </w:pPr>
          </w:p>
        </w:tc>
        <w:tc>
          <w:tcPr>
            <w:tcW w:w="700" w:type="dxa"/>
            <w:vAlign w:val="bottom"/>
            <w:tcBorders>
              <w:bottom w:val="single" w:sz="8" w:color="403C3C"/>
            </w:tcBorders>
          </w:tcPr>
          <w:p>
            <w:pPr>
              <w:spacing w:after="0"/>
              <w:rPr>
                <w:sz w:val="4"/>
                <w:szCs w:val="4"/>
                <w:color w:val="auto"/>
              </w:rPr>
            </w:pPr>
          </w:p>
        </w:tc>
      </w:tr>
    </w:tbl>
    <w:p>
      <w:pPr>
        <w:spacing w:after="0" w:line="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r>
    </w:p>
    <w:tbl>
      <w:tblPr>
        <w:tblLayout w:type="fixed"/>
        <w:tblInd w:w="520" w:type="dxa"/>
        <w:tblCellMar>
          <w:top w:w="0" w:type="dxa"/>
          <w:left w:w="0" w:type="dxa"/>
          <w:bottom w:w="0" w:type="dxa"/>
          <w:right w:w="0" w:type="dxa"/>
        </w:tblCellMar>
      </w:tblPr>
      <w:tr>
        <w:trPr>
          <w:trHeight w:val="239"/>
        </w:trPr>
        <w:tc>
          <w:tcPr>
            <w:tcW w:w="4160" w:type="dxa"/>
            <w:vAlign w:val="bottom"/>
          </w:tcPr>
          <w:p>
            <w:pPr>
              <w:spacing w:after="0"/>
              <w:rPr>
                <w:sz w:val="20"/>
                <w:szCs w:val="20"/>
                <w:color w:val="auto"/>
              </w:rPr>
            </w:pPr>
            <w:r>
              <w:rPr>
                <w:rFonts w:ascii="Times New Roman" w:cs="Times New Roman" w:eastAsia="Times New Roman" w:hAnsi="Times New Roman"/>
                <w:sz w:val="19"/>
                <w:szCs w:val="19"/>
                <w:color w:val="auto"/>
              </w:rPr>
              <w:t>Noncurrent asset ......... . ..............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$2,510,520</w:t>
            </w:r>
          </w:p>
        </w:tc>
        <w:tc>
          <w:tcPr>
            <w:tcW w:w="28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$2,113,638</w:t>
            </w:r>
          </w:p>
        </w:tc>
        <w:tc>
          <w:tcPr>
            <w:tcW w:w="1020" w:type="dxa"/>
            <w:vAlign w:val="bottom"/>
            <w:gridSpan w:val="4"/>
          </w:tcPr>
          <w:p>
            <w:pPr>
              <w:jc w:val="right"/>
              <w:ind w:right="62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720" w:type="dxa"/>
            <w:vAlign w:val="bottom"/>
            <w:gridSpan w:val="2"/>
          </w:tcPr>
          <w:p>
            <w:pPr>
              <w:jc w:val="right"/>
              <w:ind w:right="620"/>
              <w:spacing w:after="0"/>
              <w:rPr>
                <w:sz w:val="20"/>
                <w:szCs w:val="20"/>
                <w:color w:val="auto"/>
              </w:rPr>
            </w:pPr>
            <w:r>
              <w:rPr>
                <w:rFonts w:ascii="Times New Roman" w:cs="Times New Roman" w:eastAsia="Times New Roman" w:hAnsi="Times New Roman"/>
                <w:sz w:val="20"/>
                <w:szCs w:val="20"/>
                <w:color w:val="auto"/>
                <w:w w:val="79"/>
              </w:rPr>
              <w:t>$</w:t>
            </w:r>
          </w:p>
        </w:tc>
        <w:tc>
          <w:tcPr>
            <w:tcW w:w="80" w:type="dxa"/>
            <w:vAlign w:val="bottom"/>
          </w:tcPr>
          <w:p>
            <w:pPr>
              <w:spacing w:after="0"/>
              <w:rPr>
                <w:sz w:val="20"/>
                <w:szCs w:val="20"/>
                <w:color w:val="auto"/>
              </w:rPr>
            </w:pPr>
          </w:p>
        </w:tc>
      </w:tr>
      <w:tr>
        <w:trPr>
          <w:trHeight w:val="229"/>
        </w:trPr>
        <w:tc>
          <w:tcPr>
            <w:tcW w:w="4160" w:type="dxa"/>
            <w:vAlign w:val="bottom"/>
          </w:tcPr>
          <w:p>
            <w:pPr>
              <w:spacing w:after="0"/>
              <w:rPr>
                <w:sz w:val="20"/>
                <w:szCs w:val="20"/>
                <w:color w:val="auto"/>
              </w:rPr>
            </w:pPr>
            <w:r>
              <w:rPr>
                <w:rFonts w:ascii="Times New Roman" w:cs="Times New Roman" w:eastAsia="Times New Roman" w:hAnsi="Times New Roman"/>
                <w:sz w:val="19"/>
                <w:szCs w:val="19"/>
                <w:color w:val="auto"/>
              </w:rPr>
              <w:t>Current liability  ........................ .</w:t>
            </w: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20" w:type="dxa"/>
            <w:vAlign w:val="bottom"/>
            <w:gridSpan w:val="5"/>
          </w:tcPr>
          <w:p>
            <w:pPr>
              <w:jc w:val="right"/>
              <w:ind w:right="240"/>
              <w:spacing w:after="0" w:line="229" w:lineRule="exact"/>
              <w:rPr>
                <w:sz w:val="20"/>
                <w:szCs w:val="20"/>
                <w:color w:val="auto"/>
              </w:rPr>
            </w:pPr>
            <w:r>
              <w:rPr>
                <w:rFonts w:ascii="Times New Roman" w:cs="Times New Roman" w:eastAsia="Times New Roman" w:hAnsi="Times New Roman"/>
                <w:sz w:val="20"/>
                <w:szCs w:val="20"/>
                <w:color w:val="auto"/>
              </w:rPr>
              <w:t>(6,786)</w:t>
            </w:r>
          </w:p>
        </w:tc>
        <w:tc>
          <w:tcPr>
            <w:tcW w:w="800" w:type="dxa"/>
            <w:vAlign w:val="bottom"/>
            <w:gridSpan w:val="3"/>
          </w:tcPr>
          <w:p>
            <w:pPr>
              <w:jc w:val="right"/>
              <w:ind w:right="20"/>
              <w:spacing w:after="0" w:line="229" w:lineRule="exact"/>
              <w:rPr>
                <w:sz w:val="20"/>
                <w:szCs w:val="20"/>
                <w:color w:val="auto"/>
              </w:rPr>
            </w:pPr>
            <w:r>
              <w:rPr>
                <w:rFonts w:ascii="Times New Roman" w:cs="Times New Roman" w:eastAsia="Times New Roman" w:hAnsi="Times New Roman"/>
                <w:sz w:val="20"/>
                <w:szCs w:val="20"/>
                <w:color w:val="auto"/>
              </w:rPr>
              <w:t>(6,652)</w:t>
            </w:r>
          </w:p>
        </w:tc>
      </w:tr>
      <w:tr>
        <w:trPr>
          <w:trHeight w:val="238"/>
        </w:trPr>
        <w:tc>
          <w:tcPr>
            <w:tcW w:w="4160" w:type="dxa"/>
            <w:vAlign w:val="bottom"/>
          </w:tcPr>
          <w:p>
            <w:pPr>
              <w:spacing w:after="0"/>
              <w:rPr>
                <w:sz w:val="20"/>
                <w:szCs w:val="20"/>
                <w:color w:val="auto"/>
              </w:rPr>
            </w:pPr>
            <w:r>
              <w:rPr>
                <w:rFonts w:ascii="Times New Roman" w:cs="Times New Roman" w:eastAsia="Times New Roman" w:hAnsi="Times New Roman"/>
                <w:sz w:val="19"/>
                <w:szCs w:val="19"/>
                <w:color w:val="auto"/>
              </w:rPr>
              <w:t>Noncurrent liabi lity  ..................... .</w:t>
            </w:r>
          </w:p>
        </w:tc>
        <w:tc>
          <w:tcPr>
            <w:tcW w:w="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2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rPr>
              <w:t>(80,737)</w:t>
            </w:r>
          </w:p>
        </w:tc>
        <w:tc>
          <w:tcPr>
            <w:tcW w:w="8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(83,224)</w:t>
            </w:r>
          </w:p>
        </w:tc>
      </w:tr>
      <w:tr>
        <w:trPr>
          <w:trHeight w:val="34"/>
        </w:trPr>
        <w:tc>
          <w:tcPr>
            <w:tcW w:w="4160" w:type="dxa"/>
            <w:vAlign w:val="bottom"/>
          </w:tcPr>
          <w:p>
            <w:pPr>
              <w:spacing w:after="0"/>
              <w:rPr>
                <w:sz w:val="2"/>
                <w:szCs w:val="2"/>
                <w:color w:val="auto"/>
              </w:rPr>
            </w:pPr>
          </w:p>
        </w:tc>
        <w:tc>
          <w:tcPr>
            <w:tcW w:w="40" w:type="dxa"/>
            <w:vAlign w:val="bottom"/>
          </w:tcPr>
          <w:p>
            <w:pPr>
              <w:spacing w:after="0"/>
              <w:rPr>
                <w:sz w:val="2"/>
                <w:szCs w:val="2"/>
                <w:color w:val="auto"/>
              </w:rPr>
            </w:pPr>
          </w:p>
        </w:tc>
        <w:tc>
          <w:tcPr>
            <w:tcW w:w="900" w:type="dxa"/>
            <w:vAlign w:val="bottom"/>
            <w:tcBorders>
              <w:bottom w:val="single" w:sz="8" w:color="504C4C"/>
            </w:tcBorders>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88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300" w:type="dxa"/>
            <w:vAlign w:val="bottom"/>
            <w:gridSpan w:val="2"/>
          </w:tcPr>
          <w:p>
            <w:pPr>
              <w:spacing w:after="0"/>
              <w:rPr>
                <w:sz w:val="2"/>
                <w:szCs w:val="2"/>
                <w:color w:val="auto"/>
              </w:rPr>
            </w:pPr>
          </w:p>
        </w:tc>
        <w:tc>
          <w:tcPr>
            <w:tcW w:w="700" w:type="dxa"/>
            <w:vAlign w:val="bottom"/>
            <w:tcBorders>
              <w:bottom w:val="single" w:sz="8" w:color="504C4C"/>
            </w:tcBorders>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700" w:type="dxa"/>
            <w:vAlign w:val="bottom"/>
            <w:tcBorders>
              <w:bottom w:val="single" w:sz="8" w:color="504C4C"/>
            </w:tcBorders>
          </w:tcPr>
          <w:p>
            <w:pPr>
              <w:spacing w:after="0"/>
              <w:rPr>
                <w:sz w:val="2"/>
                <w:szCs w:val="2"/>
                <w:color w:val="auto"/>
              </w:rPr>
            </w:pPr>
          </w:p>
        </w:tc>
        <w:tc>
          <w:tcPr>
            <w:tcW w:w="80" w:type="dxa"/>
            <w:vAlign w:val="bottom"/>
          </w:tcPr>
          <w:p>
            <w:pPr>
              <w:spacing w:after="0"/>
              <w:rPr>
                <w:sz w:val="2"/>
                <w:szCs w:val="2"/>
                <w:color w:val="auto"/>
              </w:rPr>
            </w:pPr>
          </w:p>
        </w:tc>
      </w:tr>
      <w:tr>
        <w:trPr>
          <w:trHeight w:val="270"/>
        </w:trPr>
        <w:tc>
          <w:tcPr>
            <w:tcW w:w="4160" w:type="dxa"/>
            <w:vAlign w:val="bottom"/>
          </w:tcPr>
          <w:p>
            <w:pPr>
              <w:spacing w:after="0"/>
              <w:rPr>
                <w:sz w:val="20"/>
                <w:szCs w:val="20"/>
                <w:color w:val="auto"/>
              </w:rPr>
            </w:pPr>
            <w:r>
              <w:rPr>
                <w:rFonts w:ascii="Times New Roman" w:cs="Times New Roman" w:eastAsia="Times New Roman" w:hAnsi="Times New Roman"/>
                <w:sz w:val="20"/>
                <w:szCs w:val="20"/>
                <w:color w:val="auto"/>
              </w:rPr>
              <w:t>Recognized Asset (Liability)  ............. .</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$2,510,520</w:t>
            </w:r>
          </w:p>
        </w:tc>
        <w:tc>
          <w:tcPr>
            <w:tcW w:w="280" w:type="dxa"/>
            <w:vAlign w:val="bottom"/>
          </w:tcPr>
          <w:p>
            <w:pPr>
              <w:spacing w:after="0"/>
              <w:rPr>
                <w:sz w:val="23"/>
                <w:szCs w:val="2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7"/>
              </w:rPr>
              <w:t>$2,113,638</w:t>
            </w:r>
          </w:p>
        </w:tc>
        <w:tc>
          <w:tcPr>
            <w:tcW w:w="1320" w:type="dxa"/>
            <w:vAlign w:val="bottom"/>
            <w:gridSpan w:val="5"/>
          </w:tcPr>
          <w:p>
            <w:pPr>
              <w:jc w:val="right"/>
              <w:ind w:right="240"/>
              <w:spacing w:after="0"/>
              <w:rPr>
                <w:sz w:val="20"/>
                <w:szCs w:val="20"/>
                <w:color w:val="auto"/>
              </w:rPr>
            </w:pPr>
            <w:r>
              <w:rPr>
                <w:rFonts w:ascii="Times New Roman" w:cs="Times New Roman" w:eastAsia="Times New Roman" w:hAnsi="Times New Roman"/>
                <w:sz w:val="20"/>
                <w:szCs w:val="20"/>
                <w:color w:val="auto"/>
              </w:rPr>
              <w:t>$(87,523)</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$(89,876)</w:t>
            </w:r>
          </w:p>
        </w:tc>
      </w:tr>
      <w:tr>
        <w:trPr>
          <w:trHeight w:val="43"/>
        </w:trPr>
        <w:tc>
          <w:tcPr>
            <w:tcW w:w="4160" w:type="dxa"/>
            <w:vAlign w:val="bottom"/>
          </w:tcPr>
          <w:p>
            <w:pPr>
              <w:spacing w:after="0"/>
              <w:rPr>
                <w:sz w:val="3"/>
                <w:szCs w:val="3"/>
                <w:color w:val="auto"/>
              </w:rPr>
            </w:pPr>
          </w:p>
        </w:tc>
        <w:tc>
          <w:tcPr>
            <w:tcW w:w="40" w:type="dxa"/>
            <w:vAlign w:val="bottom"/>
            <w:tcBorders>
              <w:bottom w:val="single" w:sz="8" w:color="504C4C"/>
            </w:tcBorders>
          </w:tcPr>
          <w:p>
            <w:pPr>
              <w:spacing w:after="0"/>
              <w:rPr>
                <w:sz w:val="3"/>
                <w:szCs w:val="3"/>
                <w:color w:val="auto"/>
              </w:rPr>
            </w:pPr>
          </w:p>
        </w:tc>
        <w:tc>
          <w:tcPr>
            <w:tcW w:w="900" w:type="dxa"/>
            <w:vAlign w:val="bottom"/>
            <w:tcBorders>
              <w:bottom w:val="single" w:sz="8" w:color="504C4C"/>
            </w:tcBorders>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8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0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0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r>
    </w:tbl>
    <w:p>
      <w:pPr>
        <w:spacing w:after="0" w:line="3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Key a ssumptions utilized for determining the benefit obligation are as follows:</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19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rPr>
              <w:t>Pension Plans</w:t>
            </w: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80" w:type="dxa"/>
            <w:vAlign w:val="bottom"/>
            <w:gridSpan w:val="3"/>
          </w:tcPr>
          <w:p>
            <w:pPr>
              <w:jc w:val="center"/>
              <w:ind w:right="960"/>
              <w:spacing w:after="0"/>
              <w:rPr>
                <w:sz w:val="20"/>
                <w:szCs w:val="20"/>
                <w:color w:val="auto"/>
              </w:rPr>
            </w:pPr>
            <w:r>
              <w:rPr>
                <w:rFonts w:ascii="Times New Roman" w:cs="Times New Roman" w:eastAsia="Times New Roman" w:hAnsi="Times New Roman"/>
                <w:sz w:val="16"/>
                <w:szCs w:val="16"/>
                <w:color w:val="auto"/>
              </w:rPr>
              <w:t>SERP</w:t>
            </w:r>
          </w:p>
        </w:tc>
      </w:tr>
      <w:tr>
        <w:trPr>
          <w:trHeight w:val="32"/>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403C3C"/>
            </w:tcBorders>
            <w:gridSpan w:val="2"/>
          </w:tcPr>
          <w:p>
            <w:pPr>
              <w:spacing w:after="0"/>
              <w:rPr>
                <w:sz w:val="2"/>
                <w:szCs w:val="2"/>
                <w:color w:val="auto"/>
              </w:rPr>
            </w:pPr>
          </w:p>
        </w:tc>
        <w:tc>
          <w:tcPr>
            <w:tcW w:w="114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Borders>
              <w:bottom w:val="single" w:sz="8" w:color="403C3C"/>
            </w:tcBorders>
            <w:gridSpan w:val="2"/>
          </w:tcPr>
          <w:p>
            <w:pPr>
              <w:spacing w:after="0"/>
              <w:rPr>
                <w:sz w:val="2"/>
                <w:szCs w:val="2"/>
                <w:color w:val="auto"/>
              </w:rPr>
            </w:pPr>
          </w:p>
        </w:tc>
        <w:tc>
          <w:tcPr>
            <w:tcW w:w="200" w:type="dxa"/>
            <w:vAlign w:val="bottom"/>
            <w:tcBorders>
              <w:bottom w:val="single" w:sz="8" w:color="403C3C"/>
            </w:tcBorders>
          </w:tcPr>
          <w:p>
            <w:pPr>
              <w:spacing w:after="0"/>
              <w:rPr>
                <w:sz w:val="2"/>
                <w:szCs w:val="2"/>
                <w:color w:val="auto"/>
              </w:rPr>
            </w:pPr>
          </w:p>
        </w:tc>
        <w:tc>
          <w:tcPr>
            <w:tcW w:w="1140" w:type="dxa"/>
            <w:vAlign w:val="bottom"/>
            <w:tcBorders>
              <w:bottom w:val="single" w:sz="8" w:color="403C3C"/>
            </w:tcBorders>
          </w:tcPr>
          <w:p>
            <w:pPr>
              <w:spacing w:after="0"/>
              <w:rPr>
                <w:sz w:val="2"/>
                <w:szCs w:val="2"/>
                <w:color w:val="auto"/>
              </w:rPr>
            </w:pPr>
          </w:p>
        </w:tc>
      </w:tr>
      <w:tr>
        <w:trPr>
          <w:trHeight w:val="187"/>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3"/>
          </w:tcPr>
          <w:p>
            <w:pPr>
              <w:jc w:val="center"/>
              <w:spacing w:after="0"/>
              <w:rPr>
                <w:sz w:val="20"/>
                <w:szCs w:val="20"/>
                <w:color w:val="auto"/>
              </w:rPr>
            </w:pPr>
            <w:r>
              <w:rPr>
                <w:rFonts w:ascii="Times New Roman" w:cs="Times New Roman" w:eastAsia="Times New Roman" w:hAnsi="Times New Roman"/>
                <w:sz w:val="16"/>
                <w:szCs w:val="16"/>
                <w:color w:val="auto"/>
                <w:w w:val="98"/>
              </w:rPr>
              <w:t>As of Decembe:r 31</w:t>
            </w:r>
          </w:p>
        </w:tc>
        <w:tc>
          <w:tcPr>
            <w:tcW w:w="200" w:type="dxa"/>
            <w:vAlign w:val="bottom"/>
          </w:tcPr>
          <w:p>
            <w:pPr>
              <w:spacing w:after="0"/>
              <w:rPr>
                <w:sz w:val="16"/>
                <w:szCs w:val="16"/>
                <w:color w:val="auto"/>
              </w:rPr>
            </w:pPr>
          </w:p>
        </w:tc>
        <w:tc>
          <w:tcPr>
            <w:tcW w:w="2440" w:type="dxa"/>
            <w:vAlign w:val="bottom"/>
            <w:gridSpan w:val="4"/>
          </w:tcPr>
          <w:p>
            <w:pPr>
              <w:jc w:val="center"/>
              <w:spacing w:after="0"/>
              <w:rPr>
                <w:sz w:val="20"/>
                <w:szCs w:val="20"/>
                <w:color w:val="auto"/>
              </w:rPr>
            </w:pPr>
            <w:r>
              <w:rPr>
                <w:rFonts w:ascii="Times New Roman" w:cs="Times New Roman" w:eastAsia="Times New Roman" w:hAnsi="Times New Roman"/>
                <w:sz w:val="16"/>
                <w:szCs w:val="16"/>
                <w:color w:val="auto"/>
              </w:rPr>
              <w:t>As of December 31</w:t>
            </w:r>
          </w:p>
        </w:tc>
      </w:tr>
      <w:tr>
        <w:trPr>
          <w:trHeight w:val="32"/>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403C3C"/>
            </w:tcBorders>
          </w:tcPr>
          <w:p>
            <w:pPr>
              <w:spacing w:after="0"/>
              <w:rPr>
                <w:sz w:val="2"/>
                <w:szCs w:val="2"/>
                <w:color w:val="auto"/>
              </w:rPr>
            </w:pPr>
          </w:p>
        </w:tc>
        <w:tc>
          <w:tcPr>
            <w:tcW w:w="200" w:type="dxa"/>
            <w:vAlign w:val="bottom"/>
            <w:tcBorders>
              <w:bottom w:val="single" w:sz="8" w:color="403C3C"/>
            </w:tcBorders>
          </w:tcPr>
          <w:p>
            <w:pPr>
              <w:spacing w:after="0"/>
              <w:rPr>
                <w:sz w:val="2"/>
                <w:szCs w:val="2"/>
                <w:color w:val="auto"/>
              </w:rPr>
            </w:pPr>
          </w:p>
        </w:tc>
        <w:tc>
          <w:tcPr>
            <w:tcW w:w="114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403C3C"/>
            </w:tcBorders>
          </w:tcPr>
          <w:p>
            <w:pPr>
              <w:spacing w:after="0"/>
              <w:rPr>
                <w:sz w:val="2"/>
                <w:szCs w:val="2"/>
                <w:color w:val="auto"/>
              </w:rPr>
            </w:pPr>
          </w:p>
        </w:tc>
        <w:tc>
          <w:tcPr>
            <w:tcW w:w="140" w:type="dxa"/>
            <w:vAlign w:val="bottom"/>
            <w:tcBorders>
              <w:bottom w:val="single" w:sz="8" w:color="403C3C"/>
            </w:tcBorders>
          </w:tcPr>
          <w:p>
            <w:pPr>
              <w:spacing w:after="0"/>
              <w:rPr>
                <w:sz w:val="2"/>
                <w:szCs w:val="2"/>
                <w:color w:val="auto"/>
              </w:rPr>
            </w:pPr>
          </w:p>
        </w:tc>
        <w:tc>
          <w:tcPr>
            <w:tcW w:w="200" w:type="dxa"/>
            <w:vAlign w:val="bottom"/>
            <w:tcBorders>
              <w:bottom w:val="single" w:sz="8" w:color="403C3C"/>
            </w:tcBorders>
          </w:tcPr>
          <w:p>
            <w:pPr>
              <w:spacing w:after="0"/>
              <w:rPr>
                <w:sz w:val="2"/>
                <w:szCs w:val="2"/>
                <w:color w:val="auto"/>
              </w:rPr>
            </w:pPr>
          </w:p>
        </w:tc>
        <w:tc>
          <w:tcPr>
            <w:tcW w:w="1140" w:type="dxa"/>
            <w:vAlign w:val="bottom"/>
            <w:tcBorders>
              <w:bottom w:val="single" w:sz="8" w:color="403C3C"/>
            </w:tcBorders>
          </w:tcPr>
          <w:p>
            <w:pPr>
              <w:spacing w:after="0"/>
              <w:rPr>
                <w:sz w:val="2"/>
                <w:szCs w:val="2"/>
                <w:color w:val="auto"/>
              </w:rPr>
            </w:pPr>
          </w:p>
        </w:tc>
      </w:tr>
      <w:tr>
        <w:trPr>
          <w:trHeight w:val="187"/>
        </w:trPr>
        <w:tc>
          <w:tcPr>
            <w:tcW w:w="3140" w:type="dxa"/>
            <w:vAlign w:val="bottom"/>
          </w:tcPr>
          <w:p>
            <w:pPr>
              <w:spacing w:after="0"/>
              <w:rPr>
                <w:sz w:val="16"/>
                <w:szCs w:val="16"/>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340" w:type="dxa"/>
            <w:vAlign w:val="bottom"/>
            <w:gridSpan w:val="2"/>
          </w:tcPr>
          <w:p>
            <w:pPr>
              <w:jc w:val="center"/>
              <w:ind w:left="128"/>
              <w:spacing w:after="0"/>
              <w:rPr>
                <w:sz w:val="20"/>
                <w:szCs w:val="20"/>
                <w:color w:val="auto"/>
              </w:rPr>
            </w:pPr>
            <w:r>
              <w:rPr>
                <w:rFonts w:ascii="Times New Roman" w:cs="Times New Roman" w:eastAsia="Times New Roman" w:hAnsi="Times New Roman"/>
                <w:sz w:val="16"/>
                <w:szCs w:val="16"/>
                <w:color w:val="auto"/>
                <w:w w:val="99"/>
              </w:rPr>
              <w:t>2023</w:t>
            </w:r>
          </w:p>
        </w:tc>
        <w:tc>
          <w:tcPr>
            <w:tcW w:w="1160" w:type="dxa"/>
            <w:vAlign w:val="bottom"/>
            <w:gridSpan w:val="2"/>
          </w:tcPr>
          <w:p>
            <w:pPr>
              <w:jc w:val="right"/>
              <w:ind w:right="181"/>
              <w:spacing w:after="0"/>
              <w:rPr>
                <w:sz w:val="20"/>
                <w:szCs w:val="20"/>
                <w:color w:val="auto"/>
              </w:rPr>
            </w:pPr>
            <w:r>
              <w:rPr>
                <w:rFonts w:ascii="Times New Roman" w:cs="Times New Roman" w:eastAsia="Times New Roman" w:hAnsi="Times New Roman"/>
                <w:sz w:val="16"/>
                <w:szCs w:val="16"/>
                <w:color w:val="auto"/>
              </w:rPr>
              <w:t>2024</w:t>
            </w:r>
          </w:p>
        </w:tc>
        <w:tc>
          <w:tcPr>
            <w:tcW w:w="1480" w:type="dxa"/>
            <w:vAlign w:val="bottom"/>
            <w:gridSpan w:val="3"/>
          </w:tcPr>
          <w:p>
            <w:pPr>
              <w:jc w:val="right"/>
              <w:ind w:right="400"/>
              <w:spacing w:after="0"/>
              <w:rPr>
                <w:sz w:val="20"/>
                <w:szCs w:val="20"/>
                <w:color w:val="auto"/>
              </w:rPr>
            </w:pPr>
            <w:r>
              <w:rPr>
                <w:rFonts w:ascii="Times New Roman" w:cs="Times New Roman" w:eastAsia="Times New Roman" w:hAnsi="Times New Roman"/>
                <w:sz w:val="16"/>
                <w:szCs w:val="16"/>
                <w:color w:val="auto"/>
              </w:rPr>
              <w:t>2023</w:t>
            </w:r>
          </w:p>
        </w:tc>
      </w:tr>
      <w:tr>
        <w:trPr>
          <w:trHeight w:val="33"/>
        </w:trPr>
        <w:tc>
          <w:tcPr>
            <w:tcW w:w="3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bottom w:val="single" w:sz="8" w:color="181414"/>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181414"/>
            </w:tcBorders>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Borders>
              <w:bottom w:val="single" w:sz="8" w:color="181414"/>
            </w:tcBorders>
          </w:tcPr>
          <w:p>
            <w:pPr>
              <w:spacing w:after="0"/>
              <w:rPr>
                <w:sz w:val="2"/>
                <w:szCs w:val="2"/>
                <w:color w:val="auto"/>
              </w:rPr>
            </w:pPr>
          </w:p>
        </w:tc>
        <w:tc>
          <w:tcPr>
            <w:tcW w:w="140" w:type="dxa"/>
            <w:vAlign w:val="bottom"/>
            <w:tcBorders>
              <w:bottom w:val="single" w:sz="8" w:color="181414"/>
            </w:tcBorders>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Borders>
              <w:bottom w:val="single" w:sz="8" w:color="181414"/>
            </w:tcBorders>
          </w:tcPr>
          <w:p>
            <w:pPr>
              <w:spacing w:after="0"/>
              <w:rPr>
                <w:sz w:val="2"/>
                <w:szCs w:val="2"/>
                <w:color w:val="auto"/>
              </w:rPr>
            </w:pPr>
          </w:p>
        </w:tc>
      </w:tr>
      <w:tr>
        <w:trPr>
          <w:trHeight w:val="270"/>
        </w:trPr>
        <w:tc>
          <w:tcPr>
            <w:tcW w:w="3140" w:type="dxa"/>
            <w:vAlign w:val="bottom"/>
          </w:tcPr>
          <w:p>
            <w:pPr>
              <w:spacing w:after="0"/>
              <w:rPr>
                <w:sz w:val="20"/>
                <w:szCs w:val="20"/>
                <w:color w:val="auto"/>
              </w:rPr>
            </w:pPr>
            <w:r>
              <w:rPr>
                <w:rFonts w:ascii="Times New Roman" w:cs="Times New Roman" w:eastAsia="Times New Roman" w:hAnsi="Times New Roman"/>
                <w:sz w:val="19"/>
                <w:szCs w:val="19"/>
                <w:color w:val="auto"/>
              </w:rPr>
              <w:t>Discount rate  . . . . . . . . . . . . . . . . . . .</w:t>
            </w:r>
          </w:p>
        </w:tc>
        <w:tc>
          <w:tcPr>
            <w:tcW w:w="1200" w:type="dxa"/>
            <w:vAlign w:val="bottom"/>
            <w:gridSpan w:val="2"/>
          </w:tcPr>
          <w:p>
            <w:pPr>
              <w:jc w:val="right"/>
              <w:ind w:right="129"/>
              <w:spacing w:after="0"/>
              <w:rPr>
                <w:sz w:val="20"/>
                <w:szCs w:val="20"/>
                <w:color w:val="auto"/>
              </w:rPr>
            </w:pPr>
            <w:r>
              <w:rPr>
                <w:rFonts w:ascii="Times New Roman" w:cs="Times New Roman" w:eastAsia="Times New Roman" w:hAnsi="Times New Roman"/>
                <w:sz w:val="20"/>
                <w:szCs w:val="20"/>
                <w:color w:val="auto"/>
              </w:rPr>
              <w:t>5.8%</w:t>
            </w:r>
          </w:p>
        </w:tc>
        <w:tc>
          <w:tcPr>
            <w:tcW w:w="1340" w:type="dxa"/>
            <w:vAlign w:val="bottom"/>
            <w:gridSpan w:val="2"/>
          </w:tcPr>
          <w:p>
            <w:pPr>
              <w:jc w:val="right"/>
              <w:ind w:right="143"/>
              <w:spacing w:after="0"/>
              <w:rPr>
                <w:sz w:val="20"/>
                <w:szCs w:val="20"/>
                <w:color w:val="auto"/>
              </w:rPr>
            </w:pPr>
            <w:r>
              <w:rPr>
                <w:rFonts w:ascii="Times New Roman" w:cs="Times New Roman" w:eastAsia="Times New Roman" w:hAnsi="Times New Roman"/>
                <w:sz w:val="20"/>
                <w:szCs w:val="20"/>
                <w:color w:val="auto"/>
              </w:rPr>
              <w:t>5.2%</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5.6%</w:t>
            </w:r>
          </w:p>
        </w:tc>
        <w:tc>
          <w:tcPr>
            <w:tcW w:w="148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5.1%</w:t>
            </w:r>
          </w:p>
        </w:tc>
      </w:tr>
      <w:tr>
        <w:trPr>
          <w:trHeight w:val="246"/>
        </w:trPr>
        <w:tc>
          <w:tcPr>
            <w:tcW w:w="3140" w:type="dxa"/>
            <w:vAlign w:val="bottom"/>
          </w:tcPr>
          <w:p>
            <w:pPr>
              <w:spacing w:after="0"/>
              <w:rPr>
                <w:sz w:val="20"/>
                <w:szCs w:val="20"/>
                <w:color w:val="auto"/>
              </w:rPr>
            </w:pPr>
            <w:r>
              <w:rPr>
                <w:rFonts w:ascii="Times New Roman" w:cs="Times New Roman" w:eastAsia="Times New Roman" w:hAnsi="Times New Roman"/>
                <w:sz w:val="19"/>
                <w:szCs w:val="19"/>
                <w:color w:val="auto"/>
              </w:rPr>
              <w:t>Rate of compensation increase -  age</w:t>
            </w: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0"/>
        </w:trPr>
        <w:tc>
          <w:tcPr>
            <w:tcW w:w="31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graded  . . . . . . . . . . . . . . . . . . . . . .</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5.0 %- 1.0%</w:t>
            </w:r>
          </w:p>
        </w:tc>
        <w:tc>
          <w:tcPr>
            <w:tcW w:w="200" w:type="dxa"/>
            <w:vAlign w:val="bottom"/>
          </w:tcPr>
          <w:p>
            <w:pPr>
              <w:spacing w:after="0"/>
              <w:rPr>
                <w:sz w:val="20"/>
                <w:szCs w:val="20"/>
                <w:color w:val="auto"/>
              </w:rPr>
            </w:pPr>
          </w:p>
        </w:tc>
        <w:tc>
          <w:tcPr>
            <w:tcW w:w="3780" w:type="dxa"/>
            <w:vAlign w:val="bottom"/>
            <w:gridSpan w:val="6"/>
          </w:tcPr>
          <w:p>
            <w:pPr>
              <w:jc w:val="center"/>
              <w:spacing w:after="0"/>
              <w:rPr>
                <w:sz w:val="20"/>
                <w:szCs w:val="20"/>
                <w:color w:val="auto"/>
              </w:rPr>
            </w:pPr>
            <w:r>
              <w:rPr>
                <w:rFonts w:ascii="Times New Roman" w:cs="Times New Roman" w:eastAsia="Times New Roman" w:hAnsi="Times New Roman"/>
                <w:sz w:val="20"/>
                <w:szCs w:val="20"/>
                <w:color w:val="auto"/>
              </w:rPr>
              <w:t>5.0%- l.O%    5.0% -1.0%    5.0%- l.O%</w:t>
            </w:r>
          </w:p>
        </w:tc>
      </w:tr>
      <w:tr>
        <w:trPr>
          <w:trHeight w:val="238"/>
        </w:trPr>
        <w:tc>
          <w:tcPr>
            <w:tcW w:w="3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6.37% with</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xml:space="preserve">4.28% </w:t>
            </w:r>
            <w:r>
              <w:rPr>
                <w:rFonts w:ascii="Times New Roman" w:cs="Times New Roman" w:eastAsia="Times New Roman" w:hAnsi="Times New Roman"/>
                <w:sz w:val="18"/>
                <w:szCs w:val="18"/>
                <w:color w:val="auto"/>
              </w:rPr>
              <w:t>with</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46"/>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phase in to</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phase in to</w:t>
            </w:r>
          </w:p>
        </w:tc>
        <w:tc>
          <w:tcPr>
            <w:tcW w:w="2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41"/>
        </w:trPr>
        <w:tc>
          <w:tcPr>
            <w:tcW w:w="3140" w:type="dxa"/>
            <w:vAlign w:val="bottom"/>
          </w:tcPr>
          <w:p>
            <w:pPr>
              <w:spacing w:after="0"/>
              <w:rPr>
                <w:sz w:val="20"/>
                <w:szCs w:val="20"/>
                <w:color w:val="auto"/>
              </w:rPr>
            </w:pPr>
            <w:r>
              <w:rPr>
                <w:rFonts w:ascii="Times New Roman" w:cs="Times New Roman" w:eastAsia="Times New Roman" w:hAnsi="Times New Roman"/>
                <w:sz w:val="19"/>
                <w:szCs w:val="19"/>
                <w:color w:val="auto"/>
              </w:rPr>
              <w:t>Cash balance interest crediting</w:t>
            </w:r>
          </w:p>
        </w:tc>
        <w:tc>
          <w:tcPr>
            <w:tcW w:w="10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6.00% in</w:t>
            </w:r>
          </w:p>
        </w:tc>
        <w:tc>
          <w:tcPr>
            <w:tcW w:w="20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xml:space="preserve">5.20% </w:t>
            </w:r>
            <w:r>
              <w:rPr>
                <w:rFonts w:ascii="Times New Roman" w:cs="Times New Roman" w:eastAsia="Times New Roman" w:hAnsi="Times New Roman"/>
                <w:sz w:val="18"/>
                <w:szCs w:val="18"/>
                <w:color w:val="auto"/>
              </w:rPr>
              <w:t>in</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38"/>
        </w:trPr>
        <w:tc>
          <w:tcPr>
            <w:tcW w:w="314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rate ................. .. ..... .</w:t>
            </w: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w w:val="99"/>
              </w:rPr>
              <w:t>2026</w:t>
            </w:r>
          </w:p>
        </w:tc>
        <w:tc>
          <w:tcPr>
            <w:tcW w:w="1340" w:type="dxa"/>
            <w:vAlign w:val="bottom"/>
            <w:gridSpan w:val="2"/>
          </w:tcPr>
          <w:p>
            <w:pPr>
              <w:jc w:val="center"/>
              <w:ind w:left="108"/>
              <w:spacing w:after="0"/>
              <w:rPr>
                <w:sz w:val="20"/>
                <w:szCs w:val="20"/>
                <w:color w:val="auto"/>
              </w:rPr>
            </w:pPr>
            <w:r>
              <w:rPr>
                <w:rFonts w:ascii="Times New Roman" w:cs="Times New Roman" w:eastAsia="Times New Roman" w:hAnsi="Times New Roman"/>
                <w:sz w:val="20"/>
                <w:szCs w:val="20"/>
                <w:color w:val="auto"/>
                <w:w w:val="94"/>
              </w:rPr>
              <w:t>2025</w:t>
            </w: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r>
    </w:tbl>
    <w:p>
      <w:pPr>
        <w:spacing w:after="0" w:line="258"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 xml:space="preserve">The Company made no contributions to its pension plans in 2024 and 2023, and the Company does not expect to make any contributions in 2025. The SERP is unfunded, therefore, the Company made actual benefit payments of $6.1 </w:t>
      </w:r>
      <w:r>
        <w:rPr>
          <w:rFonts w:ascii="Times New Roman" w:cs="Times New Roman" w:eastAsia="Times New Roman" w:hAnsi="Times New Roman"/>
          <w:sz w:val="18"/>
          <w:szCs w:val="18"/>
          <w:color w:val="auto"/>
        </w:rPr>
        <w:t>million and</w:t>
      </w:r>
      <w:r>
        <w:rPr>
          <w:rFonts w:ascii="Times New Roman" w:cs="Times New Roman" w:eastAsia="Times New Roman" w:hAnsi="Times New Roman"/>
          <w:sz w:val="19"/>
          <w:szCs w:val="19"/>
          <w:color w:val="auto"/>
        </w:rPr>
        <w:t xml:space="preserve"> $6.3 </w:t>
      </w:r>
      <w:r>
        <w:rPr>
          <w:rFonts w:ascii="Times New Roman" w:cs="Times New Roman" w:eastAsia="Times New Roman" w:hAnsi="Times New Roman"/>
          <w:sz w:val="18"/>
          <w:szCs w:val="18"/>
          <w:color w:val="auto"/>
        </w:rPr>
        <w:t>million to beneficiaries for the years ended December</w:t>
      </w:r>
      <w:r>
        <w:rPr>
          <w:rFonts w:ascii="Times New Roman" w:cs="Times New Roman" w:eastAsia="Times New Roman" w:hAnsi="Times New Roman"/>
          <w:sz w:val="19"/>
          <w:szCs w:val="19"/>
          <w:color w:val="auto"/>
        </w:rPr>
        <w:t xml:space="preserve"> 31 , 2024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9"/>
          <w:szCs w:val="19"/>
          <w:color w:val="auto"/>
        </w:rPr>
        <w:t xml:space="preserve"> 2023, </w:t>
      </w:r>
      <w:r>
        <w:rPr>
          <w:rFonts w:ascii="Times New Roman" w:cs="Times New Roman" w:eastAsia="Times New Roman" w:hAnsi="Times New Roman"/>
          <w:sz w:val="18"/>
          <w:szCs w:val="18"/>
          <w:color w:val="auto"/>
        </w:rPr>
        <w:t>respective ly.</w:t>
      </w:r>
    </w:p>
    <w:p>
      <w:pPr>
        <w:spacing w:after="0" w:line="248" w:lineRule="exact"/>
        <w:rPr>
          <w:sz w:val="20"/>
          <w:szCs w:val="20"/>
          <w:color w:val="auto"/>
        </w:rPr>
      </w:pPr>
    </w:p>
    <w:p>
      <w:pPr>
        <w:jc w:val="both"/>
        <w:ind w:left="120" w:right="125" w:firstLine="2"/>
        <w:spacing w:after="0" w:line="271" w:lineRule="auto"/>
        <w:rPr>
          <w:sz w:val="20"/>
          <w:szCs w:val="20"/>
          <w:color w:val="auto"/>
        </w:rPr>
      </w:pPr>
      <w:r>
        <w:rPr>
          <w:rFonts w:ascii="Times New Roman" w:cs="Times New Roman" w:eastAsia="Times New Roman" w:hAnsi="Times New Roman"/>
          <w:sz w:val="19"/>
          <w:szCs w:val="19"/>
          <w:color w:val="auto"/>
        </w:rPr>
        <w:t>At December 31 , 2024, future estimated benefit payments, excluding charges for early retirement programs, are as follows:</w:t>
      </w:r>
    </w:p>
    <w:p>
      <w:pPr>
        <w:spacing w:after="0" w:line="152"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488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Pens ion</w:t>
            </w:r>
          </w:p>
        </w:tc>
        <w:tc>
          <w:tcPr>
            <w:tcW w:w="800" w:type="dxa"/>
            <w:vAlign w:val="bottom"/>
            <w:vMerge w:val="restart"/>
          </w:tcPr>
          <w:p>
            <w:pPr>
              <w:jc w:val="right"/>
              <w:ind w:right="23"/>
              <w:spacing w:after="0"/>
              <w:rPr>
                <w:sz w:val="20"/>
                <w:szCs w:val="20"/>
                <w:color w:val="auto"/>
              </w:rPr>
            </w:pPr>
            <w:r>
              <w:rPr>
                <w:rFonts w:ascii="Times New Roman" w:cs="Times New Roman" w:eastAsia="Times New Roman" w:hAnsi="Times New Roman"/>
                <w:sz w:val="17"/>
                <w:szCs w:val="17"/>
                <w:color w:val="auto"/>
              </w:rPr>
              <w:t>SERP</w:t>
            </w:r>
          </w:p>
        </w:tc>
        <w:tc>
          <w:tcPr>
            <w:tcW w:w="0" w:type="dxa"/>
            <w:vAlign w:val="bottom"/>
          </w:tcPr>
          <w:p>
            <w:pPr>
              <w:spacing w:after="0"/>
              <w:rPr>
                <w:sz w:val="1"/>
                <w:szCs w:val="1"/>
                <w:color w:val="auto"/>
              </w:rPr>
            </w:pPr>
          </w:p>
        </w:tc>
      </w:tr>
      <w:tr>
        <w:trPr>
          <w:trHeight w:val="176"/>
        </w:trPr>
        <w:tc>
          <w:tcPr>
            <w:tcW w:w="4880" w:type="dxa"/>
            <w:vAlign w:val="bottom"/>
            <w:vMerge w:val="continue"/>
          </w:tcPr>
          <w:p>
            <w:pPr>
              <w:spacing w:after="0"/>
              <w:rPr>
                <w:sz w:val="15"/>
                <w:szCs w:val="15"/>
                <w:color w:val="auto"/>
              </w:rPr>
            </w:pPr>
          </w:p>
        </w:tc>
        <w:tc>
          <w:tcPr>
            <w:tcW w:w="1040" w:type="dxa"/>
            <w:vAlign w:val="bottom"/>
          </w:tcPr>
          <w:p>
            <w:pPr>
              <w:jc w:val="right"/>
              <w:ind w:right="246"/>
              <w:spacing w:after="0" w:line="174" w:lineRule="exact"/>
              <w:rPr>
                <w:sz w:val="20"/>
                <w:szCs w:val="20"/>
                <w:color w:val="auto"/>
              </w:rPr>
            </w:pPr>
            <w:r>
              <w:rPr>
                <w:rFonts w:ascii="Times New Roman" w:cs="Times New Roman" w:eastAsia="Times New Roman" w:hAnsi="Times New Roman"/>
                <w:sz w:val="16"/>
                <w:szCs w:val="16"/>
                <w:color w:val="auto"/>
              </w:rPr>
              <w:t>Plans</w:t>
            </w: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30"/>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2025 ..... . ......... . .. . .......... . ............ .</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$ 26,334</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6,973</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2026 .. . .. . .... . . . .. . .......................... .</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28,890</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7,352</w:t>
            </w:r>
          </w:p>
        </w:tc>
        <w:tc>
          <w:tcPr>
            <w:tcW w:w="0" w:type="dxa"/>
            <w:vAlign w:val="bottom"/>
          </w:tcPr>
          <w:p>
            <w:pPr>
              <w:spacing w:after="0"/>
              <w:rPr>
                <w:sz w:val="1"/>
                <w:szCs w:val="1"/>
                <w:color w:val="auto"/>
              </w:rPr>
            </w:pPr>
          </w:p>
        </w:tc>
      </w:tr>
      <w:tr>
        <w:trPr>
          <w:trHeight w:val="24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2027 . . ............................ . ........... .</w:t>
            </w:r>
          </w:p>
        </w:tc>
        <w:tc>
          <w:tcPr>
            <w:tcW w:w="1040" w:type="dxa"/>
            <w:vAlign w:val="bottom"/>
          </w:tcPr>
          <w:p>
            <w:pPr>
              <w:jc w:val="right"/>
              <w:ind w:right="66"/>
              <w:spacing w:after="0"/>
              <w:rPr>
                <w:sz w:val="20"/>
                <w:szCs w:val="20"/>
                <w:color w:val="auto"/>
              </w:rPr>
            </w:pPr>
            <w:r>
              <w:rPr>
                <w:rFonts w:ascii="Times New Roman" w:cs="Times New Roman" w:eastAsia="Times New Roman" w:hAnsi="Times New Roman"/>
                <w:sz w:val="20"/>
                <w:szCs w:val="20"/>
                <w:color w:val="auto"/>
              </w:rPr>
              <w:t>3 1,859</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7,495</w:t>
            </w:r>
          </w:p>
        </w:tc>
        <w:tc>
          <w:tcPr>
            <w:tcW w:w="0" w:type="dxa"/>
            <w:vAlign w:val="bottom"/>
          </w:tcPr>
          <w:p>
            <w:pPr>
              <w:spacing w:after="0"/>
              <w:rPr>
                <w:sz w:val="1"/>
                <w:szCs w:val="1"/>
                <w:color w:val="auto"/>
              </w:rPr>
            </w:pPr>
          </w:p>
        </w:tc>
      </w:tr>
      <w:tr>
        <w:trPr>
          <w:trHeight w:val="229"/>
        </w:trPr>
        <w:tc>
          <w:tcPr>
            <w:tcW w:w="488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2028 ................................ ......... . .</w:t>
            </w:r>
          </w:p>
        </w:tc>
        <w:tc>
          <w:tcPr>
            <w:tcW w:w="1040" w:type="dxa"/>
            <w:vAlign w:val="bottom"/>
          </w:tcPr>
          <w:p>
            <w:pPr>
              <w:jc w:val="right"/>
              <w:ind w:right="86"/>
              <w:spacing w:after="0" w:line="229" w:lineRule="exact"/>
              <w:rPr>
                <w:sz w:val="20"/>
                <w:szCs w:val="20"/>
                <w:color w:val="auto"/>
              </w:rPr>
            </w:pPr>
            <w:r>
              <w:rPr>
                <w:rFonts w:ascii="Times New Roman" w:cs="Times New Roman" w:eastAsia="Times New Roman" w:hAnsi="Times New Roman"/>
                <w:sz w:val="20"/>
                <w:szCs w:val="20"/>
                <w:color w:val="auto"/>
              </w:rPr>
              <w:t>32,601</w:t>
            </w:r>
          </w:p>
        </w:tc>
        <w:tc>
          <w:tcPr>
            <w:tcW w:w="80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7,576</w:t>
            </w:r>
          </w:p>
        </w:tc>
        <w:tc>
          <w:tcPr>
            <w:tcW w:w="0" w:type="dxa"/>
            <w:vAlign w:val="bottom"/>
          </w:tcPr>
          <w:p>
            <w:pPr>
              <w:spacing w:after="0"/>
              <w:rPr>
                <w:sz w:val="1"/>
                <w:szCs w:val="1"/>
                <w:color w:val="auto"/>
              </w:rPr>
            </w:pPr>
          </w:p>
        </w:tc>
      </w:tr>
      <w:tr>
        <w:trPr>
          <w:trHeight w:val="24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2029 ... . ... . .... . ...... . .. . ................... .</w:t>
            </w:r>
          </w:p>
        </w:tc>
        <w:tc>
          <w:tcPr>
            <w:tcW w:w="1040" w:type="dxa"/>
            <w:vAlign w:val="bottom"/>
          </w:tcPr>
          <w:p>
            <w:pPr>
              <w:jc w:val="right"/>
              <w:ind w:right="46"/>
              <w:spacing w:after="0"/>
              <w:rPr>
                <w:sz w:val="20"/>
                <w:szCs w:val="20"/>
                <w:color w:val="auto"/>
              </w:rPr>
            </w:pPr>
            <w:r>
              <w:rPr>
                <w:rFonts w:ascii="Times New Roman" w:cs="Times New Roman" w:eastAsia="Times New Roman" w:hAnsi="Times New Roman"/>
                <w:sz w:val="20"/>
                <w:szCs w:val="20"/>
                <w:color w:val="auto"/>
              </w:rPr>
              <w:t>36,138</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7,598</w:t>
            </w:r>
          </w:p>
        </w:tc>
        <w:tc>
          <w:tcPr>
            <w:tcW w:w="0" w:type="dxa"/>
            <w:vAlign w:val="bottom"/>
          </w:tcPr>
          <w:p>
            <w:pPr>
              <w:spacing w:after="0"/>
              <w:rPr>
                <w:sz w:val="1"/>
                <w:szCs w:val="1"/>
                <w:color w:val="auto"/>
              </w:rPr>
            </w:pPr>
          </w:p>
        </w:tc>
      </w:tr>
      <w:tr>
        <w:trPr>
          <w:trHeight w:val="238"/>
        </w:trPr>
        <w:tc>
          <w:tcPr>
            <w:tcW w:w="4880" w:type="dxa"/>
            <w:vAlign w:val="bottom"/>
          </w:tcPr>
          <w:p>
            <w:pPr>
              <w:spacing w:after="0"/>
              <w:rPr>
                <w:sz w:val="20"/>
                <w:szCs w:val="20"/>
                <w:color w:val="auto"/>
              </w:rPr>
            </w:pPr>
            <w:r>
              <w:rPr>
                <w:rFonts w:ascii="Times New Roman" w:cs="Times New Roman" w:eastAsia="Times New Roman" w:hAnsi="Times New Roman"/>
                <w:sz w:val="20"/>
                <w:szCs w:val="20"/>
                <w:color w:val="auto"/>
              </w:rPr>
              <w:t>2030-2034 ..... . ............................... .</w:t>
            </w:r>
          </w:p>
        </w:tc>
        <w:tc>
          <w:tcPr>
            <w:tcW w:w="1040" w:type="dxa"/>
            <w:vAlign w:val="bottom"/>
          </w:tcPr>
          <w:p>
            <w:pPr>
              <w:ind w:left="240"/>
              <w:spacing w:after="0"/>
              <w:rPr>
                <w:sz w:val="20"/>
                <w:szCs w:val="20"/>
                <w:color w:val="auto"/>
              </w:rPr>
            </w:pPr>
            <w:r>
              <w:rPr>
                <w:rFonts w:ascii="Times New Roman" w:cs="Times New Roman" w:eastAsia="Times New Roman" w:hAnsi="Times New Roman"/>
                <w:sz w:val="20"/>
                <w:szCs w:val="20"/>
                <w:color w:val="auto"/>
              </w:rPr>
              <w:t>180,761</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37,179</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28"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132</w:t>
        <w:tab/>
        <w:t>2024 FORM 10-K</w:t>
      </w:r>
    </w:p>
    <w:p>
      <w:pPr>
        <w:sectPr>
          <w:pgSz w:w="12240" w:h="15850" w:orient="portrait"/>
          <w:cols w:equalWidth="0" w:num="1">
            <w:col w:w="9365"/>
          </w:cols>
          <w:pgMar w:left="1440" w:top="1328" w:right="1440" w:bottom="717" w:gutter="0" w:footer="0" w:header="0"/>
          <w:type w:val="continuous"/>
        </w:sectPr>
      </w:pPr>
    </w:p>
    <w:bookmarkStart w:id="148" w:name="page149"/>
    <w:bookmarkEnd w:id="148"/>
    <w:p>
      <w:pPr>
        <w:ind w:left="120" w:right="145"/>
        <w:spacing w:after="0" w:line="254"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5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The total (benefit) cost arising from the Company's defined benefit pension plans consists of </w:t>
      </w:r>
      <w:r>
        <w:rPr>
          <w:rFonts w:ascii="Arial" w:cs="Arial" w:eastAsia="Arial" w:hAnsi="Arial"/>
          <w:sz w:val="18"/>
          <w:szCs w:val="18"/>
          <w:color w:val="auto"/>
        </w:rPr>
        <w:t>the</w:t>
      </w:r>
      <w:r>
        <w:rPr>
          <w:rFonts w:ascii="Times New Roman" w:cs="Times New Roman" w:eastAsia="Times New Roman" w:hAnsi="Times New Roman"/>
          <w:sz w:val="19"/>
          <w:szCs w:val="19"/>
          <w:color w:val="auto"/>
        </w:rPr>
        <w:t xml:space="preserve"> following compone nts:</w:t>
      </w:r>
    </w:p>
    <w:p>
      <w:pPr>
        <w:spacing w:after="0" w:line="198"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color w:val="auto"/>
                <w:w w:val="98"/>
              </w:rPr>
              <w:t>Pension Pla ns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440" w:type="dxa"/>
            <w:vAlign w:val="bottom"/>
            <w:tcBorders>
              <w:bottom w:val="single" w:sz="8" w:color="3C3C3C"/>
            </w:tcBorders>
          </w:tcPr>
          <w:p>
            <w:pPr>
              <w:spacing w:after="0"/>
              <w:rPr>
                <w:sz w:val="2"/>
                <w:szCs w:val="2"/>
                <w:color w:val="auto"/>
              </w:rPr>
            </w:pPr>
          </w:p>
        </w:tc>
        <w:tc>
          <w:tcPr>
            <w:tcW w:w="2420" w:type="dxa"/>
            <w:vAlign w:val="bottom"/>
            <w:tcBorders>
              <w:bottom w:val="single" w:sz="8" w:color="3C3C3C"/>
            </w:tcBorders>
            <w:gridSpan w:val="11"/>
          </w:tcPr>
          <w:p>
            <w:pPr>
              <w:spacing w:after="0"/>
              <w:rPr>
                <w:sz w:val="2"/>
                <w:szCs w:val="2"/>
                <w:color w:val="auto"/>
              </w:rPr>
            </w:pPr>
          </w:p>
        </w:tc>
        <w:tc>
          <w:tcPr>
            <w:tcW w:w="60" w:type="dxa"/>
            <w:vAlign w:val="bottom"/>
            <w:gridSpan w:val="3"/>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14"/>
          </w:tcPr>
          <w:p>
            <w:pPr>
              <w:jc w:val="right"/>
              <w:ind w:right="60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33"/>
        </w:trPr>
        <w:tc>
          <w:tcPr>
            <w:tcW w:w="6260" w:type="dxa"/>
            <w:vAlign w:val="bottom"/>
            <w:vMerge w:val="restart"/>
          </w:tcPr>
          <w:p>
            <w:pPr>
              <w:spacing w:after="0"/>
              <w:rPr>
                <w:sz w:val="20"/>
                <w:szCs w:val="20"/>
                <w:color w:val="auto"/>
              </w:rPr>
            </w:pPr>
            <w:r>
              <w:rPr>
                <w:rFonts w:ascii="Arial" w:cs="Arial" w:eastAsia="Arial" w:hAnsi="Arial"/>
                <w:sz w:val="14"/>
                <w:szCs w:val="14"/>
                <w:color w:val="auto"/>
              </w:rPr>
              <w:t xml:space="preserve">(in </w:t>
            </w:r>
            <w:r>
              <w:rPr>
                <w:rFonts w:ascii="Times New Roman" w:cs="Times New Roman" w:eastAsia="Times New Roman" w:hAnsi="Times New Roman"/>
                <w:sz w:val="16"/>
                <w:szCs w:val="16"/>
                <w:color w:val="auto"/>
              </w:rPr>
              <w:t>thousands)</w:t>
            </w:r>
          </w:p>
        </w:tc>
        <w:tc>
          <w:tcPr>
            <w:tcW w:w="840" w:type="dxa"/>
            <w:vAlign w:val="bottom"/>
            <w:tcBorders>
              <w:bottom w:val="single" w:sz="8" w:color="141414"/>
            </w:tcBorders>
            <w:gridSpan w:val="2"/>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60" w:type="dxa"/>
            <w:vAlign w:val="bottom"/>
            <w:tcBorders>
              <w:bottom w:val="single" w:sz="8" w:color="141414"/>
            </w:tcBorders>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720" w:type="dxa"/>
            <w:vAlign w:val="bottom"/>
            <w:tcBorders>
              <w:bottom w:val="single" w:sz="8" w:color="141414"/>
            </w:tcBorders>
            <w:gridSpan w:val="2"/>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8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160" w:type="dxa"/>
            <w:vAlign w:val="bottom"/>
            <w:tcBorders>
              <w:bottom w:val="single" w:sz="8" w:color="141414"/>
            </w:tcBorders>
          </w:tcPr>
          <w:p>
            <w:pPr>
              <w:spacing w:after="0"/>
              <w:rPr>
                <w:sz w:val="2"/>
                <w:szCs w:val="2"/>
                <w:color w:val="auto"/>
              </w:rPr>
            </w:pPr>
          </w:p>
        </w:tc>
        <w:tc>
          <w:tcPr>
            <w:tcW w:w="62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5"/>
        </w:trPr>
        <w:tc>
          <w:tcPr>
            <w:tcW w:w="6260" w:type="dxa"/>
            <w:vAlign w:val="bottom"/>
            <w:vMerge w:val="continue"/>
          </w:tcPr>
          <w:p>
            <w:pPr>
              <w:spacing w:after="0"/>
              <w:rPr>
                <w:sz w:val="16"/>
                <w:szCs w:val="16"/>
                <w:color w:val="auto"/>
              </w:rPr>
            </w:pPr>
          </w:p>
        </w:tc>
        <w:tc>
          <w:tcPr>
            <w:tcW w:w="84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2024</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2"/>
          </w:tcPr>
          <w:p>
            <w:pPr>
              <w:jc w:val="right"/>
              <w:ind w:right="169"/>
              <w:spacing w:after="0"/>
              <w:rPr>
                <w:sz w:val="20"/>
                <w:szCs w:val="20"/>
                <w:color w:val="auto"/>
              </w:rPr>
            </w:pPr>
            <w:r>
              <w:rPr>
                <w:rFonts w:ascii="Times New Roman" w:cs="Times New Roman" w:eastAsia="Times New Roman" w:hAnsi="Times New Roman"/>
                <w:sz w:val="16"/>
                <w:szCs w:val="16"/>
                <w:color w:val="auto"/>
              </w:rPr>
              <w:t>2023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6"/>
                <w:szCs w:val="16"/>
                <w:color w:val="auto"/>
              </w:rPr>
              <w:t>2022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6260" w:type="dxa"/>
            <w:vAlign w:val="bottom"/>
          </w:tcPr>
          <w:p>
            <w:pPr>
              <w:spacing w:after="0"/>
              <w:rPr>
                <w:sz w:val="2"/>
                <w:szCs w:val="2"/>
                <w:color w:val="auto"/>
              </w:rPr>
            </w:pPr>
          </w:p>
        </w:tc>
        <w:tc>
          <w:tcPr>
            <w:tcW w:w="840" w:type="dxa"/>
            <w:vAlign w:val="bottom"/>
            <w:tcBorders>
              <w:bottom w:val="single" w:sz="8" w:color="181818"/>
            </w:tcBorders>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720" w:type="dxa"/>
            <w:vAlign w:val="bottom"/>
            <w:tcBorders>
              <w:bottom w:val="single" w:sz="8" w:color="141414"/>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141414"/>
            </w:tcBorders>
            <w:gridSpan w:val="2"/>
          </w:tcPr>
          <w:p>
            <w:pPr>
              <w:spacing w:after="0"/>
              <w:rPr>
                <w:sz w:val="2"/>
                <w:szCs w:val="2"/>
                <w:color w:val="auto"/>
              </w:rPr>
            </w:pPr>
          </w:p>
        </w:tc>
        <w:tc>
          <w:tcPr>
            <w:tcW w:w="62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9"/>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Service cost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57,538</w:t>
            </w:r>
          </w:p>
        </w:tc>
        <w:tc>
          <w:tcPr>
            <w:tcW w:w="120" w:type="dxa"/>
            <w:vAlign w:val="bottom"/>
          </w:tcPr>
          <w:p>
            <w:pPr>
              <w:spacing w:after="0"/>
              <w:rPr>
                <w:sz w:val="24"/>
                <w:szCs w:val="24"/>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33,787</w:t>
            </w:r>
          </w:p>
        </w:tc>
        <w:tc>
          <w:tcPr>
            <w:tcW w:w="120" w:type="dxa"/>
            <w:vAlign w:val="bottom"/>
          </w:tcPr>
          <w:p>
            <w:pPr>
              <w:spacing w:after="0"/>
              <w:rPr>
                <w:sz w:val="24"/>
                <w:szCs w:val="24"/>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32,567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40,095</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46,21 1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30,504</w:t>
            </w: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Expected return on assets . ...... . ...... ... .... .......... .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(165,487)</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w w:val="95"/>
              </w:rPr>
              <w:t>(153, 125)</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(167,485)</w:t>
            </w:r>
          </w:p>
        </w:tc>
        <w:tc>
          <w:tcPr>
            <w:tcW w:w="0" w:type="dxa"/>
            <w:vAlign w:val="bottom"/>
          </w:tcPr>
          <w:p>
            <w:pPr>
              <w:spacing w:after="0"/>
              <w:rPr>
                <w:sz w:val="1"/>
                <w:szCs w:val="1"/>
                <w:color w:val="auto"/>
              </w:rPr>
            </w:pPr>
          </w:p>
        </w:tc>
      </w:tr>
      <w:tr>
        <w:trPr>
          <w:trHeight w:val="24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prior service (credit) cost . .. ..... ...... . ... . . .. .. ..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(1,951)</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1,646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2,835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Recognized actuarial gain  ........................ .... ... ....... .</w:t>
            </w:r>
          </w:p>
        </w:tc>
        <w:tc>
          <w:tcPr>
            <w:tcW w:w="96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(37,918)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(39,803)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(68,656)</w:t>
            </w: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840" w:type="dxa"/>
            <w:vAlign w:val="bottom"/>
            <w:tcBorders>
              <w:bottom w:val="single" w:sz="8" w:color="0C080C"/>
            </w:tcBorders>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0C0808"/>
            </w:tcBorders>
          </w:tcPr>
          <w:p>
            <w:pPr>
              <w:spacing w:after="0"/>
              <w:rPr>
                <w:sz w:val="2"/>
                <w:szCs w:val="2"/>
                <w:color w:val="auto"/>
              </w:rPr>
            </w:pPr>
          </w:p>
        </w:tc>
        <w:tc>
          <w:tcPr>
            <w:tcW w:w="720" w:type="dxa"/>
            <w:vAlign w:val="bottom"/>
            <w:tcBorders>
              <w:bottom w:val="single" w:sz="8" w:color="0C0808"/>
            </w:tcBorders>
            <w:gridSpan w:val="2"/>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0C0808"/>
            </w:tcBorders>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Net Periodic Benefit for the Year  .... . ...... . ...... . . .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(107,723)</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 Ill ,284)</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( 170,235)</w:t>
            </w:r>
          </w:p>
        </w:tc>
        <w:tc>
          <w:tcPr>
            <w:tcW w:w="0" w:type="dxa"/>
            <w:vAlign w:val="bottom"/>
          </w:tcPr>
          <w:p>
            <w:pPr>
              <w:spacing w:after="0"/>
              <w:rPr>
                <w:sz w:val="1"/>
                <w:szCs w:val="1"/>
                <w:color w:val="auto"/>
              </w:rPr>
            </w:pPr>
          </w:p>
        </w:tc>
      </w:tr>
      <w:tr>
        <w:trPr>
          <w:trHeight w:val="24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Settlement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(653,427)</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Early retirement and separation program costs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20,998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9,886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3,624</w:t>
            </w: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840" w:type="dxa"/>
            <w:vAlign w:val="bottom"/>
            <w:tcBorders>
              <w:bottom w:val="single" w:sz="8" w:color="0C080C"/>
            </w:tcBorders>
            <w:gridSpan w:val="2"/>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Borders>
              <w:bottom w:val="single" w:sz="8" w:color="0C0808"/>
            </w:tcBorders>
            <w:gridSpan w:val="3"/>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0C0808"/>
            </w:tcBorders>
            <w:gridSpan w:val="4"/>
          </w:tcPr>
          <w:p>
            <w:pPr>
              <w:spacing w:after="0"/>
              <w:rPr>
                <w:sz w:val="2"/>
                <w:szCs w:val="2"/>
                <w:color w:val="auto"/>
              </w:rPr>
            </w:pPr>
          </w:p>
        </w:tc>
        <w:tc>
          <w:tcPr>
            <w:tcW w:w="4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Total Benefit for the Year  .. .. .......................... .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$(740,152)</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color w:val="auto"/>
                <w:w w:val="98"/>
              </w:rPr>
              <w:t xml:space="preserve">$( 10 </w:t>
            </w:r>
            <w:r>
              <w:rPr>
                <w:rFonts w:ascii="Arial" w:cs="Arial" w:eastAsia="Arial" w:hAnsi="Arial"/>
                <w:sz w:val="17"/>
                <w:szCs w:val="17"/>
                <w:color w:val="auto"/>
                <w:w w:val="98"/>
              </w:rPr>
              <w:t>I</w:t>
            </w:r>
            <w:r>
              <w:rPr>
                <w:rFonts w:ascii="Times New Roman" w:cs="Times New Roman" w:eastAsia="Times New Roman" w:hAnsi="Times New Roman"/>
                <w:sz w:val="19"/>
                <w:szCs w:val="19"/>
                <w:color w:val="auto"/>
                <w:w w:val="98"/>
              </w:rPr>
              <w:t xml:space="preserve"> ,398)</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w w:val="93"/>
              </w:rPr>
              <w:t>$( 166,6 11 )</w:t>
            </w:r>
          </w:p>
        </w:tc>
        <w:tc>
          <w:tcPr>
            <w:tcW w:w="0" w:type="dxa"/>
            <w:vAlign w:val="bottom"/>
          </w:tcPr>
          <w:p>
            <w:pPr>
              <w:spacing w:after="0"/>
              <w:rPr>
                <w:sz w:val="1"/>
                <w:szCs w:val="1"/>
                <w:color w:val="auto"/>
              </w:rPr>
            </w:pPr>
          </w:p>
        </w:tc>
      </w:tr>
      <w:tr>
        <w:trPr>
          <w:trHeight w:val="25"/>
        </w:trPr>
        <w:tc>
          <w:tcPr>
            <w:tcW w:w="6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Other Changes in Plan Assets and Benefit Obligations Recognized in</w:t>
            </w:r>
          </w:p>
        </w:tc>
        <w:tc>
          <w:tcPr>
            <w:tcW w:w="440" w:type="dxa"/>
            <w:vAlign w:val="bottom"/>
            <w:tcBorders>
              <w:bottom w:val="single" w:sz="8" w:color="504C4C"/>
            </w:tcBorders>
          </w:tcPr>
          <w:p>
            <w:pPr>
              <w:spacing w:after="0"/>
              <w:rPr>
                <w:sz w:val="2"/>
                <w:szCs w:val="2"/>
                <w:color w:val="auto"/>
              </w:rPr>
            </w:pPr>
          </w:p>
        </w:tc>
        <w:tc>
          <w:tcPr>
            <w:tcW w:w="40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504C4C"/>
            </w:tcBorders>
          </w:tcPr>
          <w:p>
            <w:pPr>
              <w:spacing w:after="0"/>
              <w:rPr>
                <w:sz w:val="2"/>
                <w:szCs w:val="2"/>
                <w:color w:val="auto"/>
              </w:rPr>
            </w:pPr>
          </w:p>
        </w:tc>
        <w:tc>
          <w:tcPr>
            <w:tcW w:w="280" w:type="dxa"/>
            <w:vAlign w:val="bottom"/>
            <w:tcBorders>
              <w:bottom w:val="single" w:sz="8" w:color="504C4C"/>
            </w:tcBorders>
          </w:tcPr>
          <w:p>
            <w:pPr>
              <w:spacing w:after="0"/>
              <w:rPr>
                <w:sz w:val="2"/>
                <w:szCs w:val="2"/>
                <w:color w:val="auto"/>
              </w:rPr>
            </w:pPr>
          </w:p>
        </w:tc>
        <w:tc>
          <w:tcPr>
            <w:tcW w:w="44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60" w:type="dxa"/>
            <w:vAlign w:val="bottom"/>
            <w:tcBorders>
              <w:bottom w:val="single" w:sz="8" w:color="504C4C"/>
            </w:tcBorders>
          </w:tcPr>
          <w:p>
            <w:pPr>
              <w:spacing w:after="0"/>
              <w:rPr>
                <w:sz w:val="2"/>
                <w:szCs w:val="2"/>
                <w:color w:val="auto"/>
              </w:rPr>
            </w:pPr>
          </w:p>
        </w:tc>
        <w:tc>
          <w:tcPr>
            <w:tcW w:w="62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60" w:type="dxa"/>
            <w:vAlign w:val="bottom"/>
            <w:vMerge w:val="continue"/>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Other Comprehensive Income</w:t>
            </w:r>
          </w:p>
        </w:tc>
        <w:tc>
          <w:tcPr>
            <w:tcW w:w="4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Current year actuarial (gain) loss . . . . . .. .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$(349,292)</w:t>
            </w: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$(381 ,088)</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$ 749,258</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Curren t year prior servjce credit  . . ...... ... .... .......... .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(734)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 LI ,263)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prior service credit (cost)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1,951</w:t>
            </w: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9"/>
                <w:szCs w:val="19"/>
                <w:color w:val="auto"/>
              </w:rPr>
              <w:t>(1,646)</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(2,835)</w:t>
            </w:r>
          </w:p>
        </w:tc>
        <w:tc>
          <w:tcPr>
            <w:tcW w:w="0" w:type="dxa"/>
            <w:vAlign w:val="bottom"/>
          </w:tcPr>
          <w:p>
            <w:pPr>
              <w:spacing w:after="0"/>
              <w:rPr>
                <w:sz w:val="1"/>
                <w:szCs w:val="1"/>
                <w:color w:val="auto"/>
              </w:rPr>
            </w:pPr>
          </w:p>
        </w:tc>
      </w:tr>
      <w:tr>
        <w:trPr>
          <w:trHeight w:val="240"/>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Recognized net actuarial gain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37,918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39,803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68,656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Settle ment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653,427</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626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Total Recognized in Other Comprehensive Income (Before Tax</w:t>
            </w: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Borders>
              <w:bottom w:val="single" w:sz="8" w:color="504C4C"/>
            </w:tcBorders>
          </w:tcPr>
          <w:p>
            <w:pPr>
              <w:spacing w:after="0"/>
              <w:rPr>
                <w:sz w:val="2"/>
                <w:szCs w:val="2"/>
                <w:color w:val="auto"/>
              </w:rPr>
            </w:pPr>
          </w:p>
        </w:tc>
        <w:tc>
          <w:tcPr>
            <w:tcW w:w="280" w:type="dxa"/>
            <w:vAlign w:val="bottom"/>
            <w:tcBorders>
              <w:bottom w:val="single" w:sz="8" w:color="504C4C"/>
            </w:tcBorders>
          </w:tcPr>
          <w:p>
            <w:pPr>
              <w:spacing w:after="0"/>
              <w:rPr>
                <w:sz w:val="2"/>
                <w:szCs w:val="2"/>
                <w:color w:val="auto"/>
              </w:rPr>
            </w:pPr>
          </w:p>
        </w:tc>
        <w:tc>
          <w:tcPr>
            <w:tcW w:w="44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160" w:type="dxa"/>
            <w:vAlign w:val="bottom"/>
            <w:tcBorders>
              <w:bottom w:val="single" w:sz="8" w:color="504C4C"/>
            </w:tcBorders>
          </w:tcPr>
          <w:p>
            <w:pPr>
              <w:spacing w:after="0"/>
              <w:rPr>
                <w:sz w:val="2"/>
                <w:szCs w:val="2"/>
                <w:color w:val="auto"/>
              </w:rPr>
            </w:pPr>
          </w:p>
        </w:tc>
        <w:tc>
          <w:tcPr>
            <w:tcW w:w="62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0"/>
        </w:trPr>
        <w:tc>
          <w:tcPr>
            <w:tcW w:w="6260" w:type="dxa"/>
            <w:vAlign w:val="bottom"/>
            <w:vMerge w:val="continue"/>
          </w:tcPr>
          <w:p>
            <w:pPr>
              <w:spacing w:after="0"/>
              <w:rPr>
                <w:sz w:val="22"/>
                <w:szCs w:val="22"/>
                <w:color w:val="auto"/>
              </w:rPr>
            </w:pPr>
          </w:p>
        </w:tc>
        <w:tc>
          <w:tcPr>
            <w:tcW w:w="4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2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Effects) . . . . . . . . . . . . . . . . . . . . . . . . . . . . . . . . . . . . . . . . . . . . . . . . . . .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343,270</w:t>
            </w:r>
          </w:p>
        </w:tc>
        <w:tc>
          <w:tcPr>
            <w:tcW w:w="120" w:type="dxa"/>
            <w:vAlign w:val="bottom"/>
          </w:tcPr>
          <w:p>
            <w:pPr>
              <w:spacing w:after="0"/>
              <w:rPr>
                <w:sz w:val="21"/>
                <w:szCs w:val="21"/>
                <w:color w:val="auto"/>
              </w:rPr>
            </w:pPr>
          </w:p>
        </w:tc>
        <w:tc>
          <w:tcPr>
            <w:tcW w:w="1020" w:type="dxa"/>
            <w:vAlign w:val="bottom"/>
            <w:gridSpan w:val="5"/>
          </w:tcPr>
          <w:p>
            <w:pPr>
              <w:jc w:val="right"/>
              <w:ind w:right="80"/>
              <w:spacing w:after="0"/>
              <w:rPr>
                <w:sz w:val="20"/>
                <w:szCs w:val="20"/>
                <w:color w:val="auto"/>
              </w:rPr>
            </w:pPr>
            <w:r>
              <w:rPr>
                <w:rFonts w:ascii="Times New Roman" w:cs="Times New Roman" w:eastAsia="Times New Roman" w:hAnsi="Times New Roman"/>
                <w:sz w:val="19"/>
                <w:szCs w:val="19"/>
                <w:color w:val="auto"/>
              </w:rPr>
              <w:t>$(354, 194)</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$ 8 15,079</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3"/>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Total Recognized in Total Benefit and Other Comprehensive Income</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(Before Tax Effects)  . . . . . . . . . . . . . . . . . . . . . . . . . . . . . . . . . . . . . . . . .</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$(3,6,882)</w:t>
            </w:r>
          </w:p>
        </w:tc>
        <w:tc>
          <w:tcPr>
            <w:tcW w:w="1020" w:type="dxa"/>
            <w:vAlign w:val="bottom"/>
            <w:gridSpan w:val="5"/>
          </w:tcPr>
          <w:p>
            <w:pPr>
              <w:jc w:val="right"/>
              <w:ind w:right="60"/>
              <w:spacing w:after="0"/>
              <w:rPr>
                <w:sz w:val="20"/>
                <w:szCs w:val="20"/>
                <w:color w:val="auto"/>
              </w:rPr>
            </w:pPr>
            <w:r>
              <w:rPr>
                <w:rFonts w:ascii="Times New Roman" w:cs="Times New Roman" w:eastAsia="Times New Roman" w:hAnsi="Times New Roman"/>
                <w:sz w:val="19"/>
                <w:szCs w:val="19"/>
                <w:color w:val="auto"/>
              </w:rPr>
              <w:t>$(455,592)</w:t>
            </w: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$ 648,468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09"/>
        </w:trPr>
        <w:tc>
          <w:tcPr>
            <w:tcW w:w="6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SERP</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Borders>
              <w:bottom w:val="single" w:sz="8" w:color="141414"/>
            </w:tcBorders>
            <w:gridSpan w:val="4"/>
          </w:tcPr>
          <w:p>
            <w:pPr>
              <w:spacing w:after="0"/>
              <w:rPr>
                <w:sz w:val="2"/>
                <w:szCs w:val="2"/>
                <w:color w:val="auto"/>
              </w:rPr>
            </w:pPr>
          </w:p>
        </w:tc>
        <w:tc>
          <w:tcPr>
            <w:tcW w:w="940" w:type="dxa"/>
            <w:vAlign w:val="bottom"/>
            <w:tcBorders>
              <w:bottom w:val="single" w:sz="8" w:color="141414"/>
            </w:tcBorders>
            <w:gridSpan w:val="5"/>
          </w:tcPr>
          <w:p>
            <w:pPr>
              <w:spacing w:after="0"/>
              <w:rPr>
                <w:sz w:val="2"/>
                <w:szCs w:val="2"/>
                <w:color w:val="auto"/>
              </w:rPr>
            </w:pPr>
          </w:p>
        </w:tc>
        <w:tc>
          <w:tcPr>
            <w:tcW w:w="780" w:type="dxa"/>
            <w:vAlign w:val="bottom"/>
            <w:tcBorders>
              <w:bottom w:val="single" w:sz="8" w:color="141414"/>
            </w:tcBorders>
            <w:gridSpan w:val="2"/>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6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80" w:type="dxa"/>
            <w:vAlign w:val="bottom"/>
            <w:gridSpan w:val="14"/>
          </w:tcPr>
          <w:p>
            <w:pPr>
              <w:jc w:val="right"/>
              <w:ind w:right="380"/>
              <w:spacing w:after="0"/>
              <w:rPr>
                <w:sz w:val="20"/>
                <w:szCs w:val="20"/>
                <w:color w:val="auto"/>
              </w:rPr>
            </w:pPr>
            <w:r>
              <w:rPr>
                <w:rFonts w:ascii="Times New Roman" w:cs="Times New Roman" w:eastAsia="Times New Roman" w:hAnsi="Times New Roman"/>
                <w:sz w:val="16"/>
                <w:szCs w:val="16"/>
                <w:color w:val="auto"/>
              </w:rPr>
              <w:t>Year Ended Decem ber 31</w:t>
            </w:r>
          </w:p>
        </w:tc>
        <w:tc>
          <w:tcPr>
            <w:tcW w:w="0" w:type="dxa"/>
            <w:vAlign w:val="bottom"/>
          </w:tcPr>
          <w:p>
            <w:pPr>
              <w:spacing w:after="0"/>
              <w:rPr>
                <w:sz w:val="1"/>
                <w:szCs w:val="1"/>
                <w:color w:val="auto"/>
              </w:rPr>
            </w:pPr>
          </w:p>
        </w:tc>
      </w:tr>
      <w:tr>
        <w:trPr>
          <w:trHeight w:val="32"/>
        </w:trPr>
        <w:tc>
          <w:tcPr>
            <w:tcW w:w="6260" w:type="dxa"/>
            <w:vAlign w:val="bottom"/>
          </w:tcPr>
          <w:p>
            <w:pPr>
              <w:spacing w:after="0"/>
              <w:rPr>
                <w:sz w:val="2"/>
                <w:szCs w:val="2"/>
                <w:color w:val="auto"/>
              </w:rPr>
            </w:pPr>
          </w:p>
        </w:tc>
        <w:tc>
          <w:tcPr>
            <w:tcW w:w="96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6260" w:type="dxa"/>
            <w:vAlign w:val="bottom"/>
          </w:tcPr>
          <w:p>
            <w:pPr>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5"/>
                <w:szCs w:val="15"/>
                <w:color w:val="auto"/>
              </w:rPr>
            </w:pPr>
          </w:p>
        </w:tc>
        <w:tc>
          <w:tcPr>
            <w:tcW w:w="520" w:type="dxa"/>
            <w:vAlign w:val="bottom"/>
            <w:tcBorders>
              <w:top w:val="single" w:sz="8" w:color="404040"/>
            </w:tcBorders>
            <w:gridSpan w:val="2"/>
          </w:tcPr>
          <w:p>
            <w:pPr>
              <w:jc w:val="right"/>
              <w:ind w:right="20"/>
              <w:spacing w:after="0" w:line="178" w:lineRule="exact"/>
              <w:rPr>
                <w:sz w:val="20"/>
                <w:szCs w:val="20"/>
                <w:color w:val="auto"/>
              </w:rPr>
            </w:pPr>
            <w:r>
              <w:rPr>
                <w:rFonts w:ascii="Times New Roman" w:cs="Times New Roman" w:eastAsia="Times New Roman" w:hAnsi="Times New Roman"/>
                <w:sz w:val="16"/>
                <w:szCs w:val="16"/>
                <w:color w:val="auto"/>
              </w:rPr>
              <w:t>2024</w:t>
            </w:r>
          </w:p>
        </w:tc>
        <w:tc>
          <w:tcPr>
            <w:tcW w:w="60" w:type="dxa"/>
            <w:vAlign w:val="bottom"/>
            <w:tcBorders>
              <w:top w:val="single" w:sz="8" w:color="404040"/>
            </w:tcBorders>
          </w:tcPr>
          <w:p>
            <w:pPr>
              <w:spacing w:after="0"/>
              <w:rPr>
                <w:sz w:val="15"/>
                <w:szCs w:val="15"/>
                <w:color w:val="auto"/>
              </w:rPr>
            </w:pPr>
          </w:p>
        </w:tc>
        <w:tc>
          <w:tcPr>
            <w:tcW w:w="120" w:type="dxa"/>
            <w:vAlign w:val="bottom"/>
            <w:tcBorders>
              <w:top w:val="single" w:sz="8" w:color="404040"/>
            </w:tcBorders>
          </w:tcPr>
          <w:p>
            <w:pPr>
              <w:spacing w:after="0"/>
              <w:rPr>
                <w:sz w:val="15"/>
                <w:szCs w:val="15"/>
                <w:color w:val="auto"/>
              </w:rPr>
            </w:pPr>
          </w:p>
        </w:tc>
        <w:tc>
          <w:tcPr>
            <w:tcW w:w="280" w:type="dxa"/>
            <w:vAlign w:val="bottom"/>
            <w:tcBorders>
              <w:top w:val="single" w:sz="8" w:color="404040"/>
            </w:tcBorders>
          </w:tcPr>
          <w:p>
            <w:pPr>
              <w:spacing w:after="0"/>
              <w:rPr>
                <w:sz w:val="15"/>
                <w:szCs w:val="15"/>
                <w:color w:val="auto"/>
              </w:rPr>
            </w:pPr>
          </w:p>
        </w:tc>
        <w:tc>
          <w:tcPr>
            <w:tcW w:w="440" w:type="dxa"/>
            <w:vAlign w:val="bottom"/>
            <w:tcBorders>
              <w:top w:val="single" w:sz="8" w:color="404040"/>
            </w:tcBorders>
          </w:tcPr>
          <w:p>
            <w:pPr>
              <w:jc w:val="right"/>
              <w:ind w:right="9"/>
              <w:spacing w:after="0" w:line="178" w:lineRule="exact"/>
              <w:rPr>
                <w:sz w:val="20"/>
                <w:szCs w:val="20"/>
                <w:color w:val="auto"/>
              </w:rPr>
            </w:pPr>
            <w:r>
              <w:rPr>
                <w:rFonts w:ascii="Times New Roman" w:cs="Times New Roman" w:eastAsia="Times New Roman" w:hAnsi="Times New Roman"/>
                <w:sz w:val="16"/>
                <w:szCs w:val="16"/>
                <w:color w:val="auto"/>
                <w:w w:val="99"/>
              </w:rPr>
              <w:t>2023</w:t>
            </w:r>
          </w:p>
        </w:tc>
        <w:tc>
          <w:tcPr>
            <w:tcW w:w="120" w:type="dxa"/>
            <w:vAlign w:val="bottom"/>
            <w:tcBorders>
              <w:top w:val="single" w:sz="8" w:color="404040"/>
            </w:tcBorders>
          </w:tcPr>
          <w:p>
            <w:pPr>
              <w:spacing w:after="0"/>
              <w:rPr>
                <w:sz w:val="15"/>
                <w:szCs w:val="15"/>
                <w:color w:val="auto"/>
              </w:rPr>
            </w:pPr>
          </w:p>
        </w:tc>
        <w:tc>
          <w:tcPr>
            <w:tcW w:w="80" w:type="dxa"/>
            <w:vAlign w:val="bottom"/>
            <w:tcBorders>
              <w:top w:val="single" w:sz="8" w:color="404040"/>
            </w:tcBorders>
          </w:tcPr>
          <w:p>
            <w:pPr>
              <w:spacing w:after="0"/>
              <w:rPr>
                <w:sz w:val="15"/>
                <w:szCs w:val="15"/>
                <w:color w:val="auto"/>
              </w:rPr>
            </w:pPr>
          </w:p>
        </w:tc>
        <w:tc>
          <w:tcPr>
            <w:tcW w:w="20" w:type="dxa"/>
            <w:vAlign w:val="bottom"/>
            <w:tcBorders>
              <w:top w:val="single" w:sz="8" w:color="404040"/>
            </w:tcBorders>
          </w:tcPr>
          <w:p>
            <w:pPr>
              <w:spacing w:after="0"/>
              <w:rPr>
                <w:sz w:val="15"/>
                <w:szCs w:val="15"/>
                <w:color w:val="auto"/>
              </w:rPr>
            </w:pPr>
          </w:p>
        </w:tc>
        <w:tc>
          <w:tcPr>
            <w:tcW w:w="160" w:type="dxa"/>
            <w:vAlign w:val="bottom"/>
            <w:tcBorders>
              <w:top w:val="single" w:sz="8" w:color="404040"/>
            </w:tcBorders>
          </w:tcPr>
          <w:p>
            <w:pPr>
              <w:spacing w:after="0"/>
              <w:rPr>
                <w:sz w:val="15"/>
                <w:szCs w:val="15"/>
                <w:color w:val="auto"/>
              </w:rPr>
            </w:pPr>
          </w:p>
        </w:tc>
        <w:tc>
          <w:tcPr>
            <w:tcW w:w="620" w:type="dxa"/>
            <w:vAlign w:val="bottom"/>
            <w:tcBorders>
              <w:top w:val="single" w:sz="8" w:color="404040"/>
            </w:tcBorders>
          </w:tcPr>
          <w:p>
            <w:pPr>
              <w:jc w:val="right"/>
              <w:ind w:right="125"/>
              <w:spacing w:after="0" w:line="178" w:lineRule="exact"/>
              <w:rPr>
                <w:sz w:val="20"/>
                <w:szCs w:val="20"/>
                <w:color w:val="auto"/>
              </w:rPr>
            </w:pPr>
            <w:r>
              <w:rPr>
                <w:rFonts w:ascii="Times New Roman" w:cs="Times New Roman" w:eastAsia="Times New Roman" w:hAnsi="Times New Roman"/>
                <w:sz w:val="16"/>
                <w:szCs w:val="16"/>
                <w:color w:val="auto"/>
              </w:rPr>
              <w:t>2022</w:t>
            </w:r>
          </w:p>
        </w:tc>
        <w:tc>
          <w:tcPr>
            <w:tcW w:w="20" w:type="dxa"/>
            <w:vAlign w:val="bottom"/>
            <w:tcBorders>
              <w:top w:val="single" w:sz="8" w:color="404040"/>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tcPr>
          <w:p>
            <w:pPr>
              <w:spacing w:after="0"/>
              <w:rPr>
                <w:sz w:val="3"/>
                <w:szCs w:val="3"/>
                <w:color w:val="auto"/>
              </w:rPr>
            </w:pPr>
          </w:p>
        </w:tc>
        <w:tc>
          <w:tcPr>
            <w:tcW w:w="1140" w:type="dxa"/>
            <w:vAlign w:val="bottom"/>
            <w:gridSpan w:val="5"/>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gridSpan w:val="2"/>
          </w:tcPr>
          <w:p>
            <w:pPr>
              <w:spacing w:after="0"/>
              <w:rPr>
                <w:sz w:val="3"/>
                <w:szCs w:val="3"/>
                <w:color w:val="auto"/>
              </w:rPr>
            </w:pPr>
          </w:p>
        </w:tc>
        <w:tc>
          <w:tcPr>
            <w:tcW w:w="100" w:type="dxa"/>
            <w:vAlign w:val="bottom"/>
            <w:gridSpan w:val="2"/>
          </w:tcPr>
          <w:p>
            <w:pPr>
              <w:spacing w:after="0"/>
              <w:rPr>
                <w:sz w:val="3"/>
                <w:szCs w:val="3"/>
                <w:color w:val="auto"/>
              </w:rPr>
            </w:pPr>
          </w:p>
        </w:tc>
        <w:tc>
          <w:tcPr>
            <w:tcW w:w="160" w:type="dxa"/>
            <w:vAlign w:val="bottom"/>
            <w:tcBorders>
              <w:bottom w:val="single" w:sz="8" w:color="404040"/>
            </w:tcBorders>
          </w:tcPr>
          <w:p>
            <w:pPr>
              <w:spacing w:after="0"/>
              <w:rPr>
                <w:sz w:val="3"/>
                <w:szCs w:val="3"/>
                <w:color w:val="auto"/>
              </w:rPr>
            </w:pPr>
          </w:p>
        </w:tc>
        <w:tc>
          <w:tcPr>
            <w:tcW w:w="620" w:type="dxa"/>
            <w:vAlign w:val="bottom"/>
            <w:tcBorders>
              <w:bottom w:val="single" w:sz="8" w:color="404040"/>
            </w:tcBorders>
          </w:tcPr>
          <w:p>
            <w:pPr>
              <w:spacing w:after="0"/>
              <w:rPr>
                <w:sz w:val="3"/>
                <w:szCs w:val="3"/>
                <w:color w:val="auto"/>
              </w:rPr>
            </w:pPr>
          </w:p>
        </w:tc>
        <w:tc>
          <w:tcPr>
            <w:tcW w:w="20" w:type="dxa"/>
            <w:vAlign w:val="bottom"/>
            <w:tcBorders>
              <w:bottom w:val="single" w:sz="8" w:color="404040"/>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1"/>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Service cost ............. . . . ........... .. ...... . ..................</w:t>
            </w: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$ 1,149</w:t>
            </w: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593</w:t>
            </w:r>
          </w:p>
        </w:tc>
        <w:tc>
          <w:tcPr>
            <w:tcW w:w="260" w:type="dxa"/>
            <w:vAlign w:val="bottom"/>
            <w:gridSpan w:val="3"/>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911</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 ........... . ....................... . ..................</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4,514</w:t>
            </w: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4,659</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3,289</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prior service cost  . . ........ .. . .... . ..................</w:t>
            </w:r>
          </w:p>
        </w:tc>
        <w:tc>
          <w:tcPr>
            <w:tcW w:w="44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36</w:t>
            </w: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Recognized actuarial loss  . . . . .. . ... . .. . .... . . .... ... ................</w:t>
            </w:r>
          </w:p>
        </w:tc>
        <w:tc>
          <w:tcPr>
            <w:tcW w:w="44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4"/>
          </w:tcPr>
          <w:p>
            <w:pPr>
              <w:jc w:val="right"/>
              <w:ind w:right="60"/>
              <w:spacing w:after="0"/>
              <w:rPr>
                <w:sz w:val="20"/>
                <w:szCs w:val="20"/>
                <w:color w:val="auto"/>
              </w:rPr>
            </w:pPr>
            <w:r>
              <w:rPr>
                <w:rFonts w:ascii="Times New Roman" w:cs="Times New Roman" w:eastAsia="Times New Roman" w:hAnsi="Times New Roman"/>
                <w:sz w:val="19"/>
                <w:szCs w:val="19"/>
                <w:color w:val="auto"/>
              </w:rPr>
              <w:t>666</w:t>
            </w:r>
          </w:p>
        </w:tc>
        <w:tc>
          <w:tcPr>
            <w:tcW w:w="0" w:type="dxa"/>
            <w:vAlign w:val="bottom"/>
          </w:tcPr>
          <w:p>
            <w:pPr>
              <w:spacing w:after="0"/>
              <w:rPr>
                <w:sz w:val="1"/>
                <w:szCs w:val="1"/>
                <w:color w:val="auto"/>
              </w:rPr>
            </w:pPr>
          </w:p>
        </w:tc>
      </w:tr>
      <w:tr>
        <w:trPr>
          <w:trHeight w:val="25"/>
        </w:trPr>
        <w:tc>
          <w:tcPr>
            <w:tcW w:w="6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700" w:type="dxa"/>
            <w:vAlign w:val="bottom"/>
            <w:tcBorders>
              <w:bottom w:val="single" w:sz="8" w:color="504C4C"/>
            </w:tcBorders>
            <w:gridSpan w:val="4"/>
          </w:tcPr>
          <w:p>
            <w:pPr>
              <w:spacing w:after="0"/>
              <w:rPr>
                <w:sz w:val="2"/>
                <w:szCs w:val="2"/>
                <w:color w:val="auto"/>
              </w:rPr>
            </w:pPr>
          </w:p>
        </w:tc>
        <w:tc>
          <w:tcPr>
            <w:tcW w:w="840" w:type="dxa"/>
            <w:vAlign w:val="bottom"/>
            <w:gridSpan w:val="3"/>
          </w:tcPr>
          <w:p>
            <w:pPr>
              <w:spacing w:after="0"/>
              <w:rPr>
                <w:sz w:val="2"/>
                <w:szCs w:val="2"/>
                <w:color w:val="auto"/>
              </w:rPr>
            </w:pPr>
          </w:p>
        </w:tc>
        <w:tc>
          <w:tcPr>
            <w:tcW w:w="100" w:type="dxa"/>
            <w:vAlign w:val="bottom"/>
            <w:gridSpan w:val="2"/>
          </w:tcPr>
          <w:p>
            <w:pPr>
              <w:spacing w:after="0"/>
              <w:rPr>
                <w:sz w:val="2"/>
                <w:szCs w:val="2"/>
                <w:color w:val="auto"/>
              </w:rPr>
            </w:pPr>
          </w:p>
        </w:tc>
        <w:tc>
          <w:tcPr>
            <w:tcW w:w="160" w:type="dxa"/>
            <w:vAlign w:val="bottom"/>
            <w:tcBorders>
              <w:bottom w:val="single" w:sz="8" w:color="504C4C"/>
            </w:tcBorders>
          </w:tcPr>
          <w:p>
            <w:pPr>
              <w:spacing w:after="0"/>
              <w:rPr>
                <w:sz w:val="2"/>
                <w:szCs w:val="2"/>
                <w:color w:val="auto"/>
              </w:rPr>
            </w:pPr>
          </w:p>
        </w:tc>
        <w:tc>
          <w:tcPr>
            <w:tcW w:w="620" w:type="dxa"/>
            <w:vAlign w:val="bottom"/>
            <w:tcBorders>
              <w:bottom w:val="single" w:sz="8" w:color="504C4C"/>
            </w:tcBorders>
          </w:tcPr>
          <w:p>
            <w:pPr>
              <w:spacing w:after="0"/>
              <w:rPr>
                <w:sz w:val="2"/>
                <w:szCs w:val="2"/>
                <w:color w:val="auto"/>
              </w:rPr>
            </w:pPr>
          </w:p>
        </w:tc>
        <w:tc>
          <w:tcPr>
            <w:tcW w:w="40" w:type="dxa"/>
            <w:vAlign w:val="bottom"/>
            <w:tcBorders>
              <w:bottom w:val="single" w:sz="8" w:color="504C4C"/>
            </w:tcBorders>
            <w:gridSpan w:val="2"/>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0"/>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Total Cost for the Year . . . ........... ... .... .......................</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$ 5,663.</w:t>
            </w:r>
          </w:p>
        </w:tc>
        <w:tc>
          <w:tcPr>
            <w:tcW w:w="840" w:type="dxa"/>
            <w:vAlign w:val="bottom"/>
            <w:gridSpan w:val="3"/>
          </w:tcPr>
          <w:p>
            <w:pPr>
              <w:jc w:val="right"/>
              <w:ind w:right="100"/>
              <w:spacing w:after="0"/>
              <w:rPr>
                <w:sz w:val="20"/>
                <w:szCs w:val="20"/>
                <w:color w:val="auto"/>
              </w:rPr>
            </w:pPr>
            <w:r>
              <w:rPr>
                <w:rFonts w:ascii="Times New Roman" w:cs="Times New Roman" w:eastAsia="Times New Roman" w:hAnsi="Times New Roman"/>
                <w:sz w:val="19"/>
                <w:szCs w:val="19"/>
                <w:color w:val="auto"/>
              </w:rPr>
              <w:t>$5,252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9"/>
                <w:szCs w:val="19"/>
                <w:color w:val="auto"/>
              </w:rPr>
              <w:t>4,902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5"/>
        </w:trPr>
        <w:tc>
          <w:tcPr>
            <w:tcW w:w="72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Other Changes in Benefit Obligations Recognized in Other Comprehensive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62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Income</w:t>
            </w:r>
          </w:p>
        </w:tc>
        <w:tc>
          <w:tcPr>
            <w:tcW w:w="4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Current year actuarial (gain) loss  ................ . .. ..... . ............</w:t>
            </w:r>
          </w:p>
        </w:tc>
        <w:tc>
          <w:tcPr>
            <w:tcW w:w="142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$(1,886)</w:t>
            </w:r>
            <w:r>
              <w:rPr>
                <w:rFonts w:ascii="Times New Roman" w:cs="Times New Roman" w:eastAsia="Times New Roman" w:hAnsi="Times New Roman"/>
                <w:sz w:val="18"/>
                <w:szCs w:val="18"/>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w:t>
            </w: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9"/>
                <w:szCs w:val="19"/>
                <w:color w:val="auto"/>
              </w:rPr>
              <w:t>909</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$(20,956)</w:t>
            </w:r>
          </w:p>
        </w:tc>
        <w:tc>
          <w:tcPr>
            <w:tcW w:w="0" w:type="dxa"/>
            <w:vAlign w:val="bottom"/>
          </w:tcPr>
          <w:p>
            <w:pPr>
              <w:spacing w:after="0"/>
              <w:rPr>
                <w:sz w:val="1"/>
                <w:szCs w:val="1"/>
                <w:color w:val="auto"/>
              </w:rPr>
            </w:pPr>
          </w:p>
        </w:tc>
      </w:tr>
      <w:tr>
        <w:trPr>
          <w:trHeight w:val="238"/>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prior service cost  ........ . ...... .. . . . ................</w:t>
            </w:r>
          </w:p>
        </w:tc>
        <w:tc>
          <w:tcPr>
            <w:tcW w:w="44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(36)</w:t>
            </w:r>
          </w:p>
        </w:tc>
        <w:tc>
          <w:tcPr>
            <w:tcW w:w="0" w:type="dxa"/>
            <w:vAlign w:val="bottom"/>
          </w:tcPr>
          <w:p>
            <w:pPr>
              <w:spacing w:after="0"/>
              <w:rPr>
                <w:sz w:val="1"/>
                <w:szCs w:val="1"/>
                <w:color w:val="auto"/>
              </w:rPr>
            </w:pPr>
          </w:p>
        </w:tc>
      </w:tr>
      <w:tr>
        <w:trPr>
          <w:trHeight w:val="246"/>
        </w:trPr>
        <w:tc>
          <w:tcPr>
            <w:tcW w:w="6260" w:type="dxa"/>
            <w:vAlign w:val="bottom"/>
          </w:tcPr>
          <w:p>
            <w:pPr>
              <w:spacing w:after="0"/>
              <w:rPr>
                <w:sz w:val="20"/>
                <w:szCs w:val="20"/>
                <w:color w:val="auto"/>
              </w:rPr>
            </w:pPr>
            <w:r>
              <w:rPr>
                <w:rFonts w:ascii="Times New Roman" w:cs="Times New Roman" w:eastAsia="Times New Roman" w:hAnsi="Times New Roman"/>
                <w:sz w:val="19"/>
                <w:szCs w:val="19"/>
                <w:color w:val="auto"/>
              </w:rPr>
              <w:t>Recognized net actuarial loss  .... . .... . ...... . .......................</w:t>
            </w:r>
          </w:p>
        </w:tc>
        <w:tc>
          <w:tcPr>
            <w:tcW w:w="440" w:type="dxa"/>
            <w:vAlign w:val="bottom"/>
          </w:tcPr>
          <w:p>
            <w:pPr>
              <w:jc w:val="right"/>
              <w:ind w:right="104"/>
              <w:spacing w:after="0"/>
              <w:rPr>
                <w:sz w:val="20"/>
                <w:szCs w:val="20"/>
                <w:color w:val="auto"/>
              </w:rPr>
            </w:pPr>
            <w:r>
              <w:rPr>
                <w:rFonts w:ascii="Times New Roman" w:cs="Times New Roman" w:eastAsia="Times New Roman" w:hAnsi="Times New Roman"/>
                <w:sz w:val="19"/>
                <w:szCs w:val="19"/>
                <w:color w:val="auto"/>
              </w:rPr>
              <w:t>.</w:t>
            </w: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(666)</w:t>
            </w:r>
          </w:p>
        </w:tc>
        <w:tc>
          <w:tcPr>
            <w:tcW w:w="0" w:type="dxa"/>
            <w:vAlign w:val="bottom"/>
          </w:tcPr>
          <w:p>
            <w:pPr>
              <w:spacing w:after="0"/>
              <w:rPr>
                <w:sz w:val="1"/>
                <w:szCs w:val="1"/>
                <w:color w:val="auto"/>
              </w:rPr>
            </w:pPr>
          </w:p>
        </w:tc>
      </w:tr>
      <w:tr>
        <w:trPr>
          <w:trHeight w:val="36"/>
        </w:trPr>
        <w:tc>
          <w:tcPr>
            <w:tcW w:w="6260" w:type="dxa"/>
            <w:vAlign w:val="bottom"/>
            <w:vMerge w:val="restart"/>
          </w:tcPr>
          <w:p>
            <w:pPr>
              <w:ind w:left="260"/>
              <w:spacing w:after="0"/>
              <w:rPr>
                <w:sz w:val="20"/>
                <w:szCs w:val="20"/>
                <w:color w:val="auto"/>
              </w:rPr>
            </w:pPr>
            <w:r>
              <w:rPr>
                <w:rFonts w:ascii="Times New Roman" w:cs="Times New Roman" w:eastAsia="Times New Roman" w:hAnsi="Times New Roman"/>
                <w:sz w:val="19"/>
                <w:szCs w:val="19"/>
                <w:color w:val="auto"/>
              </w:rPr>
              <w:t xml:space="preserve">Total Recognized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Other Comprehensive Income (Before Tax Effects)</w:t>
            </w:r>
          </w:p>
        </w:tc>
        <w:tc>
          <w:tcPr>
            <w:tcW w:w="440" w:type="dxa"/>
            <w:vAlign w:val="bottom"/>
          </w:tcPr>
          <w:p>
            <w:pPr>
              <w:spacing w:after="0"/>
              <w:rPr>
                <w:sz w:val="3"/>
                <w:szCs w:val="3"/>
                <w:color w:val="auto"/>
              </w:rPr>
            </w:pPr>
          </w:p>
        </w:tc>
        <w:tc>
          <w:tcPr>
            <w:tcW w:w="700" w:type="dxa"/>
            <w:vAlign w:val="bottom"/>
            <w:tcBorders>
              <w:bottom w:val="single" w:sz="8" w:color="0C080C"/>
            </w:tcBorders>
            <w:gridSpan w:val="4"/>
          </w:tcPr>
          <w:p>
            <w:pPr>
              <w:spacing w:after="0"/>
              <w:rPr>
                <w:sz w:val="3"/>
                <w:szCs w:val="3"/>
                <w:color w:val="auto"/>
              </w:rPr>
            </w:pPr>
          </w:p>
        </w:tc>
        <w:tc>
          <w:tcPr>
            <w:tcW w:w="72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4"/>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6260" w:type="dxa"/>
            <w:vAlign w:val="bottom"/>
            <w:vMerge w:val="continue"/>
          </w:tcPr>
          <w:p>
            <w:pPr>
              <w:spacing w:after="0"/>
              <w:rPr>
                <w:sz w:val="21"/>
                <w:szCs w:val="21"/>
                <w:color w:val="auto"/>
              </w:rPr>
            </w:pP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   $(1,886)</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$909</w:t>
            </w:r>
          </w:p>
        </w:tc>
        <w:tc>
          <w:tcPr>
            <w:tcW w:w="120" w:type="dxa"/>
            <w:vAlign w:val="bottom"/>
          </w:tcPr>
          <w:p>
            <w:pPr>
              <w:spacing w:after="0"/>
              <w:rPr>
                <w:sz w:val="21"/>
                <w:szCs w:val="21"/>
                <w:color w:val="auto"/>
              </w:rPr>
            </w:pPr>
          </w:p>
        </w:tc>
        <w:tc>
          <w:tcPr>
            <w:tcW w:w="88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$(21,658)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4"/>
        </w:trPr>
        <w:tc>
          <w:tcPr>
            <w:tcW w:w="7220" w:type="dxa"/>
            <w:vAlign w:val="bottom"/>
            <w:gridSpan w:val="4"/>
          </w:tcPr>
          <w:p>
            <w:pPr>
              <w:spacing w:after="0"/>
              <w:rPr>
                <w:sz w:val="20"/>
                <w:szCs w:val="20"/>
                <w:color w:val="auto"/>
              </w:rPr>
            </w:pPr>
            <w:r>
              <w:rPr>
                <w:rFonts w:ascii="Times New Roman" w:cs="Times New Roman" w:eastAsia="Times New Roman" w:hAnsi="Times New Roman"/>
                <w:sz w:val="19"/>
                <w:szCs w:val="19"/>
                <w:color w:val="auto"/>
              </w:rPr>
              <w:t>Total Recognized in Total Cost and Other Comprehensive Income (Before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626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Tax Effects)  ..... . .. . .... . . . ...... . ............................</w:t>
            </w:r>
          </w:p>
        </w:tc>
        <w:tc>
          <w:tcPr>
            <w:tcW w:w="1140" w:type="dxa"/>
            <w:vAlign w:val="bottom"/>
            <w:gridSpan w:val="5"/>
          </w:tcPr>
          <w:p>
            <w:pPr>
              <w:jc w:val="right"/>
              <w:spacing w:after="0"/>
              <w:rPr>
                <w:sz w:val="20"/>
                <w:szCs w:val="20"/>
                <w:color w:val="auto"/>
              </w:rPr>
            </w:pPr>
            <w:r>
              <w:rPr>
                <w:rFonts w:ascii="Arial" w:cs="Arial" w:eastAsia="Arial" w:hAnsi="Arial"/>
                <w:sz w:val="17"/>
                <w:szCs w:val="17"/>
                <w:color w:val="auto"/>
              </w:rPr>
              <w:t xml:space="preserve">$ </w:t>
            </w:r>
            <w:r>
              <w:rPr>
                <w:rFonts w:ascii="Times New Roman" w:cs="Times New Roman" w:eastAsia="Times New Roman" w:hAnsi="Times New Roman"/>
                <w:sz w:val="19"/>
                <w:szCs w:val="19"/>
                <w:color w:val="auto"/>
              </w:rPr>
              <w:t>3,777.</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$6,161</w:t>
            </w:r>
          </w:p>
        </w:tc>
        <w:tc>
          <w:tcPr>
            <w:tcW w:w="94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$(16,756)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2" w:right="1440" w:bottom="7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133</w:t>
      </w:r>
    </w:p>
    <w:p>
      <w:pPr>
        <w:sectPr>
          <w:pgSz w:w="12240" w:h="15850" w:orient="portrait"/>
          <w:cols w:equalWidth="0" w:num="1">
            <w:col w:w="9365"/>
          </w:cols>
          <w:pgMar w:left="1440" w:top="1392" w:right="1440" w:bottom="725" w:gutter="0" w:footer="0" w:header="0"/>
          <w:type w:val="continuous"/>
        </w:sectPr>
      </w:pPr>
    </w:p>
    <w:bookmarkStart w:id="149" w:name="page150"/>
    <w:bookmarkEnd w:id="149"/>
    <w:p>
      <w:pPr>
        <w:jc w:val="both"/>
        <w:ind w:left="120" w:right="125" w:hanging="8"/>
        <w:spacing w:after="0" w:line="247"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57">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costs</w:t>
      </w:r>
      <w:r>
        <w:rPr>
          <w:sz w:val="20"/>
          <w:szCs w:val="20"/>
          <w:color w:val="auto"/>
        </w:rPr>
        <w:t xml:space="preserve"> </w:t>
      </w:r>
      <w:r>
        <w:rPr>
          <w:rFonts w:ascii="Times New Roman" w:cs="Times New Roman" w:eastAsia="Times New Roman" w:hAnsi="Times New Roman"/>
          <w:sz w:val="19"/>
          <w:szCs w:val="19"/>
          <w:color w:val="auto"/>
        </w:rPr>
        <w:t>for the Company's defined benefit pension plans are actuarially determined. Below are the key assumptions utilized to determine periodic cost:</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5"/>
                <w:szCs w:val="15"/>
                <w:color w:val="auto"/>
              </w:rPr>
              <w:t>Pension Plans</w:t>
            </w:r>
          </w:p>
        </w:tc>
        <w:tc>
          <w:tcPr>
            <w:tcW w:w="1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gridSpan w:val="3"/>
          </w:tcPr>
          <w:p>
            <w:pPr>
              <w:jc w:val="center"/>
              <w:ind w:right="460"/>
              <w:spacing w:after="0"/>
              <w:rPr>
                <w:sz w:val="20"/>
                <w:szCs w:val="20"/>
                <w:color w:val="auto"/>
              </w:rPr>
            </w:pPr>
            <w:r>
              <w:rPr>
                <w:rFonts w:ascii="Times New Roman" w:cs="Times New Roman" w:eastAsia="Times New Roman" w:hAnsi="Times New Roman"/>
                <w:sz w:val="15"/>
                <w:szCs w:val="15"/>
                <w:color w:val="auto"/>
              </w:rPr>
              <w:t>SERP</w:t>
            </w:r>
          </w:p>
        </w:tc>
        <w:tc>
          <w:tcPr>
            <w:tcW w:w="740" w:type="dxa"/>
            <w:vAlign w:val="bottom"/>
          </w:tcPr>
          <w:p>
            <w:pPr>
              <w:spacing w:after="0"/>
              <w:rPr>
                <w:sz w:val="15"/>
                <w:szCs w:val="15"/>
                <w:color w:val="auto"/>
              </w:rPr>
            </w:pPr>
          </w:p>
        </w:tc>
      </w:tr>
      <w:tr>
        <w:trPr>
          <w:trHeight w:val="34"/>
        </w:trPr>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Borders>
              <w:bottom w:val="single" w:sz="8" w:color="404040"/>
            </w:tcBorders>
          </w:tcPr>
          <w:p>
            <w:pPr>
              <w:spacing w:after="0"/>
              <w:rPr>
                <w:sz w:val="2"/>
                <w:szCs w:val="2"/>
                <w:color w:val="auto"/>
              </w:rPr>
            </w:pPr>
          </w:p>
        </w:tc>
        <w:tc>
          <w:tcPr>
            <w:tcW w:w="1260" w:type="dxa"/>
            <w:vAlign w:val="bottom"/>
            <w:tcBorders>
              <w:bottom w:val="single" w:sz="8" w:color="404040"/>
            </w:tcBorders>
            <w:gridSpan w:val="2"/>
          </w:tcPr>
          <w:p>
            <w:pPr>
              <w:spacing w:after="0"/>
              <w:rPr>
                <w:sz w:val="2"/>
                <w:szCs w:val="2"/>
                <w:color w:val="auto"/>
              </w:rPr>
            </w:pPr>
          </w:p>
        </w:tc>
        <w:tc>
          <w:tcPr>
            <w:tcW w:w="1300" w:type="dxa"/>
            <w:vAlign w:val="bottom"/>
            <w:tcBorders>
              <w:bottom w:val="single" w:sz="8" w:color="404040"/>
            </w:tcBorders>
            <w:gridSpan w:val="2"/>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404040"/>
            </w:tcBorders>
          </w:tcPr>
          <w:p>
            <w:pPr>
              <w:spacing w:after="0"/>
              <w:rPr>
                <w:sz w:val="2"/>
                <w:szCs w:val="2"/>
                <w:color w:val="auto"/>
              </w:rPr>
            </w:pPr>
          </w:p>
        </w:tc>
        <w:tc>
          <w:tcPr>
            <w:tcW w:w="340" w:type="dxa"/>
            <w:vAlign w:val="bottom"/>
            <w:tcBorders>
              <w:bottom w:val="single" w:sz="8" w:color="404040"/>
            </w:tcBorders>
          </w:tcPr>
          <w:p>
            <w:pPr>
              <w:spacing w:after="0"/>
              <w:rPr>
                <w:sz w:val="2"/>
                <w:szCs w:val="2"/>
                <w:color w:val="auto"/>
              </w:rPr>
            </w:pPr>
          </w:p>
        </w:tc>
        <w:tc>
          <w:tcPr>
            <w:tcW w:w="80" w:type="dxa"/>
            <w:vAlign w:val="bottom"/>
            <w:tcBorders>
              <w:bottom w:val="single" w:sz="8" w:color="404040"/>
            </w:tcBorders>
          </w:tcPr>
          <w:p>
            <w:pPr>
              <w:spacing w:after="0"/>
              <w:rPr>
                <w:sz w:val="2"/>
                <w:szCs w:val="2"/>
                <w:color w:val="auto"/>
              </w:rPr>
            </w:pPr>
          </w:p>
        </w:tc>
        <w:tc>
          <w:tcPr>
            <w:tcW w:w="1040" w:type="dxa"/>
            <w:vAlign w:val="bottom"/>
            <w:tcBorders>
              <w:bottom w:val="single" w:sz="8" w:color="404040"/>
            </w:tcBorders>
          </w:tcPr>
          <w:p>
            <w:pPr>
              <w:spacing w:after="0"/>
              <w:rPr>
                <w:sz w:val="2"/>
                <w:szCs w:val="2"/>
                <w:color w:val="auto"/>
              </w:rPr>
            </w:pPr>
          </w:p>
        </w:tc>
        <w:tc>
          <w:tcPr>
            <w:tcW w:w="80" w:type="dxa"/>
            <w:vAlign w:val="bottom"/>
            <w:tcBorders>
              <w:bottom w:val="single" w:sz="8" w:color="404040"/>
            </w:tcBorders>
          </w:tcPr>
          <w:p>
            <w:pPr>
              <w:spacing w:after="0"/>
              <w:rPr>
                <w:sz w:val="2"/>
                <w:szCs w:val="2"/>
                <w:color w:val="auto"/>
              </w:rPr>
            </w:pPr>
          </w:p>
        </w:tc>
        <w:tc>
          <w:tcPr>
            <w:tcW w:w="280" w:type="dxa"/>
            <w:vAlign w:val="bottom"/>
            <w:tcBorders>
              <w:bottom w:val="single" w:sz="8" w:color="404040"/>
            </w:tcBorders>
          </w:tcPr>
          <w:p>
            <w:pPr>
              <w:spacing w:after="0"/>
              <w:rPr>
                <w:sz w:val="2"/>
                <w:szCs w:val="2"/>
                <w:color w:val="auto"/>
              </w:rPr>
            </w:pPr>
          </w:p>
        </w:tc>
        <w:tc>
          <w:tcPr>
            <w:tcW w:w="740" w:type="dxa"/>
            <w:vAlign w:val="bottom"/>
            <w:tcBorders>
              <w:bottom w:val="single" w:sz="8" w:color="404040"/>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780" w:type="dxa"/>
            <w:vAlign w:val="bottom"/>
            <w:gridSpan w:val="5"/>
          </w:tcPr>
          <w:p>
            <w:pPr>
              <w:jc w:val="center"/>
              <w:spacing w:after="0"/>
              <w:rPr>
                <w:sz w:val="20"/>
                <w:szCs w:val="20"/>
                <w:color w:val="auto"/>
              </w:rPr>
            </w:pPr>
            <w:r>
              <w:rPr>
                <w:rFonts w:ascii="Times New Roman" w:cs="Times New Roman" w:eastAsia="Times New Roman" w:hAnsi="Times New Roman"/>
                <w:sz w:val="16"/>
                <w:szCs w:val="16"/>
                <w:color w:val="auto"/>
              </w:rPr>
              <w:t xml:space="preserve">Yea r </w:t>
            </w:r>
            <w:r>
              <w:rPr>
                <w:rFonts w:ascii="Times New Roman" w:cs="Times New Roman" w:eastAsia="Times New Roman" w:hAnsi="Times New Roman"/>
                <w:sz w:val="15"/>
                <w:szCs w:val="15"/>
                <w:color w:val="auto"/>
              </w:rPr>
              <w:t>Ended</w:t>
            </w:r>
            <w:r>
              <w:rPr>
                <w:rFonts w:ascii="Times New Roman" w:cs="Times New Roman" w:eastAsia="Times New Roman" w:hAnsi="Times New Roman"/>
                <w:sz w:val="16"/>
                <w:szCs w:val="16"/>
                <w:color w:val="auto"/>
              </w:rPr>
              <w:t xml:space="preserve"> 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20" w:type="dxa"/>
            <w:vAlign w:val="bottom"/>
            <w:gridSpan w:val="5"/>
          </w:tcPr>
          <w:p>
            <w:pPr>
              <w:jc w:val="center"/>
              <w:ind w:right="20"/>
              <w:spacing w:after="0"/>
              <w:rPr>
                <w:sz w:val="20"/>
                <w:szCs w:val="20"/>
                <w:color w:val="auto"/>
              </w:rPr>
            </w:pPr>
            <w:r>
              <w:rPr>
                <w:rFonts w:ascii="Times New Roman" w:cs="Times New Roman" w:eastAsia="Times New Roman" w:hAnsi="Times New Roman"/>
                <w:sz w:val="15"/>
                <w:szCs w:val="15"/>
                <w:color w:val="auto"/>
              </w:rPr>
              <w:t>Y car Ended December 31</w:t>
            </w:r>
          </w:p>
        </w:tc>
        <w:tc>
          <w:tcPr>
            <w:tcW w:w="740" w:type="dxa"/>
            <w:vAlign w:val="bottom"/>
          </w:tcPr>
          <w:p>
            <w:pPr>
              <w:spacing w:after="0"/>
              <w:rPr>
                <w:sz w:val="16"/>
                <w:szCs w:val="16"/>
                <w:color w:val="auto"/>
              </w:rPr>
            </w:pPr>
          </w:p>
        </w:tc>
      </w:tr>
      <w:tr>
        <w:trPr>
          <w:trHeight w:val="32"/>
        </w:trPr>
        <w:tc>
          <w:tcPr>
            <w:tcW w:w="19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tcBorders>
              <w:bottom w:val="single" w:sz="8" w:color="282828"/>
            </w:tcBorders>
          </w:tcPr>
          <w:p>
            <w:pPr>
              <w:spacing w:after="0"/>
              <w:rPr>
                <w:sz w:val="2"/>
                <w:szCs w:val="2"/>
                <w:color w:val="auto"/>
              </w:rPr>
            </w:pPr>
          </w:p>
        </w:tc>
        <w:tc>
          <w:tcPr>
            <w:tcW w:w="80" w:type="dxa"/>
            <w:vAlign w:val="bottom"/>
            <w:tcBorders>
              <w:bottom w:val="single" w:sz="8" w:color="282828"/>
            </w:tcBorders>
          </w:tcPr>
          <w:p>
            <w:pPr>
              <w:spacing w:after="0"/>
              <w:rPr>
                <w:sz w:val="2"/>
                <w:szCs w:val="2"/>
                <w:color w:val="auto"/>
              </w:rPr>
            </w:pPr>
          </w:p>
        </w:tc>
        <w:tc>
          <w:tcPr>
            <w:tcW w:w="1180" w:type="dxa"/>
            <w:vAlign w:val="bottom"/>
            <w:tcBorders>
              <w:bottom w:val="single" w:sz="8" w:color="282828"/>
            </w:tcBorders>
          </w:tcPr>
          <w:p>
            <w:pPr>
              <w:spacing w:after="0"/>
              <w:rPr>
                <w:sz w:val="2"/>
                <w:szCs w:val="2"/>
                <w:color w:val="auto"/>
              </w:rPr>
            </w:pPr>
          </w:p>
        </w:tc>
        <w:tc>
          <w:tcPr>
            <w:tcW w:w="80" w:type="dxa"/>
            <w:vAlign w:val="bottom"/>
            <w:tcBorders>
              <w:bottom w:val="single" w:sz="8" w:color="282828"/>
            </w:tcBorders>
          </w:tcPr>
          <w:p>
            <w:pPr>
              <w:spacing w:after="0"/>
              <w:rPr>
                <w:sz w:val="2"/>
                <w:szCs w:val="2"/>
                <w:color w:val="auto"/>
              </w:rPr>
            </w:pPr>
          </w:p>
        </w:tc>
        <w:tc>
          <w:tcPr>
            <w:tcW w:w="1220" w:type="dxa"/>
            <w:vAlign w:val="bottom"/>
            <w:tcBorders>
              <w:bottom w:val="single" w:sz="8" w:color="282828"/>
            </w:tcBorders>
          </w:tcPr>
          <w:p>
            <w:pPr>
              <w:spacing w:after="0"/>
              <w:rPr>
                <w:sz w:val="2"/>
                <w:szCs w:val="2"/>
                <w:color w:val="auto"/>
              </w:rPr>
            </w:pPr>
          </w:p>
        </w:tc>
        <w:tc>
          <w:tcPr>
            <w:tcW w:w="80" w:type="dxa"/>
            <w:vAlign w:val="bottom"/>
            <w:gridSpan w:val="2"/>
          </w:tcPr>
          <w:p>
            <w:pPr>
              <w:spacing w:after="0"/>
              <w:rPr>
                <w:sz w:val="2"/>
                <w:szCs w:val="2"/>
                <w:color w:val="auto"/>
              </w:rPr>
            </w:pPr>
          </w:p>
        </w:tc>
        <w:tc>
          <w:tcPr>
            <w:tcW w:w="760" w:type="dxa"/>
            <w:vAlign w:val="bottom"/>
            <w:tcBorders>
              <w:bottom w:val="single" w:sz="8" w:color="282828"/>
            </w:tcBorders>
          </w:tcPr>
          <w:p>
            <w:pPr>
              <w:spacing w:after="0"/>
              <w:rPr>
                <w:sz w:val="2"/>
                <w:szCs w:val="2"/>
                <w:color w:val="auto"/>
              </w:rPr>
            </w:pPr>
          </w:p>
        </w:tc>
        <w:tc>
          <w:tcPr>
            <w:tcW w:w="340" w:type="dxa"/>
            <w:vAlign w:val="bottom"/>
            <w:tcBorders>
              <w:bottom w:val="single" w:sz="8" w:color="282828"/>
            </w:tcBorders>
          </w:tcPr>
          <w:p>
            <w:pPr>
              <w:spacing w:after="0"/>
              <w:rPr>
                <w:sz w:val="2"/>
                <w:szCs w:val="2"/>
                <w:color w:val="auto"/>
              </w:rPr>
            </w:pPr>
          </w:p>
        </w:tc>
        <w:tc>
          <w:tcPr>
            <w:tcW w:w="80" w:type="dxa"/>
            <w:vAlign w:val="bottom"/>
            <w:tcBorders>
              <w:bottom w:val="single" w:sz="8" w:color="282828"/>
            </w:tcBorders>
          </w:tcPr>
          <w:p>
            <w:pPr>
              <w:spacing w:after="0"/>
              <w:rPr>
                <w:sz w:val="2"/>
                <w:szCs w:val="2"/>
                <w:color w:val="auto"/>
              </w:rPr>
            </w:pPr>
          </w:p>
        </w:tc>
        <w:tc>
          <w:tcPr>
            <w:tcW w:w="1040" w:type="dxa"/>
            <w:vAlign w:val="bottom"/>
            <w:tcBorders>
              <w:bottom w:val="single" w:sz="8" w:color="282828"/>
            </w:tcBorders>
          </w:tcPr>
          <w:p>
            <w:pPr>
              <w:spacing w:after="0"/>
              <w:rPr>
                <w:sz w:val="2"/>
                <w:szCs w:val="2"/>
                <w:color w:val="auto"/>
              </w:rPr>
            </w:pPr>
          </w:p>
        </w:tc>
        <w:tc>
          <w:tcPr>
            <w:tcW w:w="80" w:type="dxa"/>
            <w:vAlign w:val="bottom"/>
            <w:tcBorders>
              <w:bottom w:val="single" w:sz="8" w:color="282828"/>
            </w:tcBorders>
          </w:tcPr>
          <w:p>
            <w:pPr>
              <w:spacing w:after="0"/>
              <w:rPr>
                <w:sz w:val="2"/>
                <w:szCs w:val="2"/>
                <w:color w:val="auto"/>
              </w:rPr>
            </w:pPr>
          </w:p>
        </w:tc>
        <w:tc>
          <w:tcPr>
            <w:tcW w:w="280" w:type="dxa"/>
            <w:vAlign w:val="bottom"/>
            <w:tcBorders>
              <w:bottom w:val="single" w:sz="8" w:color="282828"/>
            </w:tcBorders>
          </w:tcPr>
          <w:p>
            <w:pPr>
              <w:spacing w:after="0"/>
              <w:rPr>
                <w:sz w:val="2"/>
                <w:szCs w:val="2"/>
                <w:color w:val="auto"/>
              </w:rPr>
            </w:pPr>
          </w:p>
        </w:tc>
        <w:tc>
          <w:tcPr>
            <w:tcW w:w="740" w:type="dxa"/>
            <w:vAlign w:val="bottom"/>
            <w:tcBorders>
              <w:bottom w:val="single" w:sz="8" w:color="282828"/>
            </w:tcBorders>
          </w:tcPr>
          <w:p>
            <w:pPr>
              <w:spacing w:after="0"/>
              <w:rPr>
                <w:sz w:val="2"/>
                <w:szCs w:val="2"/>
                <w:color w:val="auto"/>
              </w:rPr>
            </w:pPr>
          </w:p>
        </w:tc>
      </w:tr>
      <w:tr>
        <w:trPr>
          <w:trHeight w:val="187"/>
        </w:trPr>
        <w:tc>
          <w:tcPr>
            <w:tcW w:w="1900" w:type="dxa"/>
            <w:vAlign w:val="bottom"/>
          </w:tcPr>
          <w:p>
            <w:pPr>
              <w:spacing w:after="0"/>
              <w:rPr>
                <w:sz w:val="16"/>
                <w:szCs w:val="16"/>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5"/>
                <w:szCs w:val="15"/>
                <w:color w:val="auto"/>
              </w:rPr>
              <w:t>2024</w:t>
            </w:r>
          </w:p>
        </w:tc>
        <w:tc>
          <w:tcPr>
            <w:tcW w:w="8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2022</w:t>
            </w: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2024</w:t>
            </w:r>
          </w:p>
        </w:tc>
        <w:tc>
          <w:tcPr>
            <w:tcW w:w="1460" w:type="dxa"/>
            <w:vAlign w:val="bottom"/>
            <w:gridSpan w:val="3"/>
          </w:tcPr>
          <w:p>
            <w:pPr>
              <w:jc w:val="right"/>
              <w:ind w:right="304"/>
              <w:spacing w:after="0"/>
              <w:rPr>
                <w:sz w:val="20"/>
                <w:szCs w:val="20"/>
                <w:color w:val="auto"/>
              </w:rPr>
            </w:pPr>
            <w:r>
              <w:rPr>
                <w:rFonts w:ascii="Times New Roman" w:cs="Times New Roman" w:eastAsia="Times New Roman" w:hAnsi="Times New Roman"/>
                <w:sz w:val="16"/>
                <w:szCs w:val="16"/>
                <w:color w:val="auto"/>
              </w:rPr>
              <w:t>2023</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6"/>
                <w:szCs w:val="16"/>
                <w:color w:val="auto"/>
              </w:rPr>
              <w:t>2022</w:t>
            </w:r>
          </w:p>
        </w:tc>
      </w:tr>
      <w:tr>
        <w:trPr>
          <w:trHeight w:val="33"/>
        </w:trPr>
        <w:tc>
          <w:tcPr>
            <w:tcW w:w="1940" w:type="dxa"/>
            <w:vAlign w:val="bottom"/>
            <w:gridSpan w:val="2"/>
          </w:tcPr>
          <w:p>
            <w:pPr>
              <w:spacing w:after="0"/>
              <w:rPr>
                <w:sz w:val="2"/>
                <w:szCs w:val="2"/>
                <w:color w:val="auto"/>
              </w:rPr>
            </w:pPr>
          </w:p>
        </w:tc>
        <w:tc>
          <w:tcPr>
            <w:tcW w:w="1220" w:type="dxa"/>
            <w:vAlign w:val="bottom"/>
            <w:tcBorders>
              <w:bottom w:val="single" w:sz="8" w:color="141414"/>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181818"/>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141414"/>
            </w:tcBorders>
          </w:tcPr>
          <w:p>
            <w:pPr>
              <w:spacing w:after="0"/>
              <w:rPr>
                <w:sz w:val="2"/>
                <w:szCs w:val="2"/>
                <w:color w:val="auto"/>
              </w:rPr>
            </w:pPr>
          </w:p>
        </w:tc>
        <w:tc>
          <w:tcPr>
            <w:tcW w:w="340" w:type="dxa"/>
            <w:vAlign w:val="bottom"/>
            <w:tcBorders>
              <w:bottom w:val="single" w:sz="8" w:color="141414"/>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141414"/>
            </w:tcBorders>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141414"/>
            </w:tcBorders>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r>
      <w:tr>
        <w:trPr>
          <w:trHeight w:val="273"/>
        </w:trPr>
        <w:tc>
          <w:tcPr>
            <w:tcW w:w="3240" w:type="dxa"/>
            <w:vAlign w:val="bottom"/>
            <w:gridSpan w:val="4"/>
          </w:tcPr>
          <w:p>
            <w:pPr>
              <w:spacing w:after="0" w:line="273" w:lineRule="exact"/>
              <w:rPr>
                <w:sz w:val="20"/>
                <w:szCs w:val="20"/>
                <w:color w:val="auto"/>
              </w:rPr>
            </w:pPr>
            <w:r>
              <w:rPr>
                <w:rFonts w:ascii="Times New Roman" w:cs="Times New Roman" w:eastAsia="Times New Roman" w:hAnsi="Times New Roman"/>
                <w:sz w:val="19"/>
                <w:szCs w:val="19"/>
                <w:color w:val="auto"/>
              </w:rPr>
              <w:t xml:space="preserve">Discolllnt rate  . . . .. .. </w:t>
            </w:r>
            <w:r>
              <w:rPr>
                <w:rFonts w:ascii="Times New Roman" w:cs="Times New Roman" w:eastAsia="Times New Roman" w:hAnsi="Times New Roman"/>
                <w:sz w:val="20"/>
                <w:szCs w:val="20"/>
                <w:color w:val="auto"/>
              </w:rPr>
              <w:t>5.2%</w:t>
            </w:r>
            <w:r>
              <w:rPr>
                <w:rFonts w:ascii="Times New Roman" w:cs="Times New Roman" w:eastAsia="Times New Roman" w:hAnsi="Times New Roman"/>
                <w:sz w:val="19"/>
                <w:szCs w:val="19"/>
                <w:color w:val="auto"/>
              </w:rPr>
              <w:t xml:space="preserve"> </w:t>
            </w:r>
            <w:r>
              <w:rPr>
                <w:rFonts w:ascii="Arial" w:cs="Arial" w:eastAsia="Arial" w:hAnsi="Arial"/>
                <w:sz w:val="18"/>
                <w:szCs w:val="18"/>
                <w:i w:val="1"/>
                <w:iCs w:val="1"/>
                <w:color w:val="auto"/>
              </w:rPr>
              <w:t>I</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5.3%</w:t>
            </w:r>
            <w:r>
              <w:rPr>
                <w:rFonts w:ascii="Times New Roman" w:cs="Times New Roman" w:eastAsia="Times New Roman" w:hAnsi="Times New Roman"/>
                <w:sz w:val="19"/>
                <w:szCs w:val="19"/>
                <w:color w:val="auto"/>
              </w:rPr>
              <w:t xml:space="preserve"> </w:t>
            </w:r>
            <w:r>
              <w:rPr>
                <w:rFonts w:ascii="Arial" w:cs="Arial" w:eastAsia="Arial" w:hAnsi="Arial"/>
                <w:sz w:val="15"/>
                <w:szCs w:val="15"/>
                <w:color w:val="auto"/>
              </w:rPr>
              <w:t>&lt;</w:t>
            </w:r>
            <w:r>
              <w:rPr>
                <w:rFonts w:ascii="Times New Roman" w:cs="Times New Roman" w:eastAsia="Times New Roman" w:hAnsi="Times New Roman"/>
                <w:sz w:val="24"/>
                <w:szCs w:val="24"/>
                <w:color w:val="auto"/>
                <w:vertAlign w:val="superscript"/>
              </w:rPr>
              <w:t>1</w:t>
            </w:r>
            <w:r>
              <w:rPr>
                <w:rFonts w:ascii="Arial" w:cs="Arial" w:eastAsia="Arial" w:hAnsi="Arial"/>
                <w:sz w:val="15"/>
                <w:szCs w:val="15"/>
                <w:color w:val="auto"/>
              </w:rPr>
              <w:t>&gt;</w:t>
            </w:r>
          </w:p>
        </w:tc>
        <w:tc>
          <w:tcPr>
            <w:tcW w:w="11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5.5%</w:t>
            </w:r>
          </w:p>
        </w:tc>
        <w:tc>
          <w:tcPr>
            <w:tcW w:w="80" w:type="dxa"/>
            <w:vAlign w:val="bottom"/>
          </w:tcPr>
          <w:p>
            <w:pPr>
              <w:spacing w:after="0"/>
              <w:rPr>
                <w:sz w:val="23"/>
                <w:szCs w:val="23"/>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w w:val="99"/>
              </w:rPr>
              <w:t>2 .9%</w:t>
            </w: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5.1%</w:t>
            </w:r>
          </w:p>
        </w:tc>
        <w:tc>
          <w:tcPr>
            <w:tcW w:w="1460" w:type="dxa"/>
            <w:vAlign w:val="bottom"/>
            <w:gridSpan w:val="3"/>
          </w:tcPr>
          <w:p>
            <w:pPr>
              <w:jc w:val="right"/>
              <w:ind w:right="244"/>
              <w:spacing w:after="0"/>
              <w:rPr>
                <w:sz w:val="20"/>
                <w:szCs w:val="20"/>
                <w:color w:val="auto"/>
              </w:rPr>
            </w:pPr>
            <w:r>
              <w:rPr>
                <w:rFonts w:ascii="Times New Roman" w:cs="Times New Roman" w:eastAsia="Times New Roman" w:hAnsi="Times New Roman"/>
                <w:sz w:val="19"/>
                <w:szCs w:val="19"/>
                <w:color w:val="auto"/>
              </w:rPr>
              <w:t>5.5%</w:t>
            </w:r>
          </w:p>
        </w:tc>
        <w:tc>
          <w:tcPr>
            <w:tcW w:w="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40" w:type="dxa"/>
            <w:vAlign w:val="bottom"/>
          </w:tcPr>
          <w:p>
            <w:pPr>
              <w:jc w:val="right"/>
              <w:ind w:right="233"/>
              <w:spacing w:after="0"/>
              <w:rPr>
                <w:sz w:val="20"/>
                <w:szCs w:val="20"/>
                <w:color w:val="auto"/>
              </w:rPr>
            </w:pPr>
            <w:r>
              <w:rPr>
                <w:rFonts w:ascii="Times New Roman" w:cs="Times New Roman" w:eastAsia="Times New Roman" w:hAnsi="Times New Roman"/>
                <w:sz w:val="19"/>
                <w:szCs w:val="19"/>
                <w:color w:val="auto"/>
                <w:w w:val="90"/>
              </w:rPr>
              <w:t>2 .9%</w:t>
            </w:r>
          </w:p>
        </w:tc>
      </w:tr>
      <w:tr>
        <w:trPr>
          <w:trHeight w:val="205"/>
        </w:trPr>
        <w:tc>
          <w:tcPr>
            <w:tcW w:w="190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Expected return on</w:t>
            </w:r>
          </w:p>
        </w:tc>
        <w:tc>
          <w:tcPr>
            <w:tcW w:w="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31"/>
        </w:trPr>
        <w:tc>
          <w:tcPr>
            <w:tcW w:w="19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plan assets . . . . . . .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20"/>
                <w:szCs w:val="20"/>
                <w:color w:val="auto"/>
              </w:rPr>
              <w:t>6.25%</w:t>
            </w:r>
          </w:p>
        </w:tc>
        <w:tc>
          <w:tcPr>
            <w:tcW w:w="80" w:type="dxa"/>
            <w:vAlign w:val="bottom"/>
          </w:tcPr>
          <w:p>
            <w:pPr>
              <w:spacing w:after="0"/>
              <w:rPr>
                <w:sz w:val="20"/>
                <w:szCs w:val="20"/>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6.25%</w:t>
            </w:r>
          </w:p>
        </w:tc>
        <w:tc>
          <w:tcPr>
            <w:tcW w:w="80" w:type="dxa"/>
            <w:vAlign w:val="bottom"/>
          </w:tcPr>
          <w:p>
            <w:pPr>
              <w:spacing w:after="0"/>
              <w:rPr>
                <w:sz w:val="20"/>
                <w:szCs w:val="20"/>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6.25%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7"/>
        </w:trPr>
        <w:tc>
          <w:tcPr>
            <w:tcW w:w="1900" w:type="dxa"/>
            <w:vAlign w:val="bottom"/>
          </w:tcPr>
          <w:p>
            <w:pPr>
              <w:spacing w:after="0"/>
              <w:rPr>
                <w:sz w:val="20"/>
                <w:szCs w:val="20"/>
                <w:color w:val="auto"/>
              </w:rPr>
            </w:pPr>
            <w:r>
              <w:rPr>
                <w:rFonts w:ascii="Times New Roman" w:cs="Times New Roman" w:eastAsia="Times New Roman" w:hAnsi="Times New Roman"/>
                <w:sz w:val="19"/>
                <w:szCs w:val="19"/>
                <w:color w:val="auto"/>
              </w:rPr>
              <w:t>Rate of compensation</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9"/>
        </w:trPr>
        <w:tc>
          <w:tcPr>
            <w:tcW w:w="19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increase - age</w:t>
            </w:r>
          </w:p>
        </w:tc>
        <w:tc>
          <w:tcPr>
            <w:tcW w:w="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0"/>
        </w:trPr>
        <w:tc>
          <w:tcPr>
            <w:tcW w:w="3240" w:type="dxa"/>
            <w:vAlign w:val="bottom"/>
            <w:gridSpan w:val="4"/>
          </w:tcPr>
          <w:p>
            <w:pPr>
              <w:ind w:left="200"/>
              <w:spacing w:after="0"/>
              <w:rPr>
                <w:sz w:val="20"/>
                <w:szCs w:val="20"/>
                <w:color w:val="auto"/>
              </w:rPr>
            </w:pPr>
            <w:r>
              <w:rPr>
                <w:rFonts w:ascii="Times New Roman" w:cs="Times New Roman" w:eastAsia="Times New Roman" w:hAnsi="Times New Roman"/>
                <w:sz w:val="19"/>
                <w:szCs w:val="19"/>
                <w:color w:val="auto"/>
              </w:rPr>
              <w:t xml:space="preserve">graded . . . . . . . . . . .  </w:t>
            </w:r>
            <w:r>
              <w:rPr>
                <w:rFonts w:ascii="Times New Roman" w:cs="Times New Roman" w:eastAsia="Times New Roman" w:hAnsi="Times New Roman"/>
                <w:sz w:val="20"/>
                <w:szCs w:val="20"/>
                <w:color w:val="auto"/>
              </w:rPr>
              <w:t>5.0%- 1.0%</w:t>
            </w:r>
          </w:p>
        </w:tc>
        <w:tc>
          <w:tcPr>
            <w:tcW w:w="11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5.0%- 1.0%</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5.0%- 1.0%</w:t>
            </w:r>
          </w:p>
        </w:tc>
        <w:tc>
          <w:tcPr>
            <w:tcW w:w="3400" w:type="dxa"/>
            <w:vAlign w:val="bottom"/>
            <w:gridSpan w:val="9"/>
          </w:tcPr>
          <w:p>
            <w:pPr>
              <w:jc w:val="center"/>
              <w:spacing w:after="0"/>
              <w:rPr>
                <w:sz w:val="20"/>
                <w:szCs w:val="20"/>
                <w:color w:val="auto"/>
              </w:rPr>
            </w:pPr>
            <w:r>
              <w:rPr>
                <w:rFonts w:ascii="Times New Roman" w:cs="Times New Roman" w:eastAsia="Times New Roman" w:hAnsi="Times New Roman"/>
                <w:sz w:val="20"/>
                <w:szCs w:val="20"/>
                <w:color w:val="auto"/>
              </w:rPr>
              <w:t xml:space="preserve">5.0% -1.0% </w:t>
            </w:r>
            <w:r>
              <w:rPr>
                <w:rFonts w:ascii="Times New Roman" w:cs="Times New Roman" w:eastAsia="Times New Roman" w:hAnsi="Times New Roman"/>
                <w:sz w:val="18"/>
                <w:szCs w:val="18"/>
                <w:color w:val="auto"/>
              </w:rPr>
              <w:t>5.0%- 1.0%  5.0%- 1.0%</w:t>
            </w:r>
          </w:p>
        </w:tc>
      </w:tr>
      <w:tr>
        <w:trPr>
          <w:trHeight w:val="221"/>
        </w:trPr>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center"/>
              <w:ind w:right="100"/>
              <w:spacing w:after="0" w:line="221" w:lineRule="exact"/>
              <w:rPr>
                <w:sz w:val="20"/>
                <w:szCs w:val="20"/>
                <w:color w:val="auto"/>
              </w:rPr>
            </w:pPr>
            <w:r>
              <w:rPr>
                <w:rFonts w:ascii="Times New Roman" w:cs="Times New Roman" w:eastAsia="Times New Roman" w:hAnsi="Times New Roman"/>
                <w:sz w:val="20"/>
                <w:szCs w:val="20"/>
                <w:color w:val="auto"/>
              </w:rPr>
              <w:t xml:space="preserve">6.37% </w:t>
            </w:r>
            <w:r>
              <w:rPr>
                <w:rFonts w:ascii="Times New Roman" w:cs="Times New Roman" w:eastAsia="Times New Roman" w:hAnsi="Times New Roman"/>
                <w:sz w:val="18"/>
                <w:szCs w:val="18"/>
                <w:color w:val="auto"/>
              </w:rPr>
              <w:t>with</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7"/>
        </w:trPr>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phase in to</w:t>
            </w: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1900" w:type="dxa"/>
            <w:vAlign w:val="bottom"/>
          </w:tcPr>
          <w:p>
            <w:pPr>
              <w:spacing w:after="0"/>
              <w:rPr>
                <w:sz w:val="19"/>
                <w:szCs w:val="19"/>
                <w:color w:val="auto"/>
              </w:rPr>
            </w:pPr>
          </w:p>
        </w:tc>
        <w:tc>
          <w:tcPr>
            <w:tcW w:w="1340" w:type="dxa"/>
            <w:vAlign w:val="bottom"/>
            <w:gridSpan w:val="3"/>
          </w:tcPr>
          <w:p>
            <w:pPr>
              <w:jc w:val="center"/>
              <w:ind w:right="40"/>
              <w:spacing w:after="0"/>
              <w:rPr>
                <w:sz w:val="20"/>
                <w:szCs w:val="20"/>
                <w:color w:val="auto"/>
              </w:rPr>
            </w:pPr>
            <w:r>
              <w:rPr>
                <w:rFonts w:ascii="Times New Roman" w:cs="Times New Roman" w:eastAsia="Times New Roman" w:hAnsi="Times New Roman"/>
                <w:sz w:val="20"/>
                <w:szCs w:val="20"/>
                <w:color w:val="auto"/>
              </w:rPr>
              <w:t xml:space="preserve">5.20% </w:t>
            </w:r>
            <w:r>
              <w:rPr>
                <w:rFonts w:ascii="Times New Roman" w:cs="Times New Roman" w:eastAsia="Times New Roman" w:hAnsi="Times New Roman"/>
                <w:sz w:val="18"/>
                <w:szCs w:val="18"/>
                <w:color w:val="auto"/>
              </w:rPr>
              <w:t>in</w:t>
            </w:r>
            <w:r>
              <w:rPr>
                <w:rFonts w:ascii="Times New Roman" w:cs="Times New Roman" w:eastAsia="Times New Roman" w:hAnsi="Times New Roman"/>
                <w:sz w:val="20"/>
                <w:szCs w:val="20"/>
                <w:color w:val="auto"/>
              </w:rPr>
              <w:t xml:space="preserve"> 2025</w:t>
            </w: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1"/>
        </w:trPr>
        <w:tc>
          <w:tcPr>
            <w:tcW w:w="19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00" w:type="dxa"/>
            <w:vAlign w:val="bottom"/>
            <w:gridSpan w:val="2"/>
          </w:tcPr>
          <w:p>
            <w:pPr>
              <w:jc w:val="center"/>
              <w:ind w:right="80"/>
              <w:spacing w:after="0" w:line="221" w:lineRule="exact"/>
              <w:rPr>
                <w:sz w:val="20"/>
                <w:szCs w:val="20"/>
                <w:color w:val="auto"/>
              </w:rPr>
            </w:pPr>
            <w:r>
              <w:rPr>
                <w:rFonts w:ascii="Times New Roman" w:cs="Times New Roman" w:eastAsia="Times New Roman" w:hAnsi="Times New Roman"/>
                <w:sz w:val="20"/>
                <w:szCs w:val="20"/>
                <w:color w:val="auto"/>
              </w:rPr>
              <w:t xml:space="preserve">/6.37% </w:t>
            </w:r>
            <w:r>
              <w:rPr>
                <w:rFonts w:ascii="Times New Roman" w:cs="Times New Roman" w:eastAsia="Times New Roman" w:hAnsi="Times New Roman"/>
                <w:sz w:val="18"/>
                <w:szCs w:val="18"/>
                <w:color w:val="auto"/>
              </w:rPr>
              <w:t>with</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9"/>
                <w:szCs w:val="19"/>
                <w:color w:val="auto"/>
              </w:rPr>
              <w:t>4.28% with</w:t>
            </w: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1.41% with</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36"/>
        </w:trPr>
        <w:tc>
          <w:tcPr>
            <w:tcW w:w="19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0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phase in to</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phase in to</w:t>
            </w: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phase in to</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21"/>
        </w:trPr>
        <w:tc>
          <w:tcPr>
            <w:tcW w:w="1900" w:type="dxa"/>
            <w:vAlign w:val="bottom"/>
          </w:tcPr>
          <w:p>
            <w:pPr>
              <w:spacing w:after="0"/>
              <w:rPr>
                <w:sz w:val="20"/>
                <w:szCs w:val="20"/>
                <w:color w:val="auto"/>
              </w:rPr>
            </w:pPr>
            <w:r>
              <w:rPr>
                <w:rFonts w:ascii="Times New Roman" w:cs="Times New Roman" w:eastAsia="Times New Roman" w:hAnsi="Times New Roman"/>
                <w:sz w:val="19"/>
                <w:szCs w:val="19"/>
                <w:color w:val="auto"/>
              </w:rPr>
              <w:t>Cash balance interest</w:t>
            </w:r>
          </w:p>
        </w:tc>
        <w:tc>
          <w:tcPr>
            <w:tcW w:w="1340" w:type="dxa"/>
            <w:vAlign w:val="bottom"/>
            <w:gridSpan w:val="3"/>
          </w:tcPr>
          <w:p>
            <w:pPr>
              <w:jc w:val="center"/>
              <w:ind w:right="40"/>
              <w:spacing w:after="0" w:line="221" w:lineRule="exact"/>
              <w:rPr>
                <w:sz w:val="20"/>
                <w:szCs w:val="20"/>
                <w:color w:val="auto"/>
              </w:rPr>
            </w:pPr>
            <w:r>
              <w:rPr>
                <w:rFonts w:ascii="Times New Roman" w:cs="Times New Roman" w:eastAsia="Times New Roman" w:hAnsi="Times New Roman"/>
                <w:sz w:val="20"/>
                <w:szCs w:val="20"/>
                <w:color w:val="auto"/>
              </w:rPr>
              <w:t xml:space="preserve">5.50% </w:t>
            </w:r>
            <w:r>
              <w:rPr>
                <w:rFonts w:ascii="Times New Roman" w:cs="Times New Roman" w:eastAsia="Times New Roman" w:hAnsi="Times New Roman"/>
                <w:sz w:val="18"/>
                <w:szCs w:val="18"/>
                <w:color w:val="auto"/>
              </w:rPr>
              <w:t>in</w:t>
            </w:r>
            <w:r>
              <w:rPr>
                <w:rFonts w:ascii="Times New Roman" w:cs="Times New Roman" w:eastAsia="Times New Roman" w:hAnsi="Times New Roman"/>
                <w:sz w:val="20"/>
                <w:szCs w:val="20"/>
                <w:color w:val="auto"/>
              </w:rPr>
              <w:t xml:space="preserve"> 2026</w:t>
            </w:r>
          </w:p>
        </w:tc>
        <w:tc>
          <w:tcPr>
            <w:tcW w:w="1260" w:type="dxa"/>
            <w:vAlign w:val="bottom"/>
            <w:gridSpan w:val="2"/>
          </w:tcPr>
          <w:p>
            <w:pPr>
              <w:jc w:val="center"/>
              <w:ind w:right="80"/>
              <w:spacing w:after="0"/>
              <w:rPr>
                <w:sz w:val="20"/>
                <w:szCs w:val="20"/>
                <w:color w:val="auto"/>
              </w:rPr>
            </w:pPr>
            <w:r>
              <w:rPr>
                <w:rFonts w:ascii="Times New Roman" w:cs="Times New Roman" w:eastAsia="Times New Roman" w:hAnsi="Times New Roman"/>
                <w:sz w:val="19"/>
                <w:szCs w:val="19"/>
                <w:color w:val="auto"/>
              </w:rPr>
              <w:t>5.50% in</w:t>
            </w: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2.90% in</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27"/>
        </w:trPr>
        <w:tc>
          <w:tcPr>
            <w:tcW w:w="1900" w:type="dxa"/>
            <w:vAlign w:val="bottom"/>
          </w:tcPr>
          <w:p>
            <w:pPr>
              <w:ind w:left="200"/>
              <w:spacing w:after="0" w:line="217" w:lineRule="exact"/>
              <w:rPr>
                <w:sz w:val="20"/>
                <w:szCs w:val="20"/>
                <w:color w:val="auto"/>
              </w:rPr>
            </w:pPr>
            <w:r>
              <w:rPr>
                <w:rFonts w:ascii="Times New Roman" w:cs="Times New Roman" w:eastAsia="Times New Roman" w:hAnsi="Times New Roman"/>
                <w:sz w:val="19"/>
                <w:szCs w:val="19"/>
                <w:color w:val="auto"/>
              </w:rPr>
              <w:t>crediting rate . . . . . .</w:t>
            </w: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2"/>
                <w:szCs w:val="12"/>
                <w:color w:val="auto"/>
                <w:w w:val="99"/>
              </w:rPr>
              <w:t>(2)</w:t>
            </w:r>
          </w:p>
        </w:tc>
        <w:tc>
          <w:tcPr>
            <w:tcW w:w="8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2025</w:t>
            </w:r>
          </w:p>
        </w:tc>
        <w:tc>
          <w:tcPr>
            <w:tcW w:w="80" w:type="dxa"/>
            <w:vAlign w:val="bottom"/>
          </w:tcPr>
          <w:p>
            <w:pPr>
              <w:spacing w:after="0"/>
              <w:rPr>
                <w:sz w:val="19"/>
                <w:szCs w:val="19"/>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2024</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spacing w:after="0"/>
              <w:rPr>
                <w:sz w:val="19"/>
                <w:szCs w:val="19"/>
                <w:color w:val="auto"/>
              </w:rPr>
            </w:pPr>
          </w:p>
        </w:tc>
      </w:tr>
    </w:tbl>
    <w:p>
      <w:pPr>
        <w:spacing w:after="0" w:line="187" w:lineRule="exact"/>
        <w:rPr>
          <w:sz w:val="20"/>
          <w:szCs w:val="20"/>
          <w:color w:val="auto"/>
        </w:rPr>
      </w:pPr>
    </w:p>
    <w:p>
      <w:pPr>
        <w:jc w:val="both"/>
        <w:ind w:left="440" w:right="125" w:hanging="324"/>
        <w:spacing w:after="0" w:line="275" w:lineRule="auto"/>
        <w:tabs>
          <w:tab w:leader="none" w:pos="420" w:val="left"/>
        </w:tabs>
        <w:rPr>
          <w:sz w:val="20"/>
          <w:szCs w:val="20"/>
          <w:color w:val="auto"/>
        </w:rPr>
      </w:pPr>
      <w:r>
        <w:rPr>
          <w:rFonts w:ascii="Times New Roman" w:cs="Times New Roman" w:eastAsia="Times New Roman" w:hAnsi="Times New Roman"/>
          <w:sz w:val="15"/>
          <w:szCs w:val="15"/>
          <w:color w:val="auto"/>
        </w:rPr>
        <w:t>( I)</w:t>
        <w:tab/>
        <w:t>As a result of the irrevocable group annuity contract purchase, the Company remeasured the accumulated and projected benefit obligation of the pensio n plan as of October 17, 2024. The remeasuremenl changed the discount rate from 5.2% for the period January I to October 17, 2024to 5 .3% for the period after October 17,2024.</w:t>
      </w:r>
    </w:p>
    <w:p>
      <w:pPr>
        <w:spacing w:after="0" w:line="3" w:lineRule="exact"/>
        <w:rPr>
          <w:sz w:val="20"/>
          <w:szCs w:val="20"/>
          <w:color w:val="auto"/>
        </w:rPr>
      </w:pPr>
    </w:p>
    <w:p>
      <w:pPr>
        <w:ind w:left="440" w:hanging="327"/>
        <w:spacing w:after="0"/>
        <w:tabs>
          <w:tab w:leader="none" w:pos="440" w:val="left"/>
        </w:tabs>
        <w:numPr>
          <w:ilvl w:val="0"/>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a  result of the  irrevocable group  annuity  contract  purchase,  lhe Company  remeasured  the  accumulated and  projected  benefit</w:t>
      </w:r>
    </w:p>
    <w:p>
      <w:pPr>
        <w:spacing w:after="0" w:line="41" w:lineRule="exact"/>
        <w:rPr>
          <w:rFonts w:ascii="Times New Roman" w:cs="Times New Roman" w:eastAsia="Times New Roman" w:hAnsi="Times New Roman"/>
          <w:sz w:val="15"/>
          <w:szCs w:val="15"/>
          <w:color w:val="auto"/>
        </w:rPr>
      </w:pPr>
    </w:p>
    <w:p>
      <w:pPr>
        <w:jc w:val="both"/>
        <w:ind w:left="440" w:right="125"/>
        <w:spacing w:after="0" w:line="268"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obligation of the pension plan as of October 17, 2024. The remeasurement c hanged the cash balance interest crediting rate from 6.37% with phase in to 5.20% in 2025 for the period January I to October 17, 2024 to 6.37% with phase in to 5.50% in 2026 for the period after October 17, 2024.</w:t>
      </w:r>
    </w:p>
    <w:p>
      <w:pPr>
        <w:spacing w:after="0" w:line="223" w:lineRule="exact"/>
        <w:rPr>
          <w:sz w:val="20"/>
          <w:szCs w:val="20"/>
          <w:color w:val="auto"/>
        </w:rPr>
      </w:pPr>
    </w:p>
    <w:p>
      <w:pPr>
        <w:jc w:val="both"/>
        <w:ind w:left="120" w:right="125"/>
        <w:spacing w:after="0" w:line="248" w:lineRule="auto"/>
        <w:rPr>
          <w:sz w:val="20"/>
          <w:szCs w:val="20"/>
          <w:color w:val="auto"/>
        </w:rPr>
      </w:pPr>
      <w:r>
        <w:rPr>
          <w:rFonts w:ascii="Times New Roman" w:cs="Times New Roman" w:eastAsia="Times New Roman" w:hAnsi="Times New Roman"/>
          <w:sz w:val="19"/>
          <w:szCs w:val="19"/>
          <w:color w:val="auto"/>
        </w:rPr>
        <w:t>Accumulated other comprehensive income (AOCI)</w:t>
      </w:r>
      <w:r>
        <w:rPr>
          <w:sz w:val="20"/>
          <w:szCs w:val="20"/>
          <w:color w:val="auto"/>
        </w:rPr>
        <w:t xml:space="preserve"> </w:t>
      </w:r>
      <w:r>
        <w:rPr>
          <w:rFonts w:ascii="Times New Roman" w:cs="Times New Roman" w:eastAsia="Times New Roman" w:hAnsi="Times New Roman"/>
          <w:sz w:val="19"/>
          <w:szCs w:val="19"/>
          <w:color w:val="auto"/>
        </w:rPr>
        <w:t>includes the following components of unrecognized net periodic cost for the defined benefit plans:</w:t>
      </w:r>
    </w:p>
    <w:p>
      <w:pPr>
        <w:spacing w:after="0" w:line="400" w:lineRule="exact"/>
        <w:rPr>
          <w:sz w:val="20"/>
          <w:szCs w:val="20"/>
          <w:color w:val="auto"/>
        </w:rPr>
      </w:pPr>
    </w:p>
    <w:tbl>
      <w:tblPr>
        <w:tblLayout w:type="fixed"/>
        <w:tblInd w:w="520" w:type="dxa"/>
        <w:tblCellMar>
          <w:top w:w="0" w:type="dxa"/>
          <w:left w:w="0" w:type="dxa"/>
          <w:bottom w:w="0" w:type="dxa"/>
          <w:right w:w="0" w:type="dxa"/>
        </w:tblCellMar>
      </w:tblPr>
      <w:tr>
        <w:trPr>
          <w:trHeight w:val="172"/>
        </w:trPr>
        <w:tc>
          <w:tcPr>
            <w:tcW w:w="4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100" w:type="dxa"/>
            <w:vAlign w:val="bottom"/>
            <w:gridSpan w:val="5"/>
          </w:tcPr>
          <w:p>
            <w:pPr>
              <w:jc w:val="right"/>
              <w:ind w:right="680"/>
              <w:spacing w:after="0"/>
              <w:rPr>
                <w:sz w:val="20"/>
                <w:szCs w:val="20"/>
                <w:color w:val="auto"/>
              </w:rPr>
            </w:pPr>
            <w:r>
              <w:rPr>
                <w:rFonts w:ascii="Times New Roman" w:cs="Times New Roman" w:eastAsia="Times New Roman" w:hAnsi="Times New Roman"/>
                <w:sz w:val="15"/>
                <w:szCs w:val="15"/>
                <w:color w:val="auto"/>
              </w:rPr>
              <w:t>Pension Plans</w:t>
            </w:r>
          </w:p>
        </w:tc>
        <w:tc>
          <w:tcPr>
            <w:tcW w:w="140" w:type="dxa"/>
            <w:vAlign w:val="bottom"/>
          </w:tcPr>
          <w:p>
            <w:pPr>
              <w:spacing w:after="0"/>
              <w:rPr>
                <w:sz w:val="15"/>
                <w:szCs w:val="15"/>
                <w:color w:val="auto"/>
              </w:rPr>
            </w:pPr>
          </w:p>
        </w:tc>
        <w:tc>
          <w:tcPr>
            <w:tcW w:w="1580" w:type="dxa"/>
            <w:vAlign w:val="bottom"/>
            <w:gridSpan w:val="5"/>
          </w:tcPr>
          <w:p>
            <w:pPr>
              <w:jc w:val="right"/>
              <w:ind w:right="620"/>
              <w:spacing w:after="0"/>
              <w:rPr>
                <w:sz w:val="20"/>
                <w:szCs w:val="20"/>
                <w:color w:val="auto"/>
              </w:rPr>
            </w:pPr>
            <w:r>
              <w:rPr>
                <w:rFonts w:ascii="Times New Roman" w:cs="Times New Roman" w:eastAsia="Times New Roman" w:hAnsi="Times New Roman"/>
                <w:sz w:val="15"/>
                <w:szCs w:val="15"/>
                <w:color w:val="auto"/>
              </w:rPr>
              <w:t>SEIRP</w:t>
            </w:r>
          </w:p>
        </w:tc>
        <w:tc>
          <w:tcPr>
            <w:tcW w:w="0" w:type="dxa"/>
            <w:vAlign w:val="bottom"/>
          </w:tcPr>
          <w:p>
            <w:pPr>
              <w:spacing w:after="0"/>
              <w:rPr>
                <w:sz w:val="1"/>
                <w:szCs w:val="1"/>
                <w:color w:val="auto"/>
              </w:rPr>
            </w:pPr>
          </w:p>
        </w:tc>
      </w:tr>
      <w:tr>
        <w:trPr>
          <w:trHeight w:val="35"/>
        </w:trPr>
        <w:tc>
          <w:tcPr>
            <w:tcW w:w="45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181414"/>
            </w:tcBorders>
          </w:tcPr>
          <w:p>
            <w:pPr>
              <w:spacing w:after="0"/>
              <w:rPr>
                <w:sz w:val="3"/>
                <w:szCs w:val="3"/>
                <w:color w:val="auto"/>
              </w:rPr>
            </w:pPr>
          </w:p>
        </w:tc>
        <w:tc>
          <w:tcPr>
            <w:tcW w:w="280" w:type="dxa"/>
            <w:vAlign w:val="bottom"/>
            <w:tcBorders>
              <w:bottom w:val="single" w:sz="8" w:color="181414"/>
            </w:tcBorders>
            <w:gridSpan w:val="2"/>
          </w:tcPr>
          <w:p>
            <w:pPr>
              <w:spacing w:after="0"/>
              <w:rPr>
                <w:sz w:val="3"/>
                <w:szCs w:val="3"/>
                <w:color w:val="auto"/>
              </w:rPr>
            </w:pPr>
          </w:p>
        </w:tc>
        <w:tc>
          <w:tcPr>
            <w:tcW w:w="840" w:type="dxa"/>
            <w:vAlign w:val="bottom"/>
            <w:tcBorders>
              <w:bottom w:val="single" w:sz="8" w:color="181414"/>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900" w:type="dxa"/>
            <w:vAlign w:val="bottom"/>
            <w:tcBorders>
              <w:bottom w:val="single" w:sz="8" w:color="181414"/>
            </w:tcBorders>
            <w:gridSpan w:val="2"/>
          </w:tcPr>
          <w:p>
            <w:pPr>
              <w:spacing w:after="0"/>
              <w:rPr>
                <w:sz w:val="3"/>
                <w:szCs w:val="3"/>
                <w:color w:val="auto"/>
              </w:rPr>
            </w:pPr>
          </w:p>
        </w:tc>
        <w:tc>
          <w:tcPr>
            <w:tcW w:w="620" w:type="dxa"/>
            <w:vAlign w:val="bottom"/>
            <w:tcBorders>
              <w:bottom w:val="single" w:sz="8" w:color="181414"/>
            </w:tcBorders>
          </w:tcPr>
          <w:p>
            <w:pPr>
              <w:spacing w:after="0"/>
              <w:rPr>
                <w:sz w:val="3"/>
                <w:szCs w:val="3"/>
                <w:color w:val="auto"/>
              </w:rPr>
            </w:pPr>
          </w:p>
        </w:tc>
        <w:tc>
          <w:tcPr>
            <w:tcW w:w="20" w:type="dxa"/>
            <w:vAlign w:val="bottom"/>
            <w:tcBorders>
              <w:bottom w:val="single" w:sz="8" w:color="181414"/>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4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00" w:type="dxa"/>
            <w:vAlign w:val="bottom"/>
            <w:gridSpan w:val="5"/>
          </w:tcPr>
          <w:p>
            <w:pPr>
              <w:jc w:val="right"/>
              <w:ind w:right="500"/>
              <w:spacing w:after="0"/>
              <w:rPr>
                <w:sz w:val="20"/>
                <w:szCs w:val="20"/>
                <w:color w:val="auto"/>
              </w:rPr>
            </w:pPr>
            <w:r>
              <w:rPr>
                <w:rFonts w:ascii="Times New Roman" w:cs="Times New Roman" w:eastAsia="Times New Roman" w:hAnsi="Times New Roman"/>
                <w:sz w:val="15"/>
                <w:szCs w:val="15"/>
                <w:color w:val="auto"/>
              </w:rPr>
              <w:t>As of December 31</w:t>
            </w:r>
          </w:p>
        </w:tc>
        <w:tc>
          <w:tcPr>
            <w:tcW w:w="140" w:type="dxa"/>
            <w:vAlign w:val="bottom"/>
          </w:tcPr>
          <w:p>
            <w:pPr>
              <w:spacing w:after="0"/>
              <w:rPr>
                <w:sz w:val="16"/>
                <w:szCs w:val="16"/>
                <w:color w:val="auto"/>
              </w:rPr>
            </w:pPr>
          </w:p>
        </w:tc>
        <w:tc>
          <w:tcPr>
            <w:tcW w:w="1580" w:type="dxa"/>
            <w:vAlign w:val="bottom"/>
            <w:gridSpan w:val="5"/>
          </w:tcPr>
          <w:p>
            <w:pPr>
              <w:jc w:val="right"/>
              <w:ind w:right="180"/>
              <w:spacing w:after="0"/>
              <w:rPr>
                <w:sz w:val="20"/>
                <w:szCs w:val="20"/>
                <w:color w:val="auto"/>
              </w:rPr>
            </w:pPr>
            <w:r>
              <w:rPr>
                <w:rFonts w:ascii="Times New Roman" w:cs="Times New Roman" w:eastAsia="Times New Roman" w:hAnsi="Times New Roman"/>
                <w:sz w:val="15"/>
                <w:szCs w:val="15"/>
                <w:color w:val="auto"/>
              </w:rPr>
              <w:t>As of Dec·ember 31</w:t>
            </w:r>
          </w:p>
        </w:tc>
        <w:tc>
          <w:tcPr>
            <w:tcW w:w="0" w:type="dxa"/>
            <w:vAlign w:val="bottom"/>
          </w:tcPr>
          <w:p>
            <w:pPr>
              <w:spacing w:after="0"/>
              <w:rPr>
                <w:sz w:val="1"/>
                <w:szCs w:val="1"/>
                <w:color w:val="auto"/>
              </w:rPr>
            </w:pPr>
          </w:p>
        </w:tc>
      </w:tr>
      <w:tr>
        <w:trPr>
          <w:trHeight w:val="33"/>
        </w:trPr>
        <w:tc>
          <w:tcPr>
            <w:tcW w:w="45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 n thousands)</w:t>
            </w:r>
          </w:p>
        </w:tc>
        <w:tc>
          <w:tcPr>
            <w:tcW w:w="20" w:type="dxa"/>
            <w:vAlign w:val="bottom"/>
          </w:tcPr>
          <w:p>
            <w:pPr>
              <w:spacing w:after="0"/>
              <w:rPr>
                <w:sz w:val="2"/>
                <w:szCs w:val="2"/>
                <w:color w:val="auto"/>
              </w:rPr>
            </w:pPr>
          </w:p>
        </w:tc>
        <w:tc>
          <w:tcPr>
            <w:tcW w:w="820" w:type="dxa"/>
            <w:vAlign w:val="bottom"/>
            <w:tcBorders>
              <w:bottom w:val="single" w:sz="8" w:color="181414"/>
            </w:tcBorders>
          </w:tcPr>
          <w:p>
            <w:pPr>
              <w:spacing w:after="0"/>
              <w:rPr>
                <w:sz w:val="2"/>
                <w:szCs w:val="2"/>
                <w:color w:val="auto"/>
              </w:rPr>
            </w:pPr>
          </w:p>
        </w:tc>
        <w:tc>
          <w:tcPr>
            <w:tcW w:w="180" w:type="dxa"/>
            <w:vAlign w:val="bottom"/>
            <w:tcBorders>
              <w:bottom w:val="single" w:sz="8" w:color="181414"/>
            </w:tcBorders>
          </w:tcPr>
          <w:p>
            <w:pPr>
              <w:spacing w:after="0"/>
              <w:rPr>
                <w:sz w:val="2"/>
                <w:szCs w:val="2"/>
                <w:color w:val="auto"/>
              </w:rPr>
            </w:pPr>
          </w:p>
        </w:tc>
        <w:tc>
          <w:tcPr>
            <w:tcW w:w="940" w:type="dxa"/>
            <w:vAlign w:val="bottom"/>
            <w:tcBorders>
              <w:bottom w:val="single" w:sz="8" w:color="181414"/>
            </w:tcBorders>
            <w:gridSpan w:val="2"/>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5"/>
        </w:trPr>
        <w:tc>
          <w:tcPr>
            <w:tcW w:w="4540" w:type="dxa"/>
            <w:vAlign w:val="bottom"/>
            <w:vMerge w:val="continue"/>
          </w:tcPr>
          <w:p>
            <w:pPr>
              <w:spacing w:after="0"/>
              <w:rPr>
                <w:sz w:val="16"/>
                <w:szCs w:val="16"/>
                <w:color w:val="auto"/>
              </w:rPr>
            </w:pPr>
          </w:p>
        </w:tc>
        <w:tc>
          <w:tcPr>
            <w:tcW w:w="840" w:type="dxa"/>
            <w:vAlign w:val="bottom"/>
            <w:gridSpan w:val="2"/>
          </w:tcPr>
          <w:p>
            <w:pPr>
              <w:jc w:val="right"/>
              <w:ind w:right="184"/>
              <w:spacing w:after="0"/>
              <w:rPr>
                <w:sz w:val="20"/>
                <w:szCs w:val="20"/>
                <w:color w:val="auto"/>
              </w:rPr>
            </w:pPr>
            <w:r>
              <w:rPr>
                <w:rFonts w:ascii="Times New Roman" w:cs="Times New Roman" w:eastAsia="Times New Roman" w:hAnsi="Times New Roman"/>
                <w:sz w:val="16"/>
                <w:szCs w:val="16"/>
                <w:color w:val="auto"/>
              </w:rPr>
              <w:t>2024</w:t>
            </w:r>
          </w:p>
        </w:tc>
        <w:tc>
          <w:tcPr>
            <w:tcW w:w="180" w:type="dxa"/>
            <w:vAlign w:val="bottom"/>
          </w:tcPr>
          <w:p>
            <w:pPr>
              <w:spacing w:after="0"/>
              <w:rPr>
                <w:sz w:val="16"/>
                <w:szCs w:val="16"/>
                <w:color w:val="auto"/>
              </w:rPr>
            </w:pPr>
          </w:p>
        </w:tc>
        <w:tc>
          <w:tcPr>
            <w:tcW w:w="940" w:type="dxa"/>
            <w:vAlign w:val="bottom"/>
            <w:gridSpan w:val="2"/>
          </w:tcPr>
          <w:p>
            <w:pPr>
              <w:jc w:val="right"/>
              <w:ind w:right="167"/>
              <w:spacing w:after="0"/>
              <w:rPr>
                <w:sz w:val="20"/>
                <w:szCs w:val="20"/>
                <w:color w:val="auto"/>
              </w:rPr>
            </w:pPr>
            <w:r>
              <w:rPr>
                <w:rFonts w:ascii="Times New Roman" w:cs="Times New Roman" w:eastAsia="Times New Roman" w:hAnsi="Times New Roman"/>
                <w:sz w:val="16"/>
                <w:szCs w:val="16"/>
                <w:color w:val="auto"/>
              </w:rPr>
              <w:t>2023</w:t>
            </w:r>
          </w:p>
        </w:tc>
        <w:tc>
          <w:tcPr>
            <w:tcW w:w="160" w:type="dxa"/>
            <w:vAlign w:val="bottom"/>
          </w:tcPr>
          <w:p>
            <w:pPr>
              <w:spacing w:after="0"/>
              <w:rPr>
                <w:sz w:val="16"/>
                <w:szCs w:val="16"/>
                <w:color w:val="auto"/>
              </w:rPr>
            </w:pPr>
          </w:p>
        </w:tc>
        <w:tc>
          <w:tcPr>
            <w:tcW w:w="920" w:type="dxa"/>
            <w:vAlign w:val="bottom"/>
            <w:gridSpan w:val="2"/>
          </w:tcPr>
          <w:p>
            <w:pPr>
              <w:jc w:val="right"/>
              <w:ind w:right="244"/>
              <w:spacing w:after="0"/>
              <w:rPr>
                <w:sz w:val="20"/>
                <w:szCs w:val="20"/>
                <w:color w:val="auto"/>
              </w:rPr>
            </w:pPr>
            <w:r>
              <w:rPr>
                <w:rFonts w:ascii="Times New Roman" w:cs="Times New Roman" w:eastAsia="Times New Roman" w:hAnsi="Times New Roman"/>
                <w:sz w:val="16"/>
                <w:szCs w:val="16"/>
                <w:color w:val="auto"/>
              </w:rPr>
              <w:t>2024</w:t>
            </w:r>
          </w:p>
        </w:tc>
        <w:tc>
          <w:tcPr>
            <w:tcW w:w="74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color w:val="auto"/>
              </w:rPr>
              <w:t>2023</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
        </w:trPr>
        <w:tc>
          <w:tcPr>
            <w:tcW w:w="4540" w:type="dxa"/>
            <w:vAlign w:val="bottom"/>
          </w:tcPr>
          <w:p>
            <w:pPr>
              <w:spacing w:after="0"/>
              <w:rPr>
                <w:sz w:val="2"/>
                <w:szCs w:val="2"/>
                <w:color w:val="auto"/>
              </w:rPr>
            </w:pPr>
          </w:p>
        </w:tc>
        <w:tc>
          <w:tcPr>
            <w:tcW w:w="840" w:type="dxa"/>
            <w:vAlign w:val="bottom"/>
            <w:tcBorders>
              <w:bottom w:val="single" w:sz="8" w:color="403C3C"/>
            </w:tcBorders>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tcBorders>
              <w:bottom w:val="single" w:sz="8" w:color="403C3C"/>
            </w:tcBorders>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40" w:type="dxa"/>
            <w:vAlign w:val="bottom"/>
          </w:tcPr>
          <w:p>
            <w:pPr>
              <w:spacing w:after="0"/>
              <w:rPr>
                <w:sz w:val="20"/>
                <w:szCs w:val="20"/>
                <w:color w:val="auto"/>
              </w:rPr>
            </w:pPr>
            <w:r>
              <w:rPr>
                <w:rFonts w:ascii="Times New Roman" w:cs="Times New Roman" w:eastAsia="Times New Roman" w:hAnsi="Times New Roman"/>
                <w:sz w:val="19"/>
                <w:szCs w:val="19"/>
                <w:color w:val="auto"/>
              </w:rPr>
              <w:t>Unrecognized actuarial gain  . ...... .. ........ .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$(523,941)</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$(865,994)</w:t>
            </w: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auto"/>
              </w:rPr>
              <w:t>$(3,488)</w:t>
            </w:r>
          </w:p>
        </w:tc>
        <w:tc>
          <w:tcPr>
            <w:tcW w:w="8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$(1,602)</w:t>
            </w:r>
          </w:p>
        </w:tc>
        <w:tc>
          <w:tcPr>
            <w:tcW w:w="0" w:type="dxa"/>
            <w:vAlign w:val="bottom"/>
          </w:tcPr>
          <w:p>
            <w:pPr>
              <w:spacing w:after="0"/>
              <w:rPr>
                <w:sz w:val="1"/>
                <w:szCs w:val="1"/>
                <w:color w:val="auto"/>
              </w:rPr>
            </w:pPr>
          </w:p>
        </w:tc>
      </w:tr>
      <w:tr>
        <w:trPr>
          <w:trHeight w:val="240"/>
        </w:trPr>
        <w:tc>
          <w:tcPr>
            <w:tcW w:w="4540" w:type="dxa"/>
            <w:vAlign w:val="bottom"/>
          </w:tcPr>
          <w:p>
            <w:pPr>
              <w:spacing w:after="0"/>
              <w:rPr>
                <w:sz w:val="20"/>
                <w:szCs w:val="20"/>
                <w:color w:val="auto"/>
              </w:rPr>
            </w:pPr>
            <w:r>
              <w:rPr>
                <w:rFonts w:ascii="Times New Roman" w:cs="Times New Roman" w:eastAsia="Times New Roman" w:hAnsi="Times New Roman"/>
                <w:sz w:val="19"/>
                <w:szCs w:val="19"/>
                <w:color w:val="auto"/>
              </w:rPr>
              <w:t>Unrecognized prior service credit  .............. .</w:t>
            </w: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20"/>
                <w:szCs w:val="20"/>
                <w:color w:val="auto"/>
              </w:rPr>
              <w:t>(10,016)</w:t>
            </w:r>
          </w:p>
        </w:tc>
        <w:tc>
          <w:tcPr>
            <w:tcW w:w="100" w:type="dxa"/>
            <w:vAlign w:val="bottom"/>
          </w:tcPr>
          <w:p>
            <w:pPr>
              <w:spacing w:after="0"/>
              <w:rPr>
                <w:sz w:val="20"/>
                <w:szCs w:val="20"/>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I I ,233)</w:t>
            </w: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45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G ross Amount ............................. .</w:t>
            </w:r>
          </w:p>
        </w:tc>
        <w:tc>
          <w:tcPr>
            <w:tcW w:w="1020" w:type="dxa"/>
            <w:vAlign w:val="bottom"/>
            <w:gridSpan w:val="3"/>
          </w:tcPr>
          <w:p>
            <w:pPr>
              <w:spacing w:after="0"/>
              <w:rPr>
                <w:sz w:val="2"/>
                <w:szCs w:val="2"/>
                <w:color w:val="auto"/>
              </w:rPr>
            </w:pPr>
          </w:p>
        </w:tc>
        <w:tc>
          <w:tcPr>
            <w:tcW w:w="11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9"/>
                <w:szCs w:val="19"/>
                <w:color w:val="auto"/>
              </w:rPr>
              <w:t>(877,227)</w:t>
            </w: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Borders>
              <w:bottom w:val="single" w:sz="8" w:color="504C4C"/>
            </w:tcBorders>
          </w:tcPr>
          <w:p>
            <w:pPr>
              <w:spacing w:after="0"/>
              <w:rPr>
                <w:sz w:val="2"/>
                <w:szCs w:val="2"/>
                <w:color w:val="auto"/>
              </w:rPr>
            </w:pPr>
          </w:p>
        </w:tc>
        <w:tc>
          <w:tcPr>
            <w:tcW w:w="6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4540" w:type="dxa"/>
            <w:vAlign w:val="bottom"/>
            <w:vMerge w:val="continue"/>
          </w:tcPr>
          <w:p>
            <w:pPr>
              <w:spacing w:after="0"/>
              <w:rPr>
                <w:sz w:val="22"/>
                <w:szCs w:val="22"/>
                <w:color w:val="auto"/>
              </w:rPr>
            </w:pPr>
          </w:p>
        </w:tc>
        <w:tc>
          <w:tcPr>
            <w:tcW w:w="102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(533,957)</w:t>
            </w:r>
          </w:p>
        </w:tc>
        <w:tc>
          <w:tcPr>
            <w:tcW w:w="1100" w:type="dxa"/>
            <w:vAlign w:val="bottom"/>
            <w:gridSpan w:val="3"/>
            <w:vMerge w:val="continue"/>
          </w:tcPr>
          <w:p>
            <w:pPr>
              <w:spacing w:after="0"/>
              <w:rPr>
                <w:sz w:val="22"/>
                <w:szCs w:val="22"/>
                <w:color w:val="auto"/>
              </w:rPr>
            </w:pP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9"/>
                <w:szCs w:val="19"/>
                <w:color w:val="auto"/>
              </w:rPr>
              <w:t>(3,488)</w:t>
            </w:r>
          </w:p>
        </w:tc>
        <w:tc>
          <w:tcPr>
            <w:tcW w:w="120" w:type="dxa"/>
            <w:vAlign w:val="bottom"/>
          </w:tcPr>
          <w:p>
            <w:pPr>
              <w:spacing w:after="0"/>
              <w:rPr>
                <w:sz w:val="22"/>
                <w:szCs w:val="22"/>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 I ,602)</w:t>
            </w:r>
          </w:p>
        </w:tc>
        <w:tc>
          <w:tcPr>
            <w:tcW w:w="0" w:type="dxa"/>
            <w:vAlign w:val="bottom"/>
          </w:tcPr>
          <w:p>
            <w:pPr>
              <w:spacing w:after="0"/>
              <w:rPr>
                <w:sz w:val="1"/>
                <w:szCs w:val="1"/>
                <w:color w:val="auto"/>
              </w:rPr>
            </w:pPr>
          </w:p>
        </w:tc>
      </w:tr>
      <w:tr>
        <w:trPr>
          <w:trHeight w:val="208"/>
        </w:trPr>
        <w:tc>
          <w:tcPr>
            <w:tcW w:w="4540" w:type="dxa"/>
            <w:vAlign w:val="bottom"/>
          </w:tcPr>
          <w:p>
            <w:pPr>
              <w:spacing w:after="0" w:line="208" w:lineRule="exact"/>
              <w:rPr>
                <w:sz w:val="20"/>
                <w:szCs w:val="20"/>
                <w:color w:val="auto"/>
              </w:rPr>
            </w:pPr>
            <w:r>
              <w:rPr>
                <w:rFonts w:ascii="Times New Roman" w:cs="Times New Roman" w:eastAsia="Times New Roman" w:hAnsi="Times New Roman"/>
                <w:sz w:val="19"/>
                <w:szCs w:val="19"/>
                <w:color w:val="auto"/>
              </w:rPr>
              <w:t>Deferred tax liability (asset)   . .. . .... . . . ....... .</w:t>
            </w:r>
          </w:p>
        </w:tc>
        <w:tc>
          <w:tcPr>
            <w:tcW w:w="1020" w:type="dxa"/>
            <w:vAlign w:val="bottom"/>
            <w:gridSpan w:val="3"/>
          </w:tcPr>
          <w:p>
            <w:pPr>
              <w:jc w:val="right"/>
              <w:ind w:right="180"/>
              <w:spacing w:after="0" w:line="208" w:lineRule="exact"/>
              <w:rPr>
                <w:sz w:val="20"/>
                <w:szCs w:val="20"/>
                <w:color w:val="auto"/>
              </w:rPr>
            </w:pPr>
            <w:r>
              <w:rPr>
                <w:rFonts w:ascii="Times New Roman" w:cs="Times New Roman" w:eastAsia="Times New Roman" w:hAnsi="Times New Roman"/>
                <w:sz w:val="19"/>
                <w:szCs w:val="19"/>
                <w:color w:val="auto"/>
              </w:rPr>
              <w:t>148,226</w:t>
            </w:r>
          </w:p>
        </w:tc>
        <w:tc>
          <w:tcPr>
            <w:tcW w:w="940" w:type="dxa"/>
            <w:vAlign w:val="bottom"/>
            <w:gridSpan w:val="2"/>
          </w:tcPr>
          <w:p>
            <w:pPr>
              <w:jc w:val="right"/>
              <w:spacing w:after="0" w:line="208" w:lineRule="exact"/>
              <w:rPr>
                <w:sz w:val="20"/>
                <w:szCs w:val="20"/>
                <w:color w:val="auto"/>
              </w:rPr>
            </w:pPr>
            <w:r>
              <w:rPr>
                <w:rFonts w:ascii="Times New Roman" w:cs="Times New Roman" w:eastAsia="Times New Roman" w:hAnsi="Times New Roman"/>
                <w:sz w:val="19"/>
                <w:szCs w:val="19"/>
                <w:color w:val="auto"/>
              </w:rPr>
              <w:t>236, 107</w:t>
            </w:r>
          </w:p>
        </w:tc>
        <w:tc>
          <w:tcPr>
            <w:tcW w:w="160" w:type="dxa"/>
            <w:vAlign w:val="bottom"/>
          </w:tcPr>
          <w:p>
            <w:pPr>
              <w:spacing w:after="0"/>
              <w:rPr>
                <w:sz w:val="18"/>
                <w:szCs w:val="18"/>
                <w:color w:val="auto"/>
              </w:rPr>
            </w:pPr>
          </w:p>
        </w:tc>
        <w:tc>
          <w:tcPr>
            <w:tcW w:w="920" w:type="dxa"/>
            <w:vAlign w:val="bottom"/>
            <w:gridSpan w:val="2"/>
          </w:tcPr>
          <w:p>
            <w:pPr>
              <w:jc w:val="right"/>
              <w:ind w:right="124"/>
              <w:spacing w:after="0" w:line="208" w:lineRule="exact"/>
              <w:rPr>
                <w:sz w:val="20"/>
                <w:szCs w:val="20"/>
                <w:color w:val="auto"/>
              </w:rPr>
            </w:pPr>
            <w:r>
              <w:rPr>
                <w:rFonts w:ascii="Times New Roman" w:cs="Times New Roman" w:eastAsia="Times New Roman" w:hAnsi="Times New Roman"/>
                <w:sz w:val="19"/>
                <w:szCs w:val="19"/>
                <w:color w:val="auto"/>
              </w:rPr>
              <w:t>481</w:t>
            </w:r>
          </w:p>
        </w:tc>
        <w:tc>
          <w:tcPr>
            <w:tcW w:w="800" w:type="dxa"/>
            <w:vAlign w:val="bottom"/>
            <w:gridSpan w:val="4"/>
          </w:tcPr>
          <w:p>
            <w:pPr>
              <w:jc w:val="right"/>
              <w:spacing w:after="0" w:line="208" w:lineRule="exact"/>
              <w:rPr>
                <w:sz w:val="20"/>
                <w:szCs w:val="20"/>
                <w:color w:val="auto"/>
              </w:rPr>
            </w:pPr>
            <w:r>
              <w:rPr>
                <w:rFonts w:ascii="Times New Roman" w:cs="Times New Roman" w:eastAsia="Times New Roman" w:hAnsi="Times New Roman"/>
                <w:sz w:val="21"/>
                <w:szCs w:val="21"/>
                <w:color w:val="auto"/>
              </w:rPr>
              <w:t>(2)</w:t>
            </w:r>
          </w:p>
        </w:tc>
        <w:tc>
          <w:tcPr>
            <w:tcW w:w="0" w:type="dxa"/>
            <w:vAlign w:val="bottom"/>
          </w:tcPr>
          <w:p>
            <w:pPr>
              <w:spacing w:after="0"/>
              <w:rPr>
                <w:sz w:val="1"/>
                <w:szCs w:val="1"/>
                <w:color w:val="auto"/>
              </w:rPr>
            </w:pPr>
          </w:p>
        </w:tc>
      </w:tr>
      <w:tr>
        <w:trPr>
          <w:trHeight w:val="159"/>
        </w:trPr>
        <w:tc>
          <w:tcPr>
            <w:tcW w:w="4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9"/>
                <w:szCs w:val="19"/>
                <w:color w:val="auto"/>
              </w:rPr>
              <w:t>$(64 1, 120)</w:t>
            </w:r>
          </w:p>
        </w:tc>
        <w:tc>
          <w:tcPr>
            <w:tcW w:w="920" w:type="dxa"/>
            <w:vAlign w:val="bottom"/>
            <w:gridSpan w:val="2"/>
          </w:tcPr>
          <w:p>
            <w:pPr>
              <w:jc w:val="right"/>
              <w:ind w:right="84"/>
              <w:spacing w:after="0" w:line="15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4540" w:type="dxa"/>
            <w:vAlign w:val="bottom"/>
          </w:tcPr>
          <w:p>
            <w:pPr>
              <w:spacing w:after="0" w:line="205" w:lineRule="exact"/>
              <w:rPr>
                <w:sz w:val="20"/>
                <w:szCs w:val="20"/>
                <w:color w:val="auto"/>
              </w:rPr>
            </w:pPr>
            <w:r>
              <w:rPr>
                <w:rFonts w:ascii="Times New Roman" w:cs="Times New Roman" w:eastAsia="Times New Roman" w:hAnsi="Times New Roman"/>
                <w:sz w:val="19"/>
                <w:szCs w:val="19"/>
                <w:color w:val="auto"/>
              </w:rPr>
              <w:t>Net Amount ............. . ................. .</w:t>
            </w:r>
          </w:p>
        </w:tc>
        <w:tc>
          <w:tcPr>
            <w:tcW w:w="1020" w:type="dxa"/>
            <w:vAlign w:val="bottom"/>
            <w:gridSpan w:val="3"/>
          </w:tcPr>
          <w:p>
            <w:pPr>
              <w:jc w:val="right"/>
              <w:ind w:right="120"/>
              <w:spacing w:after="0" w:line="205" w:lineRule="exact"/>
              <w:rPr>
                <w:sz w:val="20"/>
                <w:szCs w:val="20"/>
                <w:color w:val="auto"/>
              </w:rPr>
            </w:pPr>
            <w:r>
              <w:rPr>
                <w:rFonts w:ascii="Times New Roman" w:cs="Times New Roman" w:eastAsia="Times New Roman" w:hAnsi="Times New Roman"/>
                <w:sz w:val="19"/>
                <w:szCs w:val="19"/>
                <w:color w:val="auto"/>
                <w:w w:val="99"/>
              </w:rPr>
              <w:t>$(38 5,731)</w:t>
            </w:r>
          </w:p>
        </w:tc>
        <w:tc>
          <w:tcPr>
            <w:tcW w:w="1100" w:type="dxa"/>
            <w:vAlign w:val="bottom"/>
            <w:gridSpan w:val="3"/>
            <w:vMerge w:val="continue"/>
          </w:tcPr>
          <w:p>
            <w:pPr>
              <w:spacing w:after="0"/>
              <w:rPr>
                <w:sz w:val="17"/>
                <w:szCs w:val="17"/>
                <w:color w:val="auto"/>
              </w:rPr>
            </w:pPr>
          </w:p>
        </w:tc>
        <w:tc>
          <w:tcPr>
            <w:tcW w:w="920" w:type="dxa"/>
            <w:vAlign w:val="bottom"/>
            <w:gridSpan w:val="2"/>
          </w:tcPr>
          <w:p>
            <w:pPr>
              <w:jc w:val="right"/>
              <w:ind w:right="44"/>
              <w:spacing w:after="0" w:line="205" w:lineRule="exact"/>
              <w:rPr>
                <w:sz w:val="20"/>
                <w:szCs w:val="20"/>
                <w:color w:val="auto"/>
              </w:rPr>
            </w:pPr>
            <w:r>
              <w:rPr>
                <w:rFonts w:ascii="Times New Roman" w:cs="Times New Roman" w:eastAsia="Times New Roman" w:hAnsi="Times New Roman"/>
                <w:sz w:val="19"/>
                <w:szCs w:val="19"/>
                <w:color w:val="auto"/>
              </w:rPr>
              <w:t>$(3,007)</w:t>
            </w:r>
          </w:p>
        </w:tc>
        <w:tc>
          <w:tcPr>
            <w:tcW w:w="800" w:type="dxa"/>
            <w:vAlign w:val="bottom"/>
            <w:gridSpan w:val="4"/>
          </w:tcPr>
          <w:p>
            <w:pPr>
              <w:jc w:val="right"/>
              <w:spacing w:after="0" w:line="205" w:lineRule="exact"/>
              <w:rPr>
                <w:sz w:val="20"/>
                <w:szCs w:val="20"/>
                <w:color w:val="auto"/>
              </w:rPr>
            </w:pPr>
            <w:r>
              <w:rPr>
                <w:rFonts w:ascii="Times New Roman" w:cs="Times New Roman" w:eastAsia="Times New Roman" w:hAnsi="Times New Roman"/>
                <w:sz w:val="19"/>
                <w:szCs w:val="19"/>
                <w:color w:val="auto"/>
              </w:rPr>
              <w:t>$(1,604)</w:t>
            </w:r>
          </w:p>
        </w:tc>
        <w:tc>
          <w:tcPr>
            <w:tcW w:w="0" w:type="dxa"/>
            <w:vAlign w:val="bottom"/>
          </w:tcPr>
          <w:p>
            <w:pPr>
              <w:spacing w:after="0"/>
              <w:rPr>
                <w:sz w:val="1"/>
                <w:szCs w:val="1"/>
                <w:color w:val="auto"/>
              </w:rPr>
            </w:pPr>
          </w:p>
        </w:tc>
      </w:tr>
    </w:tbl>
    <w:p>
      <w:pPr>
        <w:spacing w:after="0" w:line="348" w:lineRule="exact"/>
        <w:rPr>
          <w:sz w:val="20"/>
          <w:szCs w:val="20"/>
          <w:color w:val="auto"/>
        </w:rPr>
      </w:pPr>
    </w:p>
    <w:p>
      <w:pPr>
        <w:jc w:val="both"/>
        <w:ind w:left="120" w:right="125" w:firstLine="10"/>
        <w:spacing w:after="0" w:line="256" w:lineRule="auto"/>
        <w:rPr>
          <w:sz w:val="20"/>
          <w:szCs w:val="20"/>
          <w:color w:val="auto"/>
        </w:rPr>
      </w:pPr>
      <w:r>
        <w:rPr>
          <w:rFonts w:ascii="Times New Roman" w:cs="Times New Roman" w:eastAsia="Times New Roman" w:hAnsi="Times New Roman"/>
          <w:sz w:val="19"/>
          <w:szCs w:val="19"/>
          <w:color w:val="auto"/>
        </w:rPr>
        <w:t>Defined Benefit P lan Assets. The Company's de fined benefit pension obligations are funded by a portfolio made up of private investment funds, a U .S. stock index fund, and a re latively small number of stocks and high-quality fixed-income securities that are held by a third-party trustee. The assets of the Company's pension plans were allocated as follows:</w:t>
      </w:r>
    </w:p>
    <w:p>
      <w:pPr>
        <w:spacing w:after="0" w:line="171" w:lineRule="exact"/>
        <w:rPr>
          <w:sz w:val="20"/>
          <w:szCs w:val="20"/>
          <w:color w:val="auto"/>
        </w:rPr>
      </w:pPr>
    </w:p>
    <w:tbl>
      <w:tblPr>
        <w:tblLayout w:type="fixed"/>
        <w:tblInd w:w="1320" w:type="dxa"/>
        <w:tblCellMar>
          <w:top w:w="0" w:type="dxa"/>
          <w:left w:w="0" w:type="dxa"/>
          <w:bottom w:w="0" w:type="dxa"/>
          <w:right w:w="0" w:type="dxa"/>
        </w:tblCellMar>
      </w:tblPr>
      <w:tr>
        <w:trPr>
          <w:trHeight w:val="174"/>
        </w:trPr>
        <w:tc>
          <w:tcPr>
            <w:tcW w:w="5140" w:type="dxa"/>
            <w:vAlign w:val="bottom"/>
          </w:tcPr>
          <w:p>
            <w:pPr>
              <w:spacing w:after="0"/>
              <w:rPr>
                <w:sz w:val="15"/>
                <w:szCs w:val="15"/>
                <w:color w:val="auto"/>
              </w:rPr>
            </w:pPr>
          </w:p>
        </w:tc>
        <w:tc>
          <w:tcPr>
            <w:tcW w:w="1580" w:type="dxa"/>
            <w:vAlign w:val="bottom"/>
            <w:gridSpan w:val="3"/>
          </w:tcPr>
          <w:p>
            <w:pPr>
              <w:jc w:val="right"/>
              <w:ind w:right="61"/>
              <w:spacing w:after="0"/>
              <w:rPr>
                <w:sz w:val="20"/>
                <w:szCs w:val="20"/>
                <w:color w:val="auto"/>
              </w:rPr>
            </w:pPr>
            <w:r>
              <w:rPr>
                <w:rFonts w:ascii="Times New Roman" w:cs="Times New Roman" w:eastAsia="Times New Roman" w:hAnsi="Times New Roman"/>
                <w:sz w:val="15"/>
                <w:szCs w:val="15"/>
                <w:color w:val="auto"/>
              </w:rPr>
              <w:t>As of December 31</w:t>
            </w:r>
          </w:p>
        </w:tc>
      </w:tr>
      <w:tr>
        <w:trPr>
          <w:trHeight w:val="42"/>
        </w:trPr>
        <w:tc>
          <w:tcPr>
            <w:tcW w:w="5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r>
      <w:tr>
        <w:trPr>
          <w:trHeight w:val="186"/>
        </w:trPr>
        <w:tc>
          <w:tcPr>
            <w:tcW w:w="5140" w:type="dxa"/>
            <w:vAlign w:val="bottom"/>
          </w:tcPr>
          <w:p>
            <w:pPr>
              <w:spacing w:after="0"/>
              <w:rPr>
                <w:sz w:val="16"/>
                <w:szCs w:val="16"/>
                <w:color w:val="auto"/>
              </w:rPr>
            </w:pPr>
          </w:p>
        </w:tc>
        <w:tc>
          <w:tcPr>
            <w:tcW w:w="660" w:type="dxa"/>
            <w:vAlign w:val="bottom"/>
          </w:tcPr>
          <w:p>
            <w:pPr>
              <w:jc w:val="right"/>
              <w:ind w:right="82"/>
              <w:spacing w:after="0"/>
              <w:rPr>
                <w:sz w:val="20"/>
                <w:szCs w:val="20"/>
                <w:color w:val="auto"/>
              </w:rPr>
            </w:pPr>
            <w:r>
              <w:rPr>
                <w:rFonts w:ascii="Times New Roman" w:cs="Times New Roman" w:eastAsia="Times New Roman" w:hAnsi="Times New Roman"/>
                <w:sz w:val="16"/>
                <w:szCs w:val="16"/>
                <w:color w:val="auto"/>
              </w:rPr>
              <w:t>2024</w:t>
            </w:r>
          </w:p>
        </w:tc>
        <w:tc>
          <w:tcPr>
            <w:tcW w:w="280" w:type="dxa"/>
            <w:vAlign w:val="bottom"/>
          </w:tcPr>
          <w:p>
            <w:pPr>
              <w:spacing w:after="0"/>
              <w:rPr>
                <w:sz w:val="16"/>
                <w:szCs w:val="16"/>
                <w:color w:val="auto"/>
              </w:rPr>
            </w:pPr>
          </w:p>
        </w:tc>
        <w:tc>
          <w:tcPr>
            <w:tcW w:w="64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2023</w:t>
            </w:r>
          </w:p>
        </w:tc>
      </w:tr>
      <w:tr>
        <w:trPr>
          <w:trHeight w:val="41"/>
        </w:trPr>
        <w:tc>
          <w:tcPr>
            <w:tcW w:w="514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r>
      <w:tr>
        <w:trPr>
          <w:trHeight w:val="269"/>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U .S. equities .... . ................................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64%</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59%</w:t>
            </w:r>
          </w:p>
        </w:tc>
      </w:tr>
      <w:tr>
        <w:trPr>
          <w:trHeight w:val="231"/>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Private investment funds  ..... .. ....................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19%</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International equities  ........... . ..................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12%</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14%</w:t>
            </w:r>
          </w:p>
        </w:tc>
      </w:tr>
      <w:tr>
        <w:trPr>
          <w:trHeight w:val="248"/>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U.S. fixed income  ................................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5%</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9"/>
                <w:szCs w:val="19"/>
                <w:color w:val="auto"/>
              </w:rPr>
              <w:t>U .S. stock index fund .............................. .</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 %</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w:t>
            </w:r>
          </w:p>
        </w:tc>
      </w:tr>
      <w:tr>
        <w:trPr>
          <w:trHeight w:val="282"/>
        </w:trPr>
        <w:tc>
          <w:tcPr>
            <w:tcW w:w="5140" w:type="dxa"/>
            <w:vAlign w:val="bottom"/>
          </w:tcPr>
          <w:p>
            <w:pPr>
              <w:spacing w:after="0"/>
              <w:rPr>
                <w:sz w:val="24"/>
                <w:szCs w:val="24"/>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100%</w:t>
            </w:r>
          </w:p>
        </w:tc>
        <w:tc>
          <w:tcPr>
            <w:tcW w:w="6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100%</w:t>
            </w:r>
          </w:p>
        </w:tc>
      </w:tr>
      <w:tr>
        <w:trPr>
          <w:trHeight w:val="342"/>
        </w:trPr>
        <w:tc>
          <w:tcPr>
            <w:tcW w:w="5140" w:type="dxa"/>
            <w:vAlign w:val="bottom"/>
          </w:tcPr>
          <w:p>
            <w:pPr>
              <w:spacing w:after="0"/>
              <w:rPr>
                <w:sz w:val="24"/>
                <w:szCs w:val="24"/>
                <w:color w:val="auto"/>
              </w:rPr>
            </w:pPr>
          </w:p>
        </w:tc>
        <w:tc>
          <w:tcPr>
            <w:tcW w:w="660" w:type="dxa"/>
            <w:vAlign w:val="bottom"/>
          </w:tcPr>
          <w:p>
            <w:pPr>
              <w:jc w:val="right"/>
              <w:ind w:right="322"/>
              <w:spacing w:after="0" w:line="297" w:lineRule="exact"/>
              <w:rPr>
                <w:sz w:val="20"/>
                <w:szCs w:val="20"/>
                <w:color w:val="auto"/>
              </w:rPr>
            </w:pPr>
            <w:r>
              <w:rPr>
                <w:rFonts w:ascii="Arial" w:cs="Arial" w:eastAsia="Arial" w:hAnsi="Arial"/>
                <w:sz w:val="26"/>
                <w:szCs w:val="26"/>
                <w:color w:val="auto"/>
              </w:rPr>
              <w:t>-</w:t>
            </w:r>
          </w:p>
        </w:tc>
        <w:tc>
          <w:tcPr>
            <w:tcW w:w="280" w:type="dxa"/>
            <w:vAlign w:val="bottom"/>
          </w:tcPr>
          <w:p>
            <w:pPr>
              <w:spacing w:after="0"/>
              <w:rPr>
                <w:sz w:val="24"/>
                <w:szCs w:val="24"/>
                <w:color w:val="auto"/>
              </w:rPr>
            </w:pPr>
          </w:p>
        </w:tc>
        <w:tc>
          <w:tcPr>
            <w:tcW w:w="640" w:type="dxa"/>
            <w:vAlign w:val="bottom"/>
          </w:tcPr>
          <w:p>
            <w:pPr>
              <w:jc w:val="right"/>
              <w:ind w:right="281"/>
              <w:spacing w:after="0" w:line="342" w:lineRule="exact"/>
              <w:rPr>
                <w:sz w:val="20"/>
                <w:szCs w:val="20"/>
                <w:color w:val="auto"/>
              </w:rPr>
            </w:pPr>
            <w:r>
              <w:rPr>
                <w:rFonts w:ascii="Times New Roman" w:cs="Times New Roman" w:eastAsia="Times New Roman" w:hAnsi="Times New Roman"/>
                <w:sz w:val="31"/>
                <w:szCs w:val="31"/>
                <w:color w:val="auto"/>
              </w:rPr>
              <w:t>-</w:t>
            </w:r>
          </w:p>
        </w:tc>
      </w:tr>
    </w:tbl>
    <w:p>
      <w:pPr>
        <w:spacing w:after="0" w:line="200" w:lineRule="exact"/>
        <w:rPr>
          <w:sz w:val="20"/>
          <w:szCs w:val="20"/>
          <w:color w:val="auto"/>
        </w:rPr>
      </w:pPr>
    </w:p>
    <w:p>
      <w:pPr>
        <w:sectPr>
          <w:pgSz w:w="12240" w:h="15850" w:orient="portrait"/>
          <w:cols w:equalWidth="0" w:num="1">
            <w:col w:w="9365"/>
          </w:cols>
          <w:pgMar w:left="1440" w:top="1398" w:right="1440" w:bottom="721" w:gutter="0" w:footer="0" w:header="0"/>
        </w:sectPr>
      </w:pPr>
    </w:p>
    <w:p>
      <w:pPr>
        <w:spacing w:after="0" w:line="118"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134</w:t>
      </w:r>
      <w:r>
        <w:rPr>
          <w:sz w:val="20"/>
          <w:szCs w:val="20"/>
          <w:color w:val="auto"/>
        </w:rPr>
        <w:tab/>
      </w:r>
      <w:r>
        <w:rPr>
          <w:rFonts w:ascii="Times New Roman" w:cs="Times New Roman" w:eastAsia="Times New Roman" w:hAnsi="Times New Roman"/>
          <w:sz w:val="19"/>
          <w:szCs w:val="19"/>
          <w:color w:val="auto"/>
        </w:rPr>
        <w:t>2024 FORM 10-K</w:t>
      </w:r>
    </w:p>
    <w:p>
      <w:pPr>
        <w:sectPr>
          <w:pgSz w:w="12240" w:h="15850" w:orient="portrait"/>
          <w:cols w:equalWidth="0" w:num="1">
            <w:col w:w="9365"/>
          </w:cols>
          <w:pgMar w:left="1440" w:top="1398" w:right="1440" w:bottom="721" w:gutter="0" w:footer="0" w:header="0"/>
          <w:type w:val="continuous"/>
        </w:sectPr>
      </w:pPr>
    </w:p>
    <w:bookmarkStart w:id="150" w:name="page151"/>
    <w:bookmarkEnd w:id="150"/>
    <w:p>
      <w:pPr>
        <w:jc w:val="both"/>
        <w:ind w:left="120" w:right="105" w:firstLine="1"/>
        <w:spacing w:after="0" w:line="261"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Company manages approximately 43% of the pension assets inte rnally, of w hich the majority is invested in Berks!hire Hathaway stock, with the remaining investments in pri vate investme nt funds, Markel stock, and short-term fixed-income securities. The remruning 57% of plan assets are rnanaged by two investment companies. The goal of the investment managers is to produce moderate long-term growth in the value of these assets, while protecting them against large decreases in value. Both investment managers may invest in a combination of equity and fixed- income securities and cash. The managers a re not permitted to invest in securities of the Company or in alternative investments. One investment manager cannot invest more than 15% of the assets at the time of purchase in the stock of Alphabet and Berkshire Hathaway, and no more than 35% of the assets it manages in specified international exch anges at the time the investment is made. The other investment manager cannot invest more than 20% of the assets at the time of purchase in the stock of Berkshire Hathaway, and no more than 15% of the assets it manages in specified international exchanges at the time the investment is made. Excluding the exceptions noted above, the investment managers cannot invest more than 10% of the assets in the securities of any other single issuer, except for obligations of the U.S. Government, without receiving prior approval from the plan administrator.</w:t>
      </w:r>
    </w:p>
    <w:p>
      <w:pPr>
        <w:spacing w:after="0" w:line="200" w:lineRule="exact"/>
        <w:rPr>
          <w:sz w:val="20"/>
          <w:szCs w:val="20"/>
          <w:color w:val="auto"/>
        </w:rPr>
      </w:pPr>
    </w:p>
    <w:p>
      <w:pPr>
        <w:spacing w:after="0" w:line="306" w:lineRule="exact"/>
        <w:rPr>
          <w:sz w:val="20"/>
          <w:szCs w:val="20"/>
          <w:color w:val="auto"/>
        </w:rPr>
      </w:pPr>
    </w:p>
    <w:p>
      <w:pPr>
        <w:jc w:val="both"/>
        <w:ind w:left="120" w:right="125" w:firstLine="1"/>
        <w:spacing w:after="0" w:line="256" w:lineRule="auto"/>
        <w:rPr>
          <w:sz w:val="20"/>
          <w:szCs w:val="20"/>
          <w:color w:val="auto"/>
        </w:rPr>
      </w:pPr>
      <w:r>
        <w:rPr>
          <w:rFonts w:ascii="Times New Roman" w:cs="Times New Roman" w:eastAsia="Times New Roman" w:hAnsi="Times New Roman"/>
          <w:sz w:val="19"/>
          <w:szCs w:val="19"/>
          <w:color w:val="auto"/>
        </w:rPr>
        <w:t>ln det,e1mining the expected rate of return on plan assets, the Company considers the relative weighting of plan assets, the historical performance of total plan assets and individual asset classes and economic and other indicators of future performance. In addition, the Company may consult with and consider the input of financial and other professionals in developing appropriate return benchmarks.</w:t>
      </w:r>
    </w:p>
    <w:p>
      <w:pPr>
        <w:spacing w:after="0" w:line="260" w:lineRule="exact"/>
        <w:rPr>
          <w:sz w:val="20"/>
          <w:szCs w:val="20"/>
          <w:color w:val="auto"/>
        </w:rPr>
      </w:pPr>
    </w:p>
    <w:p>
      <w:pPr>
        <w:jc w:val="both"/>
        <w:ind w:left="120" w:right="105" w:firstLine="1"/>
        <w:spacing w:after="0" w:line="263" w:lineRule="auto"/>
        <w:rPr>
          <w:sz w:val="20"/>
          <w:szCs w:val="20"/>
          <w:color w:val="auto"/>
        </w:rPr>
      </w:pPr>
      <w:r>
        <w:rPr>
          <w:rFonts w:ascii="Times New Roman" w:cs="Times New Roman" w:eastAsia="Times New Roman" w:hAnsi="Times New Roman"/>
          <w:sz w:val="19"/>
          <w:szCs w:val="19"/>
          <w:color w:val="auto"/>
        </w:rPr>
        <w:t>The Company evaluated its defined benefit pension plan asset portfolio for the existence of signjficant concentrations (defined as greater than 10% of plan assets) of credit risk as of December 31, 2024. Types of concentrations that were evaluated include, but are not limited to, investment concentrations in a single entity, type of industry, foreign country and individual fund. At December 3 1, 2024, the pension plan held investments in one common stock and one private investment fund that exceeded 10% of total plan assets; valued at $1,178.5 million, or approximately 40% of total plan assets . At December 31, 2023, the pension plan held investments in one common stock and one private investment fund that exceeded 10% of total plan assets, valued at $ 1,011.1 million, or approximately 34% of total plan assets. Assets also included $ 100. 1 million and $82.4 million of Markel shares at December 31,2024 and 2023, respectively.</w:t>
      </w:r>
    </w:p>
    <w:p>
      <w:pPr>
        <w:spacing w:after="0" w:line="200" w:lineRule="exact"/>
        <w:rPr>
          <w:sz w:val="20"/>
          <w:szCs w:val="20"/>
          <w:color w:val="auto"/>
        </w:rPr>
      </w:pPr>
    </w:p>
    <w:p>
      <w:pPr>
        <w:spacing w:after="0" w:line="27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pension plan assets measured at fair value on a recurring basis were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As of December 31,2024</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57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760" w:type="dxa"/>
            <w:vAlign w:val="bottom"/>
            <w:tcBorders>
              <w:bottom w:val="single" w:sz="8" w:color="403C3C"/>
            </w:tcBorders>
          </w:tcPr>
          <w:p>
            <w:pPr>
              <w:spacing w:after="0"/>
              <w:rPr>
                <w:sz w:val="3"/>
                <w:szCs w:val="3"/>
                <w:color w:val="auto"/>
              </w:rPr>
            </w:pPr>
          </w:p>
        </w:tc>
        <w:tc>
          <w:tcPr>
            <w:tcW w:w="1880" w:type="dxa"/>
            <w:vAlign w:val="bottom"/>
            <w:tcBorders>
              <w:bottom w:val="single" w:sz="8" w:color="403C3C"/>
            </w:tcBorders>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5740" w:type="dxa"/>
            <w:vAlign w:val="bottom"/>
            <w:vMerge w:val="continue"/>
          </w:tcPr>
          <w:p>
            <w:pPr>
              <w:spacing w:after="0"/>
              <w:rPr>
                <w:sz w:val="16"/>
                <w:szCs w:val="16"/>
                <w:color w:val="auto"/>
              </w:rPr>
            </w:pPr>
          </w:p>
        </w:tc>
        <w:tc>
          <w:tcPr>
            <w:tcW w:w="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Level I</w:t>
            </w:r>
          </w:p>
        </w:tc>
        <w:tc>
          <w:tcPr>
            <w:tcW w:w="1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Level 2   Level 3</w:t>
            </w: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c>
          <w:tcPr>
            <w:tcW w:w="0" w:type="dxa"/>
            <w:vAlign w:val="bottom"/>
          </w:tcPr>
          <w:p>
            <w:pPr>
              <w:spacing w:after="0"/>
              <w:rPr>
                <w:sz w:val="1"/>
                <w:szCs w:val="1"/>
                <w:color w:val="auto"/>
              </w:rPr>
            </w:pPr>
          </w:p>
        </w:tc>
      </w:tr>
    </w:tbl>
    <w:p>
      <w:pPr>
        <w:spacing w:after="0" w:line="83"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Cash equivalents  .. .... .. .... .</w:t>
            </w:r>
          </w:p>
        </w:tc>
        <w:tc>
          <w:tcPr>
            <w:tcW w:w="2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w:t>
            </w:r>
          </w:p>
        </w:tc>
        <w:tc>
          <w:tcPr>
            <w:tcW w:w="20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2,308</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21"/>
                <w:szCs w:val="21"/>
                <w:color w:val="auto"/>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2,308</w:t>
            </w:r>
          </w:p>
        </w:tc>
        <w:tc>
          <w:tcPr>
            <w:tcW w:w="0" w:type="dxa"/>
            <w:vAlign w:val="bottom"/>
          </w:tcPr>
          <w:p>
            <w:pPr>
              <w:spacing w:after="0"/>
              <w:rPr>
                <w:sz w:val="1"/>
                <w:szCs w:val="1"/>
                <w:color w:val="auto"/>
              </w:rPr>
            </w:pPr>
          </w:p>
        </w:tc>
      </w:tr>
      <w:tr>
        <w:trPr>
          <w:trHeight w:val="227"/>
        </w:trPr>
        <w:tc>
          <w:tcPr>
            <w:tcW w:w="2580" w:type="dxa"/>
            <w:vAlign w:val="bottom"/>
          </w:tcPr>
          <w:p>
            <w:pPr>
              <w:spacing w:after="0" w:line="227" w:lineRule="exact"/>
              <w:rPr>
                <w:sz w:val="20"/>
                <w:szCs w:val="20"/>
                <w:color w:val="auto"/>
              </w:rPr>
            </w:pPr>
            <w:r>
              <w:rPr>
                <w:rFonts w:ascii="Times New Roman" w:cs="Times New Roman" w:eastAsia="Times New Roman" w:hAnsi="Times New Roman"/>
                <w:sz w:val="20"/>
                <w:szCs w:val="20"/>
                <w:color w:val="auto"/>
              </w:rPr>
              <w:t>Equity securities</w:t>
            </w:r>
          </w:p>
        </w:tc>
        <w:tc>
          <w:tcPr>
            <w:tcW w:w="28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2580" w:type="dxa"/>
            <w:vAlign w:val="bottom"/>
          </w:tcPr>
          <w:p>
            <w:pPr>
              <w:ind w:left="400"/>
              <w:spacing w:after="0" w:line="252" w:lineRule="exact"/>
              <w:rPr>
                <w:sz w:val="20"/>
                <w:szCs w:val="20"/>
                <w:color w:val="auto"/>
              </w:rPr>
            </w:pPr>
            <w:r>
              <w:rPr>
                <w:rFonts w:ascii="Times New Roman" w:cs="Times New Roman" w:eastAsia="Times New Roman" w:hAnsi="Times New Roman"/>
                <w:sz w:val="20"/>
                <w:szCs w:val="20"/>
                <w:color w:val="auto"/>
              </w:rPr>
              <w:t xml:space="preserve">U.S. equities </w:t>
            </w:r>
            <w:r>
              <w:rPr>
                <w:rFonts w:ascii="Arial" w:cs="Arial" w:eastAsia="Arial" w:hAnsi="Arial"/>
                <w:sz w:val="13"/>
                <w:szCs w:val="13"/>
                <w:color w:val="auto"/>
              </w:rPr>
              <w:t>&lt;</w:t>
            </w:r>
            <w:r>
              <w:rPr>
                <w:rFonts w:ascii="Times New Roman" w:cs="Times New Roman" w:eastAsia="Times New Roman" w:hAnsi="Times New Roman"/>
                <w:sz w:val="24"/>
                <w:szCs w:val="24"/>
                <w:color w:val="auto"/>
                <w:vertAlign w:val="superscript"/>
              </w:rPr>
              <w:t>1</w:t>
            </w:r>
            <w:r>
              <w:rPr>
                <w:rFonts w:ascii="Arial" w:cs="Arial" w:eastAsia="Arial" w:hAnsi="Arial"/>
                <w:sz w:val="13"/>
                <w:szCs w:val="13"/>
                <w:color w:val="auto"/>
              </w:rPr>
              <w:t>&gt;  ••••••••••</w:t>
            </w:r>
          </w:p>
        </w:tc>
        <w:tc>
          <w:tcPr>
            <w:tcW w:w="3060" w:type="dxa"/>
            <w:vAlign w:val="bottom"/>
            <w:gridSpan w:val="2"/>
          </w:tcPr>
          <w:p>
            <w:pPr>
              <w:ind w:left="200"/>
              <w:spacing w:after="0"/>
              <w:rPr>
                <w:sz w:val="20"/>
                <w:szCs w:val="20"/>
                <w:color w:val="auto"/>
              </w:rPr>
            </w:pPr>
            <w:r>
              <w:rPr>
                <w:rFonts w:ascii="Arial" w:cs="Arial" w:eastAsia="Arial" w:hAnsi="Arial"/>
                <w:sz w:val="14"/>
                <w:szCs w:val="14"/>
                <w:color w:val="auto"/>
              </w:rPr>
              <w:t>• •••••••••••••••••••••••••••</w:t>
            </w:r>
          </w:p>
        </w:tc>
        <w:tc>
          <w:tcPr>
            <w:tcW w:w="1180" w:type="dxa"/>
            <w:vAlign w:val="bottom"/>
            <w:gridSpan w:val="2"/>
          </w:tcPr>
          <w:p>
            <w:pPr>
              <w:jc w:val="right"/>
              <w:ind w:right="87"/>
              <w:spacing w:after="0"/>
              <w:rPr>
                <w:sz w:val="20"/>
                <w:szCs w:val="20"/>
                <w:color w:val="auto"/>
              </w:rPr>
            </w:pPr>
            <w:r>
              <w:rPr>
                <w:rFonts w:ascii="Times New Roman" w:cs="Times New Roman" w:eastAsia="Times New Roman" w:hAnsi="Times New Roman"/>
                <w:sz w:val="19"/>
                <w:szCs w:val="19"/>
                <w:color w:val="auto"/>
              </w:rPr>
              <w:t>1,899,611</w:t>
            </w: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1,899,611</w:t>
            </w:r>
          </w:p>
        </w:tc>
        <w:tc>
          <w:tcPr>
            <w:tcW w:w="0" w:type="dxa"/>
            <w:vAlign w:val="bottom"/>
          </w:tcPr>
          <w:p>
            <w:pPr>
              <w:spacing w:after="0"/>
              <w:rPr>
                <w:sz w:val="1"/>
                <w:szCs w:val="1"/>
                <w:color w:val="auto"/>
              </w:rPr>
            </w:pPr>
          </w:p>
        </w:tc>
      </w:tr>
      <w:tr>
        <w:trPr>
          <w:trHeight w:val="230"/>
        </w:trPr>
        <w:tc>
          <w:tcPr>
            <w:tcW w:w="2580" w:type="dxa"/>
            <w:vAlign w:val="bottom"/>
          </w:tcPr>
          <w:p>
            <w:pPr>
              <w:ind w:left="400"/>
              <w:spacing w:after="0" w:line="224" w:lineRule="exact"/>
              <w:rPr>
                <w:sz w:val="20"/>
                <w:szCs w:val="20"/>
                <w:color w:val="auto"/>
              </w:rPr>
            </w:pPr>
            <w:r>
              <w:rPr>
                <w:rFonts w:ascii="Times New Roman" w:cs="Times New Roman" w:eastAsia="Times New Roman" w:hAnsi="Times New Roman"/>
                <w:sz w:val="20"/>
                <w:szCs w:val="20"/>
                <w:color w:val="auto"/>
              </w:rPr>
              <w:t xml:space="preserve">International equities </w:t>
            </w:r>
            <w:r>
              <w:rPr>
                <w:rFonts w:ascii="Arial" w:cs="Arial" w:eastAsia="Arial" w:hAnsi="Arial"/>
                <w:sz w:val="12"/>
                <w:szCs w:val="12"/>
                <w:color w:val="auto"/>
              </w:rPr>
              <w:t>(2)</w:t>
            </w:r>
          </w:p>
        </w:tc>
        <w:tc>
          <w:tcPr>
            <w:tcW w:w="280" w:type="dxa"/>
            <w:vAlign w:val="bottom"/>
          </w:tcPr>
          <w:p>
            <w:pPr>
              <w:spacing w:after="0"/>
              <w:rPr>
                <w:sz w:val="20"/>
                <w:szCs w:val="20"/>
                <w:color w:val="auto"/>
              </w:rPr>
            </w:pPr>
            <w:r>
              <w:rPr>
                <w:rFonts w:ascii="Arial" w:cs="Arial" w:eastAsia="Arial" w:hAnsi="Arial"/>
                <w:sz w:val="12"/>
                <w:szCs w:val="12"/>
                <w:color w:val="auto"/>
              </w:rPr>
              <w:t>.. •</w:t>
            </w:r>
          </w:p>
        </w:tc>
        <w:tc>
          <w:tcPr>
            <w:tcW w:w="2780" w:type="dxa"/>
            <w:vAlign w:val="bottom"/>
          </w:tcPr>
          <w:p>
            <w:pPr>
              <w:ind w:left="20"/>
              <w:spacing w:after="0"/>
              <w:rPr>
                <w:sz w:val="20"/>
                <w:szCs w:val="20"/>
                <w:color w:val="auto"/>
              </w:rPr>
            </w:pPr>
            <w:r>
              <w:rPr>
                <w:rFonts w:ascii="Arial" w:cs="Arial" w:eastAsia="Arial" w:hAnsi="Arial"/>
                <w:sz w:val="12"/>
                <w:szCs w:val="12"/>
                <w:color w:val="auto"/>
              </w:rPr>
              <w:t>...... . •.  . . . ...............</w:t>
            </w:r>
          </w:p>
        </w:tc>
        <w:tc>
          <w:tcPr>
            <w:tcW w:w="200" w:type="dxa"/>
            <w:vAlign w:val="bottom"/>
          </w:tcPr>
          <w:p>
            <w:pPr>
              <w:spacing w:after="0"/>
              <w:rPr>
                <w:sz w:val="19"/>
                <w:szCs w:val="19"/>
                <w:color w:val="auto"/>
              </w:rPr>
            </w:pP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361,941</w:t>
            </w: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361,941</w:t>
            </w:r>
          </w:p>
        </w:tc>
        <w:tc>
          <w:tcPr>
            <w:tcW w:w="0" w:type="dxa"/>
            <w:vAlign w:val="bottom"/>
          </w:tcPr>
          <w:p>
            <w:pPr>
              <w:spacing w:after="0"/>
              <w:rPr>
                <w:sz w:val="1"/>
                <w:szCs w:val="1"/>
                <w:color w:val="auto"/>
              </w:rPr>
            </w:pPr>
          </w:p>
        </w:tc>
      </w:tr>
      <w:tr>
        <w:trPr>
          <w:trHeight w:val="328"/>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Investments  . .. . . . .... . .</w:t>
            </w:r>
          </w:p>
        </w:tc>
        <w:tc>
          <w:tcPr>
            <w:tcW w:w="2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87"/>
              <w:spacing w:after="0"/>
              <w:rPr>
                <w:sz w:val="20"/>
                <w:szCs w:val="20"/>
                <w:color w:val="auto"/>
              </w:rPr>
            </w:pPr>
            <w:r>
              <w:rPr>
                <w:rFonts w:ascii="Times New Roman" w:cs="Times New Roman" w:eastAsia="Times New Roman" w:hAnsi="Times New Roman"/>
                <w:sz w:val="19"/>
                <w:szCs w:val="19"/>
                <w:color w:val="auto"/>
              </w:rPr>
              <w:t>2,263,860</w:t>
            </w:r>
          </w:p>
        </w:tc>
        <w:tc>
          <w:tcPr>
            <w:tcW w:w="600" w:type="dxa"/>
            <w:vAlign w:val="bottom"/>
          </w:tcPr>
          <w:p>
            <w:pPr>
              <w:jc w:val="right"/>
              <w:ind w:right="133"/>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tcPr>
          <w:p>
            <w:pPr>
              <w:jc w:val="right"/>
              <w:ind w:right="75"/>
              <w:spacing w:after="0"/>
              <w:rPr>
                <w:sz w:val="20"/>
                <w:szCs w:val="20"/>
                <w:color w:val="auto"/>
              </w:rPr>
            </w:pPr>
            <w:r>
              <w:rPr>
                <w:rFonts w:ascii="Times New Roman" w:cs="Times New Roman" w:eastAsia="Times New Roman" w:hAnsi="Times New Roman"/>
                <w:sz w:val="21"/>
                <w:szCs w:val="2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$2,263,860</w:t>
            </w:r>
          </w:p>
        </w:tc>
        <w:tc>
          <w:tcPr>
            <w:tcW w:w="0" w:type="dxa"/>
            <w:vAlign w:val="bottom"/>
          </w:tcPr>
          <w:p>
            <w:pPr>
              <w:spacing w:after="0"/>
              <w:rPr>
                <w:sz w:val="1"/>
                <w:szCs w:val="1"/>
                <w:color w:val="auto"/>
              </w:rPr>
            </w:pPr>
          </w:p>
        </w:tc>
      </w:tr>
      <w:tr>
        <w:trPr>
          <w:trHeight w:val="223"/>
        </w:trPr>
        <w:tc>
          <w:tcPr>
            <w:tcW w:w="2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780" w:type="dxa"/>
            <w:vAlign w:val="bottom"/>
          </w:tcPr>
          <w:p>
            <w:pPr>
              <w:ind w:left="1260"/>
              <w:spacing w:after="0"/>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150,103</w:t>
            </w:r>
          </w:p>
        </w:tc>
        <w:tc>
          <w:tcPr>
            <w:tcW w:w="0" w:type="dxa"/>
            <w:vAlign w:val="bottom"/>
          </w:tcPr>
          <w:p>
            <w:pPr>
              <w:spacing w:after="0"/>
              <w:rPr>
                <w:sz w:val="1"/>
                <w:szCs w:val="1"/>
                <w:color w:val="auto"/>
              </w:rPr>
            </w:pPr>
          </w:p>
        </w:tc>
      </w:tr>
      <w:tr>
        <w:trPr>
          <w:trHeight w:val="97"/>
        </w:trPr>
        <w:tc>
          <w:tcPr>
            <w:tcW w:w="5640" w:type="dxa"/>
            <w:vAlign w:val="bottom"/>
            <w:gridSpan w:val="3"/>
          </w:tcPr>
          <w:p>
            <w:pPr>
              <w:spacing w:after="0" w:line="97" w:lineRule="exact"/>
              <w:rPr>
                <w:sz w:val="20"/>
                <w:szCs w:val="20"/>
                <w:color w:val="auto"/>
              </w:rPr>
            </w:pPr>
            <w:r>
              <w:rPr>
                <w:rFonts w:ascii="Times New Roman" w:cs="Times New Roman" w:eastAsia="Times New Roman" w:hAnsi="Times New Roman"/>
                <w:sz w:val="11"/>
                <w:szCs w:val="11"/>
                <w:color w:val="auto"/>
              </w:rPr>
              <w:t xml:space="preserve">Short -term investment funds measured at NA V </w:t>
            </w:r>
            <w:r>
              <w:rPr>
                <w:rFonts w:ascii="Times New Roman" w:cs="Times New Roman" w:eastAsia="Times New Roman" w:hAnsi="Times New Roman"/>
                <w:sz w:val="8"/>
                <w:szCs w:val="8"/>
                <w:color w:val="auto"/>
              </w:rPr>
              <w:t>&lt;</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8"/>
                <w:szCs w:val="8"/>
                <w:color w:val="auto"/>
              </w:rPr>
              <w:t>&gt;  ........... .</w:t>
            </w: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9"/>
        </w:trPr>
        <w:tc>
          <w:tcPr>
            <w:tcW w:w="5640" w:type="dxa"/>
            <w:vAlign w:val="bottom"/>
            <w:gridSpan w:val="3"/>
          </w:tcPr>
          <w:p>
            <w:pPr>
              <w:spacing w:after="0" w:line="224" w:lineRule="exact"/>
              <w:rPr>
                <w:sz w:val="20"/>
                <w:szCs w:val="20"/>
                <w:color w:val="auto"/>
              </w:rPr>
            </w:pPr>
            <w:r>
              <w:rPr>
                <w:rFonts w:ascii="Times New Roman" w:cs="Times New Roman" w:eastAsia="Times New Roman" w:hAnsi="Times New Roman"/>
                <w:sz w:val="20"/>
                <w:szCs w:val="20"/>
                <w:color w:val="auto"/>
              </w:rPr>
              <w:t xml:space="preserve">Private investment funds measured at NAV </w:t>
            </w:r>
            <w:r>
              <w:rPr>
                <w:rFonts w:ascii="Times New Roman" w:cs="Times New Roman" w:eastAsia="Times New Roman" w:hAnsi="Times New Roman"/>
                <w:sz w:val="12"/>
                <w:szCs w:val="12"/>
                <w:color w:val="auto"/>
              </w:rPr>
              <w:t>(4)  .....  .......... .</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557,122</w:t>
            </w:r>
          </w:p>
        </w:tc>
        <w:tc>
          <w:tcPr>
            <w:tcW w:w="0" w:type="dxa"/>
            <w:vAlign w:val="bottom"/>
          </w:tcPr>
          <w:p>
            <w:pPr>
              <w:spacing w:after="0"/>
              <w:rPr>
                <w:sz w:val="1"/>
                <w:szCs w:val="1"/>
                <w:color w:val="auto"/>
              </w:rPr>
            </w:pPr>
          </w:p>
        </w:tc>
      </w:tr>
      <w:tr>
        <w:trPr>
          <w:trHeight w:val="243"/>
        </w:trPr>
        <w:tc>
          <w:tcPr>
            <w:tcW w:w="2580" w:type="dxa"/>
            <w:vAlign w:val="bottom"/>
          </w:tcPr>
          <w:p>
            <w:pPr>
              <w:spacing w:after="0"/>
              <w:rPr>
                <w:sz w:val="20"/>
                <w:szCs w:val="20"/>
                <w:color w:val="auto"/>
              </w:rPr>
            </w:pPr>
            <w:r>
              <w:rPr>
                <w:rFonts w:ascii="Times New Roman" w:cs="Times New Roman" w:eastAsia="Times New Roman" w:hAnsi="Times New Roman"/>
                <w:sz w:val="20"/>
                <w:szCs w:val="20"/>
                <w:color w:val="auto"/>
              </w:rPr>
              <w:t>Payables, net .. . ...........</w:t>
            </w:r>
          </w:p>
        </w:tc>
        <w:tc>
          <w:tcPr>
            <w:tcW w:w="280" w:type="dxa"/>
            <w:vAlign w:val="bottom"/>
          </w:tcPr>
          <w:p>
            <w:pPr>
              <w:spacing w:after="0"/>
              <w:rPr>
                <w:sz w:val="20"/>
                <w:szCs w:val="20"/>
                <w:color w:val="auto"/>
              </w:rPr>
            </w:pPr>
            <w:r>
              <w:rPr>
                <w:rFonts w:ascii="Times New Roman" w:cs="Times New Roman" w:eastAsia="Times New Roman" w:hAnsi="Times New Roman"/>
                <w:sz w:val="20"/>
                <w:szCs w:val="20"/>
                <w:color w:val="auto"/>
              </w:rPr>
              <w:t>. . .</w:t>
            </w:r>
          </w:p>
        </w:tc>
        <w:tc>
          <w:tcPr>
            <w:tcW w:w="2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w:t>
            </w:r>
          </w:p>
        </w:tc>
        <w:tc>
          <w:tcPr>
            <w:tcW w:w="2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(3,915)</w:t>
            </w:r>
          </w:p>
        </w:tc>
        <w:tc>
          <w:tcPr>
            <w:tcW w:w="0" w:type="dxa"/>
            <w:vAlign w:val="bottom"/>
          </w:tcPr>
          <w:p>
            <w:pPr>
              <w:spacing w:after="0"/>
              <w:rPr>
                <w:sz w:val="1"/>
                <w:szCs w:val="1"/>
                <w:color w:val="auto"/>
              </w:rPr>
            </w:pPr>
          </w:p>
        </w:tc>
      </w:tr>
      <w:tr>
        <w:trPr>
          <w:trHeight w:val="324"/>
        </w:trPr>
        <w:tc>
          <w:tcPr>
            <w:tcW w:w="28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 .</w:t>
            </w:r>
          </w:p>
        </w:tc>
        <w:tc>
          <w:tcPr>
            <w:tcW w:w="2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 .</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$2,967,170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8"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135</w:t>
      </w:r>
    </w:p>
    <w:p>
      <w:pPr>
        <w:sectPr>
          <w:pgSz w:w="12240" w:h="15850" w:orient="portrait"/>
          <w:cols w:equalWidth="0" w:num="1">
            <w:col w:w="9365"/>
          </w:cols>
          <w:pgMar w:left="1440" w:top="1398" w:right="1440" w:bottom="721" w:gutter="0" w:footer="0" w:header="0"/>
          <w:type w:val="continuous"/>
        </w:sectPr>
      </w:pPr>
    </w:p>
    <w:bookmarkStart w:id="151" w:name="page152"/>
    <w:bookmarkEnd w:id="151"/>
    <w:tbl>
      <w:tblPr>
        <w:tblLayout w:type="fixed"/>
        <w:tblInd w:w="120" w:type="dxa"/>
        <w:tblCellMar>
          <w:top w:w="0" w:type="dxa"/>
          <w:left w:w="0" w:type="dxa"/>
          <w:bottom w:w="0" w:type="dxa"/>
          <w:right w:w="0" w:type="dxa"/>
        </w:tblCellMar>
      </w:tblPr>
      <w:tr>
        <w:trPr>
          <w:trHeight w:val="174"/>
        </w:trPr>
        <w:tc>
          <w:tcPr>
            <w:tcW w:w="5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80" w:type="dxa"/>
            <w:vAlign w:val="bottom"/>
            <w:gridSpan w:val="3"/>
          </w:tcPr>
          <w:p>
            <w:pPr>
              <w:jc w:val="center"/>
              <w:ind w:right="20"/>
              <w:spacing w:after="0"/>
              <w:rPr>
                <w:sz w:val="20"/>
                <w:szCs w:val="20"/>
                <w:color w:val="auto"/>
              </w:rPr>
            </w:pPr>
            <w:r>
              <w:rPr>
                <w:rFonts w:ascii="Arial" w:cs="Arial" w:eastAsia="Arial" w:hAnsi="Arial"/>
                <w:sz w:val="14"/>
                <w:szCs w:val="14"/>
                <w:i w:val="1"/>
                <w:iCs w:val="1"/>
                <w:color w:val="auto"/>
              </w:rPr>
              <w:t xml:space="preserve">As </w:t>
            </w:r>
            <w:r>
              <w:rPr>
                <w:rFonts w:ascii="Times New Roman" w:cs="Times New Roman" w:eastAsia="Times New Roman" w:hAnsi="Times New Roman"/>
                <w:sz w:val="15"/>
                <w:szCs w:val="15"/>
                <w:color w:val="auto"/>
              </w:rPr>
              <w:t>of December 31, 2023</w:t>
            </w:r>
          </w:p>
        </w:tc>
        <w:tc>
          <w:tcPr>
            <w:tcW w:w="740" w:type="dxa"/>
            <w:vAlign w:val="bottom"/>
          </w:tcPr>
          <w:p>
            <w:pPr>
              <w:spacing w:after="0"/>
              <w:rPr>
                <w:sz w:val="15"/>
                <w:szCs w:val="15"/>
                <w:color w:val="auto"/>
              </w:rPr>
            </w:pPr>
          </w:p>
        </w:tc>
      </w:tr>
      <w:tr>
        <w:trPr>
          <w:trHeight w:val="33"/>
        </w:trPr>
        <w:tc>
          <w:tcPr>
            <w:tcW w:w="5740" w:type="dxa"/>
            <w:vAlign w:val="bottom"/>
          </w:tcPr>
          <w:p>
            <w:pPr>
              <w:spacing w:after="0"/>
              <w:rPr>
                <w:sz w:val="2"/>
                <w:szCs w:val="2"/>
                <w:color w:val="auto"/>
              </w:rPr>
            </w:pPr>
          </w:p>
        </w:tc>
        <w:tc>
          <w:tcPr>
            <w:tcW w:w="760" w:type="dxa"/>
            <w:vAlign w:val="bottom"/>
            <w:tcBorders>
              <w:bottom w:val="single" w:sz="8" w:color="141414"/>
            </w:tcBorders>
          </w:tcPr>
          <w:p>
            <w:pPr>
              <w:spacing w:after="0"/>
              <w:rPr>
                <w:sz w:val="2"/>
                <w:szCs w:val="2"/>
                <w:color w:val="auto"/>
              </w:rPr>
            </w:pPr>
          </w:p>
        </w:tc>
        <w:tc>
          <w:tcPr>
            <w:tcW w:w="160" w:type="dxa"/>
            <w:vAlign w:val="bottom"/>
            <w:tcBorders>
              <w:bottom w:val="single" w:sz="8" w:color="141414"/>
            </w:tcBorders>
          </w:tcPr>
          <w:p>
            <w:pPr>
              <w:spacing w:after="0"/>
              <w:rPr>
                <w:sz w:val="2"/>
                <w:szCs w:val="2"/>
                <w:color w:val="auto"/>
              </w:rPr>
            </w:pPr>
          </w:p>
        </w:tc>
        <w:tc>
          <w:tcPr>
            <w:tcW w:w="1560" w:type="dxa"/>
            <w:vAlign w:val="bottom"/>
            <w:tcBorders>
              <w:bottom w:val="single" w:sz="8" w:color="141414"/>
            </w:tcBorders>
          </w:tcPr>
          <w:p>
            <w:pPr>
              <w:spacing w:after="0"/>
              <w:rPr>
                <w:sz w:val="2"/>
                <w:szCs w:val="2"/>
                <w:color w:val="auto"/>
              </w:rPr>
            </w:pPr>
          </w:p>
        </w:tc>
        <w:tc>
          <w:tcPr>
            <w:tcW w:w="160" w:type="dxa"/>
            <w:vAlign w:val="bottom"/>
            <w:tcBorders>
              <w:bottom w:val="single" w:sz="8" w:color="141414"/>
            </w:tcBorders>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r>
      <w:tr>
        <w:trPr>
          <w:trHeight w:val="186"/>
        </w:trPr>
        <w:tc>
          <w:tcPr>
            <w:tcW w:w="57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Levell</w:t>
            </w:r>
          </w:p>
        </w:tc>
        <w:tc>
          <w:tcPr>
            <w:tcW w:w="160" w:type="dxa"/>
            <w:vAlign w:val="bottom"/>
          </w:tcPr>
          <w:p>
            <w:pPr>
              <w:spacing w:after="0"/>
              <w:rPr>
                <w:sz w:val="16"/>
                <w:szCs w:val="16"/>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color w:val="auto"/>
              </w:rPr>
              <w:t>Leve12   Level3</w:t>
            </w:r>
          </w:p>
        </w:tc>
        <w:tc>
          <w:tcPr>
            <w:tcW w:w="7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Total</w:t>
            </w:r>
          </w:p>
        </w:tc>
      </w:tr>
      <w:tr>
        <w:trPr>
          <w:trHeight w:val="33"/>
        </w:trPr>
        <w:tc>
          <w:tcPr>
            <w:tcW w:w="5740" w:type="dxa"/>
            <w:vAlign w:val="bottom"/>
          </w:tcPr>
          <w:p>
            <w:pPr>
              <w:spacing w:after="0"/>
              <w:rPr>
                <w:sz w:val="2"/>
                <w:szCs w:val="2"/>
                <w:color w:val="auto"/>
              </w:rPr>
            </w:pPr>
          </w:p>
        </w:tc>
        <w:tc>
          <w:tcPr>
            <w:tcW w:w="760" w:type="dxa"/>
            <w:vAlign w:val="bottom"/>
            <w:tcBorders>
              <w:bottom w:val="single" w:sz="8" w:color="181818"/>
            </w:tcBorders>
          </w:tcPr>
          <w:p>
            <w:pPr>
              <w:spacing w:after="0"/>
              <w:rPr>
                <w:sz w:val="2"/>
                <w:szCs w:val="2"/>
                <w:color w:val="auto"/>
              </w:rPr>
            </w:pPr>
          </w:p>
        </w:tc>
        <w:tc>
          <w:tcPr>
            <w:tcW w:w="160" w:type="dxa"/>
            <w:vAlign w:val="bottom"/>
            <w:tcBorders>
              <w:bottom w:val="single" w:sz="8" w:color="181818"/>
            </w:tcBorders>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Borders>
              <w:bottom w:val="single" w:sz="8" w:color="181818"/>
            </w:tcBorders>
          </w:tcPr>
          <w:p>
            <w:pPr>
              <w:spacing w:after="0"/>
              <w:rPr>
                <w:sz w:val="2"/>
                <w:szCs w:val="2"/>
                <w:color w:val="auto"/>
              </w:rPr>
            </w:pPr>
          </w:p>
        </w:tc>
        <w:tc>
          <w:tcPr>
            <w:tcW w:w="740" w:type="dxa"/>
            <w:vAlign w:val="bottom"/>
            <w:tcBorders>
              <w:bottom w:val="single" w:sz="8" w:color="181818"/>
            </w:tcBorders>
          </w:tcPr>
          <w:p>
            <w:pPr>
              <w:spacing w:after="0"/>
              <w:rPr>
                <w:sz w:val="2"/>
                <w:szCs w:val="2"/>
                <w:color w:val="auto"/>
              </w:rPr>
            </w:pPr>
          </w:p>
        </w:tc>
      </w:tr>
    </w:tbl>
    <w:p>
      <w:pPr>
        <w:spacing w:after="0" w:line="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59">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53"/>
        </w:trPr>
        <w:tc>
          <w:tcPr>
            <w:tcW w:w="278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Cash equivalents  .............</w:t>
            </w:r>
          </w:p>
        </w:tc>
        <w:tc>
          <w:tcPr>
            <w:tcW w:w="720" w:type="dxa"/>
            <w:vAlign w:val="bottom"/>
          </w:tcPr>
          <w:p>
            <w:pPr>
              <w:jc w:val="right"/>
              <w:spacing w:after="0"/>
              <w:rPr>
                <w:sz w:val="20"/>
                <w:szCs w:val="20"/>
                <w:color w:val="auto"/>
              </w:rPr>
            </w:pPr>
            <w:r>
              <w:rPr>
                <w:rFonts w:ascii="Times New Roman" w:cs="Times New Roman" w:eastAsia="Times New Roman" w:hAnsi="Times New Roman"/>
                <w:sz w:val="21"/>
                <w:szCs w:val="21"/>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21"/>
                <w:szCs w:val="21"/>
                <w:color w:val="auto"/>
              </w:rPr>
              <w:t>.. ..................</w:t>
            </w:r>
          </w:p>
        </w:tc>
        <w:tc>
          <w:tcPr>
            <w:tcW w:w="500" w:type="dxa"/>
            <w:vAlign w:val="bottom"/>
          </w:tcPr>
          <w:p>
            <w:pPr>
              <w:spacing w:after="0"/>
              <w:rPr>
                <w:sz w:val="22"/>
                <w:szCs w:val="22"/>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21"/>
                <w:szCs w:val="21"/>
                <w:color w:val="auto"/>
              </w:rPr>
              <w:t>.</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2,230</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22"/>
                <w:szCs w:val="22"/>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22"/>
                <w:szCs w:val="22"/>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2,230</w:t>
            </w:r>
          </w:p>
        </w:tc>
        <w:tc>
          <w:tcPr>
            <w:tcW w:w="0" w:type="dxa"/>
            <w:vAlign w:val="bottom"/>
          </w:tcPr>
          <w:p>
            <w:pPr>
              <w:spacing w:after="0"/>
              <w:rPr>
                <w:sz w:val="1"/>
                <w:szCs w:val="1"/>
                <w:color w:val="auto"/>
              </w:rPr>
            </w:pPr>
          </w:p>
        </w:tc>
      </w:tr>
      <w:tr>
        <w:trPr>
          <w:trHeight w:val="232"/>
        </w:trPr>
        <w:tc>
          <w:tcPr>
            <w:tcW w:w="2040" w:type="dxa"/>
            <w:vAlign w:val="bottom"/>
          </w:tcPr>
          <w:p>
            <w:pPr>
              <w:spacing w:after="0"/>
              <w:rPr>
                <w:sz w:val="20"/>
                <w:szCs w:val="20"/>
                <w:color w:val="auto"/>
              </w:rPr>
            </w:pPr>
            <w:r>
              <w:rPr>
                <w:rFonts w:ascii="Times New Roman" w:cs="Times New Roman" w:eastAsia="Times New Roman" w:hAnsi="Times New Roman"/>
                <w:sz w:val="19"/>
                <w:szCs w:val="19"/>
                <w:color w:val="auto"/>
              </w:rPr>
              <w:t>Equity securities</w:t>
            </w: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04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 xml:space="preserve">U.S. equities </w:t>
            </w:r>
            <w:r>
              <w:rPr>
                <w:rFonts w:ascii="Times New Roman" w:cs="Times New Roman" w:eastAsia="Times New Roman" w:hAnsi="Times New Roman"/>
                <w:sz w:val="13"/>
                <w:szCs w:val="13"/>
                <w:color w:val="auto"/>
              </w:rPr>
              <w:t>(JJ ..  ..</w:t>
            </w:r>
          </w:p>
        </w:tc>
        <w:tc>
          <w:tcPr>
            <w:tcW w:w="248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 . • . •• . • . •••• . •••••• . • ..  .</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spacing w:after="0"/>
              <w:rPr>
                <w:sz w:val="20"/>
                <w:szCs w:val="20"/>
                <w:color w:val="auto"/>
              </w:rPr>
            </w:pPr>
            <w:r>
              <w:rPr>
                <w:rFonts w:ascii="Times New Roman" w:cs="Times New Roman" w:eastAsia="Times New Roman" w:hAnsi="Times New Roman"/>
                <w:sz w:val="13"/>
                <w:szCs w:val="13"/>
                <w:color w:val="auto"/>
              </w:rPr>
              <w:t>... • .</w:t>
            </w:r>
          </w:p>
        </w:tc>
        <w:tc>
          <w:tcPr>
            <w:tcW w:w="460" w:type="dxa"/>
            <w:vAlign w:val="bottom"/>
          </w:tcPr>
          <w:p>
            <w:pPr>
              <w:spacing w:after="0"/>
              <w:rPr>
                <w:sz w:val="20"/>
                <w:szCs w:val="20"/>
                <w:color w:val="auto"/>
              </w:rPr>
            </w:pPr>
            <w:r>
              <w:rPr>
                <w:rFonts w:ascii="Times New Roman" w:cs="Times New Roman" w:eastAsia="Times New Roman" w:hAnsi="Times New Roman"/>
                <w:sz w:val="13"/>
                <w:szCs w:val="13"/>
                <w:color w:val="auto"/>
              </w:rPr>
              <w:t>.  • ..</w:t>
            </w:r>
          </w:p>
        </w:tc>
        <w:tc>
          <w:tcPr>
            <w:tcW w:w="200" w:type="dxa"/>
            <w:vAlign w:val="bottom"/>
          </w:tcPr>
          <w:p>
            <w:pPr>
              <w:spacing w:after="0"/>
              <w:rPr>
                <w:sz w:val="20"/>
                <w:szCs w:val="20"/>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1,793,705</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1,793,705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78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 xml:space="preserve">International equities </w:t>
            </w:r>
            <w:r>
              <w:rPr>
                <w:rFonts w:ascii="Times New Roman" w:cs="Times New Roman" w:eastAsia="Times New Roman" w:hAnsi="Times New Roman"/>
                <w:sz w:val="12"/>
                <w:szCs w:val="12"/>
                <w:color w:val="auto"/>
              </w:rPr>
              <w:t>(2)  ....</w:t>
            </w:r>
          </w:p>
        </w:tc>
        <w:tc>
          <w:tcPr>
            <w:tcW w:w="72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2"/>
                <w:szCs w:val="12"/>
                <w:color w:val="auto"/>
              </w:rPr>
              <w:t>• ...................</w:t>
            </w:r>
          </w:p>
        </w:tc>
        <w:tc>
          <w:tcPr>
            <w:tcW w:w="5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rPr>
              <w:t>414,285</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4 14,285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2040" w:type="dxa"/>
            <w:vAlign w:val="bottom"/>
          </w:tcPr>
          <w:p>
            <w:pPr>
              <w:spacing w:after="0"/>
              <w:rPr>
                <w:sz w:val="20"/>
                <w:szCs w:val="20"/>
                <w:color w:val="auto"/>
              </w:rPr>
            </w:pPr>
            <w:r>
              <w:rPr>
                <w:rFonts w:ascii="Times New Roman" w:cs="Times New Roman" w:eastAsia="Times New Roman" w:hAnsi="Times New Roman"/>
                <w:sz w:val="19"/>
                <w:szCs w:val="19"/>
                <w:color w:val="auto"/>
              </w:rPr>
              <w:t>Total I nvestments  .. ..</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 ............</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9"/>
                <w:szCs w:val="19"/>
                <w:color w:val="auto"/>
              </w:rPr>
              <w:t>. . . .... .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980" w:type="dxa"/>
            <w:vAlign w:val="bottom"/>
          </w:tcPr>
          <w:p>
            <w:pPr>
              <w:jc w:val="right"/>
              <w:ind w:right="84"/>
              <w:spacing w:after="0"/>
              <w:rPr>
                <w:sz w:val="20"/>
                <w:szCs w:val="20"/>
                <w:color w:val="auto"/>
              </w:rPr>
            </w:pPr>
            <w:r>
              <w:rPr>
                <w:rFonts w:ascii="Times New Roman" w:cs="Times New Roman" w:eastAsia="Times New Roman" w:hAnsi="Times New Roman"/>
                <w:sz w:val="19"/>
                <w:szCs w:val="19"/>
                <w:color w:val="auto"/>
                <w:w w:val="96"/>
              </w:rPr>
              <w:t>2,2 10,220</w:t>
            </w:r>
          </w:p>
        </w:tc>
        <w:tc>
          <w:tcPr>
            <w:tcW w:w="600" w:type="dxa"/>
            <w:vAlign w:val="bottom"/>
          </w:tcPr>
          <w:p>
            <w:pPr>
              <w:jc w:val="right"/>
              <w:ind w:right="134"/>
              <w:spacing w:after="0"/>
              <w:rPr>
                <w:sz w:val="20"/>
                <w:szCs w:val="20"/>
                <w:color w:val="auto"/>
              </w:rPr>
            </w:pPr>
            <w:r>
              <w:rPr>
                <w:rFonts w:ascii="Times New Roman" w:cs="Times New Roman" w:eastAsia="Times New Roman" w:hAnsi="Times New Roman"/>
                <w:sz w:val="21"/>
                <w:szCs w:val="21"/>
                <w:color w:val="auto"/>
              </w:rPr>
              <w:t>$-</w:t>
            </w:r>
          </w:p>
        </w:tc>
        <w:tc>
          <w:tcPr>
            <w:tcW w:w="640" w:type="dxa"/>
            <w:vAlign w:val="bottom"/>
          </w:tcPr>
          <w:p>
            <w:pPr>
              <w:jc w:val="right"/>
              <w:ind w:right="74"/>
              <w:spacing w:after="0"/>
              <w:rPr>
                <w:sz w:val="20"/>
                <w:szCs w:val="20"/>
                <w:color w:val="auto"/>
              </w:rPr>
            </w:pPr>
            <w:r>
              <w:rPr>
                <w:rFonts w:ascii="Times New Roman" w:cs="Times New Roman" w:eastAsia="Times New Roman" w:hAnsi="Times New Roman"/>
                <w:sz w:val="21"/>
                <w:szCs w:val="21"/>
                <w:color w:val="auto"/>
              </w:rPr>
              <w:t>$-</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w w:val="96"/>
              </w:rPr>
              <w:t>2,2 10,220</w:t>
            </w:r>
          </w:p>
        </w:tc>
        <w:tc>
          <w:tcPr>
            <w:tcW w:w="0" w:type="dxa"/>
            <w:vAlign w:val="bottom"/>
          </w:tcPr>
          <w:p>
            <w:pPr>
              <w:spacing w:after="0"/>
              <w:rPr>
                <w:sz w:val="1"/>
                <w:szCs w:val="1"/>
                <w:color w:val="auto"/>
              </w:rPr>
            </w:pPr>
          </w:p>
        </w:tc>
      </w:tr>
      <w:tr>
        <w:trPr>
          <w:trHeight w:val="301"/>
        </w:trPr>
        <w:tc>
          <w:tcPr>
            <w:tcW w:w="4680" w:type="dxa"/>
            <w:vAlign w:val="bottom"/>
            <w:gridSpan w:val="5"/>
          </w:tcPr>
          <w:p>
            <w:pPr>
              <w:spacing w:after="0"/>
              <w:rPr>
                <w:sz w:val="20"/>
                <w:szCs w:val="20"/>
                <w:color w:val="auto"/>
              </w:rPr>
            </w:pPr>
            <w:r>
              <w:rPr>
                <w:rFonts w:ascii="Times New Roman" w:cs="Times New Roman" w:eastAsia="Times New Roman" w:hAnsi="Times New Roman"/>
                <w:sz w:val="19"/>
                <w:szCs w:val="19"/>
                <w:color w:val="auto"/>
              </w:rPr>
              <w:t xml:space="preserve">Short-term investment funds measured at NA V </w:t>
            </w:r>
            <w:r>
              <w:rPr>
                <w:rFonts w:ascii="Times New Roman" w:cs="Times New Roman" w:eastAsia="Times New Roman" w:hAnsi="Times New Roman"/>
                <w:sz w:val="12"/>
                <w:szCs w:val="12"/>
                <w:color w:val="auto"/>
              </w:rPr>
              <w:t>(3)   ..............</w:t>
            </w:r>
          </w:p>
        </w:tc>
        <w:tc>
          <w:tcPr>
            <w:tcW w:w="50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2"/>
                <w:szCs w:val="12"/>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color w:val="auto"/>
              </w:rPr>
              <w:t>197,7 12</w:t>
            </w:r>
          </w:p>
        </w:tc>
        <w:tc>
          <w:tcPr>
            <w:tcW w:w="0" w:type="dxa"/>
            <w:vAlign w:val="bottom"/>
          </w:tcPr>
          <w:p>
            <w:pPr>
              <w:spacing w:after="0"/>
              <w:rPr>
                <w:sz w:val="1"/>
                <w:szCs w:val="1"/>
                <w:color w:val="auto"/>
              </w:rPr>
            </w:pPr>
          </w:p>
        </w:tc>
      </w:tr>
      <w:tr>
        <w:trPr>
          <w:trHeight w:val="160"/>
        </w:trPr>
        <w:tc>
          <w:tcPr>
            <w:tcW w:w="20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20" w:type="dxa"/>
            <w:vAlign w:val="bottom"/>
          </w:tcPr>
          <w:p>
            <w:pPr>
              <w:jc w:val="right"/>
              <w:ind w:right="824"/>
              <w:spacing w:after="0"/>
              <w:rPr>
                <w:sz w:val="20"/>
                <w:szCs w:val="20"/>
                <w:color w:val="auto"/>
              </w:rPr>
            </w:pPr>
            <w:r>
              <w:rPr>
                <w:rFonts w:ascii="Times New Roman" w:cs="Times New Roman" w:eastAsia="Times New Roman" w:hAnsi="Times New Roman"/>
                <w:sz w:val="12"/>
                <w:szCs w:val="12"/>
                <w:color w:val="auto"/>
              </w:rPr>
              <w:t>4</w:t>
            </w: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509,647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4680" w:type="dxa"/>
            <w:vAlign w:val="bottom"/>
            <w:gridSpan w:val="5"/>
          </w:tcPr>
          <w:p>
            <w:pPr>
              <w:spacing w:after="0" w:line="115" w:lineRule="exact"/>
              <w:rPr>
                <w:sz w:val="20"/>
                <w:szCs w:val="20"/>
                <w:color w:val="auto"/>
              </w:rPr>
            </w:pPr>
            <w:r>
              <w:rPr>
                <w:rFonts w:ascii="Times New Roman" w:cs="Times New Roman" w:eastAsia="Times New Roman" w:hAnsi="Times New Roman"/>
                <w:sz w:val="13"/>
                <w:szCs w:val="13"/>
                <w:color w:val="auto"/>
              </w:rPr>
              <w:t xml:space="preserve">Private investment funds measured at N A V </w:t>
            </w:r>
            <w:r>
              <w:rPr>
                <w:rFonts w:ascii="Times New Roman" w:cs="Times New Roman" w:eastAsia="Times New Roman" w:hAnsi="Times New Roman"/>
                <w:sz w:val="9"/>
                <w:szCs w:val="9"/>
                <w:color w:val="auto"/>
              </w:rPr>
              <w:t>&lt;</w:t>
            </w:r>
            <w:r>
              <w:rPr>
                <w:rFonts w:ascii="Times New Roman" w:cs="Times New Roman" w:eastAsia="Times New Roman" w:hAnsi="Times New Roman"/>
                <w:sz w:val="13"/>
                <w:szCs w:val="13"/>
                <w:color w:val="auto"/>
              </w:rPr>
              <w:t xml:space="preserve"> </w:t>
            </w:r>
            <w:r>
              <w:rPr>
                <w:rFonts w:ascii="Arial" w:cs="Arial" w:eastAsia="Arial" w:hAnsi="Arial"/>
                <w:sz w:val="10"/>
                <w:szCs w:val="10"/>
                <w:color w:val="auto"/>
              </w:rPr>
              <w:t>l  .................</w:t>
            </w:r>
          </w:p>
        </w:tc>
        <w:tc>
          <w:tcPr>
            <w:tcW w:w="500" w:type="dxa"/>
            <w:vAlign w:val="bottom"/>
          </w:tcPr>
          <w:p>
            <w:pPr>
              <w:spacing w:after="0"/>
              <w:rPr>
                <w:sz w:val="10"/>
                <w:szCs w:val="10"/>
                <w:color w:val="auto"/>
              </w:rPr>
            </w:pPr>
          </w:p>
        </w:tc>
        <w:tc>
          <w:tcPr>
            <w:tcW w:w="460" w:type="dxa"/>
            <w:vAlign w:val="bottom"/>
          </w:tcPr>
          <w:p>
            <w:pPr>
              <w:ind w:left="320"/>
              <w:spacing w:after="0" w:line="115" w:lineRule="exact"/>
              <w:rPr>
                <w:sz w:val="20"/>
                <w:szCs w:val="20"/>
                <w:color w:val="auto"/>
              </w:rPr>
            </w:pPr>
            <w:r>
              <w:rPr>
                <w:rFonts w:ascii="Arial" w:cs="Arial" w:eastAsia="Arial" w:hAnsi="Arial"/>
                <w:sz w:val="13"/>
                <w:szCs w:val="13"/>
                <w:color w:val="auto"/>
              </w:rPr>
              <w:t>.</w:t>
            </w: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1"/>
        </w:trPr>
        <w:tc>
          <w:tcPr>
            <w:tcW w:w="3500" w:type="dxa"/>
            <w:vAlign w:val="bottom"/>
            <w:gridSpan w:val="3"/>
          </w:tcPr>
          <w:p>
            <w:pPr>
              <w:spacing w:after="0" w:line="211" w:lineRule="exact"/>
              <w:rPr>
                <w:sz w:val="20"/>
                <w:szCs w:val="20"/>
                <w:color w:val="auto"/>
              </w:rPr>
            </w:pPr>
            <w:r>
              <w:rPr>
                <w:rFonts w:ascii="Times New Roman" w:cs="Times New Roman" w:eastAsia="Times New Roman" w:hAnsi="Times New Roman"/>
                <w:sz w:val="19"/>
                <w:szCs w:val="19"/>
                <w:color w:val="auto"/>
              </w:rPr>
              <w:t xml:space="preserve">U.S. stock index fund measured at NA V </w:t>
            </w:r>
            <w:r>
              <w:rPr>
                <w:rFonts w:ascii="Arial" w:cs="Arial" w:eastAsia="Arial" w:hAnsi="Arial"/>
                <w:sz w:val="11"/>
                <w:szCs w:val="11"/>
                <w:color w:val="auto"/>
              </w:rPr>
              <w:t>(5)</w:t>
            </w:r>
          </w:p>
        </w:tc>
        <w:tc>
          <w:tcPr>
            <w:tcW w:w="1020" w:type="dxa"/>
            <w:vAlign w:val="bottom"/>
          </w:tcPr>
          <w:p>
            <w:pPr>
              <w:jc w:val="right"/>
              <w:spacing w:after="0"/>
              <w:rPr>
                <w:sz w:val="20"/>
                <w:szCs w:val="20"/>
                <w:color w:val="auto"/>
              </w:rPr>
            </w:pPr>
            <w:r>
              <w:rPr>
                <w:rFonts w:ascii="Arial" w:cs="Arial" w:eastAsia="Arial" w:hAnsi="Arial"/>
                <w:sz w:val="11"/>
                <w:szCs w:val="11"/>
                <w:color w:val="auto"/>
              </w:rPr>
              <w:t>.  . . • .. • ...</w:t>
            </w:r>
          </w:p>
        </w:tc>
        <w:tc>
          <w:tcPr>
            <w:tcW w:w="160" w:type="dxa"/>
            <w:vAlign w:val="bottom"/>
          </w:tcPr>
          <w:p>
            <w:pPr>
              <w:jc w:val="right"/>
              <w:spacing w:after="0"/>
              <w:rPr>
                <w:sz w:val="20"/>
                <w:szCs w:val="20"/>
                <w:color w:val="auto"/>
              </w:rPr>
            </w:pPr>
            <w:r>
              <w:rPr>
                <w:rFonts w:ascii="Arial" w:cs="Arial" w:eastAsia="Arial" w:hAnsi="Arial"/>
                <w:sz w:val="11"/>
                <w:szCs w:val="11"/>
                <w:color w:val="auto"/>
                <w:w w:val="86"/>
              </w:rPr>
              <w:t>• ...</w:t>
            </w:r>
          </w:p>
        </w:tc>
        <w:tc>
          <w:tcPr>
            <w:tcW w:w="500" w:type="dxa"/>
            <w:vAlign w:val="bottom"/>
          </w:tcPr>
          <w:p>
            <w:pPr>
              <w:ind w:left="220"/>
              <w:spacing w:after="0"/>
              <w:rPr>
                <w:sz w:val="20"/>
                <w:szCs w:val="20"/>
                <w:color w:val="auto"/>
              </w:rPr>
            </w:pPr>
            <w:r>
              <w:rPr>
                <w:rFonts w:ascii="Arial" w:cs="Arial" w:eastAsia="Arial" w:hAnsi="Arial"/>
                <w:sz w:val="11"/>
                <w:szCs w:val="11"/>
                <w:color w:val="auto"/>
              </w:rPr>
              <w:t>• ..</w:t>
            </w:r>
          </w:p>
        </w:tc>
        <w:tc>
          <w:tcPr>
            <w:tcW w:w="460" w:type="dxa"/>
            <w:vAlign w:val="bottom"/>
          </w:tcPr>
          <w:p>
            <w:pPr>
              <w:spacing w:after="0"/>
              <w:rPr>
                <w:sz w:val="20"/>
                <w:szCs w:val="20"/>
                <w:color w:val="auto"/>
              </w:rPr>
            </w:pPr>
            <w:r>
              <w:rPr>
                <w:rFonts w:ascii="Arial" w:cs="Arial" w:eastAsia="Arial" w:hAnsi="Arial"/>
                <w:sz w:val="11"/>
                <w:szCs w:val="11"/>
                <w:color w:val="auto"/>
              </w:rPr>
              <w:t>• ..</w:t>
            </w: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line="212" w:lineRule="exact"/>
              <w:rPr>
                <w:sz w:val="20"/>
                <w:szCs w:val="20"/>
                <w:color w:val="auto"/>
              </w:rPr>
            </w:pPr>
            <w:r>
              <w:rPr>
                <w:rFonts w:ascii="Times New Roman" w:cs="Times New Roman" w:eastAsia="Times New Roman" w:hAnsi="Times New Roman"/>
                <w:sz w:val="19"/>
                <w:szCs w:val="19"/>
                <w:color w:val="auto"/>
              </w:rPr>
              <w:t>84,767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780" w:type="dxa"/>
            <w:vAlign w:val="bottom"/>
            <w:gridSpan w:val="2"/>
          </w:tcPr>
          <w:p>
            <w:pPr>
              <w:spacing w:after="0"/>
              <w:rPr>
                <w:sz w:val="20"/>
                <w:szCs w:val="20"/>
                <w:color w:val="auto"/>
              </w:rPr>
            </w:pPr>
            <w:r>
              <w:rPr>
                <w:rFonts w:ascii="Times New Roman" w:cs="Times New Roman" w:eastAsia="Times New Roman" w:hAnsi="Times New Roman"/>
                <w:sz w:val="19"/>
                <w:szCs w:val="19"/>
                <w:color w:val="auto"/>
                <w:w w:val="85"/>
              </w:rPr>
              <w:t>Receivables, net .........................................</w:t>
            </w:r>
          </w:p>
        </w:tc>
        <w:tc>
          <w:tcPr>
            <w:tcW w:w="7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3,341</w:t>
            </w:r>
          </w:p>
        </w:tc>
        <w:tc>
          <w:tcPr>
            <w:tcW w:w="0" w:type="dxa"/>
            <w:vAlign w:val="bottom"/>
          </w:tcPr>
          <w:p>
            <w:pPr>
              <w:spacing w:after="0"/>
              <w:rPr>
                <w:sz w:val="1"/>
                <w:szCs w:val="1"/>
                <w:color w:val="auto"/>
              </w:rPr>
            </w:pPr>
          </w:p>
        </w:tc>
      </w:tr>
      <w:tr>
        <w:trPr>
          <w:trHeight w:val="36"/>
        </w:trPr>
        <w:tc>
          <w:tcPr>
            <w:tcW w:w="2780" w:type="dxa"/>
            <w:vAlign w:val="bottom"/>
            <w:gridSpan w:val="2"/>
            <w:vMerge w:val="restart"/>
          </w:tcPr>
          <w:p>
            <w:pPr>
              <w:spacing w:after="0"/>
              <w:rPr>
                <w:sz w:val="20"/>
                <w:szCs w:val="20"/>
                <w:color w:val="auto"/>
              </w:rPr>
            </w:pPr>
            <w:r>
              <w:rPr>
                <w:rFonts w:ascii="Times New Roman" w:cs="Times New Roman" w:eastAsia="Times New Roman" w:hAnsi="Times New Roman"/>
                <w:sz w:val="19"/>
                <w:szCs w:val="19"/>
                <w:color w:val="auto"/>
              </w:rPr>
              <w:t>Total  ......................</w:t>
            </w:r>
          </w:p>
        </w:tc>
        <w:tc>
          <w:tcPr>
            <w:tcW w:w="7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80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8"/>
        </w:trPr>
        <w:tc>
          <w:tcPr>
            <w:tcW w:w="204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 ..........................</w:t>
            </w: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ind w:left="320"/>
              <w:spacing w:after="0"/>
              <w:rPr>
                <w:sz w:val="20"/>
                <w:szCs w:val="20"/>
                <w:color w:val="auto"/>
              </w:rPr>
            </w:pPr>
            <w:r>
              <w:rPr>
                <w:rFonts w:ascii="Times New Roman" w:cs="Times New Roman" w:eastAsia="Times New Roman" w:hAnsi="Times New Roman"/>
                <w:sz w:val="19"/>
                <w:szCs w:val="19"/>
                <w:color w:val="auto"/>
              </w:rPr>
              <w:t>.</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3,005,687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jc w:val="both"/>
        <w:ind w:left="440" w:right="125" w:hanging="323"/>
        <w:spacing w:after="0" w:line="284" w:lineRule="auto"/>
        <w:tabs>
          <w:tab w:leader="none" w:pos="420" w:val="left"/>
        </w:tabs>
        <w:rPr>
          <w:sz w:val="20"/>
          <w:szCs w:val="20"/>
          <w:color w:val="auto"/>
        </w:rPr>
      </w:pPr>
      <w:r>
        <w:rPr>
          <w:rFonts w:ascii="Arial" w:cs="Arial" w:eastAsia="Arial" w:hAnsi="Arial"/>
          <w:sz w:val="14"/>
          <w:szCs w:val="14"/>
          <w:color w:val="auto"/>
        </w:rPr>
        <w:t>( I )</w:t>
      </w:r>
      <w:r>
        <w:rPr>
          <w:sz w:val="20"/>
          <w:szCs w:val="20"/>
          <w:color w:val="auto"/>
        </w:rPr>
        <w:tab/>
      </w:r>
      <w:r>
        <w:rPr>
          <w:rFonts w:ascii="Times New Roman" w:cs="Times New Roman" w:eastAsia="Times New Roman" w:hAnsi="Times New Roman"/>
          <w:sz w:val="15"/>
          <w:szCs w:val="15"/>
          <w:i w:val="1"/>
          <w:iCs w:val="1"/>
          <w:color w:val="auto"/>
        </w:rPr>
        <w:t xml:space="preserve">U.S. equities. </w:t>
      </w:r>
      <w:r>
        <w:rPr>
          <w:rFonts w:ascii="Arial" w:cs="Arial" w:eastAsia="Arial" w:hAnsi="Arial"/>
          <w:sz w:val="14"/>
          <w:szCs w:val="14"/>
          <w:color w:val="auto"/>
        </w:rPr>
        <w:t>These investments are held in common and preferred stock of U.S. corporations and American Depositary Receipts</w:t>
      </w:r>
      <w:r>
        <w:rPr>
          <w:rFonts w:ascii="Times New Roman" w:cs="Times New Roman" w:eastAsia="Times New Roman" w:hAnsi="Times New Roman"/>
          <w:sz w:val="15"/>
          <w:szCs w:val="15"/>
          <w:i w:val="1"/>
          <w:iCs w:val="1"/>
          <w:color w:val="auto"/>
        </w:rPr>
        <w:t xml:space="preserve"> </w:t>
      </w:r>
      <w:r>
        <w:rPr>
          <w:rFonts w:ascii="Arial" w:cs="Arial" w:eastAsia="Arial" w:hAnsi="Arial"/>
          <w:sz w:val="14"/>
          <w:szCs w:val="14"/>
          <w:color w:val="auto"/>
        </w:rPr>
        <w:t>(ADRs) traded on U.S. exchanges. Common and preferred shares and ADRs arc traded actively on exchanges, and price quotes for these shares are readily avail able. These investments are classified as Level I in the valuation hierarchy.</w:t>
      </w:r>
    </w:p>
    <w:p>
      <w:pPr>
        <w:spacing w:after="0" w:line="6" w:lineRule="exact"/>
        <w:rPr>
          <w:sz w:val="20"/>
          <w:szCs w:val="20"/>
          <w:color w:val="auto"/>
        </w:rPr>
      </w:pPr>
    </w:p>
    <w:p>
      <w:pPr>
        <w:jc w:val="both"/>
        <w:ind w:left="440" w:right="125" w:hanging="328"/>
        <w:spacing w:after="0" w:line="291" w:lineRule="auto"/>
        <w:tabs>
          <w:tab w:leader="none" w:pos="441" w:val="left"/>
        </w:tabs>
        <w:numPr>
          <w:ilvl w:val="0"/>
          <w:numId w:val="85"/>
        </w:numPr>
        <w:rPr>
          <w:rFonts w:ascii="Arial" w:cs="Arial" w:eastAsia="Arial" w:hAnsi="Arial"/>
          <w:sz w:val="14"/>
          <w:szCs w:val="14"/>
          <w:color w:val="auto"/>
        </w:rPr>
      </w:pPr>
      <w:r>
        <w:rPr>
          <w:rFonts w:ascii="Times New Roman" w:cs="Times New Roman" w:eastAsia="Times New Roman" w:hAnsi="Times New Roman"/>
          <w:sz w:val="15"/>
          <w:szCs w:val="15"/>
          <w:i w:val="1"/>
          <w:iCs w:val="1"/>
          <w:color w:val="auto"/>
        </w:rPr>
        <w:t xml:space="preserve">lntemational equities. </w:t>
      </w:r>
      <w:r>
        <w:rPr>
          <w:rFonts w:ascii="Arial" w:cs="Arial" w:eastAsia="Arial" w:hAnsi="Arial"/>
          <w:sz w:val="14"/>
          <w:szCs w:val="14"/>
          <w:color w:val="auto"/>
        </w:rPr>
        <w:t>These investments are held in common and preferred stock i ssued by non-U.S. corporations. Common and</w:t>
      </w:r>
      <w:r>
        <w:rPr>
          <w:rFonts w:ascii="Times New Roman" w:cs="Times New Roman" w:eastAsia="Times New Roman" w:hAnsi="Times New Roman"/>
          <w:sz w:val="15"/>
          <w:szCs w:val="15"/>
          <w:i w:val="1"/>
          <w:iCs w:val="1"/>
          <w:color w:val="auto"/>
        </w:rPr>
        <w:t xml:space="preserve"> </w:t>
      </w:r>
      <w:r>
        <w:rPr>
          <w:rFonts w:ascii="Arial" w:cs="Arial" w:eastAsia="Arial" w:hAnsi="Arial"/>
          <w:sz w:val="14"/>
          <w:szCs w:val="14"/>
          <w:color w:val="auto"/>
        </w:rPr>
        <w:t>preferred shares are traded actively on excha111ges, and price quotes for these shares are readily available. These investments are classified as Level I in the valuation hierarchy.</w:t>
      </w:r>
    </w:p>
    <w:p>
      <w:pPr>
        <w:spacing w:after="0" w:line="1" w:lineRule="exact"/>
        <w:rPr>
          <w:rFonts w:ascii="Arial" w:cs="Arial" w:eastAsia="Arial" w:hAnsi="Arial"/>
          <w:sz w:val="14"/>
          <w:szCs w:val="14"/>
          <w:color w:val="auto"/>
        </w:rPr>
      </w:pPr>
    </w:p>
    <w:p>
      <w:pPr>
        <w:ind w:left="440" w:right="125" w:hanging="328"/>
        <w:spacing w:after="0" w:line="295" w:lineRule="auto"/>
        <w:tabs>
          <w:tab w:leader="none" w:pos="432" w:val="left"/>
        </w:tabs>
        <w:numPr>
          <w:ilvl w:val="0"/>
          <w:numId w:val="85"/>
        </w:numPr>
        <w:rPr>
          <w:rFonts w:ascii="Arial" w:cs="Arial" w:eastAsia="Arial" w:hAnsi="Arial"/>
          <w:sz w:val="14"/>
          <w:szCs w:val="14"/>
          <w:color w:val="auto"/>
        </w:rPr>
      </w:pPr>
      <w:r>
        <w:rPr>
          <w:rFonts w:ascii="Times New Roman" w:cs="Times New Roman" w:eastAsia="Times New Roman" w:hAnsi="Times New Roman"/>
          <w:sz w:val="15"/>
          <w:szCs w:val="15"/>
          <w:i w:val="1"/>
          <w:iCs w:val="1"/>
          <w:color w:val="auto"/>
        </w:rPr>
        <w:t xml:space="preserve">Shor1-1ern1 investment funds. </w:t>
      </w:r>
      <w:r>
        <w:rPr>
          <w:rFonts w:ascii="Arial" w:cs="Arial" w:eastAsia="Arial" w:hAnsi="Arial"/>
          <w:sz w:val="14"/>
          <w:szCs w:val="14"/>
          <w:color w:val="auto"/>
        </w:rPr>
        <w:t>These investments include commingled funds that are primarily hel d in U.S. Treasury securities. The funds</w:t>
      </w:r>
      <w:r>
        <w:rPr>
          <w:rFonts w:ascii="Times New Roman" w:cs="Times New Roman" w:eastAsia="Times New Roman" w:hAnsi="Times New Roman"/>
          <w:sz w:val="15"/>
          <w:szCs w:val="15"/>
          <w:i w:val="1"/>
          <w:iCs w:val="1"/>
          <w:color w:val="auto"/>
        </w:rPr>
        <w:t xml:space="preserve"> </w:t>
      </w:r>
      <w:r>
        <w:rPr>
          <w:rFonts w:ascii="Arial" w:cs="Arial" w:eastAsia="Arial" w:hAnsi="Arial"/>
          <w:sz w:val="14"/>
          <w:szCs w:val="14"/>
          <w:color w:val="auto"/>
        </w:rPr>
        <w:t>are valued using the net asset value (NAV) provided by the administrator of the funds and reviewed by the Company.</w:t>
      </w:r>
    </w:p>
    <w:p>
      <w:pPr>
        <w:jc w:val="both"/>
        <w:ind w:left="440" w:right="125" w:hanging="328"/>
        <w:spacing w:after="0" w:line="273" w:lineRule="auto"/>
        <w:tabs>
          <w:tab w:leader="none" w:pos="442" w:val="left"/>
        </w:tabs>
        <w:numPr>
          <w:ilvl w:val="0"/>
          <w:numId w:val="85"/>
        </w:numPr>
        <w:rPr>
          <w:rFonts w:ascii="Arial" w:cs="Arial" w:eastAsia="Arial" w:hAnsi="Arial"/>
          <w:sz w:val="14"/>
          <w:szCs w:val="14"/>
          <w:color w:val="auto"/>
        </w:rPr>
      </w:pPr>
      <w:r>
        <w:rPr>
          <w:rFonts w:ascii="Times New Roman" w:cs="Times New Roman" w:eastAsia="Times New Roman" w:hAnsi="Times New Roman"/>
          <w:sz w:val="15"/>
          <w:szCs w:val="15"/>
          <w:i w:val="1"/>
          <w:iCs w:val="1"/>
          <w:color w:val="auto"/>
        </w:rPr>
        <w:t xml:space="preserve">Private investmem funds. </w:t>
      </w:r>
      <w:r>
        <w:rPr>
          <w:rFonts w:ascii="Arial" w:cs="Arial" w:eastAsia="Arial" w:hAnsi="Arial"/>
          <w:sz w:val="14"/>
          <w:szCs w:val="14"/>
          <w:color w:val="auto"/>
        </w:rPr>
        <w:t>This category includes a commingled fund and a private investment fund. The commingled fund invests in a</w:t>
      </w:r>
      <w:r>
        <w:rPr>
          <w:rFonts w:ascii="Times New Roman" w:cs="Times New Roman" w:eastAsia="Times New Roman" w:hAnsi="Times New Roman"/>
          <w:sz w:val="15"/>
          <w:szCs w:val="15"/>
          <w:i w:val="1"/>
          <w:iCs w:val="1"/>
          <w:color w:val="auto"/>
        </w:rPr>
        <w:t xml:space="preserve"> </w:t>
      </w:r>
      <w:r>
        <w:rPr>
          <w:rFonts w:ascii="Arial" w:cs="Arial" w:eastAsia="Arial" w:hAnsi="Arial"/>
          <w:sz w:val="14"/>
          <w:szCs w:val="14"/>
          <w:color w:val="auto"/>
        </w:rPr>
        <w:t>di versified mi x of publicly traded securities (U.S. and international stocks) and private companies. The private investment fund invests in</w:t>
      </w:r>
    </w:p>
    <w:p>
      <w:pPr>
        <w:spacing w:after="0" w:line="24" w:lineRule="exact"/>
        <w:rPr>
          <w:rFonts w:ascii="Arial" w:cs="Arial" w:eastAsia="Arial" w:hAnsi="Arial"/>
          <w:sz w:val="14"/>
          <w:szCs w:val="14"/>
          <w:color w:val="auto"/>
        </w:rPr>
      </w:pPr>
    </w:p>
    <w:p>
      <w:pPr>
        <w:jc w:val="both"/>
        <w:ind w:left="420" w:right="125" w:firstLine="8"/>
        <w:spacing w:after="0" w:line="319" w:lineRule="auto"/>
        <w:rPr>
          <w:rFonts w:ascii="Arial" w:cs="Arial" w:eastAsia="Arial" w:hAnsi="Arial"/>
          <w:sz w:val="14"/>
          <w:szCs w:val="14"/>
          <w:color w:val="auto"/>
        </w:rPr>
      </w:pPr>
      <w:r>
        <w:rPr>
          <w:rFonts w:ascii="Arial" w:cs="Arial" w:eastAsia="Arial" w:hAnsi="Arial"/>
          <w:sz w:val="14"/>
          <w:szCs w:val="14"/>
          <w:color w:val="auto"/>
        </w:rPr>
        <w:t>non-public companies. The funds arc valued using the NAY provided by the administrator of the funds and reviewed by the Company. The NAY i s based on the value of the underlying assets owned by the fund, minus li abilities and divided by the number of units ou !standing.</w:t>
      </w:r>
    </w:p>
    <w:p>
      <w:pPr>
        <w:spacing w:after="0" w:line="167" w:lineRule="exact"/>
        <w:rPr>
          <w:rFonts w:ascii="Arial" w:cs="Arial" w:eastAsia="Arial" w:hAnsi="Arial"/>
          <w:sz w:val="14"/>
          <w:szCs w:val="14"/>
          <w:color w:val="auto"/>
        </w:rPr>
      </w:pPr>
    </w:p>
    <w:p>
      <w:pPr>
        <w:jc w:val="both"/>
        <w:ind w:left="440" w:right="125" w:hanging="328"/>
        <w:spacing w:after="0" w:line="294" w:lineRule="auto"/>
        <w:tabs>
          <w:tab w:leader="none" w:pos="448" w:val="left"/>
        </w:tabs>
        <w:numPr>
          <w:ilvl w:val="0"/>
          <w:numId w:val="85"/>
        </w:numPr>
        <w:rPr>
          <w:rFonts w:ascii="Arial" w:cs="Arial" w:eastAsia="Arial" w:hAnsi="Arial"/>
          <w:sz w:val="14"/>
          <w:szCs w:val="14"/>
          <w:color w:val="auto"/>
        </w:rPr>
      </w:pPr>
      <w:r>
        <w:rPr>
          <w:rFonts w:ascii="Arial" w:cs="Arial" w:eastAsia="Arial" w:hAnsi="Arial"/>
          <w:sz w:val="15"/>
          <w:szCs w:val="15"/>
          <w:i w:val="1"/>
          <w:iCs w:val="1"/>
          <w:color w:val="auto"/>
        </w:rPr>
        <w:t xml:space="preserve">U.S. srock </w:t>
      </w:r>
      <w:r>
        <w:rPr>
          <w:rFonts w:ascii="Times New Roman" w:cs="Times New Roman" w:eastAsia="Times New Roman" w:hAnsi="Times New Roman"/>
          <w:sz w:val="15"/>
          <w:szCs w:val="15"/>
          <w:i w:val="1"/>
          <w:iCs w:val="1"/>
          <w:color w:val="auto"/>
        </w:rPr>
        <w:t>indexfimd.</w:t>
      </w:r>
      <w:r>
        <w:rPr>
          <w:rFonts w:ascii="Arial" w:cs="Arial" w:eastAsia="Arial" w:hAnsi="Arial"/>
          <w:sz w:val="15"/>
          <w:szCs w:val="15"/>
          <w:i w:val="1"/>
          <w:iCs w:val="1"/>
          <w:color w:val="auto"/>
        </w:rPr>
        <w:t xml:space="preserve"> </w:t>
      </w:r>
      <w:r>
        <w:rPr>
          <w:rFonts w:ascii="Arial" w:cs="Arial" w:eastAsia="Arial" w:hAnsi="Arial"/>
          <w:sz w:val="14"/>
          <w:szCs w:val="14"/>
          <w:color w:val="auto"/>
        </w:rPr>
        <w:t>This fund consists of investments held in common stock, plus an uninvested cash portion comprising less than 1%</w:t>
      </w:r>
      <w:r>
        <w:rPr>
          <w:rFonts w:ascii="Arial" w:cs="Arial" w:eastAsia="Arial" w:hAnsi="Arial"/>
          <w:sz w:val="15"/>
          <w:szCs w:val="15"/>
          <w:i w:val="1"/>
          <w:iCs w:val="1"/>
          <w:color w:val="auto"/>
        </w:rPr>
        <w:t xml:space="preserve"> </w:t>
      </w:r>
      <w:r>
        <w:rPr>
          <w:rFonts w:ascii="Arial" w:cs="Arial" w:eastAsia="Arial" w:hAnsi="Arial"/>
          <w:sz w:val="14"/>
          <w:szCs w:val="14"/>
          <w:color w:val="auto"/>
        </w:rPr>
        <w:t>of fund value, that together are designed to track the performance of the S&amp;P 500 Index. The fund is valued using the NAY provi ded by the administrator of the fund and reviewed by the Company. The NAY is based on the value of the underlying assets owned by the fund. minus liabilities and divided by the number of units outstanding.</w:t>
      </w:r>
    </w:p>
    <w:p>
      <w:pPr>
        <w:spacing w:after="0" w:line="22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following table sets forth a summary of the Plan's investments with a reported NAY:</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40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Other</w:t>
            </w:r>
          </w:p>
        </w:tc>
        <w:tc>
          <w:tcPr>
            <w:tcW w:w="1020" w:type="dxa"/>
            <w:vAlign w:val="bottom"/>
            <w:gridSpan w:val="2"/>
          </w:tcPr>
          <w:p>
            <w:pPr>
              <w:jc w:val="center"/>
              <w:ind w:left="121"/>
              <w:spacing w:after="0"/>
              <w:rPr>
                <w:sz w:val="20"/>
                <w:szCs w:val="20"/>
                <w:color w:val="auto"/>
              </w:rPr>
            </w:pPr>
            <w:r>
              <w:rPr>
                <w:rFonts w:ascii="Times New Roman" w:cs="Times New Roman" w:eastAsia="Times New Roman" w:hAnsi="Times New Roman"/>
                <w:sz w:val="16"/>
                <w:szCs w:val="16"/>
                <w:color w:val="auto"/>
              </w:rPr>
              <w:t>Redemption</w:t>
            </w:r>
          </w:p>
        </w:tc>
      </w:tr>
      <w:tr>
        <w:trPr>
          <w:trHeight w:val="172"/>
        </w:trPr>
        <w:tc>
          <w:tcPr>
            <w:tcW w:w="40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ind w:left="120"/>
              <w:spacing w:after="0" w:line="171" w:lineRule="exact"/>
              <w:rPr>
                <w:sz w:val="20"/>
                <w:szCs w:val="20"/>
                <w:color w:val="auto"/>
              </w:rPr>
            </w:pPr>
            <w:r>
              <w:rPr>
                <w:rFonts w:ascii="Times New Roman" w:cs="Times New Roman" w:eastAsia="Times New Roman" w:hAnsi="Times New Roman"/>
                <w:sz w:val="16"/>
                <w:szCs w:val="16"/>
                <w:color w:val="auto"/>
              </w:rPr>
              <w:t>Unfunded</w:t>
            </w:r>
          </w:p>
        </w:tc>
        <w:tc>
          <w:tcPr>
            <w:tcW w:w="180" w:type="dxa"/>
            <w:vAlign w:val="bottom"/>
          </w:tcPr>
          <w:p>
            <w:pPr>
              <w:spacing w:after="0"/>
              <w:rPr>
                <w:sz w:val="14"/>
                <w:szCs w:val="14"/>
                <w:color w:val="auto"/>
              </w:rPr>
            </w:pPr>
          </w:p>
        </w:tc>
        <w:tc>
          <w:tcPr>
            <w:tcW w:w="94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w w:val="85"/>
              </w:rPr>
              <w:t>Rede1111ption</w:t>
            </w:r>
          </w:p>
        </w:tc>
        <w:tc>
          <w:tcPr>
            <w:tcW w:w="1040" w:type="dxa"/>
            <w:vAlign w:val="bottom"/>
            <w:gridSpan w:val="2"/>
          </w:tcPr>
          <w:p>
            <w:pPr>
              <w:jc w:val="center"/>
              <w:ind w:left="101"/>
              <w:spacing w:after="0" w:line="171" w:lineRule="exact"/>
              <w:rPr>
                <w:sz w:val="20"/>
                <w:szCs w:val="20"/>
                <w:color w:val="auto"/>
              </w:rPr>
            </w:pPr>
            <w:r>
              <w:rPr>
                <w:rFonts w:ascii="Times New Roman" w:cs="Times New Roman" w:eastAsia="Times New Roman" w:hAnsi="Times New Roman"/>
                <w:sz w:val="16"/>
                <w:szCs w:val="16"/>
                <w:color w:val="auto"/>
                <w:w w:val="99"/>
              </w:rPr>
              <w:t>Red emption</w:t>
            </w:r>
          </w:p>
        </w:tc>
        <w:tc>
          <w:tcPr>
            <w:tcW w:w="200" w:type="dxa"/>
            <w:vAlign w:val="bottom"/>
          </w:tcPr>
          <w:p>
            <w:pPr>
              <w:spacing w:after="0"/>
              <w:rPr>
                <w:sz w:val="14"/>
                <w:szCs w:val="14"/>
                <w:color w:val="auto"/>
              </w:rPr>
            </w:pPr>
          </w:p>
        </w:tc>
        <w:tc>
          <w:tcPr>
            <w:tcW w:w="82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color w:val="auto"/>
              </w:rPr>
              <w:t>Notice</w:t>
            </w:r>
          </w:p>
        </w:tc>
      </w:tr>
      <w:tr>
        <w:trPr>
          <w:trHeight w:val="174"/>
        </w:trPr>
        <w:tc>
          <w:tcPr>
            <w:tcW w:w="4080" w:type="dxa"/>
            <w:vAlign w:val="bottom"/>
          </w:tcPr>
          <w:p>
            <w:pPr>
              <w:spacing w:after="0" w:line="174" w:lineRule="exact"/>
              <w:rPr>
                <w:sz w:val="20"/>
                <w:szCs w:val="20"/>
                <w:color w:val="auto"/>
              </w:rPr>
            </w:pPr>
            <w:r>
              <w:rPr>
                <w:rFonts w:ascii="Times New Roman" w:cs="Times New Roman" w:eastAsia="Times New Roman" w:hAnsi="Times New Roman"/>
                <w:sz w:val="16"/>
                <w:szCs w:val="16"/>
                <w:color w:val="auto"/>
              </w:rPr>
              <w:t>(in thousands)</w:t>
            </w:r>
          </w:p>
        </w:tc>
        <w:tc>
          <w:tcPr>
            <w:tcW w:w="1860" w:type="dxa"/>
            <w:vAlign w:val="bottom"/>
            <w:gridSpan w:val="3"/>
          </w:tcPr>
          <w:p>
            <w:pPr>
              <w:spacing w:after="0" w:line="174" w:lineRule="exact"/>
              <w:rPr>
                <w:sz w:val="20"/>
                <w:szCs w:val="20"/>
                <w:color w:val="auto"/>
              </w:rPr>
            </w:pPr>
            <w:r>
              <w:rPr>
                <w:rFonts w:ascii="Times New Roman" w:cs="Times New Roman" w:eastAsia="Times New Roman" w:hAnsi="Times New Roman"/>
                <w:sz w:val="16"/>
                <w:szCs w:val="16"/>
                <w:color w:val="auto"/>
              </w:rPr>
              <w:t>Fair Value    Commitment</w:t>
            </w:r>
          </w:p>
        </w:tc>
        <w:tc>
          <w:tcPr>
            <w:tcW w:w="180" w:type="dxa"/>
            <w:vAlign w:val="bottom"/>
          </w:tcPr>
          <w:p>
            <w:pPr>
              <w:spacing w:after="0"/>
              <w:rPr>
                <w:sz w:val="15"/>
                <w:szCs w:val="15"/>
                <w:color w:val="auto"/>
              </w:rPr>
            </w:pPr>
          </w:p>
        </w:tc>
        <w:tc>
          <w:tcPr>
            <w:tcW w:w="9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Freq uency</w:t>
            </w:r>
          </w:p>
        </w:tc>
        <w:tc>
          <w:tcPr>
            <w:tcW w:w="200" w:type="dxa"/>
            <w:vAlign w:val="bottom"/>
          </w:tcPr>
          <w:p>
            <w:pPr>
              <w:spacing w:after="0"/>
              <w:rPr>
                <w:sz w:val="15"/>
                <w:szCs w:val="15"/>
                <w:color w:val="auto"/>
              </w:rPr>
            </w:pPr>
          </w:p>
        </w:tc>
        <w:tc>
          <w:tcPr>
            <w:tcW w:w="84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Restriction</w:t>
            </w:r>
          </w:p>
        </w:tc>
        <w:tc>
          <w:tcPr>
            <w:tcW w:w="200" w:type="dxa"/>
            <w:vAlign w:val="bottom"/>
          </w:tcPr>
          <w:p>
            <w:pPr>
              <w:spacing w:after="0"/>
              <w:rPr>
                <w:sz w:val="15"/>
                <w:szCs w:val="15"/>
                <w:color w:val="auto"/>
              </w:rPr>
            </w:pPr>
          </w:p>
        </w:tc>
        <w:tc>
          <w:tcPr>
            <w:tcW w:w="820" w:type="dxa"/>
            <w:vAlign w:val="bottom"/>
          </w:tcPr>
          <w:p>
            <w:pPr>
              <w:jc w:val="center"/>
              <w:spacing w:after="0" w:line="174" w:lineRule="exact"/>
              <w:rPr>
                <w:sz w:val="20"/>
                <w:szCs w:val="20"/>
                <w:color w:val="auto"/>
              </w:rPr>
            </w:pPr>
            <w:r>
              <w:rPr>
                <w:rFonts w:ascii="Times New Roman" w:cs="Times New Roman" w:eastAsia="Times New Roman" w:hAnsi="Times New Roman"/>
                <w:sz w:val="16"/>
                <w:szCs w:val="16"/>
                <w:color w:val="auto"/>
              </w:rPr>
              <w:t>Period</w:t>
            </w:r>
          </w:p>
        </w:tc>
      </w:tr>
      <w:tr>
        <w:trPr>
          <w:trHeight w:val="42"/>
        </w:trPr>
        <w:tc>
          <w:tcPr>
            <w:tcW w:w="4080" w:type="dxa"/>
            <w:vAlign w:val="bottom"/>
          </w:tcPr>
          <w:p>
            <w:pPr>
              <w:spacing w:after="0"/>
              <w:rPr>
                <w:sz w:val="3"/>
                <w:szCs w:val="3"/>
                <w:color w:val="auto"/>
              </w:rPr>
            </w:pPr>
          </w:p>
        </w:tc>
        <w:tc>
          <w:tcPr>
            <w:tcW w:w="740" w:type="dxa"/>
            <w:vAlign w:val="bottom"/>
            <w:tcBorders>
              <w:bottom w:val="single" w:sz="8" w:color="403C3C"/>
            </w:tcBorders>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Borders>
              <w:bottom w:val="single" w:sz="8" w:color="403C3C"/>
            </w:tcBorders>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Borders>
              <w:bottom w:val="single" w:sz="8" w:color="403C3C"/>
            </w:tcBorders>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Borders>
              <w:bottom w:val="single" w:sz="8" w:color="403C3C"/>
            </w:tcBorders>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Borders>
              <w:bottom w:val="single" w:sz="8" w:color="403C3C"/>
            </w:tcBorders>
          </w:tcPr>
          <w:p>
            <w:pPr>
              <w:spacing w:after="0"/>
              <w:rPr>
                <w:sz w:val="3"/>
                <w:szCs w:val="3"/>
                <w:color w:val="auto"/>
              </w:rPr>
            </w:pPr>
          </w:p>
        </w:tc>
      </w:tr>
    </w:tbl>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18"/>
        </w:trPr>
        <w:tc>
          <w:tcPr>
            <w:tcW w:w="3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Short-term investment funds</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52"/>
        </w:trPr>
        <w:tc>
          <w:tcPr>
            <w:tcW w:w="8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2024</w:t>
            </w:r>
          </w:p>
        </w:tc>
        <w:tc>
          <w:tcPr>
            <w:tcW w:w="3120" w:type="dxa"/>
            <w:vAlign w:val="bottom"/>
          </w:tcPr>
          <w:p>
            <w:pPr>
              <w:ind w:left="60"/>
              <w:spacing w:after="0"/>
              <w:rPr>
                <w:sz w:val="20"/>
                <w:szCs w:val="20"/>
                <w:color w:val="auto"/>
              </w:rPr>
            </w:pPr>
            <w:r>
              <w:rPr>
                <w:rFonts w:ascii="Arial" w:cs="Arial" w:eastAsia="Arial" w:hAnsi="Arial"/>
                <w:sz w:val="18"/>
                <w:szCs w:val="18"/>
                <w:color w:val="auto"/>
              </w:rPr>
              <w:t>..............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150,103</w:t>
            </w:r>
          </w:p>
        </w:tc>
        <w:tc>
          <w:tcPr>
            <w:tcW w:w="980" w:type="dxa"/>
            <w:vAlign w:val="bottom"/>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Imm ediate</w:t>
            </w:r>
          </w:p>
        </w:tc>
        <w:tc>
          <w:tcPr>
            <w:tcW w:w="9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None</w:t>
            </w:r>
          </w:p>
        </w:tc>
        <w:tc>
          <w:tcPr>
            <w:tcW w:w="880" w:type="dxa"/>
            <w:vAlign w:val="bottom"/>
          </w:tcPr>
          <w:p>
            <w:pPr>
              <w:jc w:val="center"/>
              <w:ind w:left="144"/>
              <w:spacing w:after="0"/>
              <w:rPr>
                <w:sz w:val="20"/>
                <w:szCs w:val="20"/>
                <w:color w:val="auto"/>
              </w:rPr>
            </w:pPr>
            <w:r>
              <w:rPr>
                <w:rFonts w:ascii="Times New Roman" w:cs="Times New Roman" w:eastAsia="Times New Roman" w:hAnsi="Times New Roman"/>
                <w:sz w:val="19"/>
                <w:szCs w:val="19"/>
                <w:color w:val="auto"/>
              </w:rPr>
              <w:t>None</w:t>
            </w:r>
          </w:p>
        </w:tc>
      </w:tr>
      <w:tr>
        <w:trPr>
          <w:trHeight w:val="244"/>
        </w:trPr>
        <w:tc>
          <w:tcPr>
            <w:tcW w:w="8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2023</w:t>
            </w:r>
          </w:p>
        </w:tc>
        <w:tc>
          <w:tcPr>
            <w:tcW w:w="3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••••••••••••••••••••••••••0•••</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197,712</w:t>
            </w:r>
          </w:p>
        </w:tc>
        <w:tc>
          <w:tcPr>
            <w:tcW w:w="9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Immediate</w:t>
            </w:r>
          </w:p>
        </w:tc>
        <w:tc>
          <w:tcPr>
            <w:tcW w:w="9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None</w:t>
            </w:r>
          </w:p>
        </w:tc>
        <w:tc>
          <w:tcPr>
            <w:tcW w:w="880" w:type="dxa"/>
            <w:vAlign w:val="bottom"/>
          </w:tcPr>
          <w:p>
            <w:pPr>
              <w:jc w:val="center"/>
              <w:ind w:left="164"/>
              <w:spacing w:after="0"/>
              <w:rPr>
                <w:sz w:val="20"/>
                <w:szCs w:val="20"/>
                <w:color w:val="auto"/>
              </w:rPr>
            </w:pPr>
            <w:r>
              <w:rPr>
                <w:rFonts w:ascii="Times New Roman" w:cs="Times New Roman" w:eastAsia="Times New Roman" w:hAnsi="Times New Roman"/>
                <w:sz w:val="19"/>
                <w:szCs w:val="19"/>
                <w:color w:val="auto"/>
              </w:rPr>
              <w:t>None</w:t>
            </w:r>
          </w:p>
        </w:tc>
      </w:tr>
      <w:tr>
        <w:trPr>
          <w:trHeight w:val="229"/>
        </w:trPr>
        <w:tc>
          <w:tcPr>
            <w:tcW w:w="3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Private investment fu nds</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56"/>
        </w:trPr>
        <w:tc>
          <w:tcPr>
            <w:tcW w:w="8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2024</w:t>
            </w:r>
          </w:p>
        </w:tc>
        <w:tc>
          <w:tcPr>
            <w:tcW w:w="3120" w:type="dxa"/>
            <w:vAlign w:val="bottom"/>
          </w:tcPr>
          <w:p>
            <w:pPr>
              <w:ind w:left="60"/>
              <w:spacing w:after="0"/>
              <w:rPr>
                <w:sz w:val="20"/>
                <w:szCs w:val="20"/>
                <w:color w:val="auto"/>
              </w:rPr>
            </w:pPr>
            <w:r>
              <w:rPr>
                <w:rFonts w:ascii="Times New Roman" w:cs="Times New Roman" w:eastAsia="Times New Roman" w:hAnsi="Times New Roman"/>
                <w:sz w:val="3"/>
                <w:szCs w:val="3"/>
                <w:color w:val="auto"/>
              </w:rPr>
              <w:t>••••0••••••0••••••0 .0•••••••••</w:t>
            </w:r>
          </w:p>
        </w:tc>
        <w:tc>
          <w:tcPr>
            <w:tcW w:w="1000" w:type="dxa"/>
            <w:vAlign w:val="bottom"/>
            <w:gridSpan w:val="2"/>
          </w:tcPr>
          <w:p>
            <w:pPr>
              <w:jc w:val="right"/>
              <w:ind w:right="64"/>
              <w:spacing w:after="0"/>
              <w:rPr>
                <w:sz w:val="20"/>
                <w:szCs w:val="20"/>
                <w:color w:val="auto"/>
              </w:rPr>
            </w:pPr>
            <w:r>
              <w:rPr>
                <w:rFonts w:ascii="Times New Roman" w:cs="Times New Roman" w:eastAsia="Times New Roman" w:hAnsi="Times New Roman"/>
                <w:sz w:val="19"/>
                <w:szCs w:val="19"/>
                <w:color w:val="auto"/>
              </w:rPr>
              <w:t>$557,122</w:t>
            </w:r>
          </w:p>
        </w:tc>
        <w:tc>
          <w:tcPr>
            <w:tcW w:w="9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$11,105</w:t>
            </w:r>
          </w:p>
        </w:tc>
        <w:tc>
          <w:tcPr>
            <w:tcW w:w="1280" w:type="dxa"/>
            <w:vAlign w:val="bottom"/>
          </w:tcPr>
          <w:p>
            <w:pPr>
              <w:jc w:val="center"/>
              <w:spacing w:after="0" w:line="256" w:lineRule="exact"/>
              <w:rPr>
                <w:sz w:val="20"/>
                <w:szCs w:val="20"/>
                <w:color w:val="auto"/>
              </w:rPr>
            </w:pPr>
            <w:r>
              <w:rPr>
                <w:rFonts w:ascii="Times New Roman" w:cs="Times New Roman" w:eastAsia="Times New Roman" w:hAnsi="Times New Roman"/>
                <w:sz w:val="23"/>
                <w:szCs w:val="23"/>
                <w:color w:val="auto"/>
                <w:w w:val="89"/>
              </w:rPr>
              <w:t>(1)</w:t>
            </w:r>
          </w:p>
        </w:tc>
        <w:tc>
          <w:tcPr>
            <w:tcW w:w="900" w:type="dxa"/>
            <w:vAlign w:val="bottom"/>
          </w:tcPr>
          <w:p>
            <w:pPr>
              <w:jc w:val="center"/>
              <w:spacing w:after="0" w:line="256" w:lineRule="exact"/>
              <w:rPr>
                <w:sz w:val="20"/>
                <w:szCs w:val="20"/>
                <w:color w:val="auto"/>
              </w:rPr>
            </w:pPr>
            <w:r>
              <w:rPr>
                <w:rFonts w:ascii="Times New Roman" w:cs="Times New Roman" w:eastAsia="Times New Roman" w:hAnsi="Times New Roman"/>
                <w:sz w:val="23"/>
                <w:szCs w:val="23"/>
                <w:color w:val="auto"/>
                <w:w w:val="81"/>
              </w:rPr>
              <w:t>(1)</w:t>
            </w:r>
          </w:p>
        </w:tc>
        <w:tc>
          <w:tcPr>
            <w:tcW w:w="880" w:type="dxa"/>
            <w:vAlign w:val="bottom"/>
          </w:tcPr>
          <w:p>
            <w:pPr>
              <w:jc w:val="center"/>
              <w:ind w:left="144"/>
              <w:spacing w:after="0"/>
              <w:rPr>
                <w:sz w:val="20"/>
                <w:szCs w:val="20"/>
                <w:color w:val="auto"/>
              </w:rPr>
            </w:pPr>
            <w:r>
              <w:rPr>
                <w:rFonts w:ascii="Times New Roman" w:cs="Times New Roman" w:eastAsia="Times New Roman" w:hAnsi="Times New Roman"/>
                <w:sz w:val="19"/>
                <w:szCs w:val="19"/>
                <w:color w:val="auto"/>
              </w:rPr>
              <w:t>90 days</w:t>
            </w:r>
          </w:p>
        </w:tc>
      </w:tr>
      <w:tr>
        <w:trPr>
          <w:trHeight w:val="230"/>
        </w:trPr>
        <w:tc>
          <w:tcPr>
            <w:tcW w:w="8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2023</w:t>
            </w:r>
          </w:p>
        </w:tc>
        <w:tc>
          <w:tcPr>
            <w:tcW w:w="3120" w:type="dxa"/>
            <w:vAlign w:val="bottom"/>
          </w:tcPr>
          <w:p>
            <w:pPr>
              <w:ind w:left="60"/>
              <w:spacing w:after="0"/>
              <w:rPr>
                <w:sz w:val="20"/>
                <w:szCs w:val="20"/>
                <w:color w:val="auto"/>
              </w:rPr>
            </w:pPr>
            <w:r>
              <w:rPr>
                <w:rFonts w:ascii="Arial" w:cs="Arial" w:eastAsia="Arial" w:hAnsi="Arial"/>
                <w:sz w:val="18"/>
                <w:szCs w:val="18"/>
                <w:color w:val="auto"/>
              </w:rPr>
              <w:t>.......... . . ...... .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509,647</w:t>
            </w:r>
          </w:p>
        </w:tc>
        <w:tc>
          <w:tcPr>
            <w:tcW w:w="9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$16,5 15</w:t>
            </w: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w:t>
            </w:r>
          </w:p>
        </w:tc>
        <w:tc>
          <w:tcPr>
            <w:tcW w:w="900" w:type="dxa"/>
            <w:vAlign w:val="bottom"/>
          </w:tcPr>
          <w:p>
            <w:pPr>
              <w:jc w:val="center"/>
              <w:spacing w:after="0"/>
              <w:rPr>
                <w:sz w:val="20"/>
                <w:szCs w:val="20"/>
                <w:color w:val="auto"/>
              </w:rPr>
            </w:pPr>
            <w:r>
              <w:rPr>
                <w:rFonts w:ascii="Arial" w:cs="Arial" w:eastAsia="Arial" w:hAnsi="Arial"/>
                <w:sz w:val="18"/>
                <w:szCs w:val="18"/>
                <w:color w:val="auto"/>
                <w:w w:val="81"/>
              </w:rPr>
              <w:t>( I )</w:t>
            </w:r>
          </w:p>
        </w:tc>
        <w:tc>
          <w:tcPr>
            <w:tcW w:w="880" w:type="dxa"/>
            <w:vAlign w:val="bottom"/>
          </w:tcPr>
          <w:p>
            <w:pPr>
              <w:jc w:val="center"/>
              <w:ind w:left="144"/>
              <w:spacing w:after="0"/>
              <w:rPr>
                <w:sz w:val="20"/>
                <w:szCs w:val="20"/>
                <w:color w:val="auto"/>
              </w:rPr>
            </w:pPr>
            <w:r>
              <w:rPr>
                <w:rFonts w:ascii="Times New Roman" w:cs="Times New Roman" w:eastAsia="Times New Roman" w:hAnsi="Times New Roman"/>
                <w:sz w:val="19"/>
                <w:szCs w:val="19"/>
                <w:color w:val="auto"/>
              </w:rPr>
              <w:t>90 days</w:t>
            </w:r>
          </w:p>
        </w:tc>
      </w:tr>
      <w:tr>
        <w:trPr>
          <w:trHeight w:val="238"/>
        </w:trPr>
        <w:tc>
          <w:tcPr>
            <w:tcW w:w="398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U.S. stock index fund</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8"/>
        </w:trPr>
        <w:tc>
          <w:tcPr>
            <w:tcW w:w="86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2023</w:t>
            </w:r>
          </w:p>
        </w:tc>
        <w:tc>
          <w:tcPr>
            <w:tcW w:w="3120" w:type="dxa"/>
            <w:vAlign w:val="bottom"/>
          </w:tcPr>
          <w:p>
            <w:pPr>
              <w:ind w:left="60"/>
              <w:spacing w:after="0"/>
              <w:rPr>
                <w:sz w:val="20"/>
                <w:szCs w:val="20"/>
                <w:color w:val="auto"/>
              </w:rPr>
            </w:pPr>
            <w:r>
              <w:rPr>
                <w:rFonts w:ascii="Arial" w:cs="Arial" w:eastAsia="Arial" w:hAnsi="Arial"/>
                <w:sz w:val="18"/>
                <w:szCs w:val="18"/>
                <w:color w:val="auto"/>
              </w:rPr>
              <w:t>....... . ...... .. . . .... . . . .... .</w:t>
            </w:r>
          </w:p>
        </w:tc>
        <w:tc>
          <w:tcPr>
            <w:tcW w:w="2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9"/>
                <w:szCs w:val="19"/>
                <w:color w:val="auto"/>
              </w:rPr>
              <w:t>84,767</w:t>
            </w:r>
          </w:p>
        </w:tc>
        <w:tc>
          <w:tcPr>
            <w:tcW w:w="98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w:t>
            </w:r>
          </w:p>
        </w:tc>
        <w:tc>
          <w:tcPr>
            <w:tcW w:w="128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Immediate</w:t>
            </w:r>
          </w:p>
        </w:tc>
        <w:tc>
          <w:tcPr>
            <w:tcW w:w="900" w:type="dxa"/>
            <w:vAlign w:val="bottom"/>
          </w:tcPr>
          <w:p>
            <w:pPr>
              <w:jc w:val="center"/>
              <w:spacing w:after="0"/>
              <w:rPr>
                <w:sz w:val="20"/>
                <w:szCs w:val="20"/>
                <w:color w:val="auto"/>
              </w:rPr>
            </w:pPr>
            <w:r>
              <w:rPr>
                <w:rFonts w:ascii="Times New Roman" w:cs="Times New Roman" w:eastAsia="Times New Roman" w:hAnsi="Times New Roman"/>
                <w:sz w:val="19"/>
                <w:szCs w:val="19"/>
                <w:color w:val="auto"/>
              </w:rPr>
              <w:t>None</w:t>
            </w:r>
          </w:p>
        </w:tc>
        <w:tc>
          <w:tcPr>
            <w:tcW w:w="880" w:type="dxa"/>
            <w:vAlign w:val="bottom"/>
          </w:tcPr>
          <w:p>
            <w:pPr>
              <w:jc w:val="center"/>
              <w:ind w:left="164"/>
              <w:spacing w:after="0"/>
              <w:rPr>
                <w:sz w:val="20"/>
                <w:szCs w:val="20"/>
                <w:color w:val="auto"/>
              </w:rPr>
            </w:pPr>
            <w:r>
              <w:rPr>
                <w:rFonts w:ascii="Times New Roman" w:cs="Times New Roman" w:eastAsia="Times New Roman" w:hAnsi="Times New Roman"/>
                <w:sz w:val="19"/>
                <w:szCs w:val="19"/>
                <w:color w:val="auto"/>
              </w:rPr>
              <w:t>1 day</w:t>
            </w:r>
          </w:p>
        </w:tc>
      </w:tr>
    </w:tbl>
    <w:p>
      <w:pPr>
        <w:spacing w:after="0" w:line="190" w:lineRule="exact"/>
        <w:rPr>
          <w:sz w:val="20"/>
          <w:szCs w:val="20"/>
          <w:color w:val="auto"/>
        </w:rPr>
      </w:pPr>
    </w:p>
    <w:p>
      <w:pPr>
        <w:jc w:val="both"/>
        <w:ind w:left="420" w:right="105" w:hanging="315"/>
        <w:spacing w:after="0" w:line="299" w:lineRule="auto"/>
        <w:tabs>
          <w:tab w:leader="none" w:pos="400" w:val="left"/>
        </w:tabs>
        <w:rPr>
          <w:sz w:val="20"/>
          <w:szCs w:val="20"/>
          <w:color w:val="auto"/>
        </w:rPr>
      </w:pPr>
      <w:r>
        <w:rPr>
          <w:rFonts w:ascii="Arial" w:cs="Arial" w:eastAsia="Arial" w:hAnsi="Arial"/>
          <w:sz w:val="14"/>
          <w:szCs w:val="14"/>
          <w:color w:val="auto"/>
        </w:rPr>
        <w:t>( I )</w:t>
        <w:tab/>
        <w:t>Five percent of the NAY of the investment in the commingled fund may be redeemed annually starting at the 12-month anniversary of the investment, subject to certain limitations. Additionally, the investment in the commingled fund may be redeemed in part, or in full, at the 60-month anniversary of the investment, or at any subsequent 36-month anni versary date following the initial 60-month anniversary. The investment in the pr ivate investment fund is generally not redeemable until the dissolution of the fund.</w:t>
      </w:r>
    </w:p>
    <w:p>
      <w:pPr>
        <w:spacing w:after="0" w:line="236" w:lineRule="exact"/>
        <w:rPr>
          <w:sz w:val="20"/>
          <w:szCs w:val="20"/>
          <w:color w:val="auto"/>
        </w:rPr>
      </w:pPr>
    </w:p>
    <w:p>
      <w:pPr>
        <w:jc w:val="both"/>
        <w:ind w:left="120" w:right="125"/>
        <w:spacing w:after="0" w:line="270" w:lineRule="auto"/>
        <w:rPr>
          <w:sz w:val="20"/>
          <w:szCs w:val="20"/>
          <w:color w:val="auto"/>
        </w:rPr>
      </w:pPr>
      <w:r>
        <w:rPr>
          <w:rFonts w:ascii="Times New Roman" w:cs="Times New Roman" w:eastAsia="Times New Roman" w:hAnsi="Times New Roman"/>
          <w:sz w:val="19"/>
          <w:szCs w:val="19"/>
          <w:color w:val="auto"/>
        </w:rPr>
        <w:t>Other Postretirement Plans.</w:t>
      </w:r>
      <w:r>
        <w:rPr>
          <w:sz w:val="20"/>
          <w:szCs w:val="20"/>
          <w:color w:val="auto"/>
        </w:rPr>
        <w:t xml:space="preserve"> </w:t>
      </w:r>
      <w:r>
        <w:rPr>
          <w:rFonts w:ascii="Times New Roman" w:cs="Times New Roman" w:eastAsia="Times New Roman" w:hAnsi="Times New Roman"/>
          <w:sz w:val="19"/>
          <w:szCs w:val="19"/>
          <w:color w:val="auto"/>
        </w:rPr>
        <w:t>In 2023, the Company purchased a contract from an insurance company to settle its outstanding retiree life insurance obligation for $ 1.7 million. As a result, the Company recorded a settlement gain of$1.1 miUion.</w:t>
      </w:r>
    </w:p>
    <w:p>
      <w:pPr>
        <w:sectPr>
          <w:pgSz w:w="12240" w:h="15850" w:orient="portrait"/>
          <w:cols w:equalWidth="0" w:num="1">
            <w:col w:w="9365"/>
          </w:cols>
          <w:pgMar w:left="1440" w:top="1338"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136</w:t>
        <w:tab/>
        <w:t>2024 FORM 10-K</w:t>
      </w:r>
    </w:p>
    <w:p>
      <w:pPr>
        <w:sectPr>
          <w:pgSz w:w="12240" w:h="15850" w:orient="portrait"/>
          <w:cols w:equalWidth="0" w:num="1">
            <w:col w:w="9365"/>
          </w:cols>
          <w:pgMar w:left="1440" w:top="1338" w:right="1440" w:bottom="721" w:gutter="0" w:footer="0" w:header="0"/>
          <w:type w:val="continuous"/>
        </w:sectPr>
      </w:pPr>
    </w:p>
    <w:bookmarkStart w:id="152" w:name="page153"/>
    <w:bookmarkEnd w:id="152"/>
    <w:p>
      <w:pPr>
        <w:jc w:val="both"/>
        <w:ind w:left="120" w:right="125" w:hanging="10"/>
        <w:spacing w:after="0" w:line="246"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foilowing table sets forth obligation, asset and funding information for the Company's other postretirement plans:</w:t>
      </w:r>
    </w:p>
    <w:p>
      <w:pPr>
        <w:spacing w:after="0" w:line="200" w:lineRule="exact"/>
        <w:rPr>
          <w:sz w:val="20"/>
          <w:szCs w:val="20"/>
          <w:color w:val="auto"/>
        </w:rPr>
      </w:pPr>
    </w:p>
    <w:p>
      <w:pPr>
        <w:spacing w:after="0" w:line="21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9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Postretirement Plans</w:t>
            </w:r>
          </w:p>
        </w:tc>
      </w:tr>
      <w:tr>
        <w:trPr>
          <w:trHeight w:val="238"/>
        </w:trPr>
        <w:tc>
          <w:tcPr>
            <w:tcW w:w="1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580" w:type="dxa"/>
            <w:vAlign w:val="bottom"/>
            <w:gridSpan w:val="3"/>
          </w:tcPr>
          <w:p>
            <w:pPr>
              <w:jc w:val="right"/>
              <w:ind w:right="23"/>
              <w:spacing w:after="0"/>
              <w:rPr>
                <w:sz w:val="20"/>
                <w:szCs w:val="20"/>
                <w:color w:val="auto"/>
              </w:rPr>
            </w:pPr>
            <w:r>
              <w:rPr>
                <w:rFonts w:ascii="Times New Roman" w:cs="Times New Roman" w:eastAsia="Times New Roman" w:hAnsi="Times New Roman"/>
                <w:sz w:val="16"/>
                <w:szCs w:val="16"/>
                <w:color w:val="auto"/>
              </w:rPr>
              <w:t>As of Decem ber 31</w:t>
            </w:r>
          </w:p>
        </w:tc>
      </w:tr>
      <w:tr>
        <w:trPr>
          <w:trHeight w:val="242"/>
        </w:trPr>
        <w:tc>
          <w:tcPr>
            <w:tcW w:w="194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00" w:type="dxa"/>
            <w:vAlign w:val="bottom"/>
          </w:tcPr>
          <w:p>
            <w:pPr>
              <w:spacing w:after="0"/>
              <w:rPr>
                <w:sz w:val="21"/>
                <w:szCs w:val="21"/>
                <w:color w:val="auto"/>
              </w:rPr>
            </w:pPr>
          </w:p>
        </w:tc>
        <w:tc>
          <w:tcPr>
            <w:tcW w:w="210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40" w:type="dxa"/>
            <w:vAlign w:val="bottom"/>
          </w:tcPr>
          <w:p>
            <w:pPr>
              <w:jc w:val="right"/>
              <w:ind w:right="185"/>
              <w:spacing w:after="0"/>
              <w:rPr>
                <w:sz w:val="20"/>
                <w:szCs w:val="20"/>
                <w:color w:val="auto"/>
              </w:rPr>
            </w:pPr>
            <w:r>
              <w:rPr>
                <w:rFonts w:ascii="Times New Roman" w:cs="Times New Roman" w:eastAsia="Times New Roman" w:hAnsi="Times New Roman"/>
                <w:sz w:val="18"/>
                <w:szCs w:val="18"/>
                <w:color w:val="auto"/>
              </w:rPr>
              <w:t>2024</w:t>
            </w:r>
          </w:p>
        </w:tc>
        <w:tc>
          <w:tcPr>
            <w:tcW w:w="160" w:type="dxa"/>
            <w:vAlign w:val="bottom"/>
          </w:tcPr>
          <w:p>
            <w:pPr>
              <w:spacing w:after="0"/>
              <w:rPr>
                <w:sz w:val="21"/>
                <w:szCs w:val="21"/>
                <w:color w:val="auto"/>
              </w:rPr>
            </w:pPr>
          </w:p>
        </w:tc>
        <w:tc>
          <w:tcPr>
            <w:tcW w:w="580" w:type="dxa"/>
            <w:vAlign w:val="bottom"/>
          </w:tcPr>
          <w:p>
            <w:pPr>
              <w:jc w:val="right"/>
              <w:ind w:right="103"/>
              <w:spacing w:after="0"/>
              <w:rPr>
                <w:sz w:val="20"/>
                <w:szCs w:val="20"/>
                <w:color w:val="auto"/>
              </w:rPr>
            </w:pPr>
            <w:r>
              <w:rPr>
                <w:rFonts w:ascii="Times New Roman" w:cs="Times New Roman" w:eastAsia="Times New Roman" w:hAnsi="Times New Roman"/>
                <w:sz w:val="15"/>
                <w:szCs w:val="15"/>
                <w:color w:val="auto"/>
              </w:rPr>
              <w:t>2023</w:t>
            </w:r>
          </w:p>
        </w:tc>
      </w:tr>
      <w:tr>
        <w:trPr>
          <w:trHeight w:val="319"/>
        </w:trPr>
        <w:tc>
          <w:tcPr>
            <w:tcW w:w="2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Change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Benefit Obligation</w:t>
            </w:r>
          </w:p>
        </w:tc>
        <w:tc>
          <w:tcPr>
            <w:tcW w:w="21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228"/>
        </w:trPr>
        <w:tc>
          <w:tcPr>
            <w:tcW w:w="5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Benefit obligation at beginning of year  . . . ...... .. . . . . .. .</w:t>
            </w:r>
          </w:p>
        </w:tc>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 . . .. . . . .............</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9"/>
                <w:szCs w:val="19"/>
                <w:color w:val="auto"/>
              </w:rPr>
              <w:t>. . .</w:t>
            </w:r>
          </w:p>
        </w:tc>
        <w:tc>
          <w:tcPr>
            <w:tcW w:w="840" w:type="dxa"/>
            <w:vAlign w:val="bottom"/>
          </w:tcPr>
          <w:p>
            <w:pPr>
              <w:jc w:val="right"/>
              <w:ind w:right="25"/>
              <w:spacing w:after="0" w:line="229" w:lineRule="exact"/>
              <w:rPr>
                <w:sz w:val="20"/>
                <w:szCs w:val="20"/>
                <w:color w:val="auto"/>
              </w:rPr>
            </w:pPr>
            <w:r>
              <w:rPr>
                <w:rFonts w:ascii="Times New Roman" w:cs="Times New Roman" w:eastAsia="Times New Roman" w:hAnsi="Times New Roman"/>
                <w:sz w:val="20"/>
                <w:szCs w:val="20"/>
                <w:color w:val="auto"/>
              </w:rPr>
              <w:t>$1,249</w:t>
            </w:r>
          </w:p>
        </w:tc>
        <w:tc>
          <w:tcPr>
            <w:tcW w:w="16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3,400</w:t>
            </w:r>
          </w:p>
        </w:tc>
      </w:tr>
      <w:tr>
        <w:trPr>
          <w:trHeight w:val="258"/>
        </w:trPr>
        <w:tc>
          <w:tcPr>
            <w:tcW w:w="194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 ..... . . ..</w:t>
            </w:r>
          </w:p>
        </w:tc>
        <w:tc>
          <w:tcPr>
            <w:tcW w:w="100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 .. . ...</w:t>
            </w:r>
          </w:p>
        </w:tc>
        <w:tc>
          <w:tcPr>
            <w:tcW w:w="2100" w:type="dxa"/>
            <w:vAlign w:val="bottom"/>
          </w:tcPr>
          <w:p>
            <w:pPr>
              <w:spacing w:after="0"/>
              <w:rPr>
                <w:sz w:val="20"/>
                <w:szCs w:val="20"/>
                <w:color w:val="auto"/>
              </w:rPr>
            </w:pPr>
            <w:r>
              <w:rPr>
                <w:rFonts w:ascii="Times New Roman" w:cs="Times New Roman" w:eastAsia="Times New Roman" w:hAnsi="Times New Roman"/>
                <w:sz w:val="19"/>
                <w:szCs w:val="19"/>
                <w:color w:val="auto"/>
              </w:rPr>
              <w:t>.. . . . . .. . . . . . .... . .. .</w:t>
            </w:r>
          </w:p>
        </w:tc>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 .. . . . .. .. .... . . .</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9"/>
                <w:szCs w:val="19"/>
                <w:color w:val="auto"/>
              </w:rPr>
              <w:t>.... .</w:t>
            </w:r>
          </w:p>
        </w:tc>
        <w:tc>
          <w:tcPr>
            <w:tcW w:w="840" w:type="dxa"/>
            <w:vAlign w:val="bottom"/>
          </w:tcPr>
          <w:p>
            <w:pPr>
              <w:jc w:val="right"/>
              <w:ind w:right="45"/>
              <w:spacing w:after="0" w:line="256" w:lineRule="exact"/>
              <w:rPr>
                <w:sz w:val="20"/>
                <w:szCs w:val="20"/>
                <w:color w:val="auto"/>
              </w:rPr>
            </w:pPr>
            <w:r>
              <w:rPr>
                <w:rFonts w:ascii="Times New Roman" w:cs="Times New Roman" w:eastAsia="Times New Roman" w:hAnsi="Times New Roman"/>
                <w:sz w:val="23"/>
                <w:szCs w:val="23"/>
                <w:color w:val="auto"/>
              </w:rPr>
              <w:t>51</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149</w:t>
            </w:r>
          </w:p>
        </w:tc>
      </w:tr>
      <w:tr>
        <w:trPr>
          <w:trHeight w:val="229"/>
        </w:trPr>
        <w:tc>
          <w:tcPr>
            <w:tcW w:w="294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Actua rial gain  ... . ...... . . .. ...</w:t>
            </w:r>
          </w:p>
        </w:tc>
        <w:tc>
          <w:tcPr>
            <w:tcW w:w="2100" w:type="dxa"/>
            <w:vAlign w:val="bottom"/>
          </w:tcPr>
          <w:p>
            <w:pPr>
              <w:spacing w:after="0"/>
              <w:rPr>
                <w:sz w:val="20"/>
                <w:szCs w:val="20"/>
                <w:color w:val="auto"/>
              </w:rPr>
            </w:pPr>
            <w:r>
              <w:rPr>
                <w:rFonts w:ascii="Times New Roman" w:cs="Times New Roman" w:eastAsia="Times New Roman" w:hAnsi="Times New Roman"/>
                <w:sz w:val="19"/>
                <w:szCs w:val="19"/>
                <w:color w:val="auto"/>
              </w:rPr>
              <w:t>. .. . . . .... . . . ........</w:t>
            </w:r>
          </w:p>
        </w:tc>
        <w:tc>
          <w:tcPr>
            <w:tcW w:w="200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 . ..... .. ... .</w:t>
            </w:r>
          </w:p>
        </w:tc>
        <w:tc>
          <w:tcPr>
            <w:tcW w:w="560" w:type="dxa"/>
            <w:vAlign w:val="bottom"/>
          </w:tcPr>
          <w:p>
            <w:pPr>
              <w:jc w:val="right"/>
              <w:ind w:right="59"/>
              <w:spacing w:after="0"/>
              <w:rPr>
                <w:sz w:val="20"/>
                <w:szCs w:val="20"/>
                <w:color w:val="auto"/>
              </w:rPr>
            </w:pPr>
            <w:r>
              <w:rPr>
                <w:rFonts w:ascii="Times New Roman" w:cs="Times New Roman" w:eastAsia="Times New Roman" w:hAnsi="Times New Roman"/>
                <w:sz w:val="19"/>
                <w:szCs w:val="19"/>
                <w:color w:val="auto"/>
              </w:rPr>
              <w:t>... . .</w:t>
            </w:r>
          </w:p>
        </w:tc>
        <w:tc>
          <w:tcPr>
            <w:tcW w:w="840" w:type="dxa"/>
            <w:vAlign w:val="bottom"/>
          </w:tcPr>
          <w:p>
            <w:pPr>
              <w:jc w:val="right"/>
              <w:spacing w:after="0"/>
              <w:rPr>
                <w:sz w:val="20"/>
                <w:szCs w:val="20"/>
                <w:color w:val="auto"/>
              </w:rPr>
            </w:pPr>
            <w:r>
              <w:rPr>
                <w:rFonts w:ascii="Arial" w:cs="Arial" w:eastAsia="Arial" w:hAnsi="Arial"/>
                <w:sz w:val="18"/>
                <w:szCs w:val="18"/>
                <w:color w:val="auto"/>
              </w:rPr>
              <w:t>(144)</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r>
      <w:tr>
        <w:trPr>
          <w:trHeight w:val="248"/>
        </w:trPr>
        <w:tc>
          <w:tcPr>
            <w:tcW w:w="5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Benefits paid, net of Medicare subsidy  . . . ...... . .. . .....</w:t>
            </w:r>
          </w:p>
        </w:tc>
        <w:tc>
          <w:tcPr>
            <w:tcW w:w="2560" w:type="dxa"/>
            <w:vAlign w:val="bottom"/>
            <w:gridSpan w:val="3"/>
          </w:tcPr>
          <w:p>
            <w:pPr>
              <w:spacing w:after="0"/>
              <w:rPr>
                <w:sz w:val="20"/>
                <w:szCs w:val="20"/>
                <w:color w:val="auto"/>
              </w:rPr>
            </w:pPr>
            <w:r>
              <w:rPr>
                <w:rFonts w:ascii="Times New Roman" w:cs="Times New Roman" w:eastAsia="Times New Roman" w:hAnsi="Times New Roman"/>
                <w:sz w:val="3"/>
                <w:szCs w:val="3"/>
                <w:color w:val="auto"/>
              </w:rPr>
              <w:t>0••••••••••••••••0•••••••</w:t>
            </w: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(207)</w:t>
            </w:r>
          </w:p>
        </w:tc>
      </w:tr>
      <w:tr>
        <w:trPr>
          <w:trHeight w:val="236"/>
        </w:trPr>
        <w:tc>
          <w:tcPr>
            <w:tcW w:w="5040" w:type="dxa"/>
            <w:vAlign w:val="bottom"/>
            <w:gridSpan w:val="3"/>
          </w:tcPr>
          <w:p>
            <w:pPr>
              <w:spacing w:after="0"/>
              <w:rPr>
                <w:sz w:val="20"/>
                <w:szCs w:val="20"/>
                <w:color w:val="auto"/>
              </w:rPr>
            </w:pPr>
            <w:r>
              <w:rPr>
                <w:rFonts w:ascii="Times New Roman" w:cs="Times New Roman" w:eastAsia="Times New Roman" w:hAnsi="Times New Roman"/>
                <w:sz w:val="19"/>
                <w:szCs w:val="19"/>
                <w:color w:val="auto"/>
              </w:rPr>
              <w:t>Settlement ...... . ...... . . .. . . .... . . . .... . . . .. . ... ..</w:t>
            </w:r>
          </w:p>
        </w:tc>
        <w:tc>
          <w:tcPr>
            <w:tcW w:w="16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4"/>
                <w:szCs w:val="4"/>
                <w:color w:val="auto"/>
              </w:rPr>
              <w:t>0      •</w:t>
            </w:r>
          </w:p>
        </w:tc>
        <w:tc>
          <w:tcPr>
            <w:tcW w:w="380" w:type="dxa"/>
            <w:vAlign w:val="bottom"/>
          </w:tcPr>
          <w:p>
            <w:pPr>
              <w:jc w:val="right"/>
              <w:ind w:right="53"/>
              <w:spacing w:after="0"/>
              <w:rPr>
                <w:sz w:val="20"/>
                <w:szCs w:val="20"/>
                <w:color w:val="auto"/>
              </w:rPr>
            </w:pPr>
            <w:r>
              <w:rPr>
                <w:rFonts w:ascii="Times New Roman" w:cs="Times New Roman" w:eastAsia="Times New Roman" w:hAnsi="Times New Roman"/>
                <w:sz w:val="4"/>
                <w:szCs w:val="4"/>
                <w:color w:val="auto"/>
              </w:rPr>
              <w:t>0•••</w:t>
            </w:r>
          </w:p>
        </w:tc>
        <w:tc>
          <w:tcPr>
            <w:tcW w:w="560" w:type="dxa"/>
            <w:vAlign w:val="bottom"/>
          </w:tcPr>
          <w:p>
            <w:pPr>
              <w:jc w:val="right"/>
              <w:ind w:right="79"/>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w w:val="95"/>
              </w:rPr>
              <w:t>(1,679)</w:t>
            </w:r>
          </w:p>
        </w:tc>
      </w:tr>
      <w:tr>
        <w:trPr>
          <w:trHeight w:val="328"/>
        </w:trPr>
        <w:tc>
          <w:tcPr>
            <w:tcW w:w="2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Benefit Obligation at End of Year</w:t>
            </w:r>
          </w:p>
        </w:tc>
        <w:tc>
          <w:tcPr>
            <w:tcW w:w="4660" w:type="dxa"/>
            <w:vAlign w:val="bottom"/>
            <w:gridSpan w:val="4"/>
          </w:tcPr>
          <w:p>
            <w:pPr>
              <w:jc w:val="right"/>
              <w:ind w:right="59"/>
              <w:spacing w:after="0"/>
              <w:rPr>
                <w:sz w:val="20"/>
                <w:szCs w:val="20"/>
                <w:color w:val="auto"/>
              </w:rPr>
            </w:pPr>
            <w:r>
              <w:rPr>
                <w:rFonts w:ascii="Times New Roman" w:cs="Times New Roman" w:eastAsia="Times New Roman" w:hAnsi="Times New Roman"/>
                <w:sz w:val="20"/>
                <w:szCs w:val="20"/>
                <w:color w:val="auto"/>
              </w:rPr>
              <w:t>.. . . . . . .... . ...... .. .... ... ..... ... .... ... ... .</w:t>
            </w:r>
          </w:p>
        </w:tc>
        <w:tc>
          <w:tcPr>
            <w:tcW w:w="840" w:type="dxa"/>
            <w:vAlign w:val="bottom"/>
          </w:tcPr>
          <w:p>
            <w:pPr>
              <w:jc w:val="right"/>
              <w:ind w:right="25"/>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1,069</w:t>
            </w:r>
          </w:p>
        </w:tc>
        <w:tc>
          <w:tcPr>
            <w:tcW w:w="1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I ,249</w:t>
            </w:r>
          </w:p>
        </w:tc>
      </w:tr>
      <w:tr>
        <w:trPr>
          <w:trHeight w:val="313"/>
        </w:trPr>
        <w:tc>
          <w:tcPr>
            <w:tcW w:w="1940" w:type="dxa"/>
            <w:vAlign w:val="bottom"/>
          </w:tcPr>
          <w:p>
            <w:pPr>
              <w:spacing w:after="0"/>
              <w:rPr>
                <w:sz w:val="20"/>
                <w:szCs w:val="20"/>
                <w:color w:val="auto"/>
              </w:rPr>
            </w:pPr>
            <w:r>
              <w:rPr>
                <w:rFonts w:ascii="Times New Roman" w:cs="Times New Roman" w:eastAsia="Times New Roman" w:hAnsi="Times New Roman"/>
                <w:sz w:val="20"/>
                <w:szCs w:val="20"/>
                <w:color w:val="auto"/>
              </w:rPr>
              <w:t>Funded Status  0 . . ....</w:t>
            </w: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0 . . .. . ...</w:t>
            </w:r>
          </w:p>
        </w:tc>
        <w:tc>
          <w:tcPr>
            <w:tcW w:w="2100" w:type="dxa"/>
            <w:vAlign w:val="bottom"/>
          </w:tcPr>
          <w:p>
            <w:pPr>
              <w:spacing w:after="0"/>
              <w:rPr>
                <w:sz w:val="20"/>
                <w:szCs w:val="20"/>
                <w:color w:val="auto"/>
              </w:rPr>
            </w:pPr>
            <w:r>
              <w:rPr>
                <w:rFonts w:ascii="Times New Roman" w:cs="Times New Roman" w:eastAsia="Times New Roman" w:hAnsi="Times New Roman"/>
                <w:sz w:val="20"/>
                <w:szCs w:val="20"/>
                <w:color w:val="auto"/>
              </w:rPr>
              <w:t>0. . . ...... . . .. . . .... .</w:t>
            </w:r>
          </w:p>
        </w:tc>
        <w:tc>
          <w:tcPr>
            <w:tcW w:w="1620" w:type="dxa"/>
            <w:vAlign w:val="bottom"/>
          </w:tcPr>
          <w:p>
            <w:pPr>
              <w:spacing w:after="0"/>
              <w:rPr>
                <w:sz w:val="20"/>
                <w:szCs w:val="20"/>
                <w:color w:val="auto"/>
              </w:rPr>
            </w:pPr>
            <w:r>
              <w:rPr>
                <w:rFonts w:ascii="Times New Roman" w:cs="Times New Roman" w:eastAsia="Times New Roman" w:hAnsi="Times New Roman"/>
                <w:sz w:val="20"/>
                <w:szCs w:val="20"/>
                <w:color w:val="auto"/>
              </w:rPr>
              <w:t>............ . . 0 ..</w:t>
            </w:r>
          </w:p>
        </w:tc>
        <w:tc>
          <w:tcPr>
            <w:tcW w:w="380" w:type="dxa"/>
            <w:vAlign w:val="bottom"/>
          </w:tcPr>
          <w:p>
            <w:pPr>
              <w:jc w:val="right"/>
              <w:ind w:right="13"/>
              <w:spacing w:after="0"/>
              <w:rPr>
                <w:sz w:val="20"/>
                <w:szCs w:val="20"/>
                <w:color w:val="auto"/>
              </w:rPr>
            </w:pPr>
            <w:r>
              <w:rPr>
                <w:rFonts w:ascii="Times New Roman" w:cs="Times New Roman" w:eastAsia="Times New Roman" w:hAnsi="Times New Roman"/>
                <w:sz w:val="20"/>
                <w:szCs w:val="20"/>
                <w:color w:val="auto"/>
              </w:rPr>
              <w:t>0 . .</w:t>
            </w:r>
          </w:p>
        </w:tc>
        <w:tc>
          <w:tcPr>
            <w:tcW w:w="5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0</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$(1,069)</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(1,249)</w:t>
            </w:r>
          </w:p>
        </w:tc>
      </w:tr>
    </w:tbl>
    <w:p>
      <w:pPr>
        <w:spacing w:after="0" w:line="361" w:lineRule="exact"/>
        <w:rPr>
          <w:sz w:val="20"/>
          <w:szCs w:val="20"/>
          <w:color w:val="auto"/>
        </w:rPr>
      </w:pPr>
    </w:p>
    <w:p>
      <w:pPr>
        <w:jc w:val="both"/>
        <w:ind w:left="120" w:right="125"/>
        <w:spacing w:after="0" w:line="255" w:lineRule="auto"/>
        <w:rPr>
          <w:sz w:val="20"/>
          <w:szCs w:val="20"/>
          <w:color w:val="auto"/>
        </w:rPr>
      </w:pPr>
      <w:r>
        <w:rPr>
          <w:rFonts w:ascii="Times New Roman" w:cs="Times New Roman" w:eastAsia="Times New Roman" w:hAnsi="Times New Roman"/>
          <w:sz w:val="19"/>
          <w:szCs w:val="19"/>
          <w:color w:val="auto"/>
        </w:rPr>
        <w:t xml:space="preserve">The clhange in the benefit obligation for the Company's other postretirement plans in </w:t>
      </w:r>
      <w:r>
        <w:rPr>
          <w:rFonts w:ascii="Times New Roman" w:cs="Times New Roman" w:eastAsia="Times New Roman" w:hAnsi="Times New Roman"/>
          <w:sz w:val="20"/>
          <w:szCs w:val="20"/>
          <w:color w:val="auto"/>
        </w:rPr>
        <w:t>2024</w:t>
      </w:r>
      <w:r>
        <w:rPr>
          <w:rFonts w:ascii="Times New Roman" w:cs="Times New Roman" w:eastAsia="Times New Roman" w:hAnsi="Times New Roman"/>
          <w:sz w:val="19"/>
          <w:szCs w:val="19"/>
          <w:color w:val="auto"/>
        </w:rPr>
        <w:t xml:space="preserve"> was due to updated claims experience based on actual premium rates, the recognition of an actuarial gain resulting from an increase to the d iscount rate used to measure the benefit obligation, and benefits paid during the year.</w:t>
      </w:r>
    </w:p>
    <w:p>
      <w:pPr>
        <w:spacing w:after="0" w:line="235"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color w:val="auto"/>
        </w:rPr>
        <w:t>The amounts recognized in the Company's Consolidated Balance Sheets for its other postretirement plans are as follows:</w:t>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6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600" w:type="dxa"/>
            <w:vAlign w:val="bottom"/>
            <w:gridSpan w:val="4"/>
          </w:tcPr>
          <w:p>
            <w:pPr>
              <w:ind w:left="100"/>
              <w:spacing w:after="0"/>
              <w:rPr>
                <w:sz w:val="20"/>
                <w:szCs w:val="20"/>
                <w:color w:val="auto"/>
              </w:rPr>
            </w:pPr>
            <w:r>
              <w:rPr>
                <w:rFonts w:ascii="Times New Roman" w:cs="Times New Roman" w:eastAsia="Times New Roman" w:hAnsi="Times New Roman"/>
                <w:sz w:val="16"/>
                <w:szCs w:val="16"/>
                <w:color w:val="auto"/>
              </w:rPr>
              <w:t>Postretirement Plans</w:t>
            </w:r>
          </w:p>
        </w:tc>
      </w:tr>
      <w:tr>
        <w:trPr>
          <w:trHeight w:val="248"/>
        </w:trPr>
        <w:tc>
          <w:tcPr>
            <w:tcW w:w="16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600" w:type="dxa"/>
            <w:vAlign w:val="bottom"/>
            <w:gridSpan w:val="4"/>
          </w:tcPr>
          <w:p>
            <w:pPr>
              <w:jc w:val="right"/>
              <w:ind w:right="30"/>
              <w:spacing w:after="0"/>
              <w:rPr>
                <w:sz w:val="20"/>
                <w:szCs w:val="20"/>
                <w:color w:val="auto"/>
              </w:rPr>
            </w:pPr>
            <w:r>
              <w:rPr>
                <w:rFonts w:ascii="Times New Roman" w:cs="Times New Roman" w:eastAsia="Times New Roman" w:hAnsi="Times New Roman"/>
                <w:sz w:val="16"/>
                <w:szCs w:val="16"/>
                <w:color w:val="auto"/>
              </w:rPr>
              <w:t>As of December 31</w:t>
            </w:r>
          </w:p>
        </w:tc>
      </w:tr>
      <w:tr>
        <w:trPr>
          <w:trHeight w:val="242"/>
        </w:trPr>
        <w:tc>
          <w:tcPr>
            <w:tcW w:w="162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2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ind w:right="186"/>
              <w:spacing w:after="0"/>
              <w:rPr>
                <w:sz w:val="20"/>
                <w:szCs w:val="20"/>
                <w:color w:val="auto"/>
              </w:rPr>
            </w:pPr>
            <w:r>
              <w:rPr>
                <w:rFonts w:ascii="Times New Roman" w:cs="Times New Roman" w:eastAsia="Times New Roman" w:hAnsi="Times New Roman"/>
                <w:sz w:val="18"/>
                <w:szCs w:val="18"/>
                <w:color w:val="auto"/>
                <w:w w:val="99"/>
              </w:rPr>
              <w:t>2024</w:t>
            </w:r>
          </w:p>
        </w:tc>
        <w:tc>
          <w:tcPr>
            <w:tcW w:w="160" w:type="dxa"/>
            <w:vAlign w:val="bottom"/>
          </w:tcPr>
          <w:p>
            <w:pPr>
              <w:spacing w:after="0"/>
              <w:rPr>
                <w:sz w:val="21"/>
                <w:szCs w:val="21"/>
                <w:color w:val="auto"/>
              </w:rPr>
            </w:pPr>
          </w:p>
        </w:tc>
        <w:tc>
          <w:tcPr>
            <w:tcW w:w="580" w:type="dxa"/>
            <w:vAlign w:val="bottom"/>
          </w:tcPr>
          <w:p>
            <w:pPr>
              <w:jc w:val="right"/>
              <w:ind w:right="110"/>
              <w:spacing w:after="0"/>
              <w:rPr>
                <w:sz w:val="20"/>
                <w:szCs w:val="20"/>
                <w:color w:val="auto"/>
              </w:rPr>
            </w:pPr>
            <w:r>
              <w:rPr>
                <w:rFonts w:ascii="Times New Roman" w:cs="Times New Roman" w:eastAsia="Times New Roman" w:hAnsi="Times New Roman"/>
                <w:sz w:val="15"/>
                <w:szCs w:val="15"/>
                <w:color w:val="auto"/>
              </w:rPr>
              <w:t>2023</w:t>
            </w:r>
          </w:p>
        </w:tc>
      </w:tr>
      <w:tr>
        <w:trPr>
          <w:trHeight w:val="321"/>
        </w:trPr>
        <w:tc>
          <w:tcPr>
            <w:tcW w:w="162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Cun·en t liabiUty  . </w:t>
            </w:r>
            <w:r>
              <w:rPr>
                <w:rFonts w:ascii="Times New Roman" w:cs="Times New Roman" w:eastAsia="Times New Roman" w:hAnsi="Times New Roman"/>
                <w:sz w:val="5"/>
                <w:szCs w:val="5"/>
                <w:color w:val="auto"/>
              </w:rPr>
              <w:t>o</w:t>
            </w:r>
          </w:p>
        </w:tc>
        <w:tc>
          <w:tcPr>
            <w:tcW w:w="1220" w:type="dxa"/>
            <w:vAlign w:val="bottom"/>
          </w:tcPr>
          <w:p>
            <w:pPr>
              <w:jc w:val="right"/>
              <w:ind w:right="50"/>
              <w:spacing w:after="0"/>
              <w:rPr>
                <w:sz w:val="20"/>
                <w:szCs w:val="20"/>
                <w:color w:val="auto"/>
              </w:rPr>
            </w:pPr>
            <w:r>
              <w:rPr>
                <w:rFonts w:ascii="Times New Roman" w:cs="Times New Roman" w:eastAsia="Times New Roman" w:hAnsi="Times New Roman"/>
                <w:sz w:val="6"/>
                <w:szCs w:val="6"/>
                <w:color w:val="auto"/>
              </w:rPr>
              <w:t>o   •••    o   •••••   •    •</w:t>
            </w:r>
          </w:p>
        </w:tc>
        <w:tc>
          <w:tcPr>
            <w:tcW w:w="1200" w:type="dxa"/>
            <w:vAlign w:val="bottom"/>
          </w:tcPr>
          <w:p>
            <w:pPr>
              <w:spacing w:after="0"/>
              <w:rPr>
                <w:sz w:val="20"/>
                <w:szCs w:val="20"/>
                <w:color w:val="auto"/>
              </w:rPr>
            </w:pPr>
            <w:r>
              <w:rPr>
                <w:rFonts w:ascii="Times New Roman" w:cs="Times New Roman" w:eastAsia="Times New Roman" w:hAnsi="Times New Roman"/>
                <w:sz w:val="6"/>
                <w:szCs w:val="6"/>
                <w:color w:val="auto"/>
              </w:rPr>
              <w:t xml:space="preserve">•    </w:t>
            </w:r>
            <w:r>
              <w:rPr>
                <w:rFonts w:ascii="Times New Roman" w:cs="Times New Roman" w:eastAsia="Times New Roman" w:hAnsi="Times New Roman"/>
                <w:sz w:val="4"/>
                <w:szCs w:val="4"/>
                <w:color w:val="auto"/>
              </w:rPr>
              <w:t>0</w:t>
            </w:r>
            <w:r>
              <w:rPr>
                <w:rFonts w:ascii="Times New Roman" w:cs="Times New Roman" w:eastAsia="Times New Roman" w:hAnsi="Times New Roman"/>
                <w:sz w:val="6"/>
                <w:szCs w:val="6"/>
                <w:color w:val="auto"/>
              </w:rPr>
              <w:t xml:space="preserve">    o    o    ••••   ••   o   •</w:t>
            </w:r>
          </w:p>
        </w:tc>
        <w:tc>
          <w:tcPr>
            <w:tcW w:w="600" w:type="dxa"/>
            <w:vAlign w:val="bottom"/>
          </w:tcPr>
          <w:p>
            <w:pPr>
              <w:spacing w:after="0"/>
              <w:rPr>
                <w:sz w:val="20"/>
                <w:szCs w:val="20"/>
                <w:color w:val="auto"/>
              </w:rPr>
            </w:pPr>
            <w:r>
              <w:rPr>
                <w:rFonts w:ascii="Times New Roman" w:cs="Times New Roman" w:eastAsia="Times New Roman" w:hAnsi="Times New Roman"/>
                <w:sz w:val="6"/>
                <w:szCs w:val="6"/>
                <w:color w:val="auto"/>
              </w:rPr>
              <w:t>••   •    •o   o</w:t>
            </w:r>
          </w:p>
        </w:tc>
        <w:tc>
          <w:tcPr>
            <w:tcW w:w="1000" w:type="dxa"/>
            <w:vAlign w:val="bottom"/>
          </w:tcPr>
          <w:p>
            <w:pPr>
              <w:jc w:val="center"/>
              <w:spacing w:after="0"/>
              <w:rPr>
                <w:sz w:val="20"/>
                <w:szCs w:val="20"/>
                <w:color w:val="auto"/>
              </w:rPr>
            </w:pPr>
            <w:r>
              <w:rPr>
                <w:rFonts w:ascii="Times New Roman" w:cs="Times New Roman" w:eastAsia="Times New Roman" w:hAnsi="Times New Roman"/>
                <w:sz w:val="6"/>
                <w:szCs w:val="6"/>
                <w:color w:val="auto"/>
              </w:rPr>
              <w:t>•   •••   ••   ••••</w:t>
            </w:r>
          </w:p>
        </w:tc>
        <w:tc>
          <w:tcPr>
            <w:tcW w:w="1940" w:type="dxa"/>
            <w:vAlign w:val="bottom"/>
          </w:tcPr>
          <w:p>
            <w:pPr>
              <w:spacing w:after="0"/>
              <w:rPr>
                <w:sz w:val="20"/>
                <w:szCs w:val="20"/>
                <w:color w:val="auto"/>
              </w:rPr>
            </w:pPr>
            <w:r>
              <w:rPr>
                <w:rFonts w:ascii="Times New Roman" w:cs="Times New Roman" w:eastAsia="Times New Roman" w:hAnsi="Times New Roman"/>
                <w:sz w:val="6"/>
                <w:szCs w:val="6"/>
                <w:color w:val="auto"/>
              </w:rPr>
              <w:t>o   •o   •    o   ••   o    •••    o    •    •    o    •    ••    o</w:t>
            </w:r>
          </w:p>
        </w:tc>
        <w:tc>
          <w:tcPr>
            <w:tcW w:w="200" w:type="dxa"/>
            <w:vAlign w:val="bottom"/>
          </w:tcPr>
          <w:p>
            <w:pPr>
              <w:ind w:left="100"/>
              <w:spacing w:after="0"/>
              <w:rPr>
                <w:sz w:val="20"/>
                <w:szCs w:val="20"/>
                <w:color w:val="auto"/>
              </w:rPr>
            </w:pPr>
            <w:r>
              <w:rPr>
                <w:rFonts w:ascii="Times New Roman" w:cs="Times New Roman" w:eastAsia="Times New Roman" w:hAnsi="Times New Roman"/>
                <w:sz w:val="21"/>
                <w:szCs w:val="21"/>
                <w:color w:val="auto"/>
                <w:w w:val="7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(256)</w:t>
            </w:r>
          </w:p>
        </w:tc>
      </w:tr>
      <w:tr>
        <w:trPr>
          <w:trHeight w:val="246"/>
        </w:trPr>
        <w:tc>
          <w:tcPr>
            <w:tcW w:w="1620" w:type="dxa"/>
            <w:vAlign w:val="bottom"/>
          </w:tcPr>
          <w:p>
            <w:pPr>
              <w:spacing w:after="0"/>
              <w:rPr>
                <w:sz w:val="20"/>
                <w:szCs w:val="20"/>
                <w:color w:val="auto"/>
              </w:rPr>
            </w:pPr>
            <w:r>
              <w:rPr>
                <w:rFonts w:ascii="Times New Roman" w:cs="Times New Roman" w:eastAsia="Times New Roman" w:hAnsi="Times New Roman"/>
                <w:sz w:val="19"/>
                <w:szCs w:val="19"/>
                <w:color w:val="auto"/>
              </w:rPr>
              <w:t>Noncurrent liability</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0"/>
                <w:szCs w:val="20"/>
                <w:color w:val="auto"/>
              </w:rPr>
              <w:t>0 . . .. . . .</w:t>
            </w: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 0. ... . .. . ...</w:t>
            </w:r>
          </w:p>
        </w:tc>
        <w:tc>
          <w:tcPr>
            <w:tcW w:w="3540" w:type="dxa"/>
            <w:vAlign w:val="bottom"/>
            <w:gridSpan w:val="3"/>
          </w:tcPr>
          <w:p>
            <w:pPr>
              <w:jc w:val="right"/>
              <w:ind w:right="88"/>
              <w:spacing w:after="0"/>
              <w:rPr>
                <w:sz w:val="20"/>
                <w:szCs w:val="20"/>
                <w:color w:val="auto"/>
              </w:rPr>
            </w:pPr>
            <w:r>
              <w:rPr>
                <w:rFonts w:ascii="Times New Roman" w:cs="Times New Roman" w:eastAsia="Times New Roman" w:hAnsi="Times New Roman"/>
                <w:sz w:val="20"/>
                <w:szCs w:val="20"/>
                <w:color w:val="auto"/>
              </w:rPr>
              <w:t>.. . 0 .... . ........................ .</w:t>
            </w: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(889)</w:t>
            </w:r>
          </w:p>
        </w:tc>
        <w:tc>
          <w:tcPr>
            <w:tcW w:w="16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(993)</w:t>
            </w:r>
          </w:p>
        </w:tc>
      </w:tr>
      <w:tr>
        <w:trPr>
          <w:trHeight w:val="305"/>
        </w:trPr>
        <w:tc>
          <w:tcPr>
            <w:tcW w:w="46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Recognized Liability . ... . .. . ... .. . . . . .... . . . ... ..</w:t>
            </w:r>
          </w:p>
        </w:tc>
        <w:tc>
          <w:tcPr>
            <w:tcW w:w="1000" w:type="dxa"/>
            <w:vAlign w:val="bottom"/>
          </w:tcPr>
          <w:p>
            <w:pPr>
              <w:jc w:val="center"/>
              <w:spacing w:after="0"/>
              <w:rPr>
                <w:sz w:val="20"/>
                <w:szCs w:val="20"/>
                <w:color w:val="auto"/>
              </w:rPr>
            </w:pPr>
            <w:r>
              <w:rPr>
                <w:rFonts w:ascii="Times New Roman" w:cs="Times New Roman" w:eastAsia="Times New Roman" w:hAnsi="Times New Roman"/>
                <w:sz w:val="20"/>
                <w:szCs w:val="20"/>
                <w:color w:val="auto"/>
              </w:rPr>
              <w:t xml:space="preserve">... </w:t>
            </w:r>
            <w:r>
              <w:rPr>
                <w:rFonts w:ascii="Arial" w:cs="Arial" w:eastAsia="Arial" w:hAnsi="Arial"/>
                <w:sz w:val="3"/>
                <w:szCs w:val="3"/>
                <w:color w:val="auto"/>
              </w:rPr>
              <w:t>0     •••••</w:t>
            </w:r>
          </w:p>
        </w:tc>
        <w:tc>
          <w:tcPr>
            <w:tcW w:w="1940" w:type="dxa"/>
            <w:vAlign w:val="bottom"/>
          </w:tcPr>
          <w:p>
            <w:pPr>
              <w:spacing w:after="0"/>
              <w:rPr>
                <w:sz w:val="20"/>
                <w:szCs w:val="20"/>
                <w:color w:val="auto"/>
              </w:rPr>
            </w:pPr>
            <w:r>
              <w:rPr>
                <w:rFonts w:ascii="Arial" w:cs="Arial" w:eastAsia="Arial" w:hAnsi="Arial"/>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20"/>
                <w:szCs w:val="20"/>
                <w:color w:val="auto"/>
                <w:w w:val="7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(1,069)</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20"/>
                <w:szCs w:val="20"/>
                <w:color w:val="auto"/>
                <w:w w:val="97"/>
              </w:rPr>
              <w:t>1,249)</w:t>
            </w:r>
          </w:p>
        </w:tc>
      </w:tr>
    </w:tbl>
    <w:p>
      <w:pPr>
        <w:spacing w:after="0" w:line="361" w:lineRule="exact"/>
        <w:rPr>
          <w:sz w:val="20"/>
          <w:szCs w:val="20"/>
          <w:color w:val="auto"/>
        </w:rPr>
      </w:pPr>
    </w:p>
    <w:p>
      <w:pPr>
        <w:jc w:val="both"/>
        <w:ind w:left="120" w:right="125"/>
        <w:spacing w:after="0" w:line="250" w:lineRule="auto"/>
        <w:rPr>
          <w:sz w:val="20"/>
          <w:szCs w:val="20"/>
          <w:color w:val="auto"/>
        </w:rPr>
      </w:pPr>
      <w:r>
        <w:rPr>
          <w:rFonts w:ascii="Times New Roman" w:cs="Times New Roman" w:eastAsia="Times New Roman" w:hAnsi="Times New Roman"/>
          <w:sz w:val="19"/>
          <w:szCs w:val="19"/>
          <w:color w:val="auto"/>
        </w:rPr>
        <w:t xml:space="preserve">The discount rates utilized for determining the benefit obligation at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2023,</w:t>
      </w:r>
      <w:r>
        <w:rPr>
          <w:rFonts w:ascii="Times New Roman" w:cs="Times New Roman" w:eastAsia="Times New Roman" w:hAnsi="Times New Roman"/>
          <w:sz w:val="19"/>
          <w:szCs w:val="19"/>
          <w:color w:val="auto"/>
        </w:rPr>
        <w:t xml:space="preserve"> for the postretirement plans were </w:t>
      </w:r>
      <w:r>
        <w:rPr>
          <w:rFonts w:ascii="Times New Roman" w:cs="Times New Roman" w:eastAsia="Times New Roman" w:hAnsi="Times New Roman"/>
          <w:sz w:val="20"/>
          <w:szCs w:val="20"/>
          <w:color w:val="auto"/>
        </w:rPr>
        <w:t>5.1 2%</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4.53%,</w:t>
      </w:r>
      <w:r>
        <w:rPr>
          <w:rFonts w:ascii="Times New Roman" w:cs="Times New Roman" w:eastAsia="Times New Roman" w:hAnsi="Times New Roman"/>
          <w:sz w:val="19"/>
          <w:szCs w:val="19"/>
          <w:color w:val="auto"/>
        </w:rPr>
        <w:t xml:space="preserve"> respectively. The assumed healthcare cost trend rate used in measuring the postretirement benefit obligation at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was </w:t>
      </w:r>
      <w:r>
        <w:rPr>
          <w:rFonts w:ascii="Times New Roman" w:cs="Times New Roman" w:eastAsia="Times New Roman" w:hAnsi="Times New Roman"/>
          <w:sz w:val="20"/>
          <w:szCs w:val="20"/>
          <w:color w:val="auto"/>
        </w:rPr>
        <w:t>8.59%</w:t>
      </w:r>
      <w:r>
        <w:rPr>
          <w:rFonts w:ascii="Times New Roman" w:cs="Times New Roman" w:eastAsia="Times New Roman" w:hAnsi="Times New Roman"/>
          <w:sz w:val="19"/>
          <w:szCs w:val="19"/>
          <w:color w:val="auto"/>
        </w:rPr>
        <w:t xml:space="preserve"> for pre-age </w:t>
      </w:r>
      <w:r>
        <w:rPr>
          <w:rFonts w:ascii="Times New Roman" w:cs="Times New Roman" w:eastAsia="Times New Roman" w:hAnsi="Times New Roman"/>
          <w:sz w:val="20"/>
          <w:szCs w:val="20"/>
          <w:color w:val="auto"/>
        </w:rPr>
        <w:t>65,</w:t>
      </w:r>
      <w:r>
        <w:rPr>
          <w:rFonts w:ascii="Times New Roman" w:cs="Times New Roman" w:eastAsia="Times New Roman" w:hAnsi="Times New Roman"/>
          <w:sz w:val="19"/>
          <w:szCs w:val="19"/>
          <w:color w:val="auto"/>
        </w:rPr>
        <w:t xml:space="preserve"> decreasing to </w:t>
      </w:r>
      <w:r>
        <w:rPr>
          <w:rFonts w:ascii="Times New Roman" w:cs="Times New Roman" w:eastAsia="Times New Roman" w:hAnsi="Times New Roman"/>
          <w:sz w:val="20"/>
          <w:szCs w:val="20"/>
          <w:color w:val="auto"/>
        </w:rPr>
        <w:t xml:space="preserve">4.5% </w:t>
      </w:r>
      <w:r>
        <w:rPr>
          <w:rFonts w:ascii="Times New Roman" w:cs="Times New Roman" w:eastAsia="Times New Roman" w:hAnsi="Times New Roman"/>
          <w:sz w:val="19"/>
          <w:szCs w:val="19"/>
          <w:color w:val="auto"/>
        </w:rPr>
        <w:t>in the year</w:t>
      </w:r>
      <w:r>
        <w:rPr>
          <w:rFonts w:ascii="Times New Roman" w:cs="Times New Roman" w:eastAsia="Times New Roman" w:hAnsi="Times New Roman"/>
          <w:sz w:val="20"/>
          <w:szCs w:val="20"/>
          <w:color w:val="auto"/>
        </w:rPr>
        <w:t xml:space="preserve"> 2034 </w:t>
      </w:r>
      <w:r>
        <w:rPr>
          <w:rFonts w:ascii="Times New Roman" w:cs="Times New Roman" w:eastAsia="Times New Roman" w:hAnsi="Times New Roman"/>
          <w:sz w:val="19"/>
          <w:szCs w:val="19"/>
          <w:color w:val="auto"/>
        </w:rPr>
        <w:t>and thereafter. The assumed healthcare cost trend rate used in measuring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postretirement benefit obligation at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was </w:t>
      </w:r>
      <w:r>
        <w:rPr>
          <w:rFonts w:ascii="Times New Roman" w:cs="Times New Roman" w:eastAsia="Times New Roman" w:hAnsi="Times New Roman"/>
          <w:sz w:val="20"/>
          <w:szCs w:val="20"/>
          <w:color w:val="auto"/>
        </w:rPr>
        <w:t>9.68%</w:t>
      </w:r>
      <w:r>
        <w:rPr>
          <w:rFonts w:ascii="Times New Roman" w:cs="Times New Roman" w:eastAsia="Times New Roman" w:hAnsi="Times New Roman"/>
          <w:sz w:val="19"/>
          <w:szCs w:val="19"/>
          <w:color w:val="auto"/>
        </w:rPr>
        <w:t xml:space="preserve"> for post-age </w:t>
      </w:r>
      <w:r>
        <w:rPr>
          <w:rFonts w:ascii="Times New Roman" w:cs="Times New Roman" w:eastAsia="Times New Roman" w:hAnsi="Times New Roman"/>
          <w:sz w:val="20"/>
          <w:szCs w:val="20"/>
          <w:color w:val="auto"/>
        </w:rPr>
        <w:t>65,</w:t>
      </w:r>
      <w:r>
        <w:rPr>
          <w:rFonts w:ascii="Times New Roman" w:cs="Times New Roman" w:eastAsia="Times New Roman" w:hAnsi="Times New Roman"/>
          <w:sz w:val="19"/>
          <w:szCs w:val="19"/>
          <w:color w:val="auto"/>
        </w:rPr>
        <w:t xml:space="preserve"> decreasing to </w:t>
      </w:r>
      <w:r>
        <w:rPr>
          <w:rFonts w:ascii="Times New Roman" w:cs="Times New Roman" w:eastAsia="Times New Roman" w:hAnsi="Times New Roman"/>
          <w:sz w:val="20"/>
          <w:szCs w:val="20"/>
          <w:color w:val="auto"/>
        </w:rPr>
        <w:t>4.5%</w:t>
      </w:r>
      <w:r>
        <w:rPr>
          <w:rFonts w:ascii="Times New Roman" w:cs="Times New Roman" w:eastAsia="Times New Roman" w:hAnsi="Times New Roman"/>
          <w:sz w:val="19"/>
          <w:szCs w:val="19"/>
          <w:color w:val="auto"/>
        </w:rPr>
        <w:t xml:space="preserve"> in the year </w:t>
      </w:r>
      <w:r>
        <w:rPr>
          <w:rFonts w:ascii="Times New Roman" w:cs="Times New Roman" w:eastAsia="Times New Roman" w:hAnsi="Times New Roman"/>
          <w:sz w:val="20"/>
          <w:szCs w:val="20"/>
          <w:color w:val="auto"/>
        </w:rPr>
        <w:t>2034</w:t>
      </w:r>
      <w:r>
        <w:rPr>
          <w:rFonts w:ascii="Times New Roman" w:cs="Times New Roman" w:eastAsia="Times New Roman" w:hAnsi="Times New Roman"/>
          <w:sz w:val="19"/>
          <w:szCs w:val="19"/>
          <w:color w:val="auto"/>
        </w:rPr>
        <w:t xml:space="preserve"> and thereafter. The assumed healthcare cost trend rate used in measuring the postretirement benefit obligation at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was </w:t>
      </w:r>
      <w:r>
        <w:rPr>
          <w:rFonts w:ascii="Times New Roman" w:cs="Times New Roman" w:eastAsia="Times New Roman" w:hAnsi="Times New Roman"/>
          <w:sz w:val="20"/>
          <w:szCs w:val="20"/>
          <w:color w:val="auto"/>
        </w:rPr>
        <w:t>12.25%</w:t>
      </w:r>
      <w:r>
        <w:rPr>
          <w:rFonts w:ascii="Times New Roman" w:cs="Times New Roman" w:eastAsia="Times New Roman" w:hAnsi="Times New Roman"/>
          <w:sz w:val="19"/>
          <w:szCs w:val="19"/>
          <w:color w:val="auto"/>
        </w:rPr>
        <w:t xml:space="preserve"> for Medicare Advantage, decreasing to </w:t>
      </w:r>
      <w:r>
        <w:rPr>
          <w:rFonts w:ascii="Times New Roman" w:cs="Times New Roman" w:eastAsia="Times New Roman" w:hAnsi="Times New Roman"/>
          <w:sz w:val="20"/>
          <w:szCs w:val="20"/>
          <w:color w:val="auto"/>
        </w:rPr>
        <w:t>4.5%</w:t>
      </w:r>
      <w:r>
        <w:rPr>
          <w:rFonts w:ascii="Times New Roman" w:cs="Times New Roman" w:eastAsia="Times New Roman" w:hAnsi="Times New Roman"/>
          <w:sz w:val="19"/>
          <w:szCs w:val="19"/>
          <w:color w:val="auto"/>
        </w:rPr>
        <w:t xml:space="preserve"> in the year </w:t>
      </w:r>
      <w:r>
        <w:rPr>
          <w:rFonts w:ascii="Times New Roman" w:cs="Times New Roman" w:eastAsia="Times New Roman" w:hAnsi="Times New Roman"/>
          <w:sz w:val="20"/>
          <w:szCs w:val="20"/>
          <w:color w:val="auto"/>
        </w:rPr>
        <w:t>2034</w:t>
      </w:r>
      <w:r>
        <w:rPr>
          <w:rFonts w:ascii="Times New Roman" w:cs="Times New Roman" w:eastAsia="Times New Roman" w:hAnsi="Times New Roman"/>
          <w:sz w:val="19"/>
          <w:szCs w:val="19"/>
          <w:color w:val="auto"/>
        </w:rPr>
        <w:t xml:space="preserve"> and thereafter.</w:t>
      </w:r>
    </w:p>
    <w:p>
      <w:pPr>
        <w:spacing w:after="0" w:line="200" w:lineRule="exact"/>
        <w:rPr>
          <w:sz w:val="20"/>
          <w:szCs w:val="20"/>
          <w:color w:val="auto"/>
        </w:rPr>
      </w:pPr>
    </w:p>
    <w:p>
      <w:pPr>
        <w:spacing w:after="0" w:line="277" w:lineRule="exact"/>
        <w:rPr>
          <w:sz w:val="20"/>
          <w:szCs w:val="20"/>
          <w:color w:val="auto"/>
        </w:rPr>
      </w:pPr>
    </w:p>
    <w:p>
      <w:pPr>
        <w:jc w:val="both"/>
        <w:ind w:left="120" w:right="125"/>
        <w:spacing w:after="0" w:line="234" w:lineRule="auto"/>
        <w:rPr>
          <w:sz w:val="20"/>
          <w:szCs w:val="20"/>
          <w:color w:val="auto"/>
        </w:rPr>
      </w:pPr>
      <w:r>
        <w:rPr>
          <w:rFonts w:ascii="Times New Roman" w:cs="Times New Roman" w:eastAsia="Times New Roman" w:hAnsi="Times New Roman"/>
          <w:sz w:val="19"/>
          <w:szCs w:val="19"/>
          <w:color w:val="auto"/>
        </w:rPr>
        <w:t xml:space="preserve">The Company's postretirement benefit plans are unfunded, therefore, the Company made actual benefit payments of </w:t>
      </w:r>
      <w:r>
        <w:rPr>
          <w:rFonts w:ascii="Times New Roman" w:cs="Times New Roman" w:eastAsia="Times New Roman" w:hAnsi="Times New Roman"/>
          <w:sz w:val="20"/>
          <w:szCs w:val="20"/>
          <w:color w:val="auto"/>
        </w:rPr>
        <w:t>$0. 1</w:t>
      </w:r>
      <w:r>
        <w:rPr>
          <w:rFonts w:ascii="Times New Roman" w:cs="Times New Roman" w:eastAsia="Times New Roman" w:hAnsi="Times New Roman"/>
          <w:sz w:val="19"/>
          <w:szCs w:val="19"/>
          <w:color w:val="auto"/>
        </w:rPr>
        <w:t xml:space="preserve"> million and </w:t>
      </w:r>
      <w:r>
        <w:rPr>
          <w:rFonts w:ascii="Times New Roman" w:cs="Times New Roman" w:eastAsia="Times New Roman" w:hAnsi="Times New Roman"/>
          <w:sz w:val="20"/>
          <w:szCs w:val="20"/>
          <w:color w:val="auto"/>
        </w:rPr>
        <w:t>$0.2</w:t>
      </w:r>
      <w:r>
        <w:rPr>
          <w:rFonts w:ascii="Times New Roman" w:cs="Times New Roman" w:eastAsia="Times New Roman" w:hAnsi="Times New Roman"/>
          <w:sz w:val="19"/>
          <w:szCs w:val="19"/>
          <w:color w:val="auto"/>
        </w:rPr>
        <w:t xml:space="preserve"> millio n to beneficiaries for the years ended December </w:t>
      </w:r>
      <w:r>
        <w:rPr>
          <w:rFonts w:ascii="Times New Roman" w:cs="Times New Roman" w:eastAsia="Times New Roman" w:hAnsi="Times New Roman"/>
          <w:sz w:val="20"/>
          <w:szCs w:val="20"/>
          <w:color w:val="auto"/>
        </w:rPr>
        <w:t>3 1, 2024</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2023,</w:t>
      </w:r>
      <w:r>
        <w:rPr>
          <w:rFonts w:ascii="Times New Roman" w:cs="Times New Roman" w:eastAsia="Times New Roman" w:hAnsi="Times New Roman"/>
          <w:sz w:val="19"/>
          <w:szCs w:val="19"/>
          <w:color w:val="auto"/>
        </w:rPr>
        <w:t xml:space="preserve"> respectively.</w:t>
      </w:r>
    </w:p>
    <w:p>
      <w:pPr>
        <w:spacing w:after="0" w:line="2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 xml:space="preserve">At December </w:t>
      </w:r>
      <w:r>
        <w:rPr>
          <w:rFonts w:ascii="Times New Roman" w:cs="Times New Roman" w:eastAsia="Times New Roman" w:hAnsi="Times New Roman"/>
          <w:sz w:val="20"/>
          <w:szCs w:val="20"/>
          <w:color w:val="auto"/>
        </w:rPr>
        <w:t>31, 2024,</w:t>
      </w:r>
      <w:r>
        <w:rPr>
          <w:rFonts w:ascii="Times New Roman" w:cs="Times New Roman" w:eastAsia="Times New Roman" w:hAnsi="Times New Roman"/>
          <w:sz w:val="19"/>
          <w:szCs w:val="19"/>
          <w:color w:val="auto"/>
        </w:rPr>
        <w:t xml:space="preserve"> future estimated benefit payments are as follows:</w:t>
      </w:r>
    </w:p>
    <w:p>
      <w:pPr>
        <w:spacing w:after="0" w:line="173" w:lineRule="exact"/>
        <w:rPr>
          <w:sz w:val="20"/>
          <w:szCs w:val="20"/>
          <w:color w:val="auto"/>
        </w:rPr>
      </w:pPr>
    </w:p>
    <w:tbl>
      <w:tblPr>
        <w:tblLayout w:type="fixed"/>
        <w:tblInd w:w="1720" w:type="dxa"/>
        <w:tblCellMar>
          <w:top w:w="0" w:type="dxa"/>
          <w:left w:w="0" w:type="dxa"/>
          <w:bottom w:w="0" w:type="dxa"/>
          <w:right w:w="0" w:type="dxa"/>
        </w:tblCellMar>
      </w:tblPr>
      <w:tr>
        <w:trPr>
          <w:trHeight w:val="184"/>
        </w:trPr>
        <w:tc>
          <w:tcPr>
            <w:tcW w:w="2940" w:type="dxa"/>
            <w:vAlign w:val="bottom"/>
          </w:tcPr>
          <w:p>
            <w:pPr>
              <w:spacing w:after="0"/>
              <w:rPr>
                <w:sz w:val="16"/>
                <w:szCs w:val="16"/>
                <w:color w:val="auto"/>
              </w:rPr>
            </w:pPr>
          </w:p>
        </w:tc>
        <w:tc>
          <w:tcPr>
            <w:tcW w:w="2980" w:type="dxa"/>
            <w:vAlign w:val="bottom"/>
            <w:gridSpan w:val="2"/>
          </w:tcPr>
          <w:p>
            <w:pPr>
              <w:jc w:val="center"/>
              <w:ind w:left="1879"/>
              <w:spacing w:after="0"/>
              <w:rPr>
                <w:sz w:val="20"/>
                <w:szCs w:val="20"/>
                <w:color w:val="auto"/>
              </w:rPr>
            </w:pPr>
            <w:r>
              <w:rPr>
                <w:rFonts w:ascii="Times New Roman" w:cs="Times New Roman" w:eastAsia="Times New Roman" w:hAnsi="Times New Roman"/>
                <w:sz w:val="16"/>
                <w:szCs w:val="16"/>
                <w:color w:val="auto"/>
              </w:rPr>
              <w:t>Postretirement</w:t>
            </w:r>
          </w:p>
        </w:tc>
      </w:tr>
      <w:tr>
        <w:trPr>
          <w:trHeight w:val="179"/>
        </w:trPr>
        <w:tc>
          <w:tcPr>
            <w:tcW w:w="294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 thousands)</w:t>
            </w:r>
          </w:p>
        </w:tc>
        <w:tc>
          <w:tcPr>
            <w:tcW w:w="1960" w:type="dxa"/>
            <w:vAlign w:val="bottom"/>
          </w:tcPr>
          <w:p>
            <w:pPr>
              <w:spacing w:after="0"/>
              <w:rPr>
                <w:sz w:val="15"/>
                <w:szCs w:val="15"/>
                <w:color w:val="auto"/>
              </w:rPr>
            </w:pPr>
          </w:p>
        </w:tc>
        <w:tc>
          <w:tcPr>
            <w:tcW w:w="102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Plans</w:t>
            </w:r>
          </w:p>
        </w:tc>
      </w:tr>
      <w:tr>
        <w:trPr>
          <w:trHeight w:val="41"/>
        </w:trPr>
        <w:tc>
          <w:tcPr>
            <w:tcW w:w="2940" w:type="dxa"/>
            <w:vAlign w:val="bottom"/>
          </w:tcPr>
          <w:p>
            <w:pPr>
              <w:spacing w:after="0"/>
              <w:rPr>
                <w:sz w:val="3"/>
                <w:szCs w:val="3"/>
                <w:color w:val="auto"/>
              </w:rPr>
            </w:pPr>
          </w:p>
        </w:tc>
        <w:tc>
          <w:tcPr>
            <w:tcW w:w="1960" w:type="dxa"/>
            <w:vAlign w:val="bottom"/>
          </w:tcPr>
          <w:p>
            <w:pPr>
              <w:spacing w:after="0"/>
              <w:rPr>
                <w:sz w:val="3"/>
                <w:szCs w:val="3"/>
                <w:color w:val="auto"/>
              </w:rPr>
            </w:pPr>
          </w:p>
        </w:tc>
        <w:tc>
          <w:tcPr>
            <w:tcW w:w="1020" w:type="dxa"/>
            <w:vAlign w:val="bottom"/>
            <w:tcBorders>
              <w:bottom w:val="single" w:sz="8" w:color="403C3C"/>
            </w:tcBorders>
          </w:tcPr>
          <w:p>
            <w:pPr>
              <w:spacing w:after="0"/>
              <w:rPr>
                <w:sz w:val="3"/>
                <w:szCs w:val="3"/>
                <w:color w:val="auto"/>
              </w:rPr>
            </w:pPr>
          </w:p>
        </w:tc>
      </w:tr>
    </w:tbl>
    <w:p>
      <w:pPr>
        <w:spacing w:after="0" w:line="41" w:lineRule="exact"/>
        <w:rPr>
          <w:sz w:val="20"/>
          <w:szCs w:val="20"/>
          <w:color w:val="auto"/>
        </w:rPr>
      </w:pPr>
    </w:p>
    <w:tbl>
      <w:tblPr>
        <w:tblLayout w:type="fixed"/>
        <w:tblInd w:w="172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2025</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.0.0 ....</w:t>
            </w:r>
          </w:p>
        </w:tc>
        <w:tc>
          <w:tcPr>
            <w:tcW w:w="11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0 .. 0 .......</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9"/>
              </w:rPr>
              <w:t>00</w:t>
            </w:r>
          </w:p>
        </w:tc>
        <w:tc>
          <w:tcPr>
            <w:tcW w:w="1200" w:type="dxa"/>
            <w:vAlign w:val="bottom"/>
          </w:tcPr>
          <w:p>
            <w:pPr>
              <w:spacing w:after="0"/>
              <w:rPr>
                <w:sz w:val="20"/>
                <w:szCs w:val="20"/>
                <w:color w:val="auto"/>
              </w:rPr>
            </w:pPr>
            <w:r>
              <w:rPr>
                <w:rFonts w:ascii="Times New Roman" w:cs="Times New Roman" w:eastAsia="Times New Roman" w:hAnsi="Times New Roman"/>
                <w:sz w:val="20"/>
                <w:szCs w:val="20"/>
                <w:color w:val="auto"/>
              </w:rPr>
              <w:t>..... 000 ....</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000 .....</w:t>
            </w: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w:t>
            </w:r>
          </w:p>
        </w:tc>
      </w:t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2026</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w:t>
            </w: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162</w:t>
            </w:r>
          </w:p>
        </w:tc>
      </w:tr>
      <w:tr>
        <w:trPr>
          <w:trHeight w:val="248"/>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2027</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 . .. .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3"/>
              </w:rPr>
              <w:t>. .. . . . .... . ......................</w:t>
            </w: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153</w:t>
            </w:r>
          </w:p>
        </w:tc>
      </w:tr>
      <w:tr>
        <w:trPr>
          <w:trHeight w:val="229"/>
        </w:trPr>
        <w:tc>
          <w:tcPr>
            <w:tcW w:w="4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2028</w:t>
            </w:r>
          </w:p>
        </w:tc>
        <w:tc>
          <w:tcPr>
            <w:tcW w:w="780" w:type="dxa"/>
            <w:vAlign w:val="bottom"/>
          </w:tcPr>
          <w:p>
            <w:pPr>
              <w:ind w:left="20"/>
              <w:spacing w:after="0" w:line="229" w:lineRule="exact"/>
              <w:rPr>
                <w:sz w:val="20"/>
                <w:szCs w:val="20"/>
                <w:color w:val="auto"/>
              </w:rPr>
            </w:pPr>
            <w:r>
              <w:rPr>
                <w:rFonts w:ascii="Times New Roman" w:cs="Times New Roman" w:eastAsia="Times New Roman" w:hAnsi="Times New Roman"/>
                <w:sz w:val="20"/>
                <w:szCs w:val="20"/>
                <w:color w:val="auto"/>
              </w:rPr>
              <w:t>. ...... .</w:t>
            </w:r>
          </w:p>
        </w:tc>
        <w:tc>
          <w:tcPr>
            <w:tcW w:w="1340" w:type="dxa"/>
            <w:vAlign w:val="bottom"/>
            <w:gridSpan w:val="2"/>
          </w:tcPr>
          <w:p>
            <w:pPr>
              <w:jc w:val="right"/>
              <w:spacing w:after="0" w:line="229" w:lineRule="exact"/>
              <w:rPr>
                <w:sz w:val="20"/>
                <w:szCs w:val="20"/>
                <w:color w:val="auto"/>
              </w:rPr>
            </w:pPr>
            <w:r>
              <w:rPr>
                <w:rFonts w:ascii="Times New Roman" w:cs="Times New Roman" w:eastAsia="Times New Roman" w:hAnsi="Times New Roman"/>
                <w:sz w:val="20"/>
                <w:szCs w:val="20"/>
                <w:color w:val="auto"/>
              </w:rPr>
              <w:t>...... . ..........</w:t>
            </w:r>
          </w:p>
        </w:tc>
        <w:tc>
          <w:tcPr>
            <w:tcW w:w="1880" w:type="dxa"/>
            <w:vAlign w:val="bottom"/>
            <w:gridSpan w:val="2"/>
          </w:tcPr>
          <w:p>
            <w:pPr>
              <w:jc w:val="right"/>
              <w:ind w:right="40"/>
              <w:spacing w:after="0"/>
              <w:rPr>
                <w:sz w:val="20"/>
                <w:szCs w:val="20"/>
                <w:color w:val="auto"/>
              </w:rPr>
            </w:pPr>
            <w:r>
              <w:rPr>
                <w:rFonts w:ascii="Arial" w:cs="Arial" w:eastAsia="Arial" w:hAnsi="Arial"/>
                <w:sz w:val="4"/>
                <w:szCs w:val="4"/>
                <w:color w:val="auto"/>
              </w:rPr>
              <w:t>0••••••••••••••••</w:t>
            </w:r>
          </w:p>
        </w:tc>
        <w:tc>
          <w:tcPr>
            <w:tcW w:w="500" w:type="dxa"/>
            <w:vAlign w:val="bottom"/>
          </w:tcPr>
          <w:p>
            <w:pPr>
              <w:spacing w:after="0"/>
              <w:rPr>
                <w:sz w:val="19"/>
                <w:szCs w:val="19"/>
                <w:color w:val="auto"/>
              </w:rPr>
            </w:pPr>
          </w:p>
        </w:tc>
        <w:tc>
          <w:tcPr>
            <w:tcW w:w="680" w:type="dxa"/>
            <w:vAlign w:val="bottom"/>
          </w:tcPr>
          <w:p>
            <w:pPr>
              <w:jc w:val="right"/>
              <w:spacing w:after="0" w:line="229" w:lineRule="exact"/>
              <w:rPr>
                <w:sz w:val="20"/>
                <w:szCs w:val="20"/>
                <w:color w:val="auto"/>
              </w:rPr>
            </w:pPr>
            <w:r>
              <w:rPr>
                <w:rFonts w:ascii="Times New Roman" w:cs="Times New Roman" w:eastAsia="Times New Roman" w:hAnsi="Times New Roman"/>
                <w:sz w:val="20"/>
                <w:szCs w:val="20"/>
                <w:color w:val="auto"/>
              </w:rPr>
              <w:t>136</w:t>
            </w:r>
          </w:p>
        </w:tc>
      </w:tr>
      <w:tr>
        <w:trPr>
          <w:trHeight w:val="238"/>
        </w:trPr>
        <w:tc>
          <w:tcPr>
            <w:tcW w:w="440" w:type="dxa"/>
            <w:vAlign w:val="bottom"/>
          </w:tcPr>
          <w:p>
            <w:pPr>
              <w:spacing w:after="0"/>
              <w:rPr>
                <w:sz w:val="20"/>
                <w:szCs w:val="20"/>
                <w:color w:val="auto"/>
              </w:rPr>
            </w:pPr>
            <w:r>
              <w:rPr>
                <w:rFonts w:ascii="Times New Roman" w:cs="Times New Roman" w:eastAsia="Times New Roman" w:hAnsi="Times New Roman"/>
                <w:sz w:val="20"/>
                <w:szCs w:val="20"/>
                <w:color w:val="auto"/>
              </w:rPr>
              <w:t>2029</w:t>
            </w:r>
          </w:p>
        </w:tc>
        <w:tc>
          <w:tcPr>
            <w:tcW w:w="78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 0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0 .. . ............</w:t>
            </w:r>
          </w:p>
        </w:tc>
        <w:tc>
          <w:tcPr>
            <w:tcW w:w="5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w:t>
            </w:r>
          </w:p>
        </w:tc>
      </w:tr>
      <w:tr>
        <w:trPr>
          <w:trHeight w:val="238"/>
        </w:trPr>
        <w:tc>
          <w:tcPr>
            <w:tcW w:w="122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2030-2034 .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 . . . . .. . . . .</w:t>
            </w:r>
          </w:p>
        </w:tc>
        <w:tc>
          <w:tcPr>
            <w:tcW w:w="18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 0 . .. ...........</w:t>
            </w: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0.</w:t>
            </w: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757</w:t>
            </w:r>
          </w:p>
        </w:tc>
      </w:tr>
    </w:tbl>
    <w:p>
      <w:pPr>
        <w:spacing w:after="0" w:line="200" w:lineRule="exact"/>
        <w:rPr>
          <w:sz w:val="20"/>
          <w:szCs w:val="20"/>
          <w:color w:val="auto"/>
        </w:rPr>
      </w:pPr>
    </w:p>
    <w:p>
      <w:pPr>
        <w:sectPr>
          <w:pgSz w:w="12240" w:h="15850" w:orient="portrait"/>
          <w:cols w:equalWidth="0" w:num="1">
            <w:col w:w="9365"/>
          </w:cols>
          <w:pgMar w:left="1440" w:top="1394" w:right="1440" w:bottom="730" w:gutter="0" w:footer="0" w:header="0"/>
        </w:sectPr>
      </w:pPr>
    </w:p>
    <w:p>
      <w:pPr>
        <w:spacing w:after="0" w:line="305"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137</w:t>
      </w:r>
    </w:p>
    <w:p>
      <w:pPr>
        <w:sectPr>
          <w:pgSz w:w="12240" w:h="15850" w:orient="portrait"/>
          <w:cols w:equalWidth="0" w:num="1">
            <w:col w:w="9365"/>
          </w:cols>
          <w:pgMar w:left="1440" w:top="1394" w:right="1440" w:bottom="730" w:gutter="0" w:footer="0" w:header="0"/>
          <w:type w:val="continuous"/>
        </w:sectPr>
      </w:pPr>
    </w:p>
    <w:bookmarkStart w:id="153" w:name="page154"/>
    <w:bookmarkEnd w:id="153"/>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total benefit arising from the Company's other postretirement plans consists of the following components: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0" w:type="dxa"/>
            <w:vAlign w:val="bottom"/>
            <w:gridSpan w:val="6"/>
          </w:tcPr>
          <w:p>
            <w:pPr>
              <w:jc w:val="center"/>
              <w:ind w:right="180"/>
              <w:spacing w:after="0"/>
              <w:rPr>
                <w:sz w:val="20"/>
                <w:szCs w:val="20"/>
                <w:color w:val="auto"/>
              </w:rPr>
            </w:pPr>
            <w:r>
              <w:rPr>
                <w:rFonts w:ascii="Times New Roman" w:cs="Times New Roman" w:eastAsia="Times New Roman" w:hAnsi="Times New Roman"/>
                <w:sz w:val="15"/>
                <w:szCs w:val="15"/>
                <w:color w:val="auto"/>
              </w:rPr>
              <w:t>Postretirem ent Pla ns</w:t>
            </w:r>
          </w:p>
        </w:tc>
        <w:tc>
          <w:tcPr>
            <w:tcW w:w="0" w:type="dxa"/>
            <w:vAlign w:val="bottom"/>
          </w:tcPr>
          <w:p>
            <w:pPr>
              <w:spacing w:after="0"/>
              <w:rPr>
                <w:sz w:val="1"/>
                <w:szCs w:val="1"/>
                <w:color w:val="auto"/>
              </w:rPr>
            </w:pPr>
          </w:p>
        </w:tc>
      </w:tr>
      <w:tr>
        <w:trPr>
          <w:trHeight w:val="53"/>
        </w:trPr>
        <w:tc>
          <w:tcPr>
            <w:tcW w:w="6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2140" w:type="dxa"/>
            <w:vAlign w:val="bottom"/>
            <w:tcBorders>
              <w:bottom w:val="single" w:sz="8" w:color="403C3C"/>
            </w:tcBorders>
            <w:gridSpan w:val="5"/>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6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0" w:type="dxa"/>
            <w:vAlign w:val="bottom"/>
            <w:gridSpan w:val="6"/>
          </w:tcPr>
          <w:p>
            <w:pPr>
              <w:jc w:val="center"/>
              <w:ind w:right="16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32"/>
        </w:trPr>
        <w:tc>
          <w:tcPr>
            <w:tcW w:w="6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640" w:type="dxa"/>
            <w:vAlign w:val="bottom"/>
            <w:tcBorders>
              <w:bottom w:val="single" w:sz="8" w:color="403C3C"/>
            </w:tcBorders>
          </w:tcPr>
          <w:p>
            <w:pPr>
              <w:spacing w:after="0"/>
              <w:rPr>
                <w:sz w:val="2"/>
                <w:szCs w:val="2"/>
                <w:color w:val="auto"/>
              </w:rPr>
            </w:pPr>
          </w:p>
        </w:tc>
        <w:tc>
          <w:tcPr>
            <w:tcW w:w="160" w:type="dxa"/>
            <w:vAlign w:val="bottom"/>
            <w:tcBorders>
              <w:bottom w:val="single" w:sz="8" w:color="403C3C"/>
            </w:tcBorders>
          </w:tcPr>
          <w:p>
            <w:pPr>
              <w:spacing w:after="0"/>
              <w:rPr>
                <w:sz w:val="2"/>
                <w:szCs w:val="2"/>
                <w:color w:val="auto"/>
              </w:rPr>
            </w:pPr>
          </w:p>
        </w:tc>
        <w:tc>
          <w:tcPr>
            <w:tcW w:w="660" w:type="dxa"/>
            <w:vAlign w:val="bottom"/>
            <w:tcBorders>
              <w:bottom w:val="single" w:sz="8" w:color="403C3C"/>
            </w:tcBorders>
          </w:tcPr>
          <w:p>
            <w:pPr>
              <w:spacing w:after="0"/>
              <w:rPr>
                <w:sz w:val="2"/>
                <w:szCs w:val="2"/>
                <w:color w:val="auto"/>
              </w:rPr>
            </w:pPr>
          </w:p>
        </w:tc>
        <w:tc>
          <w:tcPr>
            <w:tcW w:w="160" w:type="dxa"/>
            <w:vAlign w:val="bottom"/>
            <w:tcBorders>
              <w:bottom w:val="single" w:sz="8" w:color="403C3C"/>
            </w:tcBorders>
          </w:tcPr>
          <w:p>
            <w:pPr>
              <w:spacing w:after="0"/>
              <w:rPr>
                <w:sz w:val="2"/>
                <w:szCs w:val="2"/>
                <w:color w:val="auto"/>
              </w:rPr>
            </w:pPr>
          </w:p>
        </w:tc>
        <w:tc>
          <w:tcPr>
            <w:tcW w:w="520" w:type="dxa"/>
            <w:vAlign w:val="bottom"/>
            <w:tcBorders>
              <w:bottom w:val="single" w:sz="8" w:color="403C3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78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ind w:right="187"/>
              <w:spacing w:after="0" w:line="177" w:lineRule="exact"/>
              <w:rPr>
                <w:sz w:val="20"/>
                <w:szCs w:val="20"/>
                <w:color w:val="auto"/>
              </w:rPr>
            </w:pPr>
            <w:r>
              <w:rPr>
                <w:rFonts w:ascii="Times New Roman" w:cs="Times New Roman" w:eastAsia="Times New Roman" w:hAnsi="Times New Roman"/>
                <w:sz w:val="16"/>
                <w:szCs w:val="16"/>
                <w:color w:val="auto"/>
              </w:rPr>
              <w:t>2024</w:t>
            </w:r>
          </w:p>
        </w:tc>
        <w:tc>
          <w:tcPr>
            <w:tcW w:w="160" w:type="dxa"/>
            <w:vAlign w:val="bottom"/>
          </w:tcPr>
          <w:p>
            <w:pPr>
              <w:spacing w:after="0"/>
              <w:rPr>
                <w:sz w:val="16"/>
                <w:szCs w:val="16"/>
                <w:color w:val="auto"/>
              </w:rPr>
            </w:pPr>
          </w:p>
        </w:tc>
        <w:tc>
          <w:tcPr>
            <w:tcW w:w="660" w:type="dxa"/>
            <w:vAlign w:val="bottom"/>
          </w:tcPr>
          <w:p>
            <w:pPr>
              <w:jc w:val="center"/>
              <w:ind w:right="123"/>
              <w:spacing w:after="0" w:line="177" w:lineRule="exact"/>
              <w:rPr>
                <w:sz w:val="20"/>
                <w:szCs w:val="20"/>
                <w:color w:val="auto"/>
              </w:rPr>
            </w:pPr>
            <w:r>
              <w:rPr>
                <w:rFonts w:ascii="Times New Roman" w:cs="Times New Roman" w:eastAsia="Times New Roman" w:hAnsi="Times New Roman"/>
                <w:sz w:val="16"/>
                <w:szCs w:val="16"/>
                <w:color w:val="auto"/>
                <w:w w:val="99"/>
              </w:rPr>
              <w:t>2023</w:t>
            </w:r>
          </w:p>
        </w:tc>
        <w:tc>
          <w:tcPr>
            <w:tcW w:w="160" w:type="dxa"/>
            <w:vAlign w:val="bottom"/>
          </w:tcPr>
          <w:p>
            <w:pPr>
              <w:spacing w:after="0"/>
              <w:rPr>
                <w:sz w:val="16"/>
                <w:szCs w:val="16"/>
                <w:color w:val="auto"/>
              </w:rPr>
            </w:pPr>
          </w:p>
        </w:tc>
        <w:tc>
          <w:tcPr>
            <w:tcW w:w="520" w:type="dxa"/>
            <w:vAlign w:val="bottom"/>
          </w:tcPr>
          <w:p>
            <w:pPr>
              <w:jc w:val="right"/>
              <w:ind w:right="65"/>
              <w:spacing w:after="0" w:line="177" w:lineRule="exact"/>
              <w:rPr>
                <w:sz w:val="20"/>
                <w:szCs w:val="20"/>
                <w:color w:val="auto"/>
              </w:rPr>
            </w:pPr>
            <w:r>
              <w:rPr>
                <w:rFonts w:ascii="Times New Roman" w:cs="Times New Roman" w:eastAsia="Times New Roman" w:hAnsi="Times New Roman"/>
                <w:sz w:val="16"/>
                <w:szCs w:val="16"/>
                <w:color w:val="auto"/>
              </w:rPr>
              <w:t>2022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2"/>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Interest cost</w:t>
            </w: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22"/>
                <w:szCs w:val="22"/>
                <w:color w:val="auto"/>
              </w:rPr>
              <w:t>51</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149</w:t>
            </w:r>
          </w:p>
        </w:tc>
        <w:tc>
          <w:tcPr>
            <w:tcW w:w="160" w:type="dxa"/>
            <w:vAlign w:val="bottom"/>
          </w:tcPr>
          <w:p>
            <w:pPr>
              <w:ind w:left="60"/>
              <w:spacing w:after="0"/>
              <w:rPr>
                <w:sz w:val="20"/>
                <w:szCs w:val="20"/>
                <w:color w:val="auto"/>
              </w:rPr>
            </w:pPr>
            <w:r>
              <w:rPr>
                <w:rFonts w:ascii="Times New Roman" w:cs="Times New Roman" w:eastAsia="Times New Roman" w:hAnsi="Times New Roman"/>
                <w:sz w:val="20"/>
                <w:szCs w:val="20"/>
                <w:color w:val="auto"/>
                <w:w w:val="79"/>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prior service credit . ...... . . .. . . . . ...... .. ...... .. ..... . .</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w:t>
            </w:r>
          </w:p>
        </w:tc>
        <w:tc>
          <w:tcPr>
            <w:tcW w:w="16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(7)</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Recognized actuarial gain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2"/>
              </w:rPr>
              <w:t>(1,824)</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(2,343)</w:t>
            </w: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(2,843)</w:t>
            </w:r>
          </w:p>
        </w:tc>
        <w:tc>
          <w:tcPr>
            <w:tcW w:w="0" w:type="dxa"/>
            <w:vAlign w:val="bottom"/>
          </w:tcPr>
          <w:p>
            <w:pPr>
              <w:spacing w:after="0"/>
              <w:rPr>
                <w:sz w:val="1"/>
                <w:szCs w:val="1"/>
                <w:color w:val="auto"/>
              </w:rPr>
            </w:pPr>
          </w:p>
        </w:tc>
      </w:tr>
      <w:tr>
        <w:trPr>
          <w:trHeight w:val="322"/>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Net Pe riodic Benefit for the Year .............. . .. . .... . . . ... . .. . ... . .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(1,773)</w:t>
            </w:r>
          </w:p>
        </w:tc>
        <w:tc>
          <w:tcPr>
            <w:tcW w:w="16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5"/>
              </w:rPr>
              <w:t>(2,199)</w:t>
            </w:r>
          </w:p>
        </w:tc>
        <w:tc>
          <w:tcPr>
            <w:tcW w:w="160" w:type="dxa"/>
            <w:vAlign w:val="bottom"/>
          </w:tcPr>
          <w:p>
            <w:pPr>
              <w:spacing w:after="0"/>
              <w:rPr>
                <w:sz w:val="24"/>
                <w:szCs w:val="24"/>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5"/>
              </w:rPr>
              <w:t>(2,752)</w:t>
            </w: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Settlement ..... .. . ..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86"/>
              </w:rPr>
              <w:t>( I ,087)</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Total Benefit for the Year  ..... . ...... . ...... . ..... .... . . .. ..... ... .. .</w:t>
            </w:r>
          </w:p>
        </w:tc>
        <w:tc>
          <w:tcPr>
            <w:tcW w:w="840" w:type="dxa"/>
            <w:vAlign w:val="bottom"/>
            <w:gridSpan w:val="3"/>
          </w:tcPr>
          <w:p>
            <w:pPr>
              <w:ind w:left="80"/>
              <w:spacing w:after="0"/>
              <w:rPr>
                <w:sz w:val="20"/>
                <w:szCs w:val="20"/>
                <w:color w:val="auto"/>
              </w:rPr>
            </w:pPr>
            <w:r>
              <w:rPr>
                <w:rFonts w:ascii="Times New Roman" w:cs="Times New Roman" w:eastAsia="Times New Roman" w:hAnsi="Times New Roman"/>
                <w:sz w:val="20"/>
                <w:szCs w:val="20"/>
                <w:color w:val="auto"/>
              </w:rPr>
              <w:t>$(1,773)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(3,286)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$(2,752)</w:t>
            </w:r>
          </w:p>
        </w:tc>
        <w:tc>
          <w:tcPr>
            <w:tcW w:w="0" w:type="dxa"/>
            <w:vAlign w:val="bottom"/>
          </w:tcPr>
          <w:p>
            <w:pPr>
              <w:spacing w:after="0"/>
              <w:rPr>
                <w:sz w:val="1"/>
                <w:szCs w:val="1"/>
                <w:color w:val="auto"/>
              </w:rPr>
            </w:pPr>
          </w:p>
        </w:tc>
      </w:tr>
      <w:tr>
        <w:trPr>
          <w:trHeight w:val="236"/>
        </w:trPr>
        <w:tc>
          <w:tcPr>
            <w:tcW w:w="67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Other Changes in Benefit Obligations Recognized in Other Comprehensive</w:t>
            </w:r>
          </w:p>
        </w:tc>
        <w:tc>
          <w:tcPr>
            <w:tcW w:w="840" w:type="dxa"/>
            <w:vAlign w:val="bottom"/>
            <w:gridSpan w:val="3"/>
          </w:tcPr>
          <w:p>
            <w:pPr>
              <w:jc w:val="right"/>
              <w:ind w:right="27"/>
              <w:spacing w:after="0" w:line="236" w:lineRule="exact"/>
              <w:rPr>
                <w:sz w:val="20"/>
                <w:szCs w:val="20"/>
                <w:color w:val="auto"/>
              </w:rPr>
            </w:pPr>
            <w:r>
              <w:rPr>
                <w:rFonts w:ascii="Arial" w:cs="Arial" w:eastAsia="Arial" w:hAnsi="Arial"/>
                <w:sz w:val="21"/>
                <w:szCs w:val="21"/>
                <w:color w:val="auto"/>
              </w:rPr>
              <w:t>-----</w:t>
            </w: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gridSpan w:val="3"/>
          </w:tcPr>
          <w:p>
            <w:pPr>
              <w:ind w:left="60"/>
              <w:spacing w:after="0" w:line="236"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38"/>
        </w:trPr>
        <w:tc>
          <w:tcPr>
            <w:tcW w:w="67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67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Income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Current year actuarial gain . .... . .................. . .... . . . .......... . .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21"/>
                <w:szCs w:val="21"/>
                <w:color w:val="auto"/>
                <w:w w:val="9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(144)</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$(1,205)</w:t>
            </w: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Amortization of prior service credit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19"/>
                <w:szCs w:val="19"/>
                <w:color w:val="auto"/>
              </w:rPr>
              <w:t>5</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Recognized actuarial gain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ind w:right="27"/>
              <w:spacing w:after="0"/>
              <w:rPr>
                <w:sz w:val="20"/>
                <w:szCs w:val="20"/>
                <w:color w:val="auto"/>
              </w:rPr>
            </w:pPr>
            <w:r>
              <w:rPr>
                <w:rFonts w:ascii="Times New Roman" w:cs="Times New Roman" w:eastAsia="Times New Roman" w:hAnsi="Times New Roman"/>
                <w:sz w:val="20"/>
                <w:szCs w:val="20"/>
                <w:color w:val="auto"/>
              </w:rPr>
              <w:t>1,824</w:t>
            </w:r>
          </w:p>
        </w:tc>
        <w:tc>
          <w:tcPr>
            <w:tcW w:w="160" w:type="dxa"/>
            <w:vAlign w:val="bottom"/>
          </w:tcPr>
          <w:p>
            <w:pPr>
              <w:spacing w:after="0"/>
              <w:rPr>
                <w:sz w:val="20"/>
                <w:szCs w:val="20"/>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2,343</w:t>
            </w:r>
          </w:p>
        </w:tc>
        <w:tc>
          <w:tcPr>
            <w:tcW w:w="1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Settlement . . . . .... ... .. . ... .. ........ . .... . . . ...... .. ............ . . .</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1,087</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6"/>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Total Recognized in Other Comprehensive Income (Before Ta x Effects)  .....</w:t>
            </w:r>
          </w:p>
        </w:tc>
        <w:tc>
          <w:tcPr>
            <w:tcW w:w="840" w:type="dxa"/>
            <w:vAlign w:val="bottom"/>
            <w:gridSpan w:val="3"/>
          </w:tcPr>
          <w:p>
            <w:pPr>
              <w:jc w:val="right"/>
              <w:ind w:right="27"/>
              <w:spacing w:after="0"/>
              <w:rPr>
                <w:sz w:val="20"/>
                <w:szCs w:val="20"/>
                <w:color w:val="auto"/>
              </w:rPr>
            </w:pP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1,680</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ind w:right="43"/>
              <w:spacing w:after="0"/>
              <w:rPr>
                <w:sz w:val="20"/>
                <w:szCs w:val="20"/>
                <w:color w:val="auto"/>
              </w:rPr>
            </w:pPr>
            <w:r>
              <w:rPr>
                <w:rFonts w:ascii="Times New Roman" w:cs="Times New Roman" w:eastAsia="Times New Roman" w:hAnsi="Times New Roman"/>
                <w:sz w:val="20"/>
                <w:szCs w:val="20"/>
                <w:color w:val="auto"/>
              </w:rPr>
              <w:t>3,021</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$ 1,645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780" w:type="dxa"/>
            <w:vAlign w:val="bottom"/>
          </w:tcPr>
          <w:p>
            <w:pPr>
              <w:spacing w:after="0"/>
              <w:rPr>
                <w:sz w:val="20"/>
                <w:szCs w:val="20"/>
                <w:color w:val="auto"/>
              </w:rPr>
            </w:pPr>
            <w:r>
              <w:rPr>
                <w:rFonts w:ascii="Times New Roman" w:cs="Times New Roman" w:eastAsia="Times New Roman" w:hAnsi="Times New Roman"/>
                <w:sz w:val="19"/>
                <w:szCs w:val="19"/>
                <w:color w:val="auto"/>
              </w:rPr>
              <w:t>Total Recognized in Benefit and Othe r Comprehensive Income (Before Tax</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78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Effects) . . . . . . . . . . . . . . . . . . . . . . . . . . . . . . . . . . . . . . . . . . . . . . . . . . . . . . . . . .</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20"/>
                <w:szCs w:val="20"/>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(265)</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3"/>
              </w:rPr>
              <w:t>$( I, I 07)</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both"/>
        <w:ind w:left="120" w:right="125"/>
        <w:spacing w:after="0" w:line="252" w:lineRule="auto"/>
        <w:rPr>
          <w:sz w:val="20"/>
          <w:szCs w:val="20"/>
          <w:color w:val="auto"/>
        </w:rPr>
      </w:pPr>
      <w:r>
        <w:rPr>
          <w:rFonts w:ascii="Times New Roman" w:cs="Times New Roman" w:eastAsia="Times New Roman" w:hAnsi="Times New Roman"/>
          <w:sz w:val="19"/>
          <w:szCs w:val="19"/>
          <w:color w:val="auto"/>
        </w:rPr>
        <w:t xml:space="preserve">The costs for the Company's postretirement plans are actuarially determined. The discount rate utilized to determine the periodic cost for the years ended December 31, 2024, 2023 and 2022 was 4.53%, 4.76% and </w:t>
      </w:r>
      <w:r>
        <w:rPr>
          <w:rFonts w:ascii="Times New Roman" w:cs="Times New Roman" w:eastAsia="Times New Roman" w:hAnsi="Times New Roman"/>
          <w:sz w:val="20"/>
          <w:szCs w:val="20"/>
          <w:color w:val="auto"/>
        </w:rPr>
        <w:t xml:space="preserve">2.23%. </w:t>
      </w:r>
      <w:r>
        <w:rPr>
          <w:rFonts w:ascii="Times New Roman" w:cs="Times New Roman" w:eastAsia="Times New Roman" w:hAnsi="Times New Roman"/>
          <w:sz w:val="19"/>
          <w:szCs w:val="19"/>
          <w:color w:val="auto"/>
        </w:rPr>
        <w:t>AOCI included the following components of unrecognized net periodic benefit for the postretirement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pla ns:</w:t>
      </w:r>
    </w:p>
    <w:p>
      <w:pPr>
        <w:spacing w:after="0" w:line="200" w:lineRule="exact"/>
        <w:rPr>
          <w:sz w:val="20"/>
          <w:szCs w:val="20"/>
          <w:color w:val="auto"/>
        </w:rPr>
      </w:pPr>
    </w:p>
    <w:p>
      <w:pPr>
        <w:spacing w:after="0" w:line="234" w:lineRule="exact"/>
        <w:rPr>
          <w:sz w:val="20"/>
          <w:szCs w:val="20"/>
          <w:color w:val="auto"/>
        </w:rPr>
      </w:pPr>
    </w:p>
    <w:tbl>
      <w:tblPr>
        <w:tblLayout w:type="fixed"/>
        <w:tblInd w:w="132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4"/>
          </w:tcPr>
          <w:p>
            <w:pPr>
              <w:ind w:left="120"/>
              <w:spacing w:after="0"/>
              <w:rPr>
                <w:sz w:val="20"/>
                <w:szCs w:val="20"/>
                <w:color w:val="auto"/>
              </w:rPr>
            </w:pPr>
            <w:r>
              <w:rPr>
                <w:rFonts w:ascii="Times New Roman" w:cs="Times New Roman" w:eastAsia="Times New Roman" w:hAnsi="Times New Roman"/>
                <w:sz w:val="16"/>
                <w:szCs w:val="16"/>
                <w:color w:val="auto"/>
              </w:rPr>
              <w:t>As of December 31</w:t>
            </w:r>
          </w:p>
        </w:tc>
        <w:tc>
          <w:tcPr>
            <w:tcW w:w="0" w:type="dxa"/>
            <w:vAlign w:val="bottom"/>
          </w:tcPr>
          <w:p>
            <w:pPr>
              <w:spacing w:after="0"/>
              <w:rPr>
                <w:sz w:val="1"/>
                <w:szCs w:val="1"/>
                <w:color w:val="auto"/>
              </w:rPr>
            </w:pPr>
          </w:p>
        </w:tc>
      </w:tr>
      <w:tr>
        <w:trPr>
          <w:trHeight w:val="33"/>
        </w:trPr>
        <w:tc>
          <w:tcPr>
            <w:tcW w:w="5040" w:type="dxa"/>
            <w:vAlign w:val="bottom"/>
            <w:vMerge w:val="restart"/>
          </w:tcPr>
          <w:p>
            <w:pPr>
              <w:jc w:val="right"/>
              <w:ind w:right="3967"/>
              <w:spacing w:after="0"/>
              <w:rPr>
                <w:sz w:val="20"/>
                <w:szCs w:val="20"/>
                <w:color w:val="auto"/>
              </w:rPr>
            </w:pPr>
            <w:r>
              <w:rPr>
                <w:rFonts w:ascii="Times New Roman" w:cs="Times New Roman" w:eastAsia="Times New Roman" w:hAnsi="Times New Roman"/>
                <w:sz w:val="16"/>
                <w:szCs w:val="16"/>
                <w:color w:val="auto"/>
              </w:rPr>
              <w:t>(in thousands)</w:t>
            </w:r>
          </w:p>
        </w:tc>
        <w:tc>
          <w:tcPr>
            <w:tcW w:w="140" w:type="dxa"/>
            <w:vAlign w:val="bottom"/>
          </w:tcPr>
          <w:p>
            <w:pPr>
              <w:spacing w:after="0"/>
              <w:rPr>
                <w:sz w:val="2"/>
                <w:szCs w:val="2"/>
                <w:color w:val="auto"/>
              </w:rPr>
            </w:pPr>
          </w:p>
        </w:tc>
        <w:tc>
          <w:tcPr>
            <w:tcW w:w="640" w:type="dxa"/>
            <w:vAlign w:val="bottom"/>
            <w:tcBorders>
              <w:bottom w:val="single" w:sz="8" w:color="181414"/>
            </w:tcBorders>
          </w:tcPr>
          <w:p>
            <w:pPr>
              <w:spacing w:after="0"/>
              <w:rPr>
                <w:sz w:val="2"/>
                <w:szCs w:val="2"/>
                <w:color w:val="auto"/>
              </w:rPr>
            </w:pPr>
          </w:p>
        </w:tc>
        <w:tc>
          <w:tcPr>
            <w:tcW w:w="160" w:type="dxa"/>
            <w:vAlign w:val="bottom"/>
            <w:tcBorders>
              <w:bottom w:val="single" w:sz="8" w:color="181414"/>
            </w:tcBorders>
          </w:tcPr>
          <w:p>
            <w:pPr>
              <w:spacing w:after="0"/>
              <w:rPr>
                <w:sz w:val="2"/>
                <w:szCs w:val="2"/>
                <w:color w:val="auto"/>
              </w:rPr>
            </w:pPr>
          </w:p>
        </w:tc>
        <w:tc>
          <w:tcPr>
            <w:tcW w:w="740" w:type="dxa"/>
            <w:vAlign w:val="bottom"/>
            <w:tcBorders>
              <w:bottom w:val="single" w:sz="8" w:color="18141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5040" w:type="dxa"/>
            <w:vAlign w:val="bottom"/>
            <w:vMerge w:val="continue"/>
          </w:tcPr>
          <w:p>
            <w:pPr>
              <w:spacing w:after="0"/>
              <w:rPr>
                <w:sz w:val="13"/>
                <w:szCs w:val="13"/>
                <w:color w:val="auto"/>
              </w:rPr>
            </w:pPr>
          </w:p>
        </w:tc>
        <w:tc>
          <w:tcPr>
            <w:tcW w:w="780" w:type="dxa"/>
            <w:vAlign w:val="bottom"/>
            <w:gridSpan w:val="2"/>
          </w:tcPr>
          <w:p>
            <w:pPr>
              <w:jc w:val="right"/>
              <w:ind w:right="72"/>
              <w:spacing w:after="0" w:line="152" w:lineRule="exact"/>
              <w:rPr>
                <w:sz w:val="20"/>
                <w:szCs w:val="20"/>
                <w:color w:val="auto"/>
              </w:rPr>
            </w:pPr>
            <w:r>
              <w:rPr>
                <w:rFonts w:ascii="Times New Roman" w:cs="Times New Roman" w:eastAsia="Times New Roman" w:hAnsi="Times New Roman"/>
                <w:sz w:val="16"/>
                <w:szCs w:val="16"/>
                <w:color w:val="auto"/>
              </w:rPr>
              <w:t>2 024</w:t>
            </w:r>
          </w:p>
        </w:tc>
        <w:tc>
          <w:tcPr>
            <w:tcW w:w="160" w:type="dxa"/>
            <w:vAlign w:val="bottom"/>
          </w:tcPr>
          <w:p>
            <w:pPr>
              <w:spacing w:after="0"/>
              <w:rPr>
                <w:sz w:val="13"/>
                <w:szCs w:val="13"/>
                <w:color w:val="auto"/>
              </w:rPr>
            </w:pPr>
          </w:p>
        </w:tc>
        <w:tc>
          <w:tcPr>
            <w:tcW w:w="740" w:type="dxa"/>
            <w:vAlign w:val="bottom"/>
          </w:tcPr>
          <w:p>
            <w:pPr>
              <w:ind w:left="280"/>
              <w:spacing w:after="0" w:line="152" w:lineRule="exact"/>
              <w:rPr>
                <w:sz w:val="20"/>
                <w:szCs w:val="20"/>
                <w:color w:val="auto"/>
              </w:rPr>
            </w:pPr>
            <w:r>
              <w:rPr>
                <w:rFonts w:ascii="Times New Roman" w:cs="Times New Roman" w:eastAsia="Times New Roman" w:hAnsi="Times New Roman"/>
                <w:sz w:val="16"/>
                <w:szCs w:val="16"/>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Borders>
              <w:top w:val="single" w:sz="8" w:color="646060"/>
            </w:tcBorders>
          </w:tcPr>
          <w:p>
            <w:pPr>
              <w:spacing w:after="0"/>
              <w:rPr>
                <w:sz w:val="9"/>
                <w:szCs w:val="9"/>
                <w:color w:val="auto"/>
              </w:rPr>
            </w:pPr>
          </w:p>
        </w:tc>
        <w:tc>
          <w:tcPr>
            <w:tcW w:w="160" w:type="dxa"/>
            <w:vAlign w:val="bottom"/>
            <w:tcBorders>
              <w:top w:val="single" w:sz="8" w:color="646060"/>
            </w:tcBorders>
          </w:tcPr>
          <w:p>
            <w:pPr>
              <w:spacing w:after="0"/>
              <w:rPr>
                <w:sz w:val="9"/>
                <w:szCs w:val="9"/>
                <w:color w:val="auto"/>
              </w:rPr>
            </w:pPr>
          </w:p>
        </w:tc>
        <w:tc>
          <w:tcPr>
            <w:tcW w:w="800" w:type="dxa"/>
            <w:vAlign w:val="bottom"/>
            <w:gridSpan w:val="2"/>
          </w:tcPr>
          <w:p>
            <w:pPr>
              <w:ind w:left="120"/>
              <w:spacing w:after="0" w:line="113"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21"/>
        </w:trPr>
        <w:tc>
          <w:tcPr>
            <w:tcW w:w="504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Unrecognized actuarial gain ............. . . .......... .</w:t>
            </w:r>
          </w:p>
        </w:tc>
        <w:tc>
          <w:tcPr>
            <w:tcW w:w="940" w:type="dxa"/>
            <w:vAlign w:val="bottom"/>
            <w:gridSpan w:val="3"/>
          </w:tcPr>
          <w:p>
            <w:pPr>
              <w:jc w:val="right"/>
              <w:ind w:right="120"/>
              <w:spacing w:after="0"/>
              <w:rPr>
                <w:sz w:val="20"/>
                <w:szCs w:val="20"/>
                <w:color w:val="auto"/>
              </w:rPr>
            </w:pPr>
            <w:r>
              <w:rPr>
                <w:rFonts w:ascii="Times New Roman" w:cs="Times New Roman" w:eastAsia="Times New Roman" w:hAnsi="Times New Roman"/>
                <w:sz w:val="19"/>
                <w:szCs w:val="19"/>
                <w:color w:val="auto"/>
              </w:rPr>
              <w:t>$(7,308)</w:t>
            </w:r>
          </w:p>
        </w:tc>
        <w:tc>
          <w:tcPr>
            <w:tcW w:w="800" w:type="dxa"/>
            <w:vAlign w:val="bottom"/>
            <w:gridSpan w:val="2"/>
          </w:tcPr>
          <w:p>
            <w:pPr>
              <w:ind w:left="120"/>
              <w:spacing w:after="0" w:line="221" w:lineRule="exact"/>
              <w:rPr>
                <w:sz w:val="20"/>
                <w:szCs w:val="20"/>
                <w:color w:val="auto"/>
              </w:rPr>
            </w:pPr>
            <w:r>
              <w:rPr>
                <w:rFonts w:ascii="Times New Roman" w:cs="Times New Roman" w:eastAsia="Times New Roman" w:hAnsi="Times New Roman"/>
                <w:sz w:val="20"/>
                <w:szCs w:val="20"/>
                <w:color w:val="auto"/>
                <w:w w:val="96"/>
              </w:rPr>
              <w:t>$(8,988)</w:t>
            </w:r>
          </w:p>
        </w:tc>
        <w:tc>
          <w:tcPr>
            <w:tcW w:w="0" w:type="dxa"/>
            <w:vAlign w:val="bottom"/>
          </w:tcPr>
          <w:p>
            <w:pPr>
              <w:spacing w:after="0"/>
              <w:rPr>
                <w:sz w:val="1"/>
                <w:szCs w:val="1"/>
                <w:color w:val="auto"/>
              </w:rPr>
            </w:pPr>
          </w:p>
        </w:tc>
      </w:tr>
      <w:tr>
        <w:trPr>
          <w:trHeight w:val="236"/>
        </w:trPr>
        <w:tc>
          <w:tcPr>
            <w:tcW w:w="5040" w:type="dxa"/>
            <w:vAlign w:val="bottom"/>
          </w:tcPr>
          <w:p>
            <w:pPr>
              <w:jc w:val="right"/>
              <w:ind w:right="67"/>
              <w:spacing w:after="0"/>
              <w:rPr>
                <w:sz w:val="20"/>
                <w:szCs w:val="20"/>
                <w:color w:val="auto"/>
              </w:rPr>
            </w:pPr>
            <w:r>
              <w:rPr>
                <w:rFonts w:ascii="Times New Roman" w:cs="Times New Roman" w:eastAsia="Times New Roman" w:hAnsi="Times New Roman"/>
                <w:sz w:val="19"/>
                <w:szCs w:val="19"/>
                <w:color w:val="auto"/>
              </w:rPr>
              <w:t>Unrecognized prior service credit  . .. . ... .. .. . . ....... .</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17"/>
        </w:trPr>
        <w:tc>
          <w:tcPr>
            <w:tcW w:w="5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1"/>
        </w:trPr>
        <w:tc>
          <w:tcPr>
            <w:tcW w:w="5040" w:type="dxa"/>
            <w:vAlign w:val="bottom"/>
          </w:tcPr>
          <w:p>
            <w:pPr>
              <w:jc w:val="right"/>
              <w:ind w:right="67"/>
              <w:spacing w:after="0" w:line="191" w:lineRule="exact"/>
              <w:rPr>
                <w:sz w:val="20"/>
                <w:szCs w:val="20"/>
                <w:color w:val="auto"/>
              </w:rPr>
            </w:pPr>
            <w:r>
              <w:rPr>
                <w:rFonts w:ascii="Times New Roman" w:cs="Times New Roman" w:eastAsia="Times New Roman" w:hAnsi="Times New Roman"/>
                <w:sz w:val="19"/>
                <w:szCs w:val="19"/>
                <w:color w:val="auto"/>
              </w:rPr>
              <w:t>. . ........ .. ........ . . .. . . ..... . ... .GrossAmount</w:t>
            </w:r>
          </w:p>
        </w:tc>
        <w:tc>
          <w:tcPr>
            <w:tcW w:w="140" w:type="dxa"/>
            <w:vAlign w:val="bottom"/>
          </w:tcPr>
          <w:p>
            <w:pPr>
              <w:spacing w:after="0"/>
              <w:rPr>
                <w:sz w:val="17"/>
                <w:szCs w:val="17"/>
                <w:color w:val="auto"/>
              </w:rPr>
            </w:pPr>
          </w:p>
        </w:tc>
        <w:tc>
          <w:tcPr>
            <w:tcW w:w="80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9"/>
                <w:szCs w:val="19"/>
                <w:color w:val="auto"/>
              </w:rPr>
              <w:t>(7,308)</w:t>
            </w:r>
          </w:p>
        </w:tc>
        <w:tc>
          <w:tcPr>
            <w:tcW w:w="80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20"/>
                <w:szCs w:val="20"/>
                <w:color w:val="auto"/>
              </w:rPr>
              <w:t>(8,988)</w:t>
            </w:r>
          </w:p>
        </w:tc>
        <w:tc>
          <w:tcPr>
            <w:tcW w:w="0" w:type="dxa"/>
            <w:vAlign w:val="bottom"/>
          </w:tcPr>
          <w:p>
            <w:pPr>
              <w:spacing w:after="0"/>
              <w:rPr>
                <w:sz w:val="1"/>
                <w:szCs w:val="1"/>
                <w:color w:val="auto"/>
              </w:rPr>
            </w:pPr>
          </w:p>
        </w:tc>
      </w:tr>
      <w:tr>
        <w:trPr>
          <w:trHeight w:val="194"/>
        </w:trPr>
        <w:tc>
          <w:tcPr>
            <w:tcW w:w="5040" w:type="dxa"/>
            <w:vAlign w:val="bottom"/>
          </w:tcPr>
          <w:p>
            <w:pPr>
              <w:jc w:val="right"/>
              <w:ind w:right="67"/>
              <w:spacing w:after="0" w:line="194" w:lineRule="exact"/>
              <w:rPr>
                <w:sz w:val="20"/>
                <w:szCs w:val="20"/>
                <w:color w:val="auto"/>
              </w:rPr>
            </w:pPr>
            <w:r>
              <w:rPr>
                <w:rFonts w:ascii="Times New Roman" w:cs="Times New Roman" w:eastAsia="Times New Roman" w:hAnsi="Times New Roman"/>
                <w:sz w:val="19"/>
                <w:szCs w:val="19"/>
                <w:color w:val="auto"/>
              </w:rPr>
              <w:t>Deferred tax liability .................. .. .. . . ... . .. . .</w:t>
            </w:r>
          </w:p>
        </w:tc>
        <w:tc>
          <w:tcPr>
            <w:tcW w:w="78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9"/>
                <w:szCs w:val="19"/>
                <w:color w:val="auto"/>
              </w:rPr>
              <w:t>2,097</w:t>
            </w:r>
          </w:p>
        </w:tc>
        <w:tc>
          <w:tcPr>
            <w:tcW w:w="160" w:type="dxa"/>
            <w:vAlign w:val="bottom"/>
          </w:tcPr>
          <w:p>
            <w:pPr>
              <w:spacing w:after="0"/>
              <w:rPr>
                <w:sz w:val="16"/>
                <w:szCs w:val="16"/>
                <w:color w:val="auto"/>
              </w:rPr>
            </w:pPr>
          </w:p>
        </w:tc>
        <w:tc>
          <w:tcPr>
            <w:tcW w:w="740" w:type="dxa"/>
            <w:vAlign w:val="bottom"/>
          </w:tcPr>
          <w:p>
            <w:pPr>
              <w:jc w:val="right"/>
              <w:spacing w:after="0" w:line="194" w:lineRule="exact"/>
              <w:rPr>
                <w:sz w:val="20"/>
                <w:szCs w:val="20"/>
                <w:color w:val="auto"/>
              </w:rPr>
            </w:pPr>
            <w:r>
              <w:rPr>
                <w:rFonts w:ascii="Times New Roman" w:cs="Times New Roman" w:eastAsia="Times New Roman" w:hAnsi="Times New Roman"/>
                <w:sz w:val="20"/>
                <w:szCs w:val="20"/>
                <w:color w:val="auto"/>
              </w:rPr>
              <w:t>2,527</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5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Borders>
              <w:bottom w:val="single" w:sz="8" w:color="888888"/>
            </w:tcBorders>
          </w:tcPr>
          <w:p>
            <w:pPr>
              <w:spacing w:after="0"/>
              <w:rPr>
                <w:sz w:val="2"/>
                <w:szCs w:val="2"/>
                <w:color w:val="auto"/>
              </w:rPr>
            </w:pPr>
          </w:p>
        </w:tc>
        <w:tc>
          <w:tcPr>
            <w:tcW w:w="160" w:type="dxa"/>
            <w:vAlign w:val="bottom"/>
            <w:tcBorders>
              <w:bottom w:val="single" w:sz="8" w:color="888888"/>
            </w:tcBorders>
          </w:tcPr>
          <w:p>
            <w:pPr>
              <w:spacing w:after="0"/>
              <w:rPr>
                <w:sz w:val="2"/>
                <w:szCs w:val="2"/>
                <w:color w:val="auto"/>
              </w:rPr>
            </w:pPr>
          </w:p>
        </w:tc>
        <w:tc>
          <w:tcPr>
            <w:tcW w:w="800" w:type="dxa"/>
            <w:vAlign w:val="bottom"/>
            <w:gridSpan w:val="2"/>
            <w:vMerge w:val="restart"/>
          </w:tcPr>
          <w:p>
            <w:pPr>
              <w:ind w:left="120"/>
              <w:spacing w:after="0" w:line="136"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92"/>
        </w:trPr>
        <w:tc>
          <w:tcPr>
            <w:tcW w:w="5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9"/>
        </w:trPr>
        <w:tc>
          <w:tcPr>
            <w:tcW w:w="5040" w:type="dxa"/>
            <w:vAlign w:val="bottom"/>
          </w:tcPr>
          <w:p>
            <w:pPr>
              <w:jc w:val="right"/>
              <w:ind w:right="67"/>
              <w:spacing w:after="0" w:line="179" w:lineRule="exact"/>
              <w:rPr>
                <w:sz w:val="20"/>
                <w:szCs w:val="20"/>
                <w:color w:val="auto"/>
              </w:rPr>
            </w:pPr>
            <w:r>
              <w:rPr>
                <w:rFonts w:ascii="Times New Roman" w:cs="Times New Roman" w:eastAsia="Times New Roman" w:hAnsi="Times New Roman"/>
                <w:sz w:val="19"/>
                <w:szCs w:val="19"/>
                <w:color w:val="auto"/>
              </w:rPr>
              <w:t>Net Amount  ..................................... .</w:t>
            </w:r>
          </w:p>
        </w:tc>
        <w:tc>
          <w:tcPr>
            <w:tcW w:w="940" w:type="dxa"/>
            <w:vAlign w:val="bottom"/>
            <w:gridSpan w:val="3"/>
          </w:tcPr>
          <w:p>
            <w:pPr>
              <w:jc w:val="right"/>
              <w:ind w:right="120"/>
              <w:spacing w:after="0" w:line="179" w:lineRule="exact"/>
              <w:rPr>
                <w:sz w:val="20"/>
                <w:szCs w:val="20"/>
                <w:color w:val="auto"/>
              </w:rPr>
            </w:pPr>
            <w:r>
              <w:rPr>
                <w:rFonts w:ascii="Times New Roman" w:cs="Times New Roman" w:eastAsia="Times New Roman" w:hAnsi="Times New Roman"/>
                <w:sz w:val="19"/>
                <w:szCs w:val="19"/>
                <w:color w:val="auto"/>
              </w:rPr>
              <w:t>$(5,211)</w:t>
            </w:r>
          </w:p>
        </w:tc>
        <w:tc>
          <w:tcPr>
            <w:tcW w:w="800" w:type="dxa"/>
            <w:vAlign w:val="bottom"/>
            <w:gridSpan w:val="2"/>
          </w:tcPr>
          <w:p>
            <w:pPr>
              <w:ind w:left="120"/>
              <w:spacing w:after="0" w:line="179" w:lineRule="exact"/>
              <w:rPr>
                <w:sz w:val="20"/>
                <w:szCs w:val="20"/>
                <w:color w:val="auto"/>
              </w:rPr>
            </w:pPr>
            <w:r>
              <w:rPr>
                <w:rFonts w:ascii="Times New Roman" w:cs="Times New Roman" w:eastAsia="Times New Roman" w:hAnsi="Times New Roman"/>
                <w:sz w:val="20"/>
                <w:szCs w:val="20"/>
                <w:color w:val="auto"/>
                <w:w w:val="89"/>
              </w:rPr>
              <w:t>$(6,46 1)</w:t>
            </w:r>
          </w:p>
        </w:tc>
        <w:tc>
          <w:tcPr>
            <w:tcW w:w="0" w:type="dxa"/>
            <w:vAlign w:val="bottom"/>
          </w:tcPr>
          <w:p>
            <w:pPr>
              <w:spacing w:after="0"/>
              <w:rPr>
                <w:sz w:val="1"/>
                <w:szCs w:val="1"/>
                <w:color w:val="auto"/>
              </w:rPr>
            </w:pPr>
          </w:p>
        </w:tc>
      </w:tr>
      <w:tr>
        <w:trPr>
          <w:trHeight w:val="76"/>
        </w:trPr>
        <w:tc>
          <w:tcPr>
            <w:tcW w:w="50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504C4C"/>
            </w:tcBorders>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restart"/>
          </w:tcPr>
          <w:p>
            <w:pPr>
              <w:ind w:left="120"/>
              <w:spacing w:after="0" w:line="212" w:lineRule="exact"/>
              <w:rPr>
                <w:sz w:val="20"/>
                <w:szCs w:val="20"/>
                <w:color w:val="auto"/>
              </w:rPr>
            </w:pPr>
            <w:r>
              <w:rPr>
                <w:rFonts w:ascii="Arial" w:cs="Arial" w:eastAsia="Arial" w:hAnsi="Arial"/>
                <w:sz w:val="19"/>
                <w:szCs w:val="19"/>
                <w:color w:val="auto"/>
              </w:rPr>
              <w:t>=</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50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jc w:val="both"/>
        <w:ind w:left="120" w:right="125" w:firstLine="12"/>
        <w:spacing w:after="0" w:line="253" w:lineRule="auto"/>
        <w:rPr>
          <w:sz w:val="20"/>
          <w:szCs w:val="20"/>
          <w:color w:val="auto"/>
        </w:rPr>
      </w:pPr>
      <w:r>
        <w:rPr>
          <w:rFonts w:ascii="Times New Roman" w:cs="Times New Roman" w:eastAsia="Times New Roman" w:hAnsi="Times New Roman"/>
          <w:sz w:val="19"/>
          <w:szCs w:val="19"/>
          <w:color w:val="auto"/>
        </w:rPr>
        <w:t xml:space="preserve">Multiemployer Pensio n Pla ns. Jn </w:t>
      </w:r>
      <w:r>
        <w:rPr>
          <w:rFonts w:ascii="Times New Roman" w:cs="Times New Roman" w:eastAsia="Times New Roman" w:hAnsi="Times New Roman"/>
          <w:sz w:val="20"/>
          <w:szCs w:val="20"/>
          <w:color w:val="auto"/>
        </w:rPr>
        <w:t>2024, 2023</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20"/>
          <w:szCs w:val="20"/>
          <w:color w:val="auto"/>
        </w:rPr>
        <w:t>2022,</w:t>
      </w:r>
      <w:r>
        <w:rPr>
          <w:rFonts w:ascii="Times New Roman" w:cs="Times New Roman" w:eastAsia="Times New Roman" w:hAnsi="Times New Roman"/>
          <w:sz w:val="19"/>
          <w:szCs w:val="19"/>
          <w:color w:val="auto"/>
        </w:rPr>
        <w:t xml:space="preserve"> the Company conttributed to one multiemployer defined benefit pension plan under the terms of a collective-bargaining agreement that covered certain union-represented employees. The Company's total contributions to the multiemployer pension plan amounted to </w:t>
      </w:r>
      <w:r>
        <w:rPr>
          <w:rFonts w:ascii="Times New Roman" w:cs="Times New Roman" w:eastAsia="Times New Roman" w:hAnsi="Times New Roman"/>
          <w:sz w:val="20"/>
          <w:szCs w:val="20"/>
          <w:color w:val="auto"/>
        </w:rPr>
        <w:t xml:space="preserve">$0.1 </w:t>
      </w:r>
      <w:r>
        <w:rPr>
          <w:rFonts w:ascii="Times New Roman" w:cs="Times New Roman" w:eastAsia="Times New Roman" w:hAnsi="Times New Roman"/>
          <w:sz w:val="19"/>
          <w:szCs w:val="19"/>
          <w:color w:val="auto"/>
        </w:rPr>
        <w:t>m illion in each year for</w:t>
      </w:r>
      <w:r>
        <w:rPr>
          <w:rFonts w:ascii="Times New Roman" w:cs="Times New Roman" w:eastAsia="Times New Roman" w:hAnsi="Times New Roman"/>
          <w:sz w:val="20"/>
          <w:szCs w:val="20"/>
          <w:color w:val="auto"/>
        </w:rPr>
        <w:t xml:space="preserve"> 2024, 2023 </w:t>
      </w:r>
      <w:r>
        <w:rPr>
          <w:rFonts w:ascii="Times New Roman" w:cs="Times New Roman" w:eastAsia="Times New Roman" w:hAnsi="Times New Roman"/>
          <w:sz w:val="19"/>
          <w:szCs w:val="19"/>
          <w:color w:val="auto"/>
        </w:rPr>
        <w:t>and</w:t>
      </w:r>
      <w:r>
        <w:rPr>
          <w:rFonts w:ascii="Times New Roman" w:cs="Times New Roman" w:eastAsia="Times New Roman" w:hAnsi="Times New Roman"/>
          <w:sz w:val="20"/>
          <w:szCs w:val="20"/>
          <w:color w:val="auto"/>
        </w:rPr>
        <w:t xml:space="preserve"> 2022.</w:t>
      </w:r>
    </w:p>
    <w:p>
      <w:pPr>
        <w:spacing w:after="0" w:line="251" w:lineRule="exact"/>
        <w:rPr>
          <w:sz w:val="20"/>
          <w:szCs w:val="20"/>
          <w:color w:val="auto"/>
        </w:rPr>
      </w:pPr>
    </w:p>
    <w:p>
      <w:pPr>
        <w:jc w:val="both"/>
        <w:ind w:left="120" w:right="125" w:hanging="10"/>
        <w:spacing w:after="0" w:line="243" w:lineRule="auto"/>
        <w:rPr>
          <w:sz w:val="20"/>
          <w:szCs w:val="20"/>
          <w:color w:val="auto"/>
        </w:rPr>
      </w:pPr>
      <w:r>
        <w:rPr>
          <w:rFonts w:ascii="Times New Roman" w:cs="Times New Roman" w:eastAsia="Times New Roman" w:hAnsi="Times New Roman"/>
          <w:sz w:val="19"/>
          <w:szCs w:val="19"/>
          <w:color w:val="auto"/>
        </w:rPr>
        <w:t>Savings Pla ns.</w:t>
      </w:r>
      <w:r>
        <w:rPr>
          <w:sz w:val="20"/>
          <w:szCs w:val="20"/>
          <w:color w:val="auto"/>
        </w:rPr>
        <w:t xml:space="preserve"> </w:t>
      </w:r>
      <w:r>
        <w:rPr>
          <w:rFonts w:ascii="Times New Roman" w:cs="Times New Roman" w:eastAsia="Times New Roman" w:hAnsi="Times New Roman"/>
          <w:sz w:val="19"/>
          <w:szCs w:val="19"/>
          <w:color w:val="auto"/>
        </w:rPr>
        <w:t xml:space="preserve">The Company recorded expense associated wEth retirement benefits provided under incentive savings plans (primar:ily </w:t>
      </w:r>
      <w:r>
        <w:rPr>
          <w:rFonts w:ascii="Times New Roman" w:cs="Times New Roman" w:eastAsia="Times New Roman" w:hAnsi="Times New Roman"/>
          <w:sz w:val="20"/>
          <w:szCs w:val="20"/>
          <w:color w:val="auto"/>
        </w:rPr>
        <w:t>401</w:t>
      </w:r>
      <w:r>
        <w:rPr>
          <w:rFonts w:ascii="Times New Roman" w:cs="Times New Roman" w:eastAsia="Times New Roman" w:hAnsi="Times New Roman"/>
          <w:sz w:val="19"/>
          <w:szCs w:val="19"/>
          <w:color w:val="auto"/>
        </w:rPr>
        <w:t xml:space="preserve">(k) plans) of approximately </w:t>
      </w:r>
      <w:r>
        <w:rPr>
          <w:rFonts w:ascii="Times New Roman" w:cs="Times New Roman" w:eastAsia="Times New Roman" w:hAnsi="Times New Roman"/>
          <w:sz w:val="20"/>
          <w:szCs w:val="20"/>
          <w:color w:val="auto"/>
        </w:rPr>
        <w:t>$3.5</w:t>
      </w:r>
      <w:r>
        <w:rPr>
          <w:rFonts w:ascii="Times New Roman" w:cs="Times New Roman" w:eastAsia="Times New Roman" w:hAnsi="Times New Roman"/>
          <w:sz w:val="19"/>
          <w:szCs w:val="19"/>
          <w:color w:val="auto"/>
        </w:rPr>
        <w:t xml:space="preserve"> mi llion in </w:t>
      </w:r>
      <w:r>
        <w:rPr>
          <w:rFonts w:ascii="Times New Roman" w:cs="Times New Roman" w:eastAsia="Times New Roman" w:hAnsi="Times New Roman"/>
          <w:sz w:val="20"/>
          <w:szCs w:val="20"/>
          <w:color w:val="auto"/>
        </w:rPr>
        <w:t>2024, $13.0</w:t>
      </w:r>
      <w:r>
        <w:rPr>
          <w:rFonts w:ascii="Times New Roman" w:cs="Times New Roman" w:eastAsia="Times New Roman" w:hAnsi="Times New Roman"/>
          <w:sz w:val="19"/>
          <w:szCs w:val="19"/>
          <w:color w:val="auto"/>
        </w:rPr>
        <w:t xml:space="preserve"> million in </w:t>
      </w:r>
      <w:r>
        <w:rPr>
          <w:rFonts w:ascii="Times New Roman" w:cs="Times New Roman" w:eastAsia="Times New Roman" w:hAnsi="Times New Roman"/>
          <w:sz w:val="20"/>
          <w:szCs w:val="20"/>
          <w:color w:val="auto"/>
        </w:rPr>
        <w:t>2023</w:t>
      </w:r>
      <w:r>
        <w:rPr>
          <w:rFonts w:ascii="Times New Roman" w:cs="Times New Roman" w:eastAsia="Times New Roman" w:hAnsi="Times New Roman"/>
          <w:sz w:val="19"/>
          <w:szCs w:val="19"/>
          <w:color w:val="auto"/>
        </w:rPr>
        <w:t xml:space="preserve"> and</w:t>
      </w:r>
    </w:p>
    <w:p>
      <w:pPr>
        <w:spacing w:after="0" w:line="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19"/>
          <w:szCs w:val="19"/>
          <w:color w:val="auto"/>
        </w:rPr>
        <w:t>million in</w:t>
      </w:r>
      <w:r>
        <w:rPr>
          <w:rFonts w:ascii="Times New Roman" w:cs="Times New Roman" w:eastAsia="Times New Roman" w:hAnsi="Times New Roman"/>
          <w:sz w:val="20"/>
          <w:szCs w:val="20"/>
          <w:color w:val="auto"/>
        </w:rPr>
        <w:t xml:space="preserve"> 2022.</w:t>
      </w:r>
    </w:p>
    <w:p>
      <w:pPr>
        <w:sectPr>
          <w:pgSz w:w="12240" w:h="15850" w:orient="portrait"/>
          <w:cols w:equalWidth="0" w:num="1">
            <w:col w:w="9365"/>
          </w:cols>
          <w:pgMar w:left="1440" w:top="1385" w:right="1440" w:bottom="71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138</w:t>
        <w:tab/>
        <w:t>2024 FORM 10-K</w:t>
      </w:r>
    </w:p>
    <w:p>
      <w:pPr>
        <w:sectPr>
          <w:pgSz w:w="12240" w:h="15850" w:orient="portrait"/>
          <w:cols w:equalWidth="0" w:num="1">
            <w:col w:w="9365"/>
          </w:cols>
          <w:pgMar w:left="1440" w:top="1385" w:right="1440" w:bottom="719" w:gutter="0" w:footer="0" w:header="0"/>
          <w:type w:val="continuous"/>
        </w:sectPr>
      </w:pPr>
    </w:p>
    <w:bookmarkStart w:id="154" w:name="page155"/>
    <w:bookmarkEnd w:id="154"/>
    <w:p>
      <w:pPr>
        <w:ind w:left="12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16. OTHER NON-OPERATING INCOME</w:t>
      </w:r>
    </w:p>
    <w:p>
      <w:pPr>
        <w:spacing w:after="0" w:line="1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 summary of non-operating income is as follows:</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9"/>
          </w:tcPr>
          <w:p>
            <w:pPr>
              <w:jc w:val="right"/>
              <w:ind w:right="360"/>
              <w:spacing w:after="0"/>
              <w:rPr>
                <w:sz w:val="20"/>
                <w:szCs w:val="20"/>
                <w:color w:val="auto"/>
              </w:rPr>
            </w:pPr>
            <w:r>
              <w:rPr>
                <w:rFonts w:ascii="Times New Roman" w:cs="Times New Roman" w:eastAsia="Times New Roman" w:hAnsi="Times New Roman"/>
                <w:sz w:val="16"/>
                <w:szCs w:val="16"/>
                <w:color w:val="auto"/>
              </w:rPr>
              <w:t>Year Ended December 31</w:t>
            </w:r>
          </w:p>
        </w:tc>
        <w:tc>
          <w:tcPr>
            <w:tcW w:w="0" w:type="dxa"/>
            <w:vAlign w:val="bottom"/>
          </w:tcPr>
          <w:p>
            <w:pPr>
              <w:spacing w:after="0"/>
              <w:rPr>
                <w:sz w:val="1"/>
                <w:szCs w:val="1"/>
                <w:color w:val="auto"/>
              </w:rPr>
            </w:pPr>
          </w:p>
        </w:tc>
      </w:tr>
      <w:tr>
        <w:trPr>
          <w:trHeight w:val="33"/>
        </w:trPr>
        <w:tc>
          <w:tcPr>
            <w:tcW w:w="6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141414"/>
            </w:tcBorders>
          </w:tcPr>
          <w:p>
            <w:pPr>
              <w:spacing w:after="0"/>
              <w:rPr>
                <w:sz w:val="2"/>
                <w:szCs w:val="2"/>
                <w:color w:val="auto"/>
              </w:rPr>
            </w:pPr>
          </w:p>
        </w:tc>
        <w:tc>
          <w:tcPr>
            <w:tcW w:w="540" w:type="dxa"/>
            <w:vAlign w:val="bottom"/>
            <w:tcBorders>
              <w:bottom w:val="single" w:sz="8" w:color="141414"/>
            </w:tcBorders>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100" w:type="dxa"/>
            <w:vAlign w:val="bottom"/>
            <w:tcBorders>
              <w:bottom w:val="single" w:sz="8" w:color="141414"/>
            </w:tcBorders>
            <w:gridSpan w:val="2"/>
          </w:tcPr>
          <w:p>
            <w:pPr>
              <w:spacing w:after="0"/>
              <w:rPr>
                <w:sz w:val="2"/>
                <w:szCs w:val="2"/>
                <w:color w:val="auto"/>
              </w:rPr>
            </w:pPr>
          </w:p>
        </w:tc>
        <w:tc>
          <w:tcPr>
            <w:tcW w:w="640" w:type="dxa"/>
            <w:vAlign w:val="bottom"/>
            <w:tcBorders>
              <w:bottom w:val="single" w:sz="8" w:color="141414"/>
            </w:tcBorders>
          </w:tcPr>
          <w:p>
            <w:pPr>
              <w:spacing w:after="0"/>
              <w:rPr>
                <w:sz w:val="2"/>
                <w:szCs w:val="2"/>
                <w:color w:val="auto"/>
              </w:rPr>
            </w:pPr>
          </w:p>
        </w:tc>
        <w:tc>
          <w:tcPr>
            <w:tcW w:w="18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640" w:type="dxa"/>
            <w:vAlign w:val="bottom"/>
            <w:tcBorders>
              <w:bottom w:val="single" w:sz="8" w:color="141414"/>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6760" w:type="dxa"/>
            <w:vAlign w:val="bottom"/>
          </w:tcPr>
          <w:p>
            <w:pPr>
              <w:spacing w:after="0"/>
              <w:rPr>
                <w:sz w:val="20"/>
                <w:szCs w:val="20"/>
                <w:color w:val="auto"/>
              </w:rPr>
            </w:pPr>
            <w:r>
              <w:rPr>
                <w:rFonts w:ascii="Times New Roman" w:cs="Times New Roman" w:eastAsia="Times New Roman" w:hAnsi="Times New Roman"/>
                <w:sz w:val="15"/>
                <w:szCs w:val="15"/>
                <w:b w:val="1"/>
                <w:bCs w:val="1"/>
                <w:color w:val="auto"/>
              </w:rPr>
              <w:t xml:space="preserve">(in </w:t>
            </w:r>
            <w:r>
              <w:rPr>
                <w:rFonts w:ascii="Arial" w:cs="Arial" w:eastAsia="Arial" w:hAnsi="Arial"/>
                <w:sz w:val="14"/>
                <w:szCs w:val="14"/>
                <w:color w:val="auto"/>
              </w:rPr>
              <w:t>thousands)</w:t>
            </w:r>
          </w:p>
        </w:tc>
        <w:tc>
          <w:tcPr>
            <w:tcW w:w="20" w:type="dxa"/>
            <w:vAlign w:val="bottom"/>
          </w:tcPr>
          <w:p>
            <w:pPr>
              <w:spacing w:after="0"/>
              <w:rPr>
                <w:sz w:val="19"/>
                <w:szCs w:val="19"/>
                <w:color w:val="auto"/>
              </w:rPr>
            </w:pPr>
          </w:p>
        </w:tc>
        <w:tc>
          <w:tcPr>
            <w:tcW w:w="100" w:type="dxa"/>
            <w:vAlign w:val="bottom"/>
            <w:tcBorders>
              <w:bottom w:val="single" w:sz="8" w:color="404040"/>
            </w:tcBorders>
          </w:tcPr>
          <w:p>
            <w:pPr>
              <w:spacing w:after="0"/>
              <w:rPr>
                <w:sz w:val="19"/>
                <w:szCs w:val="19"/>
                <w:color w:val="auto"/>
              </w:rPr>
            </w:pPr>
          </w:p>
        </w:tc>
        <w:tc>
          <w:tcPr>
            <w:tcW w:w="540" w:type="dxa"/>
            <w:vAlign w:val="bottom"/>
            <w:tcBorders>
              <w:bottom w:val="single" w:sz="8" w:color="404040"/>
            </w:tcBorders>
          </w:tcPr>
          <w:p>
            <w:pPr>
              <w:jc w:val="right"/>
              <w:ind w:right="66"/>
              <w:spacing w:after="0" w:line="198" w:lineRule="exact"/>
              <w:rPr>
                <w:sz w:val="20"/>
                <w:szCs w:val="20"/>
                <w:color w:val="auto"/>
              </w:rPr>
            </w:pPr>
            <w:r>
              <w:rPr>
                <w:rFonts w:ascii="Times New Roman" w:cs="Times New Roman" w:eastAsia="Times New Roman" w:hAnsi="Times New Roman"/>
                <w:sz w:val="18"/>
                <w:szCs w:val="18"/>
                <w:color w:val="auto"/>
                <w:w w:val="99"/>
              </w:rPr>
              <w:t>2024</w:t>
            </w:r>
          </w:p>
        </w:tc>
        <w:tc>
          <w:tcPr>
            <w:tcW w:w="12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640" w:type="dxa"/>
            <w:vAlign w:val="bottom"/>
            <w:tcBorders>
              <w:bottom w:val="single" w:sz="8" w:color="404040"/>
            </w:tcBorders>
          </w:tcPr>
          <w:p>
            <w:pPr>
              <w:jc w:val="right"/>
              <w:ind w:right="69"/>
              <w:spacing w:after="0" w:line="199" w:lineRule="exact"/>
              <w:rPr>
                <w:sz w:val="20"/>
                <w:szCs w:val="20"/>
                <w:color w:val="auto"/>
              </w:rPr>
            </w:pPr>
            <w:r>
              <w:rPr>
                <w:rFonts w:ascii="Times New Roman" w:cs="Times New Roman" w:eastAsia="Times New Roman" w:hAnsi="Times New Roman"/>
                <w:sz w:val="18"/>
                <w:szCs w:val="18"/>
                <w:color w:val="auto"/>
              </w:rPr>
              <w:t>2023</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Borders>
              <w:bottom w:val="single" w:sz="8" w:color="404040"/>
            </w:tcBorders>
          </w:tcPr>
          <w:p>
            <w:pPr>
              <w:jc w:val="right"/>
              <w:ind w:right="71"/>
              <w:spacing w:after="0" w:line="198" w:lineRule="exact"/>
              <w:rPr>
                <w:sz w:val="20"/>
                <w:szCs w:val="20"/>
                <w:color w:val="auto"/>
              </w:rPr>
            </w:pPr>
            <w:r>
              <w:rPr>
                <w:rFonts w:ascii="Times New Roman" w:cs="Times New Roman" w:eastAsia="Times New Roman" w:hAnsi="Times New Roman"/>
                <w:sz w:val="18"/>
                <w:szCs w:val="18"/>
                <w:color w:val="auto"/>
              </w:rPr>
              <w:t>2022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9"/>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Net gain on sale of businesses  ........................................ .</w:t>
            </w:r>
          </w:p>
        </w:tc>
        <w:tc>
          <w:tcPr>
            <w:tcW w:w="120" w:type="dxa"/>
            <w:vAlign w:val="bottom"/>
            <w:gridSpan w:val="2"/>
          </w:tcPr>
          <w:p>
            <w:pPr>
              <w:jc w:val="right"/>
              <w:ind w:right="20"/>
              <w:spacing w:after="0"/>
              <w:rPr>
                <w:sz w:val="20"/>
                <w:szCs w:val="20"/>
                <w:color w:val="auto"/>
              </w:rPr>
            </w:pPr>
            <w:r>
              <w:rPr>
                <w:rFonts w:ascii="Arial" w:cs="Arial" w:eastAsia="Arial" w:hAnsi="Arial"/>
                <w:sz w:val="17"/>
                <w:szCs w:val="17"/>
                <w:color w:val="auto"/>
                <w:w w:val="84"/>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8,121</w:t>
            </w:r>
          </w:p>
        </w:tc>
        <w:tc>
          <w:tcPr>
            <w:tcW w:w="120" w:type="dxa"/>
            <w:vAlign w:val="bottom"/>
          </w:tcPr>
          <w:p>
            <w:pPr>
              <w:spacing w:after="0"/>
              <w:rPr>
                <w:sz w:val="23"/>
                <w:szCs w:val="23"/>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$15,618</w:t>
            </w:r>
          </w:p>
        </w:tc>
        <w:tc>
          <w:tcPr>
            <w:tcW w:w="180" w:type="dxa"/>
            <w:vAlign w:val="bottom"/>
          </w:tcPr>
          <w:p>
            <w:pPr>
              <w:spacing w:after="0"/>
              <w:rPr>
                <w:sz w:val="23"/>
                <w:szCs w:val="23"/>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$22,679</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Foreign CUITency gain (loss), net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5,415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 I ,.141)</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(2,023)</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Net (loss) gain on cost method investments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(1,526)</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3,.104</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6,883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Impairment of cost method investments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Times New Roman" w:cs="Times New Roman" w:eastAsia="Times New Roman" w:hAnsi="Times New Roman"/>
                <w:sz w:val="19"/>
                <w:szCs w:val="19"/>
                <w:b w:val="1"/>
                <w:bCs w:val="1"/>
                <w:color w:val="auto"/>
              </w:rPr>
              <w:t>(744)</w:t>
            </w:r>
          </w:p>
        </w:tc>
        <w:tc>
          <w:tcPr>
            <w:tcW w:w="920" w:type="dxa"/>
            <w:vAlign w:val="bottom"/>
            <w:gridSpan w:val="4"/>
          </w:tcPr>
          <w:p>
            <w:pPr>
              <w:jc w:val="right"/>
              <w:ind w:right="120"/>
              <w:spacing w:after="0"/>
              <w:rPr>
                <w:sz w:val="20"/>
                <w:szCs w:val="20"/>
                <w:color w:val="auto"/>
              </w:rPr>
            </w:pPr>
            <w:r>
              <w:rPr>
                <w:rFonts w:ascii="Times New Roman" w:cs="Times New Roman" w:eastAsia="Times New Roman" w:hAnsi="Times New Roman"/>
                <w:sz w:val="19"/>
                <w:szCs w:val="19"/>
                <w:color w:val="auto"/>
              </w:rPr>
              <w:t>(500)</w:t>
            </w: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(1,305)</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Gain on sale of investment in affiliates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rPr>
              <w:t>15</w:t>
            </w:r>
          </w:p>
        </w:tc>
        <w:tc>
          <w:tcPr>
            <w:tcW w:w="120" w:type="dxa"/>
            <w:vAlign w:val="bottom"/>
          </w:tcPr>
          <w:p>
            <w:pPr>
              <w:spacing w:after="0"/>
              <w:rPr>
                <w:sz w:val="20"/>
                <w:szCs w:val="20"/>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15</w:t>
            </w:r>
          </w:p>
        </w:tc>
        <w:tc>
          <w:tcPr>
            <w:tcW w:w="180" w:type="dxa"/>
            <w:vAlign w:val="bottom"/>
          </w:tcPr>
          <w:p>
            <w:pPr>
              <w:spacing w:after="0"/>
              <w:rPr>
                <w:sz w:val="20"/>
                <w:szCs w:val="20"/>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604</w:t>
            </w:r>
          </w:p>
        </w:tc>
        <w:tc>
          <w:tcPr>
            <w:tcW w:w="0" w:type="dxa"/>
            <w:vAlign w:val="bottom"/>
          </w:tcPr>
          <w:p>
            <w:pPr>
              <w:spacing w:after="0"/>
              <w:rPr>
                <w:sz w:val="1"/>
                <w:szCs w:val="1"/>
                <w:color w:val="auto"/>
              </w:rPr>
            </w:pPr>
          </w:p>
        </w:tc>
      </w:tr>
      <w:tr>
        <w:trPr>
          <w:trHeight w:val="24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Gain on sale of cost method investments ................... . ............ .</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7</w:t>
            </w:r>
          </w:p>
        </w:tc>
        <w:tc>
          <w:tcPr>
            <w:tcW w:w="120" w:type="dxa"/>
            <w:vAlign w:val="bottom"/>
          </w:tcPr>
          <w:p>
            <w:pPr>
              <w:spacing w:after="0"/>
              <w:rPr>
                <w:sz w:val="21"/>
                <w:szCs w:val="21"/>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958</w:t>
            </w:r>
          </w:p>
        </w:tc>
        <w:tc>
          <w:tcPr>
            <w:tcW w:w="180" w:type="dxa"/>
            <w:vAlign w:val="bottom"/>
          </w:tcPr>
          <w:p>
            <w:pPr>
              <w:spacing w:after="0"/>
              <w:rPr>
                <w:sz w:val="21"/>
                <w:szCs w:val="21"/>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3,294</w:t>
            </w:r>
          </w:p>
        </w:tc>
        <w:tc>
          <w:tcPr>
            <w:tcW w:w="0" w:type="dxa"/>
            <w:vAlign w:val="bottom"/>
          </w:tcPr>
          <w:p>
            <w:pPr>
              <w:spacing w:after="0"/>
              <w:rPr>
                <w:sz w:val="1"/>
                <w:szCs w:val="1"/>
                <w:color w:val="auto"/>
              </w:rPr>
            </w:pPr>
          </w:p>
        </w:tc>
      </w:tr>
      <w:tr>
        <w:trPr>
          <w:trHeight w:val="238"/>
        </w:trPr>
        <w:tc>
          <w:tcPr>
            <w:tcW w:w="6760" w:type="dxa"/>
            <w:vAlign w:val="bottom"/>
          </w:tcPr>
          <w:p>
            <w:pPr>
              <w:spacing w:after="0"/>
              <w:rPr>
                <w:sz w:val="20"/>
                <w:szCs w:val="20"/>
                <w:color w:val="auto"/>
              </w:rPr>
            </w:pPr>
            <w:r>
              <w:rPr>
                <w:rFonts w:ascii="Times New Roman" w:cs="Times New Roman" w:eastAsia="Times New Roman" w:hAnsi="Times New Roman"/>
                <w:sz w:val="19"/>
                <w:szCs w:val="19"/>
                <w:color w:val="auto"/>
              </w:rPr>
              <w:t>Other, net  ........................................... .. ............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b w:val="1"/>
                <w:bCs w:val="1"/>
                <w:color w:val="auto"/>
              </w:rPr>
              <w:t>1,258</w:t>
            </w: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1,040</w:t>
            </w:r>
          </w:p>
        </w:tc>
        <w:tc>
          <w:tcPr>
            <w:tcW w:w="18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3,368</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60" w:type="dxa"/>
            <w:vAlign w:val="bottom"/>
            <w:vMerge w:val="restart"/>
          </w:tcPr>
          <w:p>
            <w:pPr>
              <w:spacing w:after="0"/>
              <w:rPr>
                <w:sz w:val="20"/>
                <w:szCs w:val="20"/>
                <w:color w:val="auto"/>
              </w:rPr>
            </w:pPr>
            <w:r>
              <w:rPr>
                <w:rFonts w:ascii="Times New Roman" w:cs="Times New Roman" w:eastAsia="Times New Roman" w:hAnsi="Times New Roman"/>
                <w:sz w:val="19"/>
                <w:szCs w:val="19"/>
                <w:b w:val="1"/>
                <w:bCs w:val="1"/>
                <w:color w:val="auto"/>
              </w:rPr>
              <w:t xml:space="preserve">Total Other Non-Operating Income </w:t>
            </w:r>
            <w:r>
              <w:rPr>
                <w:rFonts w:ascii="Times New Roman" w:cs="Times New Roman" w:eastAsia="Times New Roman" w:hAnsi="Times New Roman"/>
                <w:sz w:val="19"/>
                <w:szCs w:val="19"/>
                <w:color w:val="auto"/>
              </w:rPr>
              <w:t>.................................. .</w:t>
            </w: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54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6760" w:type="dxa"/>
            <w:vAlign w:val="bottom"/>
            <w:vMerge w:val="continue"/>
          </w:tcPr>
          <w:p>
            <w:pPr>
              <w:spacing w:after="0"/>
              <w:rPr>
                <w:sz w:val="24"/>
                <w:szCs w:val="24"/>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9"/>
                <w:szCs w:val="19"/>
                <w:b w:val="1"/>
                <w:bCs w:val="1"/>
                <w:color w:val="auto"/>
                <w:w w:val="8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9"/>
                <w:szCs w:val="19"/>
                <w:b w:val="1"/>
                <w:bCs w:val="1"/>
                <w:color w:val="auto"/>
                <w:w w:val="99"/>
              </w:rPr>
              <w:t>12,546</w:t>
            </w:r>
          </w:p>
        </w:tc>
        <w:tc>
          <w:tcPr>
            <w:tcW w:w="120" w:type="dxa"/>
            <w:vAlign w:val="bottom"/>
          </w:tcPr>
          <w:p>
            <w:pPr>
              <w:spacing w:after="0"/>
              <w:rPr>
                <w:sz w:val="24"/>
                <w:szCs w:val="24"/>
                <w:color w:val="auto"/>
              </w:rPr>
            </w:pPr>
          </w:p>
        </w:tc>
        <w:tc>
          <w:tcPr>
            <w:tcW w:w="7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$19,.094</w:t>
            </w:r>
          </w:p>
        </w:tc>
        <w:tc>
          <w:tcPr>
            <w:tcW w:w="180" w:type="dxa"/>
            <w:vAlign w:val="bottom"/>
          </w:tcPr>
          <w:p>
            <w:pPr>
              <w:spacing w:after="0"/>
              <w:rPr>
                <w:sz w:val="24"/>
                <w:szCs w:val="24"/>
                <w:color w:val="auto"/>
              </w:rPr>
            </w:pPr>
          </w:p>
        </w:tc>
        <w:tc>
          <w:tcPr>
            <w:tcW w:w="720" w:type="dxa"/>
            <w:vAlign w:val="bottom"/>
            <w:gridSpan w:val="3"/>
          </w:tcPr>
          <w:p>
            <w:pPr>
              <w:jc w:val="right"/>
              <w:ind w:right="60"/>
              <w:spacing w:after="0"/>
              <w:rPr>
                <w:sz w:val="20"/>
                <w:szCs w:val="20"/>
                <w:color w:val="auto"/>
              </w:rPr>
            </w:pPr>
            <w:r>
              <w:rPr>
                <w:rFonts w:ascii="Times New Roman" w:cs="Times New Roman" w:eastAsia="Times New Roman" w:hAnsi="Times New Roman"/>
                <w:sz w:val="19"/>
                <w:szCs w:val="19"/>
                <w:color w:val="auto"/>
              </w:rPr>
              <w:t>$33,500</w:t>
            </w:r>
          </w:p>
        </w:tc>
        <w:tc>
          <w:tcPr>
            <w:tcW w:w="0" w:type="dxa"/>
            <w:vAlign w:val="bottom"/>
          </w:tcPr>
          <w:p>
            <w:pPr>
              <w:spacing w:after="0"/>
              <w:rPr>
                <w:sz w:val="1"/>
                <w:szCs w:val="1"/>
                <w:color w:val="auto"/>
              </w:rPr>
            </w:pPr>
          </w:p>
        </w:tc>
      </w:tr>
      <w:tr>
        <w:trPr>
          <w:trHeight w:val="40"/>
        </w:trPr>
        <w:tc>
          <w:tcPr>
            <w:tcW w:w="676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540" w:type="dxa"/>
            <w:vAlign w:val="bottom"/>
            <w:tcBorders>
              <w:bottom w:val="single" w:sz="8" w:color="504C4C"/>
            </w:tcBorders>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40" w:type="dxa"/>
            <w:vAlign w:val="bottom"/>
            <w:tcBorders>
              <w:bottom w:val="single" w:sz="8" w:color="504C4C"/>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4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left="120" w:right="125" w:hanging="10"/>
        <w:spacing w:after="0" w:line="250" w:lineRule="auto"/>
        <w:rPr>
          <w:sz w:val="20"/>
          <w:szCs w:val="20"/>
          <w:color w:val="auto"/>
        </w:rPr>
      </w:pPr>
      <w:r>
        <w:rPr>
          <w:rFonts w:ascii="Times New Roman" w:cs="Times New Roman" w:eastAsia="Times New Roman" w:hAnsi="Times New Roman"/>
          <w:sz w:val="19"/>
          <w:szCs w:val="19"/>
          <w:color w:val="auto"/>
        </w:rPr>
        <w:t>The net (loss) gain o n cost method investments result from observable price changes in the fair value of the underlying equity securities accounted for under the cost method (see Notes 4 and 12).</w:t>
      </w:r>
    </w:p>
    <w:p>
      <w:pPr>
        <w:spacing w:after="0" w:line="270" w:lineRule="exact"/>
        <w:rPr>
          <w:sz w:val="20"/>
          <w:szCs w:val="20"/>
          <w:color w:val="auto"/>
        </w:rPr>
      </w:pPr>
    </w:p>
    <w:p>
      <w:pPr>
        <w:jc w:val="both"/>
        <w:ind w:left="120" w:right="125" w:firstLine="11"/>
        <w:spacing w:after="0" w:line="261" w:lineRule="auto"/>
        <w:rPr>
          <w:sz w:val="20"/>
          <w:szCs w:val="20"/>
          <w:color w:val="auto"/>
        </w:rPr>
      </w:pPr>
      <w:r>
        <w:rPr>
          <w:rFonts w:ascii="Times New Roman" w:cs="Times New Roman" w:eastAsia="Times New Roman" w:hAnsi="Times New Roman"/>
          <w:sz w:val="19"/>
          <w:szCs w:val="19"/>
          <w:color w:val="auto"/>
        </w:rPr>
        <w:t>For the years ended December 31, 2024, 2023 and 2022, the Company recorded contingent consideration gains of $0.9 million, $5.6 million and $4.3 million, respectively, related to the disposition of Kaplan University (KU) in 20 18.</w:t>
      </w:r>
    </w:p>
    <w:p>
      <w:pPr>
        <w:spacing w:after="0" w:line="200" w:lineRule="exact"/>
        <w:rPr>
          <w:sz w:val="20"/>
          <w:szCs w:val="20"/>
          <w:color w:val="auto"/>
        </w:rPr>
      </w:pPr>
    </w:p>
    <w:p>
      <w:pPr>
        <w:spacing w:after="0" w:line="288" w:lineRule="exact"/>
        <w:rPr>
          <w:sz w:val="20"/>
          <w:szCs w:val="20"/>
          <w:color w:val="auto"/>
        </w:rPr>
      </w:pPr>
    </w:p>
    <w:p>
      <w:pPr>
        <w:jc w:val="both"/>
        <w:ind w:left="120" w:right="125" w:hanging="1"/>
        <w:spacing w:after="0"/>
        <w:rPr>
          <w:sz w:val="20"/>
          <w:szCs w:val="20"/>
          <w:color w:val="auto"/>
        </w:rPr>
      </w:pPr>
      <w:r>
        <w:rPr>
          <w:rFonts w:ascii="Times New Roman" w:cs="Times New Roman" w:eastAsia="Times New Roman" w:hAnsi="Times New Roman"/>
          <w:sz w:val="19"/>
          <w:szCs w:val="19"/>
          <w:color w:val="auto"/>
        </w:rPr>
        <w:t>In the third quarter of 2024, the Company recorded a $3.7 million gain related to Kaplan' s sale of a small business (see Note 3).</w:t>
      </w:r>
    </w:p>
    <w:p>
      <w:pPr>
        <w:spacing w:after="0" w:line="278" w:lineRule="exact"/>
        <w:rPr>
          <w:sz w:val="20"/>
          <w:szCs w:val="20"/>
          <w:color w:val="auto"/>
        </w:rPr>
      </w:pPr>
    </w:p>
    <w:p>
      <w:pPr>
        <w:jc w:val="both"/>
        <w:ind w:left="120" w:right="125" w:hanging="9"/>
        <w:spacing w:after="0" w:line="250" w:lineRule="auto"/>
        <w:rPr>
          <w:sz w:val="20"/>
          <w:szCs w:val="20"/>
          <w:color w:val="auto"/>
        </w:rPr>
      </w:pPr>
      <w:r>
        <w:rPr>
          <w:rFonts w:ascii="Times New Roman" w:cs="Times New Roman" w:eastAsia="Times New Roman" w:hAnsi="Times New Roman"/>
          <w:sz w:val="19"/>
          <w:szCs w:val="19"/>
          <w:color w:val="auto"/>
        </w:rPr>
        <w:t>In the second quarter of 2024, the Company recorded a $3.5 million gain related to the sale of a small business by WGB, which included five websites (see Note 3).</w:t>
      </w:r>
    </w:p>
    <w:p>
      <w:pPr>
        <w:spacing w:after="0" w:line="260"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In the second quarter of 2023, the Company recorded a $10.0 million gain related to the Pinna transaction (see Notes 3 and 4). The Company used a market approach to determine the fair value of the noncontrolling financial interest received in Realm in exchange for the Pinna business.</w:t>
      </w:r>
    </w:p>
    <w:p>
      <w:pPr>
        <w:spacing w:after="0" w:line="250" w:lineRule="exact"/>
        <w:rPr>
          <w:sz w:val="20"/>
          <w:szCs w:val="20"/>
          <w:color w:val="auto"/>
        </w:rPr>
      </w:pPr>
    </w:p>
    <w:p>
      <w:pPr>
        <w:jc w:val="both"/>
        <w:ind w:left="120" w:right="125" w:firstLine="20"/>
        <w:spacing w:after="0" w:line="261" w:lineRule="auto"/>
        <w:rPr>
          <w:sz w:val="20"/>
          <w:szCs w:val="20"/>
          <w:color w:val="auto"/>
        </w:rPr>
      </w:pPr>
      <w:r>
        <w:rPr>
          <w:rFonts w:ascii="Times New Roman" w:cs="Times New Roman" w:eastAsia="Times New Roman" w:hAnsi="Times New Roman"/>
          <w:sz w:val="19"/>
          <w:szCs w:val="19"/>
          <w:color w:val="auto"/>
        </w:rPr>
        <w:t>In the fourth quarter o f 2022, the Company recorded an $18.4 million gain related to the CyberYista transaction (see Notes 3 and 4). The Company used a market approach to determine the fair value of the noncontrolling fmancial interest retained in CyberYista through its interest in N2K Networks.</w:t>
      </w:r>
    </w:p>
    <w:p>
      <w:pPr>
        <w:sectPr>
          <w:pgSz w:w="12240" w:h="15850" w:orient="portrait"/>
          <w:cols w:equalWidth="0" w:num="1">
            <w:col w:w="9365"/>
          </w:cols>
          <w:pgMar w:left="1440" w:top="1356"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139</w:t>
      </w:r>
    </w:p>
    <w:p>
      <w:pPr>
        <w:sectPr>
          <w:pgSz w:w="12240" w:h="15850" w:orient="portrait"/>
          <w:cols w:equalWidth="0" w:num="1">
            <w:col w:w="9365"/>
          </w:cols>
          <w:pgMar w:left="1440" w:top="1356" w:right="1440" w:bottom="721" w:gutter="0" w:footer="0" w:header="0"/>
          <w:type w:val="continuous"/>
        </w:sectPr>
      </w:pPr>
    </w:p>
    <w:bookmarkStart w:id="155" w:name="page156"/>
    <w:bookmarkEnd w:id="155"/>
    <w:p>
      <w:pPr>
        <w:ind w:left="120" w:right="2985" w:hanging="3"/>
        <w:spacing w:after="0" w:line="336" w:lineRule="auto"/>
        <w:tabs>
          <w:tab w:leader="none" w:pos="417" w:val="left"/>
        </w:tabs>
        <w:numPr>
          <w:ilvl w:val="0"/>
          <w:numId w:val="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63">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ACCUMULATED OTHER COMPREHENSIVE INCOME (LOSS) The other comprehensive (loss) income consists of the following components:</w:t>
      </w:r>
    </w:p>
    <w:p>
      <w:pPr>
        <w:spacing w:after="0" w:line="5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6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gridSpan w:val="21"/>
          </w:tcPr>
          <w:p>
            <w:pPr>
              <w:jc w:val="center"/>
              <w:ind w:right="200"/>
              <w:spacing w:after="0"/>
              <w:rPr>
                <w:sz w:val="20"/>
                <w:szCs w:val="20"/>
                <w:color w:val="auto"/>
              </w:rPr>
            </w:pPr>
            <w:r>
              <w:rPr>
                <w:rFonts w:ascii="Times New Roman" w:cs="Times New Roman" w:eastAsia="Times New Roman" w:hAnsi="Times New Roman"/>
                <w:sz w:val="16"/>
                <w:szCs w:val="16"/>
                <w:color w:val="auto"/>
              </w:rPr>
              <w:t>Year Ended December 31,2024</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141414"/>
            </w:tcBorders>
            <w:gridSpan w:val="3"/>
          </w:tcPr>
          <w:p>
            <w:pPr>
              <w:spacing w:after="0"/>
              <w:rPr>
                <w:sz w:val="2"/>
                <w:szCs w:val="2"/>
                <w:color w:val="auto"/>
              </w:rPr>
            </w:pPr>
          </w:p>
        </w:tc>
        <w:tc>
          <w:tcPr>
            <w:tcW w:w="660" w:type="dxa"/>
            <w:vAlign w:val="bottom"/>
            <w:tcBorders>
              <w:bottom w:val="single" w:sz="8" w:color="141414"/>
            </w:tcBorders>
          </w:tcPr>
          <w:p>
            <w:pPr>
              <w:spacing w:after="0"/>
              <w:rPr>
                <w:sz w:val="2"/>
                <w:szCs w:val="2"/>
                <w:color w:val="auto"/>
              </w:rPr>
            </w:pPr>
          </w:p>
        </w:tc>
        <w:tc>
          <w:tcPr>
            <w:tcW w:w="100" w:type="dxa"/>
            <w:vAlign w:val="bottom"/>
            <w:tcBorders>
              <w:bottom w:val="single" w:sz="8" w:color="141414"/>
            </w:tcBorders>
            <w:gridSpan w:val="2"/>
          </w:tcPr>
          <w:p>
            <w:pPr>
              <w:spacing w:after="0"/>
              <w:rPr>
                <w:sz w:val="2"/>
                <w:szCs w:val="2"/>
                <w:color w:val="auto"/>
              </w:rPr>
            </w:pPr>
          </w:p>
        </w:tc>
        <w:tc>
          <w:tcPr>
            <w:tcW w:w="8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8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660" w:type="dxa"/>
            <w:vAlign w:val="bottom"/>
            <w:tcBorders>
              <w:bottom w:val="single" w:sz="8" w:color="141414"/>
            </w:tcBorders>
            <w:gridSpan w:val="3"/>
          </w:tcPr>
          <w:p>
            <w:pPr>
              <w:spacing w:after="0"/>
              <w:rPr>
                <w:sz w:val="2"/>
                <w:szCs w:val="2"/>
                <w:color w:val="auto"/>
              </w:rPr>
            </w:pPr>
          </w:p>
        </w:tc>
        <w:tc>
          <w:tcPr>
            <w:tcW w:w="60" w:type="dxa"/>
            <w:vAlign w:val="bottom"/>
            <w:tcBorders>
              <w:bottom w:val="single" w:sz="8" w:color="141414"/>
            </w:tcBorders>
          </w:tcPr>
          <w:p>
            <w:pPr>
              <w:spacing w:after="0"/>
              <w:rPr>
                <w:sz w:val="2"/>
                <w:szCs w:val="2"/>
                <w:color w:val="auto"/>
              </w:rPr>
            </w:pPr>
          </w:p>
        </w:tc>
        <w:tc>
          <w:tcPr>
            <w:tcW w:w="80" w:type="dxa"/>
            <w:vAlign w:val="bottom"/>
            <w:tcBorders>
              <w:bottom w:val="single" w:sz="8" w:color="141414"/>
            </w:tcBorders>
            <w:gridSpan w:val="2"/>
          </w:tcPr>
          <w:p>
            <w:pPr>
              <w:spacing w:after="0"/>
              <w:rPr>
                <w:sz w:val="2"/>
                <w:szCs w:val="2"/>
                <w:color w:val="auto"/>
              </w:rPr>
            </w:pPr>
          </w:p>
        </w:tc>
        <w:tc>
          <w:tcPr>
            <w:tcW w:w="4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60" w:type="dxa"/>
            <w:vAlign w:val="bottom"/>
            <w:tcBorders>
              <w:bottom w:val="single" w:sz="8" w:color="141414"/>
            </w:tcBorders>
            <w:gridSpan w:val="2"/>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6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7"/>
          </w:tcPr>
          <w:p>
            <w:pPr>
              <w:jc w:val="center"/>
              <w:ind w:right="180"/>
              <w:spacing w:after="0" w:line="169" w:lineRule="exact"/>
              <w:rPr>
                <w:sz w:val="20"/>
                <w:szCs w:val="20"/>
                <w:color w:val="auto"/>
              </w:rPr>
            </w:pPr>
            <w:r>
              <w:rPr>
                <w:rFonts w:ascii="Times New Roman" w:cs="Times New Roman" w:eastAsia="Times New Roman" w:hAnsi="Times New Roman"/>
                <w:sz w:val="16"/>
                <w:szCs w:val="16"/>
                <w:color w:val="auto"/>
              </w:rPr>
              <w:t>Before-Tax</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7"/>
          </w:tcPr>
          <w:p>
            <w:pPr>
              <w:jc w:val="center"/>
              <w:ind w:right="320"/>
              <w:spacing w:after="0" w:line="169" w:lineRule="exact"/>
              <w:rPr>
                <w:sz w:val="20"/>
                <w:szCs w:val="20"/>
                <w:color w:val="auto"/>
              </w:rPr>
            </w:pPr>
            <w:r>
              <w:rPr>
                <w:rFonts w:ascii="Times New Roman" w:cs="Times New Roman" w:eastAsia="Times New Roman" w:hAnsi="Times New Roman"/>
                <w:sz w:val="16"/>
                <w:szCs w:val="16"/>
                <w:color w:val="auto"/>
              </w:rPr>
              <w:t>Income</w:t>
            </w:r>
          </w:p>
        </w:tc>
        <w:tc>
          <w:tcPr>
            <w:tcW w:w="20" w:type="dxa"/>
            <w:vAlign w:val="bottom"/>
          </w:tcPr>
          <w:p>
            <w:pPr>
              <w:spacing w:after="0"/>
              <w:rPr>
                <w:sz w:val="14"/>
                <w:szCs w:val="14"/>
                <w:color w:val="auto"/>
              </w:rPr>
            </w:pPr>
          </w:p>
        </w:tc>
        <w:tc>
          <w:tcPr>
            <w:tcW w:w="860" w:type="dxa"/>
            <w:vAlign w:val="bottom"/>
            <w:gridSpan w:val="6"/>
          </w:tcPr>
          <w:p>
            <w:pPr>
              <w:jc w:val="center"/>
              <w:ind w:right="100"/>
              <w:spacing w:after="0" w:line="169" w:lineRule="exact"/>
              <w:rPr>
                <w:sz w:val="20"/>
                <w:szCs w:val="20"/>
                <w:color w:val="auto"/>
              </w:rPr>
            </w:pPr>
            <w:r>
              <w:rPr>
                <w:rFonts w:ascii="Times New Roman" w:cs="Times New Roman" w:eastAsia="Times New Roman" w:hAnsi="Times New Roman"/>
                <w:sz w:val="16"/>
                <w:szCs w:val="16"/>
                <w:color w:val="auto"/>
              </w:rPr>
              <w:t>After-Tax</w:t>
            </w:r>
          </w:p>
        </w:tc>
        <w:tc>
          <w:tcPr>
            <w:tcW w:w="0" w:type="dxa"/>
            <w:vAlign w:val="bottom"/>
          </w:tcPr>
          <w:p>
            <w:pPr>
              <w:spacing w:after="0"/>
              <w:rPr>
                <w:sz w:val="1"/>
                <w:szCs w:val="1"/>
                <w:color w:val="auto"/>
              </w:rPr>
            </w:pPr>
          </w:p>
        </w:tc>
      </w:tr>
      <w:tr>
        <w:trPr>
          <w:trHeight w:val="179"/>
        </w:trPr>
        <w:tc>
          <w:tcPr>
            <w:tcW w:w="63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6"/>
          </w:tcPr>
          <w:p>
            <w:pPr>
              <w:jc w:val="center"/>
              <w:ind w:right="300"/>
              <w:spacing w:after="0" w:line="179" w:lineRule="exact"/>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6"/>
          </w:tcPr>
          <w:p>
            <w:pPr>
              <w:jc w:val="center"/>
              <w:ind w:right="400"/>
              <w:spacing w:after="0" w:line="179" w:lineRule="exact"/>
              <w:rPr>
                <w:sz w:val="20"/>
                <w:szCs w:val="20"/>
                <w:color w:val="auto"/>
              </w:rPr>
            </w:pPr>
            <w:r>
              <w:rPr>
                <w:rFonts w:ascii="Times New Roman" w:cs="Times New Roman" w:eastAsia="Times New Roman" w:hAnsi="Times New Roman"/>
                <w:sz w:val="16"/>
                <w:szCs w:val="16"/>
                <w:color w:val="auto"/>
              </w:rPr>
              <w:t>Tax</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center"/>
              <w:ind w:right="140"/>
              <w:spacing w:after="0" w:line="179" w:lineRule="exact"/>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33"/>
        </w:trPr>
        <w:tc>
          <w:tcPr>
            <w:tcW w:w="63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Foreign currency translation adjustments:</w:t>
            </w:r>
          </w:p>
        </w:tc>
        <w:tc>
          <w:tcPr>
            <w:tcW w:w="40" w:type="dxa"/>
            <w:vAlign w:val="bottom"/>
          </w:tcPr>
          <w:p>
            <w:pPr>
              <w:spacing w:after="0"/>
              <w:rPr>
                <w:sz w:val="2"/>
                <w:szCs w:val="2"/>
                <w:color w:val="auto"/>
              </w:rPr>
            </w:pPr>
          </w:p>
        </w:tc>
        <w:tc>
          <w:tcPr>
            <w:tcW w:w="100" w:type="dxa"/>
            <w:vAlign w:val="bottom"/>
            <w:tcBorders>
              <w:bottom w:val="single" w:sz="8" w:color="141414"/>
            </w:tcBorders>
          </w:tcPr>
          <w:p>
            <w:pPr>
              <w:spacing w:after="0"/>
              <w:rPr>
                <w:sz w:val="2"/>
                <w:szCs w:val="2"/>
                <w:color w:val="auto"/>
              </w:rPr>
            </w:pPr>
          </w:p>
        </w:tc>
        <w:tc>
          <w:tcPr>
            <w:tcW w:w="4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66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80" w:type="dxa"/>
            <w:vAlign w:val="bottom"/>
            <w:tcBorders>
              <w:bottom w:val="single" w:sz="8" w:color="141414"/>
            </w:tcBorders>
          </w:tcPr>
          <w:p>
            <w:pPr>
              <w:spacing w:after="0"/>
              <w:rPr>
                <w:sz w:val="2"/>
                <w:szCs w:val="2"/>
                <w:color w:val="auto"/>
              </w:rPr>
            </w:pPr>
          </w:p>
        </w:tc>
        <w:tc>
          <w:tcPr>
            <w:tcW w:w="56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74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20" w:type="dxa"/>
            <w:vAlign w:val="bottom"/>
            <w:tcBorders>
              <w:bottom w:val="single" w:sz="8" w:color="14141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3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Translation adjustments arising during the year  .................. .</w:t>
            </w:r>
          </w:p>
        </w:tc>
        <w:tc>
          <w:tcPr>
            <w:tcW w:w="140" w:type="dxa"/>
            <w:vAlign w:val="bottom"/>
            <w:gridSpan w:val="2"/>
          </w:tcPr>
          <w:p>
            <w:pPr>
              <w:jc w:val="right"/>
              <w:spacing w:after="0" w:line="221" w:lineRule="exact"/>
              <w:rPr>
                <w:sz w:val="20"/>
                <w:szCs w:val="20"/>
                <w:color w:val="auto"/>
              </w:rPr>
            </w:pPr>
            <w:r>
              <w:rPr>
                <w:rFonts w:ascii="Times New Roman" w:cs="Times New Roman" w:eastAsia="Times New Roman" w:hAnsi="Times New Roman"/>
                <w:sz w:val="20"/>
                <w:szCs w:val="20"/>
                <w:color w:val="auto"/>
                <w:w w:val="99"/>
              </w:rPr>
              <w:t>$</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(24,568)</w:t>
            </w:r>
          </w:p>
        </w:tc>
        <w:tc>
          <w:tcPr>
            <w:tcW w:w="80" w:type="dxa"/>
            <w:vAlign w:val="bottom"/>
          </w:tcPr>
          <w:p>
            <w:pPr>
              <w:spacing w:after="0"/>
              <w:rPr>
                <w:sz w:val="19"/>
                <w:szCs w:val="19"/>
                <w:color w:val="auto"/>
              </w:rPr>
            </w:pPr>
          </w:p>
        </w:tc>
        <w:tc>
          <w:tcPr>
            <w:tcW w:w="200" w:type="dxa"/>
            <w:vAlign w:val="bottom"/>
            <w:gridSpan w:val="4"/>
          </w:tcPr>
          <w:p>
            <w:pPr>
              <w:jc w:val="right"/>
              <w:spacing w:after="0" w:line="229" w:lineRule="exact"/>
              <w:rPr>
                <w:sz w:val="20"/>
                <w:szCs w:val="20"/>
                <w:color w:val="auto"/>
              </w:rPr>
            </w:pPr>
            <w:r>
              <w:rPr>
                <w:rFonts w:ascii="Times New Roman" w:cs="Times New Roman" w:eastAsia="Times New Roman" w:hAnsi="Times New Roman"/>
                <w:sz w:val="20"/>
                <w:szCs w:val="20"/>
                <w:color w:val="auto"/>
                <w:w w:val="99"/>
              </w:rPr>
              <w:t>$</w:t>
            </w:r>
          </w:p>
        </w:tc>
        <w:tc>
          <w:tcPr>
            <w:tcW w:w="5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line="221" w:lineRule="exact"/>
              <w:rPr>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(24,568)</w:t>
            </w:r>
          </w:p>
        </w:tc>
        <w:tc>
          <w:tcPr>
            <w:tcW w:w="0" w:type="dxa"/>
            <w:vAlign w:val="bottom"/>
          </w:tcPr>
          <w:p>
            <w:pPr>
              <w:spacing w:after="0"/>
              <w:rPr>
                <w:sz w:val="1"/>
                <w:szCs w:val="1"/>
                <w:color w:val="auto"/>
              </w:rPr>
            </w:pPr>
          </w:p>
        </w:tc>
      </w:tr>
      <w:tr>
        <w:trPr>
          <w:trHeight w:val="21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Adjustment for sale of a business with foreign operations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40"/>
              <w:spacing w:after="0" w:line="210" w:lineRule="exact"/>
              <w:rPr>
                <w:sz w:val="20"/>
                <w:szCs w:val="20"/>
                <w:color w:val="auto"/>
              </w:rPr>
            </w:pPr>
            <w:r>
              <w:rPr>
                <w:rFonts w:ascii="Times New Roman" w:cs="Times New Roman" w:eastAsia="Times New Roman" w:hAnsi="Times New Roman"/>
                <w:sz w:val="19"/>
                <w:szCs w:val="19"/>
                <w:color w:val="auto"/>
              </w:rPr>
              <w:t>(765)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line="210" w:lineRule="exact"/>
              <w:rPr>
                <w:sz w:val="20"/>
                <w:szCs w:val="20"/>
                <w:color w:val="auto"/>
              </w:rPr>
            </w:pPr>
            <w:r>
              <w:rPr>
                <w:rFonts w:ascii="Times New Roman" w:cs="Times New Roman" w:eastAsia="Times New Roman" w:hAnsi="Times New Roman"/>
                <w:sz w:val="19"/>
                <w:szCs w:val="19"/>
                <w:color w:val="auto"/>
              </w:rPr>
              <w:t>(765)</w:t>
            </w: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60" w:type="dxa"/>
            <w:vAlign w:val="bottom"/>
            <w:tcBorders>
              <w:bottom w:val="single" w:sz="8" w:color="504C4C"/>
            </w:tcBorders>
            <w:gridSpan w:val="2"/>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504C4C"/>
            </w:tcBorders>
            <w:gridSpan w:val="2"/>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(25,333)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(25,333)</w:t>
            </w:r>
          </w:p>
        </w:tc>
        <w:tc>
          <w:tcPr>
            <w:tcW w:w="0" w:type="dxa"/>
            <w:vAlign w:val="bottom"/>
          </w:tcPr>
          <w:p>
            <w:pPr>
              <w:spacing w:after="0"/>
              <w:rPr>
                <w:sz w:val="1"/>
                <w:szCs w:val="1"/>
                <w:color w:val="auto"/>
              </w:rPr>
            </w:pPr>
          </w:p>
        </w:tc>
      </w:tr>
      <w:tr>
        <w:trPr>
          <w:trHeight w:val="46"/>
        </w:trPr>
        <w:tc>
          <w:tcPr>
            <w:tcW w:w="63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Pension and other postretirement plans:</w:t>
            </w:r>
          </w:p>
        </w:tc>
        <w:tc>
          <w:tcPr>
            <w:tcW w:w="40" w:type="dxa"/>
            <w:vAlign w:val="bottom"/>
          </w:tcPr>
          <w:p>
            <w:pPr>
              <w:spacing w:after="0"/>
              <w:rPr>
                <w:sz w:val="4"/>
                <w:szCs w:val="4"/>
                <w:color w:val="auto"/>
              </w:rPr>
            </w:pPr>
          </w:p>
        </w:tc>
        <w:tc>
          <w:tcPr>
            <w:tcW w:w="100" w:type="dxa"/>
            <w:vAlign w:val="bottom"/>
            <w:tcBorders>
              <w:bottom w:val="single" w:sz="8" w:color="0C080C"/>
            </w:tcBorders>
          </w:tcPr>
          <w:p>
            <w:pPr>
              <w:spacing w:after="0"/>
              <w:rPr>
                <w:sz w:val="4"/>
                <w:szCs w:val="4"/>
                <w:color w:val="auto"/>
              </w:rPr>
            </w:pPr>
          </w:p>
        </w:tc>
        <w:tc>
          <w:tcPr>
            <w:tcW w:w="40" w:type="dxa"/>
            <w:vAlign w:val="bottom"/>
            <w:tcBorders>
              <w:bottom w:val="single" w:sz="8" w:color="0C080C"/>
            </w:tcBorders>
          </w:tcPr>
          <w:p>
            <w:pPr>
              <w:spacing w:after="0"/>
              <w:rPr>
                <w:sz w:val="4"/>
                <w:szCs w:val="4"/>
                <w:color w:val="auto"/>
              </w:rPr>
            </w:pPr>
          </w:p>
        </w:tc>
        <w:tc>
          <w:tcPr>
            <w:tcW w:w="20" w:type="dxa"/>
            <w:vAlign w:val="bottom"/>
            <w:tcBorders>
              <w:bottom w:val="single" w:sz="8" w:color="0C080C"/>
            </w:tcBorders>
          </w:tcPr>
          <w:p>
            <w:pPr>
              <w:spacing w:after="0"/>
              <w:rPr>
                <w:sz w:val="4"/>
                <w:szCs w:val="4"/>
                <w:color w:val="auto"/>
              </w:rPr>
            </w:pPr>
          </w:p>
        </w:tc>
        <w:tc>
          <w:tcPr>
            <w:tcW w:w="660" w:type="dxa"/>
            <w:vAlign w:val="bottom"/>
            <w:tcBorders>
              <w:bottom w:val="single" w:sz="8" w:color="0C080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80" w:type="dxa"/>
            <w:vAlign w:val="bottom"/>
            <w:tcBorders>
              <w:bottom w:val="single" w:sz="8" w:color="0C0808"/>
            </w:tcBorders>
          </w:tcPr>
          <w:p>
            <w:pPr>
              <w:spacing w:after="0"/>
              <w:rPr>
                <w:sz w:val="4"/>
                <w:szCs w:val="4"/>
                <w:color w:val="auto"/>
              </w:rPr>
            </w:pPr>
          </w:p>
        </w:tc>
        <w:tc>
          <w:tcPr>
            <w:tcW w:w="56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74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20" w:type="dxa"/>
            <w:vAlign w:val="bottom"/>
            <w:tcBorders>
              <w:bottom w:val="single" w:sz="8" w:color="0C0808"/>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6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Actuarial gain  ........... . ......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351,322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7"/>
          </w:tcPr>
          <w:p>
            <w:pPr>
              <w:jc w:val="right"/>
              <w:ind w:right="20"/>
              <w:spacing w:after="0"/>
              <w:rPr>
                <w:sz w:val="20"/>
                <w:szCs w:val="20"/>
                <w:color w:val="auto"/>
              </w:rPr>
            </w:pPr>
            <w:r>
              <w:rPr>
                <w:rFonts w:ascii="Times New Roman" w:cs="Times New Roman" w:eastAsia="Times New Roman" w:hAnsi="Times New Roman"/>
                <w:sz w:val="19"/>
                <w:szCs w:val="19"/>
                <w:color w:val="auto"/>
              </w:rPr>
              <w:t>(89,943)</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261,379</w:t>
            </w:r>
          </w:p>
        </w:tc>
        <w:tc>
          <w:tcPr>
            <w:tcW w:w="0" w:type="dxa"/>
            <w:vAlign w:val="bottom"/>
          </w:tcPr>
          <w:p>
            <w:pPr>
              <w:spacing w:after="0"/>
              <w:rPr>
                <w:sz w:val="1"/>
                <w:szCs w:val="1"/>
                <w:color w:val="auto"/>
              </w:rPr>
            </w:pPr>
          </w:p>
        </w:tc>
      </w:tr>
      <w:tr>
        <w:trPr>
          <w:trHeight w:val="238"/>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Prior service credit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734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(188)</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546</w:t>
            </w:r>
          </w:p>
        </w:tc>
        <w:tc>
          <w:tcPr>
            <w:tcW w:w="0" w:type="dxa"/>
            <w:vAlign w:val="bottom"/>
          </w:tcPr>
          <w:p>
            <w:pPr>
              <w:spacing w:after="0"/>
              <w:rPr>
                <w:sz w:val="1"/>
                <w:szCs w:val="1"/>
                <w:color w:val="auto"/>
              </w:rPr>
            </w:pPr>
          </w:p>
        </w:tc>
      </w:tr>
      <w:tr>
        <w:trPr>
          <w:trHeight w:val="21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actuarial gain included in net income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(39,742)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10,174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(29,568)</w:t>
            </w: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prior service credit included in net income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(1,951)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500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(1,451)</w:t>
            </w: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Settlement included in net income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(653,427)</w:t>
            </w:r>
          </w:p>
        </w:tc>
        <w:tc>
          <w:tcPr>
            <w:tcW w:w="8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167,285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(486,142)</w:t>
            </w: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60" w:type="dxa"/>
            <w:vAlign w:val="bottom"/>
            <w:tcBorders>
              <w:bottom w:val="single" w:sz="8" w:color="0C080C"/>
            </w:tcBorders>
            <w:gridSpan w:val="2"/>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0C0808"/>
            </w:tcBorders>
            <w:gridSpan w:val="2"/>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(343,064)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87,828</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(255,236)</w:t>
            </w:r>
          </w:p>
        </w:tc>
        <w:tc>
          <w:tcPr>
            <w:tcW w:w="0" w:type="dxa"/>
            <w:vAlign w:val="bottom"/>
          </w:tcPr>
          <w:p>
            <w:pPr>
              <w:spacing w:after="0"/>
              <w:rPr>
                <w:sz w:val="1"/>
                <w:szCs w:val="1"/>
                <w:color w:val="auto"/>
              </w:rPr>
            </w:pPr>
          </w:p>
        </w:tc>
      </w:tr>
      <w:tr>
        <w:trPr>
          <w:trHeight w:val="36"/>
        </w:trPr>
        <w:tc>
          <w:tcPr>
            <w:tcW w:w="63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flow hedges:</w:t>
            </w:r>
          </w:p>
        </w:tc>
        <w:tc>
          <w:tcPr>
            <w:tcW w:w="4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4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6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Gain for the year  ... . ..... .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1,392</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(363)</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1,029</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Other Comprehensive Loss ... .. ...... . ......................... .</w:t>
            </w:r>
          </w:p>
        </w:tc>
        <w:tc>
          <w:tcPr>
            <w:tcW w:w="40" w:type="dxa"/>
            <w:vAlign w:val="bottom"/>
          </w:tcPr>
          <w:p>
            <w:pPr>
              <w:spacing w:after="0"/>
              <w:rPr>
                <w:sz w:val="2"/>
                <w:szCs w:val="2"/>
                <w:color w:val="auto"/>
              </w:rPr>
            </w:pPr>
          </w:p>
        </w:tc>
        <w:tc>
          <w:tcPr>
            <w:tcW w:w="160" w:type="dxa"/>
            <w:vAlign w:val="bottom"/>
            <w:tcBorders>
              <w:bottom w:val="single" w:sz="8" w:color="504C4C"/>
            </w:tcBorders>
            <w:gridSpan w:val="3"/>
          </w:tcPr>
          <w:p>
            <w:pPr>
              <w:spacing w:after="0"/>
              <w:rPr>
                <w:sz w:val="2"/>
                <w:szCs w:val="2"/>
                <w:color w:val="auto"/>
              </w:rPr>
            </w:pPr>
          </w:p>
        </w:tc>
        <w:tc>
          <w:tcPr>
            <w:tcW w:w="660" w:type="dxa"/>
            <w:vAlign w:val="bottom"/>
            <w:tcBorders>
              <w:bottom w:val="single" w:sz="8" w:color="504C4C"/>
            </w:tcBorders>
          </w:tcPr>
          <w:p>
            <w:pPr>
              <w:spacing w:after="0"/>
              <w:rPr>
                <w:sz w:val="2"/>
                <w:szCs w:val="2"/>
                <w:color w:val="auto"/>
              </w:rPr>
            </w:pPr>
          </w:p>
        </w:tc>
        <w:tc>
          <w:tcPr>
            <w:tcW w:w="10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gridSpan w:val="2"/>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56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504C4C"/>
            </w:tcBorders>
            <w:gridSpan w:val="2"/>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2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2"/>
        </w:trPr>
        <w:tc>
          <w:tcPr>
            <w:tcW w:w="6300" w:type="dxa"/>
            <w:vAlign w:val="bottom"/>
            <w:vMerge w:val="continue"/>
          </w:tcPr>
          <w:p>
            <w:pPr>
              <w:spacing w:after="0"/>
              <w:rPr>
                <w:sz w:val="22"/>
                <w:szCs w:val="22"/>
                <w:color w:val="auto"/>
              </w:rPr>
            </w:pPr>
          </w:p>
        </w:tc>
        <w:tc>
          <w:tcPr>
            <w:tcW w:w="960" w:type="dxa"/>
            <w:vAlign w:val="bottom"/>
            <w:gridSpan w:val="7"/>
          </w:tcPr>
          <w:p>
            <w:pPr>
              <w:jc w:val="right"/>
              <w:ind w:right="40"/>
              <w:spacing w:after="0"/>
              <w:rPr>
                <w:sz w:val="20"/>
                <w:szCs w:val="20"/>
                <w:color w:val="auto"/>
              </w:rPr>
            </w:pPr>
            <w:r>
              <w:rPr>
                <w:rFonts w:ascii="Times New Roman" w:cs="Times New Roman" w:eastAsia="Times New Roman" w:hAnsi="Times New Roman"/>
                <w:sz w:val="19"/>
                <w:szCs w:val="19"/>
                <w:color w:val="auto"/>
              </w:rPr>
              <w:t>$(367,005)</w:t>
            </w:r>
          </w:p>
        </w:tc>
        <w:tc>
          <w:tcPr>
            <w:tcW w:w="80" w:type="dxa"/>
            <w:vAlign w:val="bottom"/>
          </w:tcPr>
          <w:p>
            <w:pPr>
              <w:spacing w:after="0"/>
              <w:rPr>
                <w:sz w:val="22"/>
                <w:szCs w:val="22"/>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2"/>
                <w:szCs w:val="22"/>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87,465</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$(279,540)</w:t>
            </w:r>
          </w:p>
        </w:tc>
        <w:tc>
          <w:tcPr>
            <w:tcW w:w="0" w:type="dxa"/>
            <w:vAlign w:val="bottom"/>
          </w:tcPr>
          <w:p>
            <w:pPr>
              <w:spacing w:after="0"/>
              <w:rPr>
                <w:sz w:val="1"/>
                <w:szCs w:val="1"/>
                <w:color w:val="auto"/>
              </w:rPr>
            </w:pPr>
          </w:p>
        </w:tc>
      </w:tr>
      <w:tr>
        <w:trPr>
          <w:trHeight w:val="42"/>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3"/>
          </w:tcPr>
          <w:p>
            <w:pPr>
              <w:spacing w:after="0"/>
              <w:rPr>
                <w:sz w:val="3"/>
                <w:szCs w:val="3"/>
                <w:color w:val="auto"/>
              </w:rPr>
            </w:pPr>
          </w:p>
        </w:tc>
        <w:tc>
          <w:tcPr>
            <w:tcW w:w="200" w:type="dxa"/>
            <w:vAlign w:val="bottom"/>
            <w:gridSpan w:val="4"/>
          </w:tcPr>
          <w:p>
            <w:pPr>
              <w:spacing w:after="0"/>
              <w:rPr>
                <w:sz w:val="3"/>
                <w:szCs w:val="3"/>
                <w:color w:val="auto"/>
              </w:rPr>
            </w:pPr>
          </w:p>
        </w:tc>
        <w:tc>
          <w:tcPr>
            <w:tcW w:w="720" w:type="dxa"/>
            <w:vAlign w:val="bottom"/>
            <w:gridSpan w:val="4"/>
          </w:tcPr>
          <w:p>
            <w:pPr>
              <w:spacing w:after="0"/>
              <w:rPr>
                <w:sz w:val="3"/>
                <w:szCs w:val="3"/>
                <w:color w:val="auto"/>
              </w:rPr>
            </w:pPr>
          </w:p>
        </w:tc>
        <w:tc>
          <w:tcPr>
            <w:tcW w:w="80" w:type="dxa"/>
            <w:vAlign w:val="bottom"/>
            <w:gridSpan w:val="2"/>
          </w:tcPr>
          <w:p>
            <w:pPr>
              <w:spacing w:after="0"/>
              <w:rPr>
                <w:sz w:val="3"/>
                <w:szCs w:val="3"/>
                <w:color w:val="auto"/>
              </w:rPr>
            </w:pPr>
          </w:p>
        </w:tc>
        <w:tc>
          <w:tcPr>
            <w:tcW w:w="120" w:type="dxa"/>
            <w:vAlign w:val="bottom"/>
            <w:tcBorders>
              <w:bottom w:val="single" w:sz="8" w:color="0C0808"/>
            </w:tcBorders>
            <w:gridSpan w:val="4"/>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40" w:type="dxa"/>
            <w:vAlign w:val="bottom"/>
            <w:tcBorders>
              <w:bottom w:val="single" w:sz="8" w:color="0C0808"/>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6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21"/>
          </w:tcPr>
          <w:p>
            <w:pPr>
              <w:jc w:val="center"/>
              <w:ind w:right="80"/>
              <w:spacing w:after="0"/>
              <w:rPr>
                <w:sz w:val="20"/>
                <w:szCs w:val="20"/>
                <w:color w:val="auto"/>
              </w:rPr>
            </w:pPr>
            <w:r>
              <w:rPr>
                <w:rFonts w:ascii="Times New Roman" w:cs="Times New Roman" w:eastAsia="Times New Roman" w:hAnsi="Times New Roman"/>
                <w:sz w:val="16"/>
                <w:szCs w:val="16"/>
                <w:color w:val="auto"/>
              </w:rPr>
              <w:t>Ycar Ended December 31, 2023</w:t>
            </w:r>
          </w:p>
        </w:tc>
        <w:tc>
          <w:tcPr>
            <w:tcW w:w="0" w:type="dxa"/>
            <w:vAlign w:val="bottom"/>
          </w:tcPr>
          <w:p>
            <w:pPr>
              <w:spacing w:after="0"/>
              <w:rPr>
                <w:sz w:val="1"/>
                <w:szCs w:val="1"/>
                <w:color w:val="auto"/>
              </w:rPr>
            </w:pPr>
          </w:p>
        </w:tc>
      </w:tr>
      <w:tr>
        <w:trPr>
          <w:trHeight w:val="42"/>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760" w:type="dxa"/>
            <w:vAlign w:val="bottom"/>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gridSpan w:val="3"/>
          </w:tcPr>
          <w:p>
            <w:pPr>
              <w:spacing w:after="0"/>
              <w:rPr>
                <w:sz w:val="3"/>
                <w:szCs w:val="3"/>
                <w:color w:val="auto"/>
              </w:rPr>
            </w:pPr>
          </w:p>
        </w:tc>
        <w:tc>
          <w:tcPr>
            <w:tcW w:w="12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0"/>
        </w:trPr>
        <w:tc>
          <w:tcPr>
            <w:tcW w:w="630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60" w:type="dxa"/>
            <w:vAlign w:val="bottom"/>
            <w:tcBorders>
              <w:top w:val="single" w:sz="8" w:color="2C282C"/>
            </w:tcBorders>
            <w:gridSpan w:val="5"/>
          </w:tcPr>
          <w:p>
            <w:pPr>
              <w:jc w:val="center"/>
              <w:ind w:right="80"/>
              <w:spacing w:after="0" w:line="161" w:lineRule="exact"/>
              <w:rPr>
                <w:sz w:val="20"/>
                <w:szCs w:val="20"/>
                <w:color w:val="auto"/>
              </w:rPr>
            </w:pPr>
            <w:r>
              <w:rPr>
                <w:rFonts w:ascii="Times New Roman" w:cs="Times New Roman" w:eastAsia="Times New Roman" w:hAnsi="Times New Roman"/>
                <w:sz w:val="16"/>
                <w:szCs w:val="16"/>
                <w:color w:val="auto"/>
              </w:rPr>
              <w:t>Before-Tax</w:t>
            </w:r>
          </w:p>
        </w:tc>
        <w:tc>
          <w:tcPr>
            <w:tcW w:w="20" w:type="dxa"/>
            <w:vAlign w:val="bottom"/>
            <w:tcBorders>
              <w:top w:val="single" w:sz="8" w:color="2C282C"/>
            </w:tcBorders>
          </w:tcPr>
          <w:p>
            <w:pPr>
              <w:spacing w:after="0"/>
              <w:rPr>
                <w:sz w:val="13"/>
                <w:szCs w:val="13"/>
                <w:color w:val="auto"/>
              </w:rPr>
            </w:pPr>
          </w:p>
        </w:tc>
        <w:tc>
          <w:tcPr>
            <w:tcW w:w="80" w:type="dxa"/>
            <w:vAlign w:val="bottom"/>
            <w:tcBorders>
              <w:top w:val="single" w:sz="8" w:color="2C282C"/>
            </w:tcBorders>
          </w:tcPr>
          <w:p>
            <w:pPr>
              <w:spacing w:after="0"/>
              <w:rPr>
                <w:sz w:val="13"/>
                <w:szCs w:val="13"/>
                <w:color w:val="auto"/>
              </w:rPr>
            </w:pPr>
          </w:p>
        </w:tc>
        <w:tc>
          <w:tcPr>
            <w:tcW w:w="20" w:type="dxa"/>
            <w:vAlign w:val="bottom"/>
            <w:tcBorders>
              <w:top w:val="single" w:sz="8" w:color="2C282C"/>
            </w:tcBorders>
          </w:tcPr>
          <w:p>
            <w:pPr>
              <w:spacing w:after="0"/>
              <w:rPr>
                <w:sz w:val="13"/>
                <w:szCs w:val="13"/>
                <w:color w:val="auto"/>
              </w:rPr>
            </w:pPr>
          </w:p>
        </w:tc>
        <w:tc>
          <w:tcPr>
            <w:tcW w:w="80" w:type="dxa"/>
            <w:vAlign w:val="bottom"/>
            <w:tcBorders>
              <w:top w:val="single" w:sz="8" w:color="2C282C"/>
            </w:tcBorders>
          </w:tcPr>
          <w:p>
            <w:pPr>
              <w:spacing w:after="0"/>
              <w:rPr>
                <w:sz w:val="13"/>
                <w:szCs w:val="13"/>
                <w:color w:val="auto"/>
              </w:rPr>
            </w:pPr>
          </w:p>
        </w:tc>
        <w:tc>
          <w:tcPr>
            <w:tcW w:w="760" w:type="dxa"/>
            <w:vAlign w:val="bottom"/>
            <w:tcBorders>
              <w:top w:val="single" w:sz="8" w:color="2C282C"/>
            </w:tcBorders>
            <w:gridSpan w:val="6"/>
          </w:tcPr>
          <w:p>
            <w:pPr>
              <w:jc w:val="center"/>
              <w:ind w:right="200"/>
              <w:spacing w:after="0" w:line="161" w:lineRule="exact"/>
              <w:rPr>
                <w:sz w:val="20"/>
                <w:szCs w:val="20"/>
                <w:color w:val="auto"/>
              </w:rPr>
            </w:pPr>
            <w:r>
              <w:rPr>
                <w:rFonts w:ascii="Times New Roman" w:cs="Times New Roman" w:eastAsia="Times New Roman" w:hAnsi="Times New Roman"/>
                <w:sz w:val="16"/>
                <w:szCs w:val="16"/>
                <w:color w:val="auto"/>
              </w:rPr>
              <w:t>Income</w:t>
            </w:r>
          </w:p>
        </w:tc>
        <w:tc>
          <w:tcPr>
            <w:tcW w:w="20" w:type="dxa"/>
            <w:vAlign w:val="bottom"/>
            <w:tcBorders>
              <w:top w:val="single" w:sz="8" w:color="2C282C"/>
            </w:tcBorders>
          </w:tcPr>
          <w:p>
            <w:pPr>
              <w:spacing w:after="0"/>
              <w:rPr>
                <w:sz w:val="13"/>
                <w:szCs w:val="13"/>
                <w:color w:val="auto"/>
              </w:rPr>
            </w:pPr>
          </w:p>
        </w:tc>
        <w:tc>
          <w:tcPr>
            <w:tcW w:w="40" w:type="dxa"/>
            <w:vAlign w:val="bottom"/>
            <w:tcBorders>
              <w:top w:val="single" w:sz="8" w:color="2C282C"/>
            </w:tcBorders>
          </w:tcPr>
          <w:p>
            <w:pPr>
              <w:spacing w:after="0"/>
              <w:rPr>
                <w:sz w:val="13"/>
                <w:szCs w:val="13"/>
                <w:color w:val="auto"/>
              </w:rPr>
            </w:pPr>
          </w:p>
        </w:tc>
        <w:tc>
          <w:tcPr>
            <w:tcW w:w="20" w:type="dxa"/>
            <w:vAlign w:val="bottom"/>
            <w:tcBorders>
              <w:top w:val="single" w:sz="8" w:color="2C282C"/>
            </w:tcBorders>
          </w:tcPr>
          <w:p>
            <w:pPr>
              <w:spacing w:after="0"/>
              <w:rPr>
                <w:sz w:val="13"/>
                <w:szCs w:val="13"/>
                <w:color w:val="auto"/>
              </w:rPr>
            </w:pPr>
          </w:p>
        </w:tc>
        <w:tc>
          <w:tcPr>
            <w:tcW w:w="740" w:type="dxa"/>
            <w:vAlign w:val="bottom"/>
            <w:tcBorders>
              <w:top w:val="single" w:sz="8" w:color="2C282C"/>
            </w:tcBorders>
          </w:tcPr>
          <w:p>
            <w:pPr>
              <w:jc w:val="right"/>
              <w:spacing w:after="0" w:line="161" w:lineRule="exact"/>
              <w:rPr>
                <w:sz w:val="20"/>
                <w:szCs w:val="20"/>
                <w:color w:val="auto"/>
              </w:rPr>
            </w:pPr>
            <w:r>
              <w:rPr>
                <w:rFonts w:ascii="Times New Roman" w:cs="Times New Roman" w:eastAsia="Times New Roman" w:hAnsi="Times New Roman"/>
                <w:sz w:val="16"/>
                <w:szCs w:val="16"/>
                <w:color w:val="auto"/>
              </w:rPr>
              <w:t>After-Tax</w:t>
            </w: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4"/>
          </w:tcPr>
          <w:p>
            <w:pPr>
              <w:jc w:val="center"/>
              <w:ind w:right="100"/>
              <w:spacing w:after="0" w:line="179" w:lineRule="exact"/>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6"/>
          </w:tcPr>
          <w:p>
            <w:pPr>
              <w:jc w:val="center"/>
              <w:ind w:right="240"/>
              <w:spacing w:after="0" w:line="179" w:lineRule="exact"/>
              <w:rPr>
                <w:sz w:val="20"/>
                <w:szCs w:val="20"/>
                <w:color w:val="auto"/>
              </w:rPr>
            </w:pPr>
            <w:r>
              <w:rPr>
                <w:rFonts w:ascii="Times New Roman" w:cs="Times New Roman" w:eastAsia="Times New Roman" w:hAnsi="Times New Roman"/>
                <w:sz w:val="16"/>
                <w:szCs w:val="16"/>
                <w:color w:val="auto"/>
              </w:rPr>
              <w:t>Tax</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right"/>
              <w:ind w:right="160"/>
              <w:spacing w:after="0" w:line="179" w:lineRule="exact"/>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33"/>
        </w:trPr>
        <w:tc>
          <w:tcPr>
            <w:tcW w:w="63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Foreign cun·ency translation adjustments:</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66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56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60" w:type="dxa"/>
            <w:vAlign w:val="bottom"/>
            <w:tcBorders>
              <w:bottom w:val="single" w:sz="8" w:color="181414"/>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3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Translation adjustments arising during the year ... ....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  21,927</w:t>
            </w:r>
          </w:p>
        </w:tc>
        <w:tc>
          <w:tcPr>
            <w:tcW w:w="80" w:type="dxa"/>
            <w:vAlign w:val="bottom"/>
          </w:tcPr>
          <w:p>
            <w:pPr>
              <w:spacing w:after="0"/>
              <w:rPr>
                <w:sz w:val="19"/>
                <w:szCs w:val="19"/>
                <w:color w:val="auto"/>
              </w:rPr>
            </w:pP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  21,927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Pension and other postretirement plans: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Actuarial gain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380,593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(97,436)</w:t>
            </w:r>
          </w:p>
        </w:tc>
        <w:tc>
          <w:tcPr>
            <w:tcW w:w="4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283,157</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Prior service credit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11 ,263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(2,883)</w:t>
            </w:r>
          </w:p>
        </w:tc>
        <w:tc>
          <w:tcPr>
            <w:tcW w:w="40" w:type="dxa"/>
            <w:vAlign w:val="bottom"/>
          </w:tcPr>
          <w:p>
            <w:pPr>
              <w:spacing w:after="0"/>
              <w:rPr>
                <w:sz w:val="19"/>
                <w:szCs w:val="19"/>
                <w:color w:val="auto"/>
              </w:rPr>
            </w:pP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8,380</w:t>
            </w: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actuarial gain included in net income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6"/>
          </w:tcPr>
          <w:p>
            <w:pPr>
              <w:jc w:val="right"/>
              <w:ind w:right="20"/>
              <w:spacing w:after="0"/>
              <w:rPr>
                <w:sz w:val="20"/>
                <w:szCs w:val="20"/>
                <w:color w:val="auto"/>
              </w:rPr>
            </w:pPr>
            <w:r>
              <w:rPr>
                <w:rFonts w:ascii="Times New Roman" w:cs="Times New Roman" w:eastAsia="Times New Roman" w:hAnsi="Times New Roman"/>
                <w:sz w:val="19"/>
                <w:szCs w:val="19"/>
                <w:color w:val="auto"/>
              </w:rPr>
              <w:t>(42,146)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10,790</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(31 ,356)</w:t>
            </w:r>
          </w:p>
        </w:tc>
        <w:tc>
          <w:tcPr>
            <w:tcW w:w="0" w:type="dxa"/>
            <w:vAlign w:val="bottom"/>
          </w:tcPr>
          <w:p>
            <w:pPr>
              <w:spacing w:after="0"/>
              <w:rPr>
                <w:sz w:val="1"/>
                <w:szCs w:val="1"/>
                <w:color w:val="auto"/>
              </w:rPr>
            </w:pPr>
          </w:p>
        </w:tc>
      </w:tr>
      <w:tr>
        <w:trPr>
          <w:trHeight w:val="238"/>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prior service cost included in net income  ........ .</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1,641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(420)</w:t>
            </w:r>
          </w:p>
        </w:tc>
        <w:tc>
          <w:tcPr>
            <w:tcW w:w="40" w:type="dxa"/>
            <w:vAlign w:val="bottom"/>
          </w:tcPr>
          <w:p>
            <w:pPr>
              <w:spacing w:after="0"/>
              <w:rPr>
                <w:sz w:val="20"/>
                <w:szCs w:val="20"/>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1,221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Settlement included in net income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6"/>
          </w:tcPr>
          <w:p>
            <w:pPr>
              <w:jc w:val="right"/>
              <w:ind w:right="20"/>
              <w:spacing w:after="0"/>
              <w:rPr>
                <w:sz w:val="20"/>
                <w:szCs w:val="20"/>
                <w:color w:val="auto"/>
              </w:rPr>
            </w:pPr>
            <w:r>
              <w:rPr>
                <w:rFonts w:ascii="Times New Roman" w:cs="Times New Roman" w:eastAsia="Times New Roman" w:hAnsi="Times New Roman"/>
                <w:sz w:val="19"/>
                <w:szCs w:val="19"/>
                <w:color w:val="auto"/>
              </w:rPr>
              <w:t>(1,087)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279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(808)</w:t>
            </w: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760" w:type="dxa"/>
            <w:vAlign w:val="bottom"/>
            <w:tcBorders>
              <w:bottom w:val="single" w:sz="8" w:color="0C080C"/>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640" w:type="dxa"/>
            <w:vAlign w:val="bottom"/>
            <w:tcBorders>
              <w:bottom w:val="single" w:sz="8" w:color="0C080C"/>
            </w:tcBorders>
            <w:gridSpan w:val="3"/>
          </w:tcPr>
          <w:p>
            <w:pPr>
              <w:spacing w:after="0"/>
              <w:rPr>
                <w:sz w:val="3"/>
                <w:szCs w:val="3"/>
                <w:color w:val="auto"/>
              </w:rPr>
            </w:pPr>
          </w:p>
        </w:tc>
        <w:tc>
          <w:tcPr>
            <w:tcW w:w="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760" w:type="dxa"/>
            <w:vAlign w:val="bottom"/>
            <w:tcBorders>
              <w:bottom w:val="single" w:sz="8" w:color="0C0808"/>
            </w:tcBorders>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6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350,264</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gridSpan w:val="5"/>
          </w:tcPr>
          <w:p>
            <w:pPr>
              <w:jc w:val="right"/>
              <w:ind w:right="20"/>
              <w:spacing w:after="0"/>
              <w:rPr>
                <w:sz w:val="20"/>
                <w:szCs w:val="20"/>
                <w:color w:val="auto"/>
              </w:rPr>
            </w:pPr>
            <w:r>
              <w:rPr>
                <w:rFonts w:ascii="Times New Roman" w:cs="Times New Roman" w:eastAsia="Times New Roman" w:hAnsi="Times New Roman"/>
                <w:sz w:val="19"/>
                <w:szCs w:val="19"/>
                <w:color w:val="auto"/>
              </w:rPr>
              <w:t>(89,670)</w:t>
            </w:r>
          </w:p>
        </w:tc>
        <w:tc>
          <w:tcPr>
            <w:tcW w:w="40" w:type="dxa"/>
            <w:vAlign w:val="bottom"/>
          </w:tcPr>
          <w:p>
            <w:pPr>
              <w:spacing w:after="0"/>
              <w:rPr>
                <w:sz w:val="22"/>
                <w:szCs w:val="22"/>
                <w:color w:val="auto"/>
              </w:rPr>
            </w:pP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260,594</w:t>
            </w:r>
          </w:p>
        </w:tc>
        <w:tc>
          <w:tcPr>
            <w:tcW w:w="0" w:type="dxa"/>
            <w:vAlign w:val="bottom"/>
          </w:tcPr>
          <w:p>
            <w:pPr>
              <w:spacing w:after="0"/>
              <w:rPr>
                <w:sz w:val="1"/>
                <w:szCs w:val="1"/>
                <w:color w:val="auto"/>
              </w:rPr>
            </w:pPr>
          </w:p>
        </w:tc>
      </w:tr>
      <w:tr>
        <w:trPr>
          <w:trHeight w:val="27"/>
        </w:trPr>
        <w:tc>
          <w:tcPr>
            <w:tcW w:w="63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flow hedges:</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Borders>
              <w:bottom w:val="single" w:sz="8" w:color="343030"/>
            </w:tcBorders>
          </w:tcPr>
          <w:p>
            <w:pPr>
              <w:spacing w:after="0"/>
              <w:rPr>
                <w:sz w:val="2"/>
                <w:szCs w:val="2"/>
                <w:color w:val="auto"/>
              </w:rPr>
            </w:pPr>
          </w:p>
        </w:tc>
        <w:tc>
          <w:tcPr>
            <w:tcW w:w="20" w:type="dxa"/>
            <w:vAlign w:val="bottom"/>
            <w:tcBorders>
              <w:bottom w:val="single" w:sz="8" w:color="343030"/>
            </w:tcBorders>
          </w:tcPr>
          <w:p>
            <w:pPr>
              <w:spacing w:after="0"/>
              <w:rPr>
                <w:sz w:val="2"/>
                <w:szCs w:val="2"/>
                <w:color w:val="auto"/>
              </w:rPr>
            </w:pPr>
          </w:p>
        </w:tc>
        <w:tc>
          <w:tcPr>
            <w:tcW w:w="80" w:type="dxa"/>
            <w:vAlign w:val="bottom"/>
            <w:tcBorders>
              <w:bottom w:val="single" w:sz="8" w:color="343030"/>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343030"/>
            </w:tcBorders>
          </w:tcPr>
          <w:p>
            <w:pPr>
              <w:spacing w:after="0"/>
              <w:rPr>
                <w:sz w:val="2"/>
                <w:szCs w:val="2"/>
                <w:color w:val="auto"/>
              </w:rPr>
            </w:pPr>
          </w:p>
        </w:tc>
        <w:tc>
          <w:tcPr>
            <w:tcW w:w="560" w:type="dxa"/>
            <w:vAlign w:val="bottom"/>
            <w:tcBorders>
              <w:bottom w:val="single" w:sz="8" w:color="343030"/>
            </w:tcBorders>
          </w:tcPr>
          <w:p>
            <w:pPr>
              <w:spacing w:after="0"/>
              <w:rPr>
                <w:sz w:val="2"/>
                <w:szCs w:val="2"/>
                <w:color w:val="auto"/>
              </w:rPr>
            </w:pPr>
          </w:p>
        </w:tc>
        <w:tc>
          <w:tcPr>
            <w:tcW w:w="20" w:type="dxa"/>
            <w:vAlign w:val="bottom"/>
            <w:tcBorders>
              <w:bottom w:val="single" w:sz="8" w:color="343030"/>
            </w:tcBorders>
          </w:tcPr>
          <w:p>
            <w:pPr>
              <w:spacing w:after="0"/>
              <w:rPr>
                <w:sz w:val="2"/>
                <w:szCs w:val="2"/>
                <w:color w:val="auto"/>
              </w:rPr>
            </w:pPr>
          </w:p>
        </w:tc>
        <w:tc>
          <w:tcPr>
            <w:tcW w:w="60" w:type="dxa"/>
            <w:vAlign w:val="bottom"/>
            <w:tcBorders>
              <w:bottom w:val="single" w:sz="8" w:color="343030"/>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740" w:type="dxa"/>
            <w:vAlign w:val="bottom"/>
            <w:tcBorders>
              <w:bottom w:val="single" w:sz="8" w:color="343030"/>
            </w:tcBorders>
          </w:tcPr>
          <w:p>
            <w:pPr>
              <w:spacing w:after="0"/>
              <w:rPr>
                <w:sz w:val="2"/>
                <w:szCs w:val="2"/>
                <w:color w:val="auto"/>
              </w:rPr>
            </w:pPr>
          </w:p>
        </w:tc>
        <w:tc>
          <w:tcPr>
            <w:tcW w:w="20" w:type="dxa"/>
            <w:vAlign w:val="bottom"/>
            <w:tcBorders>
              <w:bottom w:val="single" w:sz="8" w:color="343030"/>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8"/>
        </w:trPr>
        <w:tc>
          <w:tcPr>
            <w:tcW w:w="63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Loss for the year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6"/>
          </w:tcPr>
          <w:p>
            <w:pPr>
              <w:jc w:val="right"/>
              <w:ind w:right="20"/>
              <w:spacing w:after="0"/>
              <w:rPr>
                <w:sz w:val="20"/>
                <w:szCs w:val="20"/>
                <w:color w:val="auto"/>
              </w:rPr>
            </w:pPr>
            <w:r>
              <w:rPr>
                <w:rFonts w:ascii="Times New Roman" w:cs="Times New Roman" w:eastAsia="Times New Roman" w:hAnsi="Times New Roman"/>
                <w:sz w:val="19"/>
                <w:szCs w:val="19"/>
                <w:color w:val="auto"/>
              </w:rPr>
              <w:t>(5,630)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1,295</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(4,335)</w:t>
            </w:r>
          </w:p>
        </w:tc>
        <w:tc>
          <w:tcPr>
            <w:tcW w:w="0" w:type="dxa"/>
            <w:vAlign w:val="bottom"/>
          </w:tcPr>
          <w:p>
            <w:pPr>
              <w:spacing w:after="0"/>
              <w:rPr>
                <w:sz w:val="1"/>
                <w:szCs w:val="1"/>
                <w:color w:val="auto"/>
              </w:rPr>
            </w:pPr>
          </w:p>
        </w:tc>
      </w:tr>
      <w:tr>
        <w:trPr>
          <w:trHeight w:val="36"/>
        </w:trPr>
        <w:tc>
          <w:tcPr>
            <w:tcW w:w="63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Other Comprehensive Income ......... . ......... ........ ......... .</w:t>
            </w: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760" w:type="dxa"/>
            <w:vAlign w:val="bottom"/>
            <w:tcBorders>
              <w:bottom w:val="single" w:sz="8" w:color="504C4C"/>
            </w:tcBorders>
            <w:gridSpan w:val="3"/>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3"/>
          </w:tcPr>
          <w:p>
            <w:pPr>
              <w:spacing w:after="0"/>
              <w:rPr>
                <w:sz w:val="3"/>
                <w:szCs w:val="3"/>
                <w:color w:val="auto"/>
              </w:rPr>
            </w:pPr>
          </w:p>
        </w:tc>
        <w:tc>
          <w:tcPr>
            <w:tcW w:w="720" w:type="dxa"/>
            <w:vAlign w:val="bottom"/>
            <w:tcBorders>
              <w:bottom w:val="single" w:sz="8" w:color="504C4C"/>
            </w:tcBorders>
            <w:gridSpan w:val="4"/>
          </w:tcPr>
          <w:p>
            <w:pPr>
              <w:spacing w:after="0"/>
              <w:rPr>
                <w:sz w:val="3"/>
                <w:szCs w:val="3"/>
                <w:color w:val="auto"/>
              </w:rPr>
            </w:pPr>
          </w:p>
        </w:tc>
        <w:tc>
          <w:tcPr>
            <w:tcW w:w="8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gridSpan w:val="3"/>
          </w:tcPr>
          <w:p>
            <w:pPr>
              <w:spacing w:after="0"/>
              <w:rPr>
                <w:sz w:val="3"/>
                <w:szCs w:val="3"/>
                <w:color w:val="auto"/>
              </w:rPr>
            </w:pPr>
          </w:p>
        </w:tc>
        <w:tc>
          <w:tcPr>
            <w:tcW w:w="760" w:type="dxa"/>
            <w:vAlign w:val="bottom"/>
            <w:tcBorders>
              <w:bottom w:val="single" w:sz="8" w:color="504C4C"/>
            </w:tcBorders>
            <w:gridSpan w:val="2"/>
          </w:tcPr>
          <w:p>
            <w:pPr>
              <w:spacing w:after="0"/>
              <w:rPr>
                <w:sz w:val="3"/>
                <w:szCs w:val="3"/>
                <w:color w:val="auto"/>
              </w:rPr>
            </w:pPr>
          </w:p>
        </w:tc>
        <w:tc>
          <w:tcPr>
            <w:tcW w:w="4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6300" w:type="dxa"/>
            <w:vAlign w:val="bottom"/>
            <w:vMerge w:val="continue"/>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5"/>
          </w:tcPr>
          <w:p>
            <w:pPr>
              <w:jc w:val="center"/>
              <w:spacing w:after="0"/>
              <w:rPr>
                <w:sz w:val="20"/>
                <w:szCs w:val="20"/>
                <w:color w:val="auto"/>
              </w:rPr>
            </w:pPr>
            <w:r>
              <w:rPr>
                <w:rFonts w:ascii="Times New Roman" w:cs="Times New Roman" w:eastAsia="Times New Roman" w:hAnsi="Times New Roman"/>
                <w:sz w:val="19"/>
                <w:szCs w:val="19"/>
                <w:color w:val="auto"/>
              </w:rPr>
              <w:t>$366,561</w:t>
            </w:r>
          </w:p>
        </w:tc>
        <w:tc>
          <w:tcPr>
            <w:tcW w:w="80" w:type="dxa"/>
            <w:vAlign w:val="bottom"/>
          </w:tcPr>
          <w:p>
            <w:pPr>
              <w:spacing w:after="0"/>
              <w:rPr>
                <w:sz w:val="22"/>
                <w:szCs w:val="22"/>
                <w:color w:val="auto"/>
              </w:rPr>
            </w:pPr>
          </w:p>
        </w:tc>
        <w:tc>
          <w:tcPr>
            <w:tcW w:w="920" w:type="dxa"/>
            <w:vAlign w:val="bottom"/>
            <w:gridSpan w:val="9"/>
          </w:tcPr>
          <w:p>
            <w:pPr>
              <w:jc w:val="right"/>
              <w:ind w:right="20"/>
              <w:spacing w:after="0"/>
              <w:rPr>
                <w:sz w:val="20"/>
                <w:szCs w:val="20"/>
                <w:color w:val="auto"/>
              </w:rPr>
            </w:pPr>
            <w:r>
              <w:rPr>
                <w:rFonts w:ascii="Times New Roman" w:cs="Times New Roman" w:eastAsia="Times New Roman" w:hAnsi="Times New Roman"/>
                <w:sz w:val="19"/>
                <w:szCs w:val="19"/>
                <w:color w:val="auto"/>
              </w:rPr>
              <w:t>$(88,375)</w:t>
            </w:r>
          </w:p>
        </w:tc>
        <w:tc>
          <w:tcPr>
            <w:tcW w:w="40" w:type="dxa"/>
            <w:vAlign w:val="bottom"/>
          </w:tcPr>
          <w:p>
            <w:pPr>
              <w:spacing w:after="0"/>
              <w:rPr>
                <w:sz w:val="22"/>
                <w:szCs w:val="22"/>
                <w:color w:val="auto"/>
              </w:rPr>
            </w:pPr>
          </w:p>
        </w:tc>
        <w:tc>
          <w:tcPr>
            <w:tcW w:w="880" w:type="dxa"/>
            <w:vAlign w:val="bottom"/>
            <w:gridSpan w:val="7"/>
          </w:tcPr>
          <w:p>
            <w:pPr>
              <w:jc w:val="right"/>
              <w:ind w:right="60"/>
              <w:spacing w:after="0"/>
              <w:rPr>
                <w:sz w:val="20"/>
                <w:szCs w:val="20"/>
                <w:color w:val="auto"/>
              </w:rPr>
            </w:pPr>
            <w:r>
              <w:rPr>
                <w:rFonts w:ascii="Times New Roman" w:cs="Times New Roman" w:eastAsia="Times New Roman" w:hAnsi="Times New Roman"/>
                <w:sz w:val="19"/>
                <w:szCs w:val="19"/>
                <w:color w:val="auto"/>
              </w:rPr>
              <w:t>$278,186</w:t>
            </w: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40" w:type="dxa"/>
            <w:vAlign w:val="bottom"/>
            <w:tcBorders>
              <w:bottom w:val="single" w:sz="8" w:color="504C4C"/>
            </w:tcBorders>
            <w:gridSpan w:val="2"/>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2"/>
        </w:trPr>
        <w:tc>
          <w:tcPr>
            <w:tcW w:w="6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80" w:type="dxa"/>
            <w:vAlign w:val="bottom"/>
            <w:gridSpan w:val="21"/>
          </w:tcPr>
          <w:p>
            <w:pPr>
              <w:jc w:val="center"/>
              <w:ind w:right="220"/>
              <w:spacing w:after="0"/>
              <w:rPr>
                <w:sz w:val="20"/>
                <w:szCs w:val="20"/>
                <w:color w:val="auto"/>
              </w:rPr>
            </w:pPr>
            <w:r>
              <w:rPr>
                <w:rFonts w:ascii="Times New Roman" w:cs="Times New Roman" w:eastAsia="Times New Roman" w:hAnsi="Times New Roman"/>
                <w:sz w:val="16"/>
                <w:szCs w:val="16"/>
                <w:color w:val="auto"/>
              </w:rPr>
              <w:t>Year Ended December 31,2022</w:t>
            </w:r>
          </w:p>
        </w:tc>
        <w:tc>
          <w:tcPr>
            <w:tcW w:w="0" w:type="dxa"/>
            <w:vAlign w:val="bottom"/>
          </w:tcPr>
          <w:p>
            <w:pPr>
              <w:spacing w:after="0"/>
              <w:rPr>
                <w:sz w:val="1"/>
                <w:szCs w:val="1"/>
                <w:color w:val="auto"/>
              </w:rPr>
            </w:pPr>
          </w:p>
        </w:tc>
      </w:tr>
      <w:tr>
        <w:trPr>
          <w:trHeight w:val="33"/>
        </w:trPr>
        <w:tc>
          <w:tcPr>
            <w:tcW w:w="6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Borders>
              <w:bottom w:val="single" w:sz="8" w:color="181414"/>
            </w:tcBorders>
            <w:gridSpan w:val="3"/>
          </w:tcPr>
          <w:p>
            <w:pPr>
              <w:spacing w:after="0"/>
              <w:rPr>
                <w:sz w:val="2"/>
                <w:szCs w:val="2"/>
                <w:color w:val="auto"/>
              </w:rPr>
            </w:pPr>
          </w:p>
        </w:tc>
        <w:tc>
          <w:tcPr>
            <w:tcW w:w="66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640" w:type="dxa"/>
            <w:vAlign w:val="bottom"/>
            <w:tcBorders>
              <w:bottom w:val="single" w:sz="8" w:color="181414"/>
            </w:tcBorders>
            <w:gridSpan w:val="2"/>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60" w:type="dxa"/>
            <w:vAlign w:val="bottom"/>
            <w:tcBorders>
              <w:bottom w:val="single" w:sz="8" w:color="181414"/>
            </w:tcBorders>
          </w:tcPr>
          <w:p>
            <w:pPr>
              <w:spacing w:after="0"/>
              <w:rPr>
                <w:sz w:val="2"/>
                <w:szCs w:val="2"/>
                <w:color w:val="auto"/>
              </w:rPr>
            </w:pPr>
          </w:p>
        </w:tc>
        <w:tc>
          <w:tcPr>
            <w:tcW w:w="80" w:type="dxa"/>
            <w:vAlign w:val="bottom"/>
            <w:tcBorders>
              <w:bottom w:val="single" w:sz="8" w:color="181414"/>
            </w:tcBorders>
            <w:gridSpan w:val="2"/>
          </w:tcPr>
          <w:p>
            <w:pPr>
              <w:spacing w:after="0"/>
              <w:rPr>
                <w:sz w:val="2"/>
                <w:szCs w:val="2"/>
                <w:color w:val="auto"/>
              </w:rPr>
            </w:pPr>
          </w:p>
        </w:tc>
        <w:tc>
          <w:tcPr>
            <w:tcW w:w="4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60" w:type="dxa"/>
            <w:vAlign w:val="bottom"/>
            <w:tcBorders>
              <w:bottom w:val="single" w:sz="8" w:color="181414"/>
            </w:tcBorders>
            <w:gridSpan w:val="2"/>
          </w:tcPr>
          <w:p>
            <w:pPr>
              <w:spacing w:after="0"/>
              <w:rPr>
                <w:sz w:val="2"/>
                <w:szCs w:val="2"/>
                <w:color w:val="auto"/>
              </w:rPr>
            </w:pPr>
          </w:p>
        </w:tc>
        <w:tc>
          <w:tcPr>
            <w:tcW w:w="74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20" w:type="dxa"/>
            <w:vAlign w:val="bottom"/>
            <w:tcBorders>
              <w:bottom w:val="single" w:sz="8" w:color="18141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9"/>
        </w:trPr>
        <w:tc>
          <w:tcPr>
            <w:tcW w:w="6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gridSpan w:val="7"/>
          </w:tcPr>
          <w:p>
            <w:pPr>
              <w:jc w:val="center"/>
              <w:ind w:right="180"/>
              <w:spacing w:after="0" w:line="159" w:lineRule="exact"/>
              <w:rPr>
                <w:sz w:val="20"/>
                <w:szCs w:val="20"/>
                <w:color w:val="auto"/>
              </w:rPr>
            </w:pPr>
            <w:r>
              <w:rPr>
                <w:rFonts w:ascii="Times New Roman" w:cs="Times New Roman" w:eastAsia="Times New Roman" w:hAnsi="Times New Roman"/>
                <w:sz w:val="16"/>
                <w:szCs w:val="16"/>
                <w:color w:val="auto"/>
              </w:rPr>
              <w:t>Before-Tax</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gridSpan w:val="7"/>
          </w:tcPr>
          <w:p>
            <w:pPr>
              <w:jc w:val="center"/>
              <w:ind w:right="320"/>
              <w:spacing w:after="0" w:line="159" w:lineRule="exact"/>
              <w:rPr>
                <w:sz w:val="20"/>
                <w:szCs w:val="20"/>
                <w:color w:val="auto"/>
              </w:rPr>
            </w:pPr>
            <w:r>
              <w:rPr>
                <w:rFonts w:ascii="Times New Roman" w:cs="Times New Roman" w:eastAsia="Times New Roman" w:hAnsi="Times New Roman"/>
                <w:sz w:val="16"/>
                <w:szCs w:val="16"/>
                <w:color w:val="auto"/>
              </w:rPr>
              <w:t>Income</w:t>
            </w:r>
          </w:p>
        </w:tc>
        <w:tc>
          <w:tcPr>
            <w:tcW w:w="20" w:type="dxa"/>
            <w:vAlign w:val="bottom"/>
          </w:tcPr>
          <w:p>
            <w:pPr>
              <w:spacing w:after="0"/>
              <w:rPr>
                <w:sz w:val="13"/>
                <w:szCs w:val="13"/>
                <w:color w:val="auto"/>
              </w:rPr>
            </w:pPr>
          </w:p>
        </w:tc>
        <w:tc>
          <w:tcPr>
            <w:tcW w:w="860" w:type="dxa"/>
            <w:vAlign w:val="bottom"/>
            <w:gridSpan w:val="6"/>
          </w:tcPr>
          <w:p>
            <w:pPr>
              <w:jc w:val="center"/>
              <w:ind w:right="80"/>
              <w:spacing w:after="0" w:line="159" w:lineRule="exact"/>
              <w:rPr>
                <w:sz w:val="20"/>
                <w:szCs w:val="20"/>
                <w:color w:val="auto"/>
              </w:rPr>
            </w:pPr>
            <w:r>
              <w:rPr>
                <w:rFonts w:ascii="Times New Roman" w:cs="Times New Roman" w:eastAsia="Times New Roman" w:hAnsi="Times New Roman"/>
                <w:sz w:val="16"/>
                <w:szCs w:val="16"/>
                <w:color w:val="auto"/>
              </w:rPr>
              <w:t>After-Tax</w:t>
            </w:r>
          </w:p>
        </w:tc>
        <w:tc>
          <w:tcPr>
            <w:tcW w:w="0" w:type="dxa"/>
            <w:vAlign w:val="bottom"/>
          </w:tcPr>
          <w:p>
            <w:pPr>
              <w:spacing w:after="0"/>
              <w:rPr>
                <w:sz w:val="1"/>
                <w:szCs w:val="1"/>
                <w:color w:val="auto"/>
              </w:rPr>
            </w:pPr>
          </w:p>
        </w:tc>
      </w:tr>
      <w:tr>
        <w:trPr>
          <w:trHeight w:val="179"/>
        </w:trPr>
        <w:tc>
          <w:tcPr>
            <w:tcW w:w="630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 thousands)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6"/>
          </w:tcPr>
          <w:p>
            <w:pPr>
              <w:jc w:val="center"/>
              <w:ind w:right="300"/>
              <w:spacing w:after="0" w:line="179" w:lineRule="exact"/>
              <w:rPr>
                <w:sz w:val="20"/>
                <w:szCs w:val="20"/>
                <w:color w:val="auto"/>
              </w:rPr>
            </w:pPr>
            <w:r>
              <w:rPr>
                <w:rFonts w:ascii="Times New Roman" w:cs="Times New Roman" w:eastAsia="Times New Roman" w:hAnsi="Times New Roman"/>
                <w:sz w:val="16"/>
                <w:szCs w:val="16"/>
                <w:color w:val="auto"/>
              </w:rPr>
              <w:t>Amount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6"/>
          </w:tcPr>
          <w:p>
            <w:pPr>
              <w:jc w:val="center"/>
              <w:ind w:right="380"/>
              <w:spacing w:after="0" w:line="179" w:lineRule="exact"/>
              <w:rPr>
                <w:sz w:val="20"/>
                <w:szCs w:val="20"/>
                <w:color w:val="auto"/>
              </w:rPr>
            </w:pPr>
            <w:r>
              <w:rPr>
                <w:rFonts w:ascii="Times New Roman" w:cs="Times New Roman" w:eastAsia="Times New Roman" w:hAnsi="Times New Roman"/>
                <w:sz w:val="16"/>
                <w:szCs w:val="16"/>
                <w:color w:val="auto"/>
              </w:rPr>
              <w:t>Tax</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center"/>
              <w:ind w:right="140"/>
              <w:spacing w:after="0" w:line="179" w:lineRule="exact"/>
              <w:rPr>
                <w:sz w:val="20"/>
                <w:szCs w:val="20"/>
                <w:color w:val="auto"/>
              </w:rPr>
            </w:pPr>
            <w:r>
              <w:rPr>
                <w:rFonts w:ascii="Times New Roman" w:cs="Times New Roman" w:eastAsia="Times New Roman" w:hAnsi="Times New Roman"/>
                <w:sz w:val="16"/>
                <w:szCs w:val="16"/>
                <w:color w:val="auto"/>
              </w:rPr>
              <w:t>Amount</w:t>
            </w:r>
          </w:p>
        </w:tc>
        <w:tc>
          <w:tcPr>
            <w:tcW w:w="0" w:type="dxa"/>
            <w:vAlign w:val="bottom"/>
          </w:tcPr>
          <w:p>
            <w:pPr>
              <w:spacing w:after="0"/>
              <w:rPr>
                <w:sz w:val="1"/>
                <w:szCs w:val="1"/>
                <w:color w:val="auto"/>
              </w:rPr>
            </w:pPr>
          </w:p>
        </w:tc>
      </w:tr>
      <w:tr>
        <w:trPr>
          <w:trHeight w:val="321"/>
        </w:trPr>
        <w:tc>
          <w:tcPr>
            <w:tcW w:w="6300" w:type="dxa"/>
            <w:vAlign w:val="bottom"/>
          </w:tcPr>
          <w:p>
            <w:pPr>
              <w:spacing w:after="0"/>
              <w:rPr>
                <w:sz w:val="20"/>
                <w:szCs w:val="20"/>
                <w:color w:val="auto"/>
              </w:rPr>
            </w:pPr>
            <w:r>
              <w:rPr>
                <w:rFonts w:ascii="Times New Roman" w:cs="Times New Roman" w:eastAsia="Times New Roman" w:hAnsi="Times New Roman"/>
                <w:sz w:val="19"/>
                <w:szCs w:val="19"/>
                <w:color w:val="auto"/>
              </w:rPr>
              <w:t>Foreign cmTency translation adjustments: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25"/>
                <w:szCs w:val="25"/>
                <w:color w:val="auto"/>
              </w:rPr>
              <w:t>-</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630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Translation adjustments arising during the year  .................. .</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(48,340)</w:t>
            </w:r>
          </w:p>
        </w:tc>
        <w:tc>
          <w:tcPr>
            <w:tcW w:w="80" w:type="dxa"/>
            <w:vAlign w:val="bottom"/>
          </w:tcPr>
          <w:p>
            <w:pPr>
              <w:spacing w:after="0"/>
              <w:rPr>
                <w:sz w:val="22"/>
                <w:szCs w:val="22"/>
                <w:color w:val="auto"/>
              </w:rPr>
            </w:pPr>
          </w:p>
        </w:tc>
        <w:tc>
          <w:tcPr>
            <w:tcW w:w="12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w w:val="83"/>
              </w:rPr>
              <w:t>$</w:t>
            </w:r>
          </w:p>
        </w:tc>
        <w:tc>
          <w:tcPr>
            <w:tcW w:w="80" w:type="dxa"/>
            <w:vAlign w:val="bottom"/>
          </w:tcPr>
          <w:p>
            <w:pPr>
              <w:spacing w:after="0"/>
              <w:rPr>
                <w:sz w:val="22"/>
                <w:szCs w:val="22"/>
                <w:color w:val="auto"/>
              </w:rPr>
            </w:pPr>
          </w:p>
        </w:tc>
        <w:tc>
          <w:tcPr>
            <w:tcW w:w="560" w:type="dxa"/>
            <w:vAlign w:val="bottom"/>
            <w:vMerge w:val="continue"/>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  (48,340)</w:t>
            </w:r>
          </w:p>
        </w:tc>
        <w:tc>
          <w:tcPr>
            <w:tcW w:w="0" w:type="dxa"/>
            <w:vAlign w:val="bottom"/>
          </w:tcPr>
          <w:p>
            <w:pPr>
              <w:spacing w:after="0"/>
              <w:rPr>
                <w:sz w:val="1"/>
                <w:szCs w:val="1"/>
                <w:color w:val="auto"/>
              </w:rPr>
            </w:pPr>
          </w:p>
        </w:tc>
      </w:tr>
      <w:tr>
        <w:trPr>
          <w:trHeight w:val="210"/>
        </w:trPr>
        <w:tc>
          <w:tcPr>
            <w:tcW w:w="6300" w:type="dxa"/>
            <w:vAlign w:val="bottom"/>
          </w:tcPr>
          <w:p>
            <w:pPr>
              <w:spacing w:after="0" w:line="210" w:lineRule="exact"/>
              <w:rPr>
                <w:sz w:val="20"/>
                <w:szCs w:val="20"/>
                <w:color w:val="auto"/>
              </w:rPr>
            </w:pPr>
            <w:r>
              <w:rPr>
                <w:rFonts w:ascii="Times New Roman" w:cs="Times New Roman" w:eastAsia="Times New Roman" w:hAnsi="Times New Roman"/>
                <w:sz w:val="19"/>
                <w:szCs w:val="19"/>
                <w:color w:val="auto"/>
              </w:rPr>
              <w:t>Pension and other postretirement plans: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Actuarial loss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(727,097)</w:t>
            </w:r>
          </w:p>
        </w:tc>
        <w:tc>
          <w:tcPr>
            <w:tcW w:w="80" w:type="dxa"/>
            <w:vAlign w:val="bottom"/>
          </w:tcPr>
          <w:p>
            <w:pPr>
              <w:spacing w:after="0"/>
              <w:rPr>
                <w:sz w:val="19"/>
                <w:szCs w:val="19"/>
                <w:color w:val="auto"/>
              </w:rPr>
            </w:pPr>
          </w:p>
        </w:tc>
        <w:tc>
          <w:tcPr>
            <w:tcW w:w="760" w:type="dxa"/>
            <w:vAlign w:val="bottom"/>
            <w:gridSpan w:val="5"/>
          </w:tcPr>
          <w:p>
            <w:pPr>
              <w:jc w:val="right"/>
              <w:spacing w:after="0"/>
              <w:rPr>
                <w:sz w:val="20"/>
                <w:szCs w:val="20"/>
                <w:color w:val="auto"/>
              </w:rPr>
            </w:pPr>
            <w:r>
              <w:rPr>
                <w:rFonts w:ascii="Times New Roman" w:cs="Times New Roman" w:eastAsia="Times New Roman" w:hAnsi="Times New Roman"/>
                <w:sz w:val="19"/>
                <w:szCs w:val="19"/>
                <w:color w:val="auto"/>
              </w:rPr>
              <w:t>187,018</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(540,079)</w:t>
            </w: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actuarial gain included in net income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(70,833)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18,219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(52,614)</w:t>
            </w:r>
          </w:p>
        </w:tc>
        <w:tc>
          <w:tcPr>
            <w:tcW w:w="0" w:type="dxa"/>
            <w:vAlign w:val="bottom"/>
          </w:tcPr>
          <w:p>
            <w:pPr>
              <w:spacing w:after="0"/>
              <w:rPr>
                <w:sz w:val="1"/>
                <w:szCs w:val="1"/>
                <w:color w:val="auto"/>
              </w:rPr>
            </w:pPr>
          </w:p>
        </w:tc>
      </w:tr>
      <w:tr>
        <w:trPr>
          <w:trHeight w:val="21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prior service cost included in net income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2,864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3"/>
          </w:tcPr>
          <w:p>
            <w:pPr>
              <w:jc w:val="right"/>
              <w:ind w:right="20"/>
              <w:spacing w:after="0"/>
              <w:rPr>
                <w:sz w:val="20"/>
                <w:szCs w:val="20"/>
                <w:color w:val="auto"/>
              </w:rPr>
            </w:pPr>
            <w:r>
              <w:rPr>
                <w:rFonts w:ascii="Times New Roman" w:cs="Times New Roman" w:eastAsia="Times New Roman" w:hAnsi="Times New Roman"/>
                <w:sz w:val="19"/>
                <w:szCs w:val="19"/>
                <w:color w:val="auto"/>
              </w:rPr>
              <w:t>(737)</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2,127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6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720" w:type="dxa"/>
            <w:vAlign w:val="bottom"/>
            <w:tcBorders>
              <w:bottom w:val="single" w:sz="8" w:color="504C4C"/>
            </w:tcBorders>
            <w:gridSpan w:val="3"/>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504C4C"/>
            </w:tcBorders>
            <w:gridSpan w:val="5"/>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504C4C"/>
            </w:tcBorders>
            <w:gridSpan w:val="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gridSpan w:val="5"/>
          </w:tcPr>
          <w:p>
            <w:pPr>
              <w:jc w:val="right"/>
              <w:ind w:right="40"/>
              <w:spacing w:after="0"/>
              <w:rPr>
                <w:sz w:val="20"/>
                <w:szCs w:val="20"/>
                <w:color w:val="auto"/>
              </w:rPr>
            </w:pPr>
            <w:r>
              <w:rPr>
                <w:rFonts w:ascii="Times New Roman" w:cs="Times New Roman" w:eastAsia="Times New Roman" w:hAnsi="Times New Roman"/>
                <w:sz w:val="19"/>
                <w:szCs w:val="19"/>
                <w:color w:val="auto"/>
              </w:rPr>
              <w:t>(795,066)</w:t>
            </w:r>
          </w:p>
        </w:tc>
        <w:tc>
          <w:tcPr>
            <w:tcW w:w="8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204,500</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(590,566)</w:t>
            </w:r>
          </w:p>
        </w:tc>
        <w:tc>
          <w:tcPr>
            <w:tcW w:w="0" w:type="dxa"/>
            <w:vAlign w:val="bottom"/>
          </w:tcPr>
          <w:p>
            <w:pPr>
              <w:spacing w:after="0"/>
              <w:rPr>
                <w:sz w:val="1"/>
                <w:szCs w:val="1"/>
                <w:color w:val="auto"/>
              </w:rPr>
            </w:pPr>
          </w:p>
        </w:tc>
      </w:tr>
      <w:tr>
        <w:trPr>
          <w:trHeight w:val="46"/>
        </w:trPr>
        <w:tc>
          <w:tcPr>
            <w:tcW w:w="63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Cash flow hedges:</w:t>
            </w:r>
          </w:p>
        </w:tc>
        <w:tc>
          <w:tcPr>
            <w:tcW w:w="4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40" w:type="dxa"/>
            <w:vAlign w:val="bottom"/>
            <w:tcBorders>
              <w:bottom w:val="single" w:sz="8" w:color="0C080C"/>
            </w:tcBorders>
          </w:tcPr>
          <w:p>
            <w:pPr>
              <w:spacing w:after="0"/>
              <w:rPr>
                <w:sz w:val="3"/>
                <w:szCs w:val="3"/>
                <w:color w:val="auto"/>
              </w:rPr>
            </w:pPr>
          </w:p>
        </w:tc>
        <w:tc>
          <w:tcPr>
            <w:tcW w:w="20" w:type="dxa"/>
            <w:vAlign w:val="bottom"/>
            <w:tcBorders>
              <w:bottom w:val="single" w:sz="8" w:color="0C080C"/>
            </w:tcBorders>
          </w:tcPr>
          <w:p>
            <w:pPr>
              <w:spacing w:after="0"/>
              <w:rPr>
                <w:sz w:val="3"/>
                <w:szCs w:val="3"/>
                <w:color w:val="auto"/>
              </w:rPr>
            </w:pPr>
          </w:p>
        </w:tc>
        <w:tc>
          <w:tcPr>
            <w:tcW w:w="660" w:type="dxa"/>
            <w:vAlign w:val="bottom"/>
            <w:tcBorders>
              <w:bottom w:val="single" w:sz="8" w:color="0C080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6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74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9"/>
        </w:trPr>
        <w:tc>
          <w:tcPr>
            <w:tcW w:w="630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63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Gain for the year  ........ .. ....... . ........................ .</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4,765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6"/>
          </w:tcPr>
          <w:p>
            <w:pPr>
              <w:ind w:left="40"/>
              <w:spacing w:after="0"/>
              <w:rPr>
                <w:sz w:val="20"/>
                <w:szCs w:val="20"/>
                <w:color w:val="auto"/>
              </w:rPr>
            </w:pPr>
            <w:r>
              <w:rPr>
                <w:rFonts w:ascii="Times New Roman" w:cs="Times New Roman" w:eastAsia="Times New Roman" w:hAnsi="Times New Roman"/>
                <w:sz w:val="19"/>
                <w:szCs w:val="19"/>
                <w:color w:val="auto"/>
              </w:rPr>
              <w:t>(I ,096)</w:t>
            </w:r>
          </w:p>
        </w:tc>
        <w:tc>
          <w:tcPr>
            <w:tcW w:w="820" w:type="dxa"/>
            <w:vAlign w:val="bottom"/>
            <w:gridSpan w:val="4"/>
          </w:tcPr>
          <w:p>
            <w:pPr>
              <w:jc w:val="right"/>
              <w:spacing w:after="0"/>
              <w:rPr>
                <w:sz w:val="20"/>
                <w:szCs w:val="20"/>
                <w:color w:val="auto"/>
              </w:rPr>
            </w:pPr>
            <w:r>
              <w:rPr>
                <w:rFonts w:ascii="Times New Roman" w:cs="Times New Roman" w:eastAsia="Times New Roman" w:hAnsi="Times New Roman"/>
                <w:sz w:val="19"/>
                <w:szCs w:val="19"/>
                <w:color w:val="auto"/>
              </w:rPr>
              <w:t>3,669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
        </w:trPr>
        <w:tc>
          <w:tcPr>
            <w:tcW w:w="6300" w:type="dxa"/>
            <w:vAlign w:val="bottom"/>
            <w:vMerge w:val="restart"/>
          </w:tcPr>
          <w:p>
            <w:pPr>
              <w:spacing w:after="0"/>
              <w:rPr>
                <w:sz w:val="20"/>
                <w:szCs w:val="20"/>
                <w:color w:val="auto"/>
              </w:rPr>
            </w:pPr>
            <w:r>
              <w:rPr>
                <w:rFonts w:ascii="Times New Roman" w:cs="Times New Roman" w:eastAsia="Times New Roman" w:hAnsi="Times New Roman"/>
                <w:sz w:val="21"/>
                <w:szCs w:val="21"/>
                <w:color w:val="auto"/>
              </w:rPr>
              <w:t>Other Comprehensive Loss ............ . ........................ .</w:t>
            </w:r>
          </w:p>
        </w:tc>
        <w:tc>
          <w:tcPr>
            <w:tcW w:w="40" w:type="dxa"/>
            <w:vAlign w:val="bottom"/>
          </w:tcPr>
          <w:p>
            <w:pPr>
              <w:spacing w:after="0"/>
              <w:rPr>
                <w:sz w:val="3"/>
                <w:szCs w:val="3"/>
                <w:color w:val="auto"/>
              </w:rPr>
            </w:pPr>
          </w:p>
        </w:tc>
        <w:tc>
          <w:tcPr>
            <w:tcW w:w="820" w:type="dxa"/>
            <w:vAlign w:val="bottom"/>
            <w:tcBorders>
              <w:bottom w:val="single" w:sz="8" w:color="343030"/>
            </w:tcBorders>
            <w:gridSpan w:val="4"/>
          </w:tcPr>
          <w:p>
            <w:pPr>
              <w:spacing w:after="0"/>
              <w:rPr>
                <w:sz w:val="3"/>
                <w:szCs w:val="3"/>
                <w:color w:val="auto"/>
              </w:rPr>
            </w:pPr>
          </w:p>
        </w:tc>
        <w:tc>
          <w:tcPr>
            <w:tcW w:w="1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tcBorders>
              <w:bottom w:val="single" w:sz="8" w:color="343030"/>
            </w:tcBorders>
            <w:gridSpan w:val="5"/>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Borders>
              <w:bottom w:val="single" w:sz="8" w:color="343030"/>
            </w:tcBorders>
            <w:gridSpan w:val="5"/>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6300" w:type="dxa"/>
            <w:vAlign w:val="bottom"/>
            <w:vMerge w:val="continue"/>
          </w:tcPr>
          <w:p>
            <w:pPr>
              <w:spacing w:after="0"/>
              <w:rPr>
                <w:sz w:val="21"/>
                <w:szCs w:val="21"/>
                <w:color w:val="auto"/>
              </w:rPr>
            </w:pPr>
          </w:p>
        </w:tc>
        <w:tc>
          <w:tcPr>
            <w:tcW w:w="960" w:type="dxa"/>
            <w:vAlign w:val="bottom"/>
            <w:gridSpan w:val="7"/>
          </w:tcPr>
          <w:p>
            <w:pPr>
              <w:jc w:val="right"/>
              <w:ind w:right="40"/>
              <w:spacing w:after="0"/>
              <w:rPr>
                <w:sz w:val="20"/>
                <w:szCs w:val="20"/>
                <w:color w:val="auto"/>
              </w:rPr>
            </w:pPr>
            <w:r>
              <w:rPr>
                <w:rFonts w:ascii="Times New Roman" w:cs="Times New Roman" w:eastAsia="Times New Roman" w:hAnsi="Times New Roman"/>
                <w:sz w:val="19"/>
                <w:szCs w:val="19"/>
                <w:color w:val="auto"/>
              </w:rPr>
              <w:t>$(838,64 1)</w:t>
            </w:r>
          </w:p>
        </w:tc>
        <w:tc>
          <w:tcPr>
            <w:tcW w:w="80" w:type="dxa"/>
            <w:vAlign w:val="bottom"/>
          </w:tcPr>
          <w:p>
            <w:pPr>
              <w:spacing w:after="0"/>
              <w:rPr>
                <w:sz w:val="21"/>
                <w:szCs w:val="21"/>
                <w:color w:val="auto"/>
              </w:rPr>
            </w:pPr>
          </w:p>
        </w:tc>
        <w:tc>
          <w:tcPr>
            <w:tcW w:w="780" w:type="dxa"/>
            <w:vAlign w:val="bottom"/>
            <w:gridSpan w:val="6"/>
          </w:tcPr>
          <w:p>
            <w:pPr>
              <w:jc w:val="right"/>
              <w:spacing w:after="0"/>
              <w:rPr>
                <w:sz w:val="20"/>
                <w:szCs w:val="20"/>
                <w:color w:val="auto"/>
              </w:rPr>
            </w:pPr>
            <w:r>
              <w:rPr>
                <w:rFonts w:ascii="Times New Roman" w:cs="Times New Roman" w:eastAsia="Times New Roman" w:hAnsi="Times New Roman"/>
                <w:sz w:val="19"/>
                <w:szCs w:val="19"/>
                <w:color w:val="auto"/>
              </w:rPr>
              <w:t>$203,404</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gridSpan w:val="7"/>
          </w:tcPr>
          <w:p>
            <w:pPr>
              <w:jc w:val="right"/>
              <w:spacing w:after="0"/>
              <w:rPr>
                <w:sz w:val="20"/>
                <w:szCs w:val="20"/>
                <w:color w:val="auto"/>
              </w:rPr>
            </w:pPr>
            <w:r>
              <w:rPr>
                <w:rFonts w:ascii="Times New Roman" w:cs="Times New Roman" w:eastAsia="Times New Roman" w:hAnsi="Times New Roman"/>
                <w:sz w:val="19"/>
                <w:szCs w:val="19"/>
                <w:color w:val="auto"/>
              </w:rPr>
              <w:t>$(635,237)</w:t>
            </w:r>
          </w:p>
        </w:tc>
        <w:tc>
          <w:tcPr>
            <w:tcW w:w="0" w:type="dxa"/>
            <w:vAlign w:val="bottom"/>
          </w:tcPr>
          <w:p>
            <w:pPr>
              <w:spacing w:after="0"/>
              <w:rPr>
                <w:sz w:val="1"/>
                <w:szCs w:val="1"/>
                <w:color w:val="auto"/>
              </w:rPr>
            </w:pPr>
          </w:p>
        </w:tc>
      </w:tr>
      <w:tr>
        <w:trPr>
          <w:trHeight w:val="36"/>
        </w:trPr>
        <w:tc>
          <w:tcPr>
            <w:tcW w:w="6300" w:type="dxa"/>
            <w:vAlign w:val="bottom"/>
          </w:tcPr>
          <w:p>
            <w:pPr>
              <w:spacing w:after="0"/>
              <w:rPr>
                <w:sz w:val="3"/>
                <w:szCs w:val="3"/>
                <w:color w:val="auto"/>
              </w:rPr>
            </w:pPr>
          </w:p>
        </w:tc>
        <w:tc>
          <w:tcPr>
            <w:tcW w:w="40" w:type="dxa"/>
            <w:vAlign w:val="bottom"/>
            <w:tcBorders>
              <w:bottom w:val="single" w:sz="8" w:color="504C4C"/>
            </w:tcBorders>
          </w:tcPr>
          <w:p>
            <w:pPr>
              <w:spacing w:after="0"/>
              <w:rPr>
                <w:sz w:val="3"/>
                <w:szCs w:val="3"/>
                <w:color w:val="auto"/>
              </w:rPr>
            </w:pPr>
          </w:p>
        </w:tc>
        <w:tc>
          <w:tcPr>
            <w:tcW w:w="100" w:type="dxa"/>
            <w:vAlign w:val="bottom"/>
            <w:tcBorders>
              <w:bottom w:val="single" w:sz="8" w:color="504C4C"/>
            </w:tcBorders>
          </w:tcPr>
          <w:p>
            <w:pPr>
              <w:spacing w:after="0"/>
              <w:rPr>
                <w:sz w:val="3"/>
                <w:szCs w:val="3"/>
                <w:color w:val="auto"/>
              </w:rPr>
            </w:pPr>
          </w:p>
        </w:tc>
        <w:tc>
          <w:tcPr>
            <w:tcW w:w="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66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0" w:type="dxa"/>
            <w:vAlign w:val="bottom"/>
            <w:tcBorders>
              <w:bottom w:val="single" w:sz="8" w:color="504C4C"/>
            </w:tcBorders>
          </w:tcPr>
          <w:p>
            <w:pPr>
              <w:spacing w:after="0"/>
              <w:rPr>
                <w:sz w:val="3"/>
                <w:szCs w:val="3"/>
                <w:color w:val="auto"/>
              </w:rPr>
            </w:pPr>
          </w:p>
        </w:tc>
        <w:tc>
          <w:tcPr>
            <w:tcW w:w="56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94" w:right="1440" w:bottom="721" w:gutter="0" w:footer="0" w:header="0"/>
        </w:sectPr>
      </w:pPr>
    </w:p>
    <w:p>
      <w:pPr>
        <w:spacing w:after="0" w:line="370"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140</w:t>
        <w:tab/>
        <w:t>2024 FORM 10-K</w:t>
      </w:r>
    </w:p>
    <w:p>
      <w:pPr>
        <w:sectPr>
          <w:pgSz w:w="12240" w:h="15850" w:orient="portrait"/>
          <w:cols w:equalWidth="0" w:num="1">
            <w:col w:w="9365"/>
          </w:cols>
          <w:pgMar w:left="1440" w:top="1394" w:right="1440" w:bottom="721" w:gutter="0" w:footer="0" w:header="0"/>
          <w:type w:val="continuous"/>
        </w:sectPr>
      </w:pPr>
    </w:p>
    <w:bookmarkStart w:id="156" w:name="page157"/>
    <w:bookmarkEnd w:id="156"/>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64">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The accumulated balances related to each component of other comprehensive income (loss) are as follows:</w:t>
      </w:r>
    </w:p>
    <w:p>
      <w:pPr>
        <w:spacing w:after="0" w:line="184"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18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Unre.alized</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162"/>
        </w:trPr>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Cumulative</w:t>
            </w:r>
          </w:p>
        </w:tc>
        <w:tc>
          <w:tcPr>
            <w:tcW w:w="1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Gain</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2"/>
        </w:trPr>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Foreign</w:t>
            </w:r>
          </w:p>
        </w:tc>
        <w:tc>
          <w:tcPr>
            <w:tcW w:w="1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on Pensions</w:t>
            </w: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Accnmnlated</w:t>
            </w:r>
          </w:p>
        </w:tc>
      </w:tr>
      <w:tr>
        <w:trPr>
          <w:trHeight w:val="162"/>
        </w:trPr>
        <w:tc>
          <w:tcPr>
            <w:tcW w:w="18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92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color w:val="auto"/>
              </w:rPr>
              <w:t>C urrency</w:t>
            </w:r>
          </w:p>
        </w:tc>
        <w:tc>
          <w:tcPr>
            <w:tcW w:w="100" w:type="dxa"/>
            <w:vAlign w:val="bottom"/>
          </w:tcPr>
          <w:p>
            <w:pPr>
              <w:spacing w:after="0"/>
              <w:rPr>
                <w:sz w:val="14"/>
                <w:szCs w:val="14"/>
                <w:color w:val="auto"/>
              </w:rPr>
            </w:pPr>
          </w:p>
        </w:tc>
        <w:tc>
          <w:tcPr>
            <w:tcW w:w="104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and O ther</w:t>
            </w:r>
          </w:p>
        </w:tc>
        <w:tc>
          <w:tcPr>
            <w:tcW w:w="180" w:type="dxa"/>
            <w:vAlign w:val="bottom"/>
          </w:tcPr>
          <w:p>
            <w:pPr>
              <w:spacing w:after="0"/>
              <w:rPr>
                <w:sz w:val="14"/>
                <w:szCs w:val="14"/>
                <w:color w:val="auto"/>
              </w:rPr>
            </w:pPr>
          </w:p>
        </w:tc>
        <w:tc>
          <w:tcPr>
            <w:tcW w:w="6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Cash</w:t>
            </w:r>
          </w:p>
        </w:tc>
        <w:tc>
          <w:tcPr>
            <w:tcW w:w="200" w:type="dxa"/>
            <w:vAlign w:val="bottom"/>
          </w:tcPr>
          <w:p>
            <w:pPr>
              <w:spacing w:after="0"/>
              <w:rPr>
                <w:sz w:val="14"/>
                <w:szCs w:val="14"/>
                <w:color w:val="auto"/>
              </w:rPr>
            </w:pPr>
          </w:p>
        </w:tc>
        <w:tc>
          <w:tcPr>
            <w:tcW w:w="106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Other</w:t>
            </w:r>
          </w:p>
        </w:tc>
      </w:tr>
      <w:tr>
        <w:trPr>
          <w:trHeight w:val="153"/>
        </w:trPr>
        <w:tc>
          <w:tcPr>
            <w:tcW w:w="1820" w:type="dxa"/>
            <w:vAlign w:val="bottom"/>
          </w:tcPr>
          <w:p>
            <w:pPr>
              <w:spacing w:after="0"/>
              <w:rPr>
                <w:sz w:val="13"/>
                <w:szCs w:val="13"/>
                <w:color w:val="auto"/>
              </w:rPr>
            </w:pPr>
          </w:p>
        </w:tc>
        <w:tc>
          <w:tcPr>
            <w:tcW w:w="4100" w:type="dxa"/>
            <w:vAlign w:val="bottom"/>
            <w:gridSpan w:val="3"/>
          </w:tcPr>
          <w:p>
            <w:pPr>
              <w:jc w:val="center"/>
              <w:ind w:left="2999"/>
              <w:spacing w:after="0" w:line="153" w:lineRule="exact"/>
              <w:rPr>
                <w:sz w:val="20"/>
                <w:szCs w:val="20"/>
                <w:color w:val="auto"/>
              </w:rPr>
            </w:pPr>
            <w:r>
              <w:rPr>
                <w:rFonts w:ascii="Times New Roman" w:cs="Times New Roman" w:eastAsia="Times New Roman" w:hAnsi="Times New Roman"/>
                <w:sz w:val="16"/>
                <w:szCs w:val="16"/>
                <w:color w:val="auto"/>
              </w:rPr>
              <w:t>Translation</w:t>
            </w:r>
          </w:p>
        </w:tc>
        <w:tc>
          <w:tcPr>
            <w:tcW w:w="1140" w:type="dxa"/>
            <w:vAlign w:val="bottom"/>
            <w:gridSpan w:val="2"/>
          </w:tcPr>
          <w:p>
            <w:pPr>
              <w:jc w:val="center"/>
              <w:spacing w:after="0" w:line="153" w:lineRule="exact"/>
              <w:rPr>
                <w:sz w:val="20"/>
                <w:szCs w:val="20"/>
                <w:color w:val="auto"/>
              </w:rPr>
            </w:pPr>
            <w:r>
              <w:rPr>
                <w:rFonts w:ascii="Times New Roman" w:cs="Times New Roman" w:eastAsia="Times New Roman" w:hAnsi="Times New Roman"/>
                <w:sz w:val="16"/>
                <w:szCs w:val="16"/>
                <w:color w:val="auto"/>
              </w:rPr>
              <w:t>Postretirement</w:t>
            </w:r>
          </w:p>
        </w:tc>
        <w:tc>
          <w:tcPr>
            <w:tcW w:w="180" w:type="dxa"/>
            <w:vAlign w:val="bottom"/>
          </w:tcPr>
          <w:p>
            <w:pPr>
              <w:spacing w:after="0"/>
              <w:rPr>
                <w:sz w:val="13"/>
                <w:szCs w:val="13"/>
                <w:color w:val="auto"/>
              </w:rPr>
            </w:pPr>
          </w:p>
        </w:tc>
        <w:tc>
          <w:tcPr>
            <w:tcW w:w="620" w:type="dxa"/>
            <w:vAlign w:val="bottom"/>
          </w:tcPr>
          <w:p>
            <w:pPr>
              <w:jc w:val="center"/>
              <w:spacing w:after="0" w:line="153" w:lineRule="exact"/>
              <w:rPr>
                <w:sz w:val="20"/>
                <w:szCs w:val="20"/>
                <w:color w:val="auto"/>
              </w:rPr>
            </w:pPr>
            <w:r>
              <w:rPr>
                <w:rFonts w:ascii="Times New Roman" w:cs="Times New Roman" w:eastAsia="Times New Roman" w:hAnsi="Times New Roman"/>
                <w:sz w:val="16"/>
                <w:szCs w:val="16"/>
                <w:color w:val="auto"/>
              </w:rPr>
              <w:t>Flow</w:t>
            </w:r>
          </w:p>
        </w:tc>
        <w:tc>
          <w:tcPr>
            <w:tcW w:w="1260" w:type="dxa"/>
            <w:vAlign w:val="bottom"/>
            <w:gridSpan w:val="2"/>
          </w:tcPr>
          <w:p>
            <w:pPr>
              <w:jc w:val="center"/>
              <w:ind w:left="119"/>
              <w:spacing w:after="0" w:line="153" w:lineRule="exact"/>
              <w:rPr>
                <w:sz w:val="20"/>
                <w:szCs w:val="20"/>
                <w:color w:val="auto"/>
              </w:rPr>
            </w:pPr>
            <w:r>
              <w:rPr>
                <w:rFonts w:ascii="Times New Roman" w:cs="Times New Roman" w:eastAsia="Times New Roman" w:hAnsi="Times New Roman"/>
                <w:sz w:val="16"/>
                <w:szCs w:val="16"/>
                <w:color w:val="auto"/>
              </w:rPr>
              <w:t>Comprehensive</w:t>
            </w:r>
          </w:p>
        </w:tc>
      </w:tr>
      <w:tr>
        <w:trPr>
          <w:trHeight w:val="188"/>
        </w:trPr>
        <w:tc>
          <w:tcPr>
            <w:tcW w:w="1820" w:type="dxa"/>
            <w:vAlign w:val="bottom"/>
          </w:tcPr>
          <w:p>
            <w:pPr>
              <w:spacing w:after="0" w:line="179" w:lineRule="exact"/>
              <w:rPr>
                <w:sz w:val="20"/>
                <w:szCs w:val="20"/>
                <w:color w:val="auto"/>
              </w:rPr>
            </w:pPr>
            <w:r>
              <w:rPr>
                <w:rFonts w:ascii="Times New Roman" w:cs="Times New Roman" w:eastAsia="Times New Roman" w:hAnsi="Times New Roman"/>
                <w:sz w:val="16"/>
                <w:szCs w:val="16"/>
                <w:color w:val="auto"/>
              </w:rPr>
              <w:t>(in thousands, net of taxes)</w:t>
            </w:r>
          </w:p>
        </w:tc>
        <w:tc>
          <w:tcPr>
            <w:tcW w:w="3180" w:type="dxa"/>
            <w:vAlign w:val="bottom"/>
          </w:tcPr>
          <w:p>
            <w:pPr>
              <w:spacing w:after="0"/>
              <w:rPr>
                <w:sz w:val="16"/>
                <w:szCs w:val="16"/>
                <w:color w:val="auto"/>
              </w:rPr>
            </w:pPr>
          </w:p>
        </w:tc>
        <w:tc>
          <w:tcPr>
            <w:tcW w:w="920" w:type="dxa"/>
            <w:vAlign w:val="bottom"/>
            <w:gridSpan w:val="2"/>
          </w:tcPr>
          <w:p>
            <w:pPr>
              <w:jc w:val="center"/>
              <w:ind w:right="80"/>
              <w:spacing w:after="0" w:line="179" w:lineRule="exact"/>
              <w:rPr>
                <w:sz w:val="20"/>
                <w:szCs w:val="20"/>
                <w:color w:val="auto"/>
              </w:rPr>
            </w:pPr>
            <w:r>
              <w:rPr>
                <w:rFonts w:ascii="Times New Roman" w:cs="Times New Roman" w:eastAsia="Times New Roman" w:hAnsi="Times New Roman"/>
                <w:sz w:val="16"/>
                <w:szCs w:val="16"/>
                <w:color w:val="auto"/>
              </w:rPr>
              <w:t>Adjustment</w:t>
            </w:r>
          </w:p>
        </w:tc>
        <w:tc>
          <w:tcPr>
            <w:tcW w:w="100" w:type="dxa"/>
            <w:vAlign w:val="bottom"/>
          </w:tcPr>
          <w:p>
            <w:pPr>
              <w:spacing w:after="0"/>
              <w:rPr>
                <w:sz w:val="16"/>
                <w:szCs w:val="16"/>
                <w:color w:val="auto"/>
              </w:rPr>
            </w:pPr>
          </w:p>
        </w:tc>
        <w:tc>
          <w:tcPr>
            <w:tcW w:w="104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Plans</w:t>
            </w:r>
          </w:p>
        </w:tc>
        <w:tc>
          <w:tcPr>
            <w:tcW w:w="180" w:type="dxa"/>
            <w:vAlign w:val="bottom"/>
          </w:tcPr>
          <w:p>
            <w:pPr>
              <w:spacing w:after="0"/>
              <w:rPr>
                <w:sz w:val="16"/>
                <w:szCs w:val="16"/>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Hedges</w:t>
            </w:r>
          </w:p>
        </w:tc>
        <w:tc>
          <w:tcPr>
            <w:tcW w:w="200" w:type="dxa"/>
            <w:vAlign w:val="bottom"/>
          </w:tcPr>
          <w:p>
            <w:pPr>
              <w:spacing w:after="0"/>
              <w:rPr>
                <w:sz w:val="16"/>
                <w:szCs w:val="16"/>
                <w:color w:val="auto"/>
              </w:rPr>
            </w:pPr>
          </w:p>
        </w:tc>
        <w:tc>
          <w:tcPr>
            <w:tcW w:w="1060" w:type="dxa"/>
            <w:vAlign w:val="bottom"/>
          </w:tcPr>
          <w:p>
            <w:pPr>
              <w:jc w:val="center"/>
              <w:spacing w:after="0" w:line="179" w:lineRule="exact"/>
              <w:rPr>
                <w:sz w:val="20"/>
                <w:szCs w:val="20"/>
                <w:color w:val="auto"/>
              </w:rPr>
            </w:pPr>
            <w:r>
              <w:rPr>
                <w:rFonts w:ascii="Times New Roman" w:cs="Times New Roman" w:eastAsia="Times New Roman" w:hAnsi="Times New Roman"/>
                <w:sz w:val="16"/>
                <w:szCs w:val="16"/>
                <w:color w:val="auto"/>
              </w:rPr>
              <w:t>Income</w:t>
            </w:r>
          </w:p>
        </w:tc>
      </w:tr>
      <w:tr>
        <w:trPr>
          <w:trHeight w:val="32"/>
        </w:trPr>
        <w:tc>
          <w:tcPr>
            <w:tcW w:w="1820" w:type="dxa"/>
            <w:vAlign w:val="bottom"/>
            <w:tcBorders>
              <w:bottom w:val="single" w:sz="8" w:color="404040"/>
            </w:tcBorders>
          </w:tcPr>
          <w:p>
            <w:pPr>
              <w:spacing w:after="0"/>
              <w:rPr>
                <w:sz w:val="2"/>
                <w:szCs w:val="2"/>
                <w:color w:val="auto"/>
              </w:rPr>
            </w:pPr>
          </w:p>
        </w:tc>
        <w:tc>
          <w:tcPr>
            <w:tcW w:w="3180" w:type="dxa"/>
            <w:vAlign w:val="bottom"/>
          </w:tcPr>
          <w:p>
            <w:pPr>
              <w:spacing w:after="0"/>
              <w:rPr>
                <w:sz w:val="2"/>
                <w:szCs w:val="2"/>
                <w:color w:val="auto"/>
              </w:rPr>
            </w:pPr>
          </w:p>
        </w:tc>
        <w:tc>
          <w:tcPr>
            <w:tcW w:w="820" w:type="dxa"/>
            <w:vAlign w:val="bottom"/>
            <w:tcBorders>
              <w:bottom w:val="single" w:sz="8" w:color="403C3C"/>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Borders>
              <w:bottom w:val="single" w:sz="8" w:color="403C3C"/>
            </w:tcBorders>
          </w:tcPr>
          <w:p>
            <w:pPr>
              <w:spacing w:after="0"/>
              <w:rPr>
                <w:sz w:val="2"/>
                <w:szCs w:val="2"/>
                <w:color w:val="auto"/>
              </w:rPr>
            </w:pPr>
          </w:p>
        </w:tc>
      </w:tr>
    </w:tbl>
    <w:p>
      <w:pPr>
        <w:spacing w:after="0" w:line="31" w:lineRule="exact"/>
        <w:rPr>
          <w:sz w:val="20"/>
          <w:szCs w:val="20"/>
          <w:color w:val="auto"/>
        </w:rPr>
      </w:pPr>
    </w:p>
    <w:tbl>
      <w:tblPr>
        <w:tblLayout w:type="fixed"/>
        <w:tblInd w:w="120" w:type="dxa"/>
        <w:tblCellMar>
          <w:top w:w="0" w:type="dxa"/>
          <w:left w:w="0" w:type="dxa"/>
          <w:bottom w:w="0" w:type="dxa"/>
          <w:right w:w="0" w:type="dxa"/>
        </w:tblCellMar>
      </w:tblPr>
      <w:tr>
        <w:trPr>
          <w:trHeight w:val="240"/>
        </w:trPr>
        <w:tc>
          <w:tcPr>
            <w:tcW w:w="3480" w:type="dxa"/>
            <w:vAlign w:val="bottom"/>
          </w:tcPr>
          <w:p>
            <w:pPr>
              <w:spacing w:after="0"/>
              <w:rPr>
                <w:sz w:val="20"/>
                <w:szCs w:val="20"/>
                <w:color w:val="auto"/>
              </w:rPr>
            </w:pPr>
            <w:r>
              <w:rPr>
                <w:rFonts w:ascii="Times New Roman" w:cs="Times New Roman" w:eastAsia="Times New Roman" w:hAnsi="Times New Roman"/>
                <w:sz w:val="19"/>
                <w:szCs w:val="19"/>
                <w:color w:val="auto"/>
              </w:rPr>
              <w:t xml:space="preserve">As of December </w:t>
            </w:r>
            <w:r>
              <w:rPr>
                <w:rFonts w:ascii="Times New Roman" w:cs="Times New Roman" w:eastAsia="Times New Roman" w:hAnsi="Times New Roman"/>
                <w:sz w:val="20"/>
                <w:szCs w:val="20"/>
                <w:color w:val="auto"/>
              </w:rPr>
              <w:t>31, 2022</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3"/>
                <w:szCs w:val="3"/>
                <w:color w:val="auto"/>
              </w:rPr>
              <w:t>•       ••     •       •       •       0      .....    ..</w:t>
            </w:r>
          </w:p>
        </w:tc>
        <w:tc>
          <w:tcPr>
            <w:tcW w:w="80" w:type="dxa"/>
            <w:vAlign w:val="bottom"/>
          </w:tcPr>
          <w:p>
            <w:pPr>
              <w:jc w:val="right"/>
              <w:ind w:right="52"/>
              <w:spacing w:after="0"/>
              <w:rPr>
                <w:sz w:val="20"/>
                <w:szCs w:val="20"/>
                <w:color w:val="auto"/>
              </w:rPr>
            </w:pPr>
            <w:r>
              <w:rPr>
                <w:rFonts w:ascii="Times New Roman" w:cs="Times New Roman" w:eastAsia="Times New Roman" w:hAnsi="Times New Roman"/>
                <w:sz w:val="2"/>
                <w:szCs w:val="2"/>
                <w:color w:val="auto"/>
                <w:w w:val="4294967291"/>
              </w:rPr>
              <w:t>0</w:t>
            </w:r>
          </w:p>
        </w:tc>
        <w:tc>
          <w:tcPr>
            <w:tcW w:w="1000" w:type="dxa"/>
            <w:vAlign w:val="bottom"/>
          </w:tcPr>
          <w:p>
            <w:pPr>
              <w:spacing w:after="0"/>
              <w:rPr>
                <w:sz w:val="20"/>
                <w:szCs w:val="20"/>
                <w:color w:val="auto"/>
              </w:rPr>
            </w:pPr>
            <w:r>
              <w:rPr>
                <w:rFonts w:ascii="Times New Roman" w:cs="Times New Roman" w:eastAsia="Times New Roman" w:hAnsi="Times New Roman"/>
                <w:sz w:val="3"/>
                <w:szCs w:val="3"/>
                <w:color w:val="auto"/>
              </w:rPr>
              <w:t>0 .0••••••0</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3"/>
                <w:szCs w:val="3"/>
                <w:color w:val="auto"/>
              </w:rPr>
              <w:t>•••</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w w:val="99"/>
              </w:rPr>
              <w:t>$(54,638)</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w w:val="99"/>
              </w:rPr>
              <w:t>$ 388,591</w:t>
            </w:r>
          </w:p>
        </w:tc>
        <w:tc>
          <w:tcPr>
            <w:tcW w:w="30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$2,198</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w w:val="96"/>
              </w:rPr>
              <w:t>$ 336, 151</w:t>
            </w:r>
          </w:p>
        </w:tc>
      </w:tr>
      <w:tr>
        <w:trPr>
          <w:trHeight w:val="227"/>
        </w:trPr>
        <w:tc>
          <w:tcPr>
            <w:tcW w:w="348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Other comprehensive income before</w:t>
            </w: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50"/>
        </w:trPr>
        <w:tc>
          <w:tcPr>
            <w:tcW w:w="356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reclassifications ..... .. ... .......</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19"/>
                <w:szCs w:val="19"/>
                <w:color w:val="auto"/>
              </w:rPr>
              <w:t>.. ..... .....</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21,927</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291,537</w:t>
            </w:r>
          </w:p>
        </w:tc>
        <w:tc>
          <w:tcPr>
            <w:tcW w:w="300" w:type="dxa"/>
            <w:vAlign w:val="bottom"/>
          </w:tcPr>
          <w:p>
            <w:pPr>
              <w:spacing w:after="0"/>
              <w:rPr>
                <w:sz w:val="21"/>
                <w:szCs w:val="21"/>
                <w:color w:val="auto"/>
              </w:rPr>
            </w:pP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w w:val="93"/>
              </w:rPr>
              <w:t>1,028</w:t>
            </w: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314,492</w:t>
            </w:r>
          </w:p>
        </w:tc>
        <w:tc>
          <w:tcPr>
            <w:tcW w:w="60" w:type="dxa"/>
            <w:vAlign w:val="bottom"/>
          </w:tcPr>
          <w:p>
            <w:pPr>
              <w:spacing w:after="0"/>
              <w:rPr>
                <w:sz w:val="21"/>
                <w:szCs w:val="21"/>
                <w:color w:val="auto"/>
              </w:rPr>
            </w:pPr>
          </w:p>
        </w:tc>
      </w:tr>
      <w:tr>
        <w:trPr>
          <w:trHeight w:val="236"/>
        </w:trPr>
        <w:tc>
          <w:tcPr>
            <w:tcW w:w="45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Net amount reclassified from accumulated other</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356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w w:val="96"/>
              </w:rPr>
              <w:t>comprehensive income  ...... . ................</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(30,943)</w:t>
            </w: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color w:val="auto"/>
                <w:w w:val="99"/>
              </w:rPr>
              <w:t>(5,363)</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(36,306)</w:t>
            </w:r>
          </w:p>
        </w:tc>
      </w:tr>
      <w:tr>
        <w:trPr>
          <w:trHeight w:val="34"/>
        </w:trPr>
        <w:tc>
          <w:tcPr>
            <w:tcW w:w="3560" w:type="dxa"/>
            <w:vAlign w:val="bottom"/>
            <w:gridSpan w:val="2"/>
          </w:tcPr>
          <w:p>
            <w:pPr>
              <w:spacing w:after="0"/>
              <w:rPr>
                <w:sz w:val="2"/>
                <w:szCs w:val="2"/>
                <w:color w:val="auto"/>
              </w:rPr>
            </w:pPr>
          </w:p>
        </w:tc>
        <w:tc>
          <w:tcPr>
            <w:tcW w:w="1480" w:type="dxa"/>
            <w:vAlign w:val="bottom"/>
            <w:gridSpan w:val="2"/>
          </w:tcPr>
          <w:p>
            <w:pPr>
              <w:spacing w:after="0"/>
              <w:rPr>
                <w:sz w:val="2"/>
                <w:szCs w:val="2"/>
                <w:color w:val="auto"/>
              </w:rPr>
            </w:pPr>
          </w:p>
        </w:tc>
        <w:tc>
          <w:tcPr>
            <w:tcW w:w="74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504C4C"/>
            </w:tcBorders>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3560" w:type="dxa"/>
            <w:vAlign w:val="bottom"/>
            <w:gridSpan w:val="2"/>
          </w:tcPr>
          <w:p>
            <w:pPr>
              <w:ind w:left="400"/>
              <w:spacing w:after="0"/>
              <w:rPr>
                <w:sz w:val="20"/>
                <w:szCs w:val="20"/>
                <w:color w:val="auto"/>
              </w:rPr>
            </w:pPr>
            <w:r>
              <w:rPr>
                <w:rFonts w:ascii="Times New Roman" w:cs="Times New Roman" w:eastAsia="Times New Roman" w:hAnsi="Times New Roman"/>
                <w:sz w:val="19"/>
                <w:szCs w:val="19"/>
                <w:color w:val="auto"/>
              </w:rPr>
              <w:t>Net other comprehens ive income (loss)</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3"/>
                <w:szCs w:val="3"/>
                <w:color w:val="auto"/>
              </w:rPr>
              <w:t>••••••0•••••</w:t>
            </w:r>
          </w:p>
        </w:tc>
        <w:tc>
          <w:tcPr>
            <w:tcW w:w="7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2 1,927</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260,594</w:t>
            </w:r>
          </w:p>
        </w:tc>
        <w:tc>
          <w:tcPr>
            <w:tcW w:w="300" w:type="dxa"/>
            <w:vAlign w:val="bottom"/>
          </w:tcPr>
          <w:p>
            <w:pPr>
              <w:spacing w:after="0"/>
              <w:rPr>
                <w:sz w:val="23"/>
                <w:szCs w:val="23"/>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color w:val="auto"/>
                <w:w w:val="99"/>
              </w:rPr>
              <w:t>(4,335)</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278,186</w:t>
            </w:r>
          </w:p>
        </w:tc>
        <w:tc>
          <w:tcPr>
            <w:tcW w:w="60" w:type="dxa"/>
            <w:vAlign w:val="bottom"/>
          </w:tcPr>
          <w:p>
            <w:pPr>
              <w:spacing w:after="0"/>
              <w:rPr>
                <w:sz w:val="23"/>
                <w:szCs w:val="23"/>
                <w:color w:val="auto"/>
              </w:rPr>
            </w:pPr>
          </w:p>
        </w:tc>
      </w:tr>
      <w:tr>
        <w:trPr>
          <w:trHeight w:val="34"/>
        </w:trPr>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Borders>
              <w:bottom w:val="single" w:sz="8" w:color="0C080C"/>
            </w:tcBorders>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0C080C"/>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0C080C"/>
            </w:tcBorders>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Borders>
              <w:bottom w:val="single" w:sz="8" w:color="0C0808"/>
            </w:tcBorders>
          </w:tcPr>
          <w:p>
            <w:pPr>
              <w:spacing w:after="0"/>
              <w:rPr>
                <w:sz w:val="2"/>
                <w:szCs w:val="2"/>
                <w:color w:val="auto"/>
              </w:rPr>
            </w:pPr>
          </w:p>
        </w:tc>
        <w:tc>
          <w:tcPr>
            <w:tcW w:w="60" w:type="dxa"/>
            <w:vAlign w:val="bottom"/>
          </w:tcPr>
          <w:p>
            <w:pPr>
              <w:spacing w:after="0"/>
              <w:rPr>
                <w:sz w:val="2"/>
                <w:szCs w:val="2"/>
                <w:color w:val="auto"/>
              </w:rPr>
            </w:pPr>
          </w:p>
        </w:tc>
      </w:tr>
      <w:tr>
        <w:trPr>
          <w:trHeight w:val="270"/>
        </w:trPr>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As of December </w:t>
            </w:r>
            <w:r>
              <w:rPr>
                <w:rFonts w:ascii="Times New Roman" w:cs="Times New Roman" w:eastAsia="Times New Roman" w:hAnsi="Times New Roman"/>
                <w:sz w:val="20"/>
                <w:szCs w:val="20"/>
                <w:color w:val="auto"/>
              </w:rPr>
              <w:t>31, 2023 ..............</w:t>
            </w:r>
          </w:p>
        </w:tc>
        <w:tc>
          <w:tcPr>
            <w:tcW w:w="1480" w:type="dxa"/>
            <w:vAlign w:val="bottom"/>
            <w:gridSpan w:val="2"/>
          </w:tcPr>
          <w:p>
            <w:pPr>
              <w:jc w:val="right"/>
              <w:ind w:right="230"/>
              <w:spacing w:after="0"/>
              <w:rPr>
                <w:sz w:val="20"/>
                <w:szCs w:val="20"/>
                <w:color w:val="auto"/>
              </w:rPr>
            </w:pPr>
            <w:r>
              <w:rPr>
                <w:rFonts w:ascii="Times New Roman" w:cs="Times New Roman" w:eastAsia="Times New Roman" w:hAnsi="Times New Roman"/>
                <w:sz w:val="20"/>
                <w:szCs w:val="20"/>
                <w:color w:val="auto"/>
              </w:rPr>
              <w:t>. . ...........</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w w:val="99"/>
              </w:rPr>
              <w:t>(32,7 11 )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649, 185</w:t>
            </w:r>
          </w:p>
        </w:tc>
        <w:tc>
          <w:tcPr>
            <w:tcW w:w="300" w:type="dxa"/>
            <w:vAlign w:val="bottom"/>
          </w:tcPr>
          <w:p>
            <w:pPr>
              <w:spacing w:after="0"/>
              <w:rPr>
                <w:sz w:val="23"/>
                <w:szCs w:val="23"/>
                <w:color w:val="auto"/>
              </w:rPr>
            </w:pPr>
          </w:p>
        </w:tc>
        <w:tc>
          <w:tcPr>
            <w:tcW w:w="940" w:type="dxa"/>
            <w:vAlign w:val="bottom"/>
            <w:gridSpan w:val="3"/>
          </w:tcPr>
          <w:p>
            <w:pPr>
              <w:jc w:val="center"/>
              <w:ind w:right="160"/>
              <w:spacing w:after="0"/>
              <w:rPr>
                <w:sz w:val="20"/>
                <w:szCs w:val="20"/>
                <w:color w:val="auto"/>
              </w:rPr>
            </w:pPr>
            <w:r>
              <w:rPr>
                <w:rFonts w:ascii="Times New Roman" w:cs="Times New Roman" w:eastAsia="Times New Roman" w:hAnsi="Times New Roman"/>
                <w:sz w:val="20"/>
                <w:szCs w:val="20"/>
                <w:color w:val="auto"/>
                <w:w w:val="91"/>
              </w:rPr>
              <w:t>(2, 137)</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6 14,337</w:t>
            </w:r>
          </w:p>
        </w:tc>
        <w:tc>
          <w:tcPr>
            <w:tcW w:w="60" w:type="dxa"/>
            <w:vAlign w:val="bottom"/>
          </w:tcPr>
          <w:p>
            <w:pPr>
              <w:spacing w:after="0"/>
              <w:rPr>
                <w:sz w:val="23"/>
                <w:szCs w:val="23"/>
                <w:color w:val="auto"/>
              </w:rPr>
            </w:pPr>
          </w:p>
        </w:tc>
      </w:tr>
      <w:tr>
        <w:trPr>
          <w:trHeight w:val="236"/>
        </w:trPr>
        <w:tc>
          <w:tcPr>
            <w:tcW w:w="45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Other comprehensive (loss) income before</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0"/>
        </w:trPr>
        <w:tc>
          <w:tcPr>
            <w:tcW w:w="3560" w:type="dxa"/>
            <w:vAlign w:val="bottom"/>
            <w:gridSpan w:val="2"/>
          </w:tcPr>
          <w:p>
            <w:pPr>
              <w:ind w:left="600"/>
              <w:spacing w:after="0"/>
              <w:rPr>
                <w:sz w:val="20"/>
                <w:szCs w:val="20"/>
                <w:color w:val="auto"/>
              </w:rPr>
            </w:pPr>
            <w:r>
              <w:rPr>
                <w:rFonts w:ascii="Times New Roman" w:cs="Times New Roman" w:eastAsia="Times New Roman" w:hAnsi="Times New Roman"/>
                <w:sz w:val="19"/>
                <w:szCs w:val="19"/>
                <w:color w:val="auto"/>
              </w:rPr>
              <w:t>reclassifications  .... . .... . . . ................</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(24,568)</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261,925</w:t>
            </w:r>
          </w:p>
        </w:tc>
        <w:tc>
          <w:tcPr>
            <w:tcW w:w="300" w:type="dxa"/>
            <w:vAlign w:val="bottom"/>
          </w:tcPr>
          <w:p>
            <w:pPr>
              <w:spacing w:after="0"/>
              <w:rPr>
                <w:sz w:val="20"/>
                <w:szCs w:val="20"/>
                <w:color w:val="auto"/>
              </w:rPr>
            </w:pP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1,393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238,750</w:t>
            </w:r>
          </w:p>
        </w:tc>
        <w:tc>
          <w:tcPr>
            <w:tcW w:w="60" w:type="dxa"/>
            <w:vAlign w:val="bottom"/>
          </w:tcPr>
          <w:p>
            <w:pPr>
              <w:spacing w:after="0"/>
              <w:rPr>
                <w:sz w:val="20"/>
                <w:szCs w:val="20"/>
                <w:color w:val="auto"/>
              </w:rPr>
            </w:pPr>
          </w:p>
        </w:tc>
      </w:tr>
      <w:tr>
        <w:trPr>
          <w:trHeight w:val="236"/>
        </w:trPr>
        <w:tc>
          <w:tcPr>
            <w:tcW w:w="4560" w:type="dxa"/>
            <w:vAlign w:val="bottom"/>
            <w:gridSpan w:val="3"/>
          </w:tcPr>
          <w:p>
            <w:pPr>
              <w:ind w:left="400"/>
              <w:spacing w:after="0"/>
              <w:rPr>
                <w:sz w:val="20"/>
                <w:szCs w:val="20"/>
                <w:color w:val="auto"/>
              </w:rPr>
            </w:pPr>
            <w:r>
              <w:rPr>
                <w:rFonts w:ascii="Times New Roman" w:cs="Times New Roman" w:eastAsia="Times New Roman" w:hAnsi="Times New Roman"/>
                <w:sz w:val="19"/>
                <w:szCs w:val="19"/>
                <w:color w:val="auto"/>
              </w:rPr>
              <w:t>Net amount r eclassified from accumulated other</w:t>
            </w:r>
          </w:p>
        </w:tc>
        <w:tc>
          <w:tcPr>
            <w:tcW w:w="4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3480" w:type="dxa"/>
            <w:vAlign w:val="bottom"/>
          </w:tcPr>
          <w:p>
            <w:pPr>
              <w:ind w:left="600"/>
              <w:spacing w:after="0"/>
              <w:rPr>
                <w:sz w:val="20"/>
                <w:szCs w:val="20"/>
                <w:color w:val="auto"/>
              </w:rPr>
            </w:pPr>
            <w:r>
              <w:rPr>
                <w:rFonts w:ascii="Times New Roman" w:cs="Times New Roman" w:eastAsia="Times New Roman" w:hAnsi="Times New Roman"/>
                <w:sz w:val="19"/>
                <w:szCs w:val="19"/>
                <w:color w:val="auto"/>
              </w:rPr>
              <w:t xml:space="preserve">comprehensive income  </w:t>
            </w:r>
            <w:r>
              <w:rPr>
                <w:rFonts w:ascii="Times New Roman" w:cs="Times New Roman" w:eastAsia="Times New Roman" w:hAnsi="Times New Roman"/>
                <w:sz w:val="3"/>
                <w:szCs w:val="3"/>
                <w:color w:val="auto"/>
              </w:rPr>
              <w:t>0       0       0      0       0       M       0       0</w:t>
            </w:r>
          </w:p>
        </w:tc>
        <w:tc>
          <w:tcPr>
            <w:tcW w:w="80" w:type="dxa"/>
            <w:vAlign w:val="bottom"/>
          </w:tcPr>
          <w:p>
            <w:pPr>
              <w:jc w:val="right"/>
              <w:ind w:right="52"/>
              <w:spacing w:after="0"/>
              <w:rPr>
                <w:sz w:val="20"/>
                <w:szCs w:val="20"/>
                <w:color w:val="auto"/>
              </w:rPr>
            </w:pPr>
            <w:r>
              <w:rPr>
                <w:rFonts w:ascii="Times New Roman" w:cs="Times New Roman" w:eastAsia="Times New Roman" w:hAnsi="Times New Roman"/>
                <w:sz w:val="2"/>
                <w:szCs w:val="2"/>
                <w:color w:val="auto"/>
                <w:w w:val="4294967291"/>
              </w:rPr>
              <w:t>0</w:t>
            </w:r>
          </w:p>
        </w:tc>
        <w:tc>
          <w:tcPr>
            <w:tcW w:w="1000" w:type="dxa"/>
            <w:vAlign w:val="bottom"/>
          </w:tcPr>
          <w:p>
            <w:pPr>
              <w:ind w:left="20"/>
              <w:spacing w:after="0"/>
              <w:rPr>
                <w:sz w:val="20"/>
                <w:szCs w:val="20"/>
                <w:color w:val="auto"/>
              </w:rPr>
            </w:pPr>
            <w:r>
              <w:rPr>
                <w:rFonts w:ascii="Times New Roman" w:cs="Times New Roman" w:eastAsia="Times New Roman" w:hAnsi="Times New Roman"/>
                <w:sz w:val="3"/>
                <w:szCs w:val="3"/>
                <w:color w:val="auto"/>
              </w:rPr>
              <w:t>0000000000</w:t>
            </w:r>
          </w:p>
        </w:tc>
        <w:tc>
          <w:tcPr>
            <w:tcW w:w="480" w:type="dxa"/>
            <w:vAlign w:val="bottom"/>
          </w:tcPr>
          <w:p>
            <w:pPr>
              <w:jc w:val="right"/>
              <w:ind w:right="250"/>
              <w:spacing w:after="0"/>
              <w:rPr>
                <w:sz w:val="20"/>
                <w:szCs w:val="20"/>
                <w:color w:val="auto"/>
              </w:rPr>
            </w:pPr>
            <w:r>
              <w:rPr>
                <w:rFonts w:ascii="Times New Roman" w:cs="Times New Roman" w:eastAsia="Times New Roman" w:hAnsi="Times New Roman"/>
                <w:sz w:val="3"/>
                <w:szCs w:val="3"/>
                <w:color w:val="auto"/>
              </w:rPr>
              <w:t>000</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(765)</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(517,161)</w:t>
            </w: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(364)</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(518,290)</w:t>
            </w:r>
          </w:p>
        </w:tc>
      </w:tr>
      <w:tr>
        <w:trPr>
          <w:trHeight w:val="36"/>
        </w:trPr>
        <w:tc>
          <w:tcPr>
            <w:tcW w:w="4560" w:type="dxa"/>
            <w:vAlign w:val="bottom"/>
            <w:gridSpan w:val="3"/>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Borders>
              <w:bottom w:val="single" w:sz="8" w:color="0C0C0C"/>
            </w:tcBorders>
          </w:tcPr>
          <w:p>
            <w:pPr>
              <w:spacing w:after="0"/>
              <w:rPr>
                <w:sz w:val="3"/>
                <w:szCs w:val="3"/>
                <w:color w:val="auto"/>
              </w:rPr>
            </w:pPr>
          </w:p>
        </w:tc>
        <w:tc>
          <w:tcPr>
            <w:tcW w:w="3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0C0C0C"/>
            </w:tcBorders>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Borders>
              <w:bottom w:val="single" w:sz="8" w:color="0C0C0C"/>
            </w:tcBorders>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Borders>
              <w:bottom w:val="single" w:sz="8" w:color="0C0C0C"/>
            </w:tcBorders>
          </w:tcPr>
          <w:p>
            <w:pPr>
              <w:spacing w:after="0"/>
              <w:rPr>
                <w:sz w:val="3"/>
                <w:szCs w:val="3"/>
                <w:color w:val="auto"/>
              </w:rPr>
            </w:pPr>
          </w:p>
        </w:tc>
        <w:tc>
          <w:tcPr>
            <w:tcW w:w="60" w:type="dxa"/>
            <w:vAlign w:val="bottom"/>
          </w:tcPr>
          <w:p>
            <w:pPr>
              <w:spacing w:after="0"/>
              <w:rPr>
                <w:sz w:val="3"/>
                <w:szCs w:val="3"/>
                <w:color w:val="auto"/>
              </w:rPr>
            </w:pPr>
          </w:p>
        </w:tc>
      </w:tr>
      <w:tr>
        <w:trPr>
          <w:trHeight w:val="270"/>
        </w:trPr>
        <w:tc>
          <w:tcPr>
            <w:tcW w:w="5040" w:type="dxa"/>
            <w:vAlign w:val="bottom"/>
            <w:gridSpan w:val="4"/>
          </w:tcPr>
          <w:p>
            <w:pPr>
              <w:ind w:left="400"/>
              <w:spacing w:after="0"/>
              <w:rPr>
                <w:sz w:val="20"/>
                <w:szCs w:val="20"/>
                <w:color w:val="auto"/>
              </w:rPr>
            </w:pPr>
            <w:r>
              <w:rPr>
                <w:rFonts w:ascii="Times New Roman" w:cs="Times New Roman" w:eastAsia="Times New Roman" w:hAnsi="Times New Roman"/>
                <w:sz w:val="19"/>
                <w:szCs w:val="19"/>
                <w:color w:val="auto"/>
              </w:rPr>
              <w:t>Net other comprehensive (loss) income ...........</w:t>
            </w: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(25,333)</w:t>
            </w:r>
          </w:p>
        </w:tc>
        <w:tc>
          <w:tcPr>
            <w:tcW w:w="1140" w:type="dxa"/>
            <w:vAlign w:val="bottom"/>
            <w:gridSpan w:val="3"/>
          </w:tcPr>
          <w:p>
            <w:pPr>
              <w:jc w:val="right"/>
              <w:ind w:right="240"/>
              <w:spacing w:after="0"/>
              <w:rPr>
                <w:sz w:val="20"/>
                <w:szCs w:val="20"/>
                <w:color w:val="auto"/>
              </w:rPr>
            </w:pPr>
            <w:r>
              <w:rPr>
                <w:rFonts w:ascii="Times New Roman" w:cs="Times New Roman" w:eastAsia="Times New Roman" w:hAnsi="Times New Roman"/>
                <w:sz w:val="20"/>
                <w:szCs w:val="20"/>
                <w:color w:val="auto"/>
              </w:rPr>
              <w:t>(255,236)</w:t>
            </w:r>
          </w:p>
        </w:tc>
        <w:tc>
          <w:tcPr>
            <w:tcW w:w="620" w:type="dxa"/>
            <w:vAlign w:val="bottom"/>
          </w:tcPr>
          <w:p>
            <w:pPr>
              <w:jc w:val="center"/>
              <w:ind w:left="60"/>
              <w:spacing w:after="0"/>
              <w:rPr>
                <w:sz w:val="20"/>
                <w:szCs w:val="20"/>
                <w:color w:val="auto"/>
              </w:rPr>
            </w:pPr>
            <w:r>
              <w:rPr>
                <w:rFonts w:ascii="Times New Roman" w:cs="Times New Roman" w:eastAsia="Times New Roman" w:hAnsi="Times New Roman"/>
                <w:sz w:val="20"/>
                <w:szCs w:val="20"/>
                <w:color w:val="auto"/>
              </w:rPr>
              <w:t>1,029</w:t>
            </w: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(279,540)</w:t>
            </w:r>
          </w:p>
        </w:tc>
      </w:tr>
      <w:tr>
        <w:trPr>
          <w:trHeight w:val="34"/>
        </w:trPr>
        <w:tc>
          <w:tcPr>
            <w:tcW w:w="3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740" w:type="dxa"/>
            <w:vAlign w:val="bottom"/>
            <w:tcBorders>
              <w:bottom w:val="single" w:sz="8" w:color="0C0C0C"/>
            </w:tcBorders>
          </w:tcPr>
          <w:p>
            <w:pPr>
              <w:spacing w:after="0"/>
              <w:rPr>
                <w:sz w:val="2"/>
                <w:szCs w:val="2"/>
                <w:color w:val="auto"/>
              </w:rPr>
            </w:pPr>
          </w:p>
        </w:tc>
        <w:tc>
          <w:tcPr>
            <w:tcW w:w="3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820" w:type="dxa"/>
            <w:vAlign w:val="bottom"/>
            <w:tcBorders>
              <w:bottom w:val="single" w:sz="8" w:color="0C0C0C"/>
            </w:tcBorders>
          </w:tcPr>
          <w:p>
            <w:pPr>
              <w:spacing w:after="0"/>
              <w:rPr>
                <w:sz w:val="2"/>
                <w:szCs w:val="2"/>
                <w:color w:val="auto"/>
              </w:rPr>
            </w:pPr>
          </w:p>
        </w:tc>
        <w:tc>
          <w:tcPr>
            <w:tcW w:w="300" w:type="dxa"/>
            <w:vAlign w:val="bottom"/>
          </w:tcPr>
          <w:p>
            <w:pPr>
              <w:spacing w:after="0"/>
              <w:rPr>
                <w:sz w:val="2"/>
                <w:szCs w:val="2"/>
                <w:color w:val="auto"/>
              </w:rPr>
            </w:pPr>
          </w:p>
        </w:tc>
        <w:tc>
          <w:tcPr>
            <w:tcW w:w="620" w:type="dxa"/>
            <w:vAlign w:val="bottom"/>
            <w:tcBorders>
              <w:bottom w:val="single" w:sz="8" w:color="0C0C0C"/>
            </w:tcBorders>
          </w:tcPr>
          <w:p>
            <w:pPr>
              <w:spacing w:after="0"/>
              <w:rPr>
                <w:sz w:val="2"/>
                <w:szCs w:val="2"/>
                <w:color w:val="auto"/>
              </w:rPr>
            </w:pPr>
          </w:p>
        </w:tc>
        <w:tc>
          <w:tcPr>
            <w:tcW w:w="320" w:type="dxa"/>
            <w:vAlign w:val="bottom"/>
            <w:gridSpan w:val="2"/>
          </w:tcPr>
          <w:p>
            <w:pPr>
              <w:spacing w:after="0"/>
              <w:rPr>
                <w:sz w:val="2"/>
                <w:szCs w:val="2"/>
                <w:color w:val="auto"/>
              </w:rPr>
            </w:pPr>
          </w:p>
        </w:tc>
        <w:tc>
          <w:tcPr>
            <w:tcW w:w="820" w:type="dxa"/>
            <w:vAlign w:val="bottom"/>
            <w:tcBorders>
              <w:bottom w:val="single" w:sz="8" w:color="0C0C0C"/>
            </w:tcBorders>
          </w:tcPr>
          <w:p>
            <w:pPr>
              <w:spacing w:after="0"/>
              <w:rPr>
                <w:sz w:val="2"/>
                <w:szCs w:val="2"/>
                <w:color w:val="auto"/>
              </w:rPr>
            </w:pPr>
          </w:p>
        </w:tc>
        <w:tc>
          <w:tcPr>
            <w:tcW w:w="60" w:type="dxa"/>
            <w:vAlign w:val="bottom"/>
          </w:tcPr>
          <w:p>
            <w:pPr>
              <w:spacing w:after="0"/>
              <w:rPr>
                <w:sz w:val="2"/>
                <w:szCs w:val="2"/>
                <w:color w:val="auto"/>
              </w:rPr>
            </w:pPr>
          </w:p>
        </w:tc>
      </w:tr>
      <w:tr>
        <w:trPr>
          <w:trHeight w:val="260"/>
        </w:trPr>
        <w:tc>
          <w:tcPr>
            <w:tcW w:w="3560" w:type="dxa"/>
            <w:vAlign w:val="bottom"/>
            <w:gridSpan w:val="2"/>
          </w:tcPr>
          <w:p>
            <w:pPr>
              <w:spacing w:after="0"/>
              <w:rPr>
                <w:sz w:val="20"/>
                <w:szCs w:val="20"/>
                <w:color w:val="auto"/>
              </w:rPr>
            </w:pPr>
            <w:r>
              <w:rPr>
                <w:rFonts w:ascii="Times New Roman" w:cs="Times New Roman" w:eastAsia="Times New Roman" w:hAnsi="Times New Roman"/>
                <w:sz w:val="19"/>
                <w:szCs w:val="19"/>
                <w:color w:val="auto"/>
              </w:rPr>
              <w:t xml:space="preserve">As of December </w:t>
            </w:r>
            <w:r>
              <w:rPr>
                <w:rFonts w:ascii="Times New Roman" w:cs="Times New Roman" w:eastAsia="Times New Roman" w:hAnsi="Times New Roman"/>
                <w:sz w:val="20"/>
                <w:szCs w:val="20"/>
                <w:color w:val="auto"/>
              </w:rPr>
              <w:t>31, 2024 .......... . ................</w:t>
            </w:r>
          </w:p>
        </w:tc>
        <w:tc>
          <w:tcPr>
            <w:tcW w:w="10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6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w w:val="99"/>
              </w:rPr>
              <w:t>$(58,044)</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$ 393,949</w:t>
            </w:r>
          </w:p>
        </w:tc>
        <w:tc>
          <w:tcPr>
            <w:tcW w:w="300" w:type="dxa"/>
            <w:vAlign w:val="bottom"/>
          </w:tcPr>
          <w:p>
            <w:pPr>
              <w:spacing w:after="0"/>
              <w:rPr>
                <w:sz w:val="22"/>
                <w:szCs w:val="22"/>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w w:val="96"/>
              </w:rPr>
              <w:t>$(1,108)</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$334,797</w:t>
            </w:r>
          </w:p>
        </w:tc>
        <w:tc>
          <w:tcPr>
            <w:tcW w:w="60" w:type="dxa"/>
            <w:vAlign w:val="bottom"/>
          </w:tcPr>
          <w:p>
            <w:pPr>
              <w:spacing w:after="0"/>
              <w:rPr>
                <w:sz w:val="22"/>
                <w:szCs w:val="22"/>
                <w:color w:val="auto"/>
              </w:rPr>
            </w:pPr>
          </w:p>
        </w:tc>
      </w:tr>
      <w:tr>
        <w:trPr>
          <w:trHeight w:val="38"/>
        </w:trPr>
        <w:tc>
          <w:tcPr>
            <w:tcW w:w="3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82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Borders>
              <w:bottom w:val="single" w:sz="8" w:color="504C4C"/>
            </w:tcBorders>
          </w:tcPr>
          <w:p>
            <w:pPr>
              <w:spacing w:after="0"/>
              <w:rPr>
                <w:sz w:val="3"/>
                <w:szCs w:val="3"/>
                <w:color w:val="auto"/>
              </w:rPr>
            </w:pPr>
          </w:p>
        </w:tc>
        <w:tc>
          <w:tcPr>
            <w:tcW w:w="2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332" w:lineRule="exact"/>
        <w:rPr>
          <w:sz w:val="20"/>
          <w:szCs w:val="20"/>
          <w:color w:val="auto"/>
        </w:rPr>
      </w:pPr>
    </w:p>
    <w:p>
      <w:pPr>
        <w:ind w:left="120" w:right="125" w:hanging="8"/>
        <w:spacing w:after="0" w:line="250" w:lineRule="auto"/>
        <w:rPr>
          <w:sz w:val="20"/>
          <w:szCs w:val="20"/>
          <w:color w:val="auto"/>
        </w:rPr>
      </w:pPr>
      <w:r>
        <w:rPr>
          <w:rFonts w:ascii="Times New Roman" w:cs="Times New Roman" w:eastAsia="Times New Roman" w:hAnsi="Times New Roman"/>
          <w:sz w:val="19"/>
          <w:szCs w:val="19"/>
          <w:color w:val="auto"/>
        </w:rPr>
        <w:t>The amounts and line items of reclassifications out of Accumulated Other Comprehensive Income (Loss) are as follows: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3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40" w:type="dxa"/>
            <w:vAlign w:val="bottom"/>
            <w:gridSpan w:val="7"/>
          </w:tcPr>
          <w:p>
            <w:pPr>
              <w:jc w:val="right"/>
              <w:ind w:right="560"/>
              <w:spacing w:after="0"/>
              <w:rPr>
                <w:sz w:val="20"/>
                <w:szCs w:val="20"/>
                <w:color w:val="auto"/>
              </w:rPr>
            </w:pPr>
            <w:r>
              <w:rPr>
                <w:rFonts w:ascii="Times New Roman" w:cs="Times New Roman" w:eastAsia="Times New Roman" w:hAnsi="Times New Roman"/>
                <w:sz w:val="16"/>
                <w:szCs w:val="16"/>
                <w:color w:val="auto"/>
              </w:rPr>
              <w:t>Year E nded December 31</w:t>
            </w:r>
          </w:p>
        </w:tc>
        <w:tc>
          <w:tcPr>
            <w:tcW w:w="2720" w:type="dxa"/>
            <w:vAlign w:val="bottom"/>
            <w:vMerge w:val="restart"/>
          </w:tcPr>
          <w:p>
            <w:pPr>
              <w:ind w:left="540"/>
              <w:spacing w:after="0"/>
              <w:rPr>
                <w:sz w:val="20"/>
                <w:szCs w:val="20"/>
                <w:color w:val="auto"/>
              </w:rPr>
            </w:pPr>
            <w:r>
              <w:rPr>
                <w:rFonts w:ascii="Times New Roman" w:cs="Times New Roman" w:eastAsia="Times New Roman" w:hAnsi="Times New Roman"/>
                <w:sz w:val="16"/>
                <w:szCs w:val="16"/>
                <w:color w:val="auto"/>
              </w:rPr>
              <w:t>Affected Line Item in the</w:t>
            </w:r>
          </w:p>
        </w:tc>
        <w:tc>
          <w:tcPr>
            <w:tcW w:w="0" w:type="dxa"/>
            <w:vAlign w:val="bottom"/>
          </w:tcPr>
          <w:p>
            <w:pPr>
              <w:spacing w:after="0"/>
              <w:rPr>
                <w:sz w:val="1"/>
                <w:szCs w:val="1"/>
                <w:color w:val="auto"/>
              </w:rPr>
            </w:pPr>
          </w:p>
        </w:tc>
      </w:tr>
      <w:tr>
        <w:trPr>
          <w:trHeight w:val="33"/>
        </w:trPr>
        <w:tc>
          <w:tcPr>
            <w:tcW w:w="3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141414"/>
            </w:tcBorders>
          </w:tcPr>
          <w:p>
            <w:pPr>
              <w:spacing w:after="0"/>
              <w:rPr>
                <w:sz w:val="2"/>
                <w:szCs w:val="2"/>
                <w:color w:val="auto"/>
              </w:rPr>
            </w:pPr>
          </w:p>
        </w:tc>
        <w:tc>
          <w:tcPr>
            <w:tcW w:w="680" w:type="dxa"/>
            <w:vAlign w:val="bottom"/>
            <w:tcBorders>
              <w:bottom w:val="single" w:sz="8" w:color="141414"/>
            </w:tcBorders>
          </w:tcPr>
          <w:p>
            <w:pPr>
              <w:spacing w:after="0"/>
              <w:rPr>
                <w:sz w:val="2"/>
                <w:szCs w:val="2"/>
                <w:color w:val="auto"/>
              </w:rPr>
            </w:pPr>
          </w:p>
        </w:tc>
        <w:tc>
          <w:tcPr>
            <w:tcW w:w="180" w:type="dxa"/>
            <w:vAlign w:val="bottom"/>
            <w:tcBorders>
              <w:bottom w:val="single" w:sz="8" w:color="141414"/>
            </w:tcBorders>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800" w:type="dxa"/>
            <w:vAlign w:val="bottom"/>
            <w:tcBorders>
              <w:bottom w:val="single" w:sz="8" w:color="141414"/>
            </w:tcBorders>
          </w:tcPr>
          <w:p>
            <w:pPr>
              <w:spacing w:after="0"/>
              <w:rPr>
                <w:sz w:val="2"/>
                <w:szCs w:val="2"/>
                <w:color w:val="auto"/>
              </w:rPr>
            </w:pPr>
          </w:p>
        </w:tc>
        <w:tc>
          <w:tcPr>
            <w:tcW w:w="120" w:type="dxa"/>
            <w:vAlign w:val="bottom"/>
            <w:tcBorders>
              <w:bottom w:val="single" w:sz="8" w:color="141414"/>
            </w:tcBorders>
          </w:tcPr>
          <w:p>
            <w:pPr>
              <w:spacing w:after="0"/>
              <w:rPr>
                <w:sz w:val="2"/>
                <w:szCs w:val="2"/>
                <w:color w:val="auto"/>
              </w:rPr>
            </w:pPr>
          </w:p>
        </w:tc>
        <w:tc>
          <w:tcPr>
            <w:tcW w:w="620" w:type="dxa"/>
            <w:vAlign w:val="bottom"/>
            <w:tcBorders>
              <w:bottom w:val="single" w:sz="8" w:color="141414"/>
            </w:tcBorders>
          </w:tcPr>
          <w:p>
            <w:pPr>
              <w:spacing w:after="0"/>
              <w:rPr>
                <w:sz w:val="2"/>
                <w:szCs w:val="2"/>
                <w:color w:val="auto"/>
              </w:rPr>
            </w:pPr>
          </w:p>
        </w:tc>
        <w:tc>
          <w:tcPr>
            <w:tcW w:w="120" w:type="dxa"/>
            <w:vAlign w:val="bottom"/>
          </w:tcPr>
          <w:p>
            <w:pPr>
              <w:spacing w:after="0"/>
              <w:rPr>
                <w:sz w:val="2"/>
                <w:szCs w:val="2"/>
                <w:color w:val="auto"/>
              </w:rPr>
            </w:pPr>
          </w:p>
        </w:tc>
        <w:tc>
          <w:tcPr>
            <w:tcW w:w="27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3500" w:type="dxa"/>
            <w:vAlign w:val="bottom"/>
          </w:tcPr>
          <w:p>
            <w:pPr>
              <w:spacing w:after="0"/>
              <w:rPr>
                <w:sz w:val="20"/>
                <w:szCs w:val="20"/>
                <w:color w:val="auto"/>
              </w:rPr>
            </w:pPr>
            <w:r>
              <w:rPr>
                <w:rFonts w:ascii="Times New Roman" w:cs="Times New Roman" w:eastAsia="Times New Roman" w:hAnsi="Times New Roman"/>
                <w:sz w:val="16"/>
                <w:szCs w:val="16"/>
                <w:color w:val="auto"/>
              </w:rPr>
              <w:t>(in thousands)</w:t>
            </w:r>
          </w:p>
        </w:tc>
        <w:tc>
          <w:tcPr>
            <w:tcW w:w="100" w:type="dxa"/>
            <w:vAlign w:val="bottom"/>
          </w:tcPr>
          <w:p>
            <w:pPr>
              <w:spacing w:after="0"/>
              <w:rPr>
                <w:sz w:val="19"/>
                <w:szCs w:val="19"/>
                <w:color w:val="auto"/>
              </w:rPr>
            </w:pPr>
          </w:p>
        </w:tc>
        <w:tc>
          <w:tcPr>
            <w:tcW w:w="140" w:type="dxa"/>
            <w:vAlign w:val="bottom"/>
            <w:tcBorders>
              <w:bottom w:val="single" w:sz="8" w:color="404040"/>
            </w:tcBorders>
          </w:tcPr>
          <w:p>
            <w:pPr>
              <w:spacing w:after="0"/>
              <w:rPr>
                <w:sz w:val="19"/>
                <w:szCs w:val="19"/>
                <w:color w:val="auto"/>
              </w:rPr>
            </w:pPr>
          </w:p>
        </w:tc>
        <w:tc>
          <w:tcPr>
            <w:tcW w:w="680" w:type="dxa"/>
            <w:vAlign w:val="bottom"/>
            <w:tcBorders>
              <w:bottom w:val="single" w:sz="8" w:color="404040"/>
            </w:tcBorders>
          </w:tcPr>
          <w:p>
            <w:pPr>
              <w:jc w:val="right"/>
              <w:ind w:right="145"/>
              <w:spacing w:after="0" w:line="204" w:lineRule="exact"/>
              <w:rPr>
                <w:sz w:val="20"/>
                <w:szCs w:val="20"/>
                <w:color w:val="auto"/>
              </w:rPr>
            </w:pPr>
            <w:r>
              <w:rPr>
                <w:rFonts w:ascii="Times New Roman" w:cs="Times New Roman" w:eastAsia="Times New Roman" w:hAnsi="Times New Roman"/>
                <w:sz w:val="19"/>
                <w:szCs w:val="19"/>
                <w:color w:val="auto"/>
              </w:rPr>
              <w:t>2024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280"/>
              <w:spacing w:after="0" w:line="204" w:lineRule="exact"/>
              <w:rPr>
                <w:sz w:val="20"/>
                <w:szCs w:val="20"/>
                <w:color w:val="auto"/>
              </w:rPr>
            </w:pPr>
            <w:r>
              <w:rPr>
                <w:rFonts w:ascii="Times New Roman" w:cs="Times New Roman" w:eastAsia="Times New Roman" w:hAnsi="Times New Roman"/>
                <w:sz w:val="19"/>
                <w:szCs w:val="19"/>
                <w:color w:val="auto"/>
              </w:rPr>
              <w:t>2023</w:t>
            </w:r>
          </w:p>
        </w:tc>
        <w:tc>
          <w:tcPr>
            <w:tcW w:w="120" w:type="dxa"/>
            <w:vAlign w:val="bottom"/>
          </w:tcPr>
          <w:p>
            <w:pPr>
              <w:spacing w:after="0"/>
              <w:rPr>
                <w:sz w:val="19"/>
                <w:szCs w:val="19"/>
                <w:color w:val="auto"/>
              </w:rPr>
            </w:pPr>
          </w:p>
        </w:tc>
        <w:tc>
          <w:tcPr>
            <w:tcW w:w="620" w:type="dxa"/>
            <w:vAlign w:val="bottom"/>
          </w:tcPr>
          <w:p>
            <w:pPr>
              <w:jc w:val="right"/>
              <w:ind w:right="103"/>
              <w:spacing w:after="0" w:line="204" w:lineRule="exact"/>
              <w:rPr>
                <w:sz w:val="20"/>
                <w:szCs w:val="20"/>
                <w:color w:val="auto"/>
              </w:rPr>
            </w:pPr>
            <w:r>
              <w:rPr>
                <w:rFonts w:ascii="Times New Roman" w:cs="Times New Roman" w:eastAsia="Times New Roman" w:hAnsi="Times New Roman"/>
                <w:sz w:val="19"/>
                <w:szCs w:val="19"/>
                <w:color w:val="auto"/>
              </w:rPr>
              <w:t>2022</w:t>
            </w:r>
          </w:p>
        </w:tc>
        <w:tc>
          <w:tcPr>
            <w:tcW w:w="120" w:type="dxa"/>
            <w:vAlign w:val="bottom"/>
          </w:tcPr>
          <w:p>
            <w:pPr>
              <w:spacing w:after="0"/>
              <w:rPr>
                <w:sz w:val="19"/>
                <w:szCs w:val="19"/>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6"/>
                <w:szCs w:val="16"/>
                <w:color w:val="auto"/>
              </w:rPr>
              <w:t>Consolidated Statements of Operations</w:t>
            </w:r>
          </w:p>
        </w:tc>
        <w:tc>
          <w:tcPr>
            <w:tcW w:w="0" w:type="dxa"/>
            <w:vAlign w:val="bottom"/>
          </w:tcPr>
          <w:p>
            <w:pPr>
              <w:spacing w:after="0"/>
              <w:rPr>
                <w:sz w:val="1"/>
                <w:szCs w:val="1"/>
                <w:color w:val="auto"/>
              </w:rPr>
            </w:pPr>
          </w:p>
        </w:tc>
      </w:tr>
      <w:tr>
        <w:trPr>
          <w:trHeight w:val="259"/>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Foreign Currency Translation</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35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Adjjustments: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5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Adjustment for sale of business with</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0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foreign operations . . . . . . . . . . . . .</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21"/>
                <w:szCs w:val="21"/>
                <w:color w:val="auto"/>
              </w:rPr>
              <w:t>$</w:t>
            </w: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(765)</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tcPr>
          <w:p>
            <w:pPr>
              <w:jc w:val="right"/>
              <w:ind w:right="140"/>
              <w:spacing w:after="0"/>
              <w:rPr>
                <w:sz w:val="20"/>
                <w:szCs w:val="20"/>
                <w:color w:val="auto"/>
              </w:rPr>
            </w:pPr>
            <w:r>
              <w:rPr>
                <w:rFonts w:ascii="Times New Roman" w:cs="Times New Roman" w:eastAsia="Times New Roman" w:hAnsi="Times New Roman"/>
                <w:sz w:val="21"/>
                <w:szCs w:val="2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21"/>
                <w:szCs w:val="21"/>
                <w:color w:val="auto"/>
                <w:w w:val="94"/>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120" w:type="dxa"/>
            <w:vAlign w:val="bottom"/>
          </w:tcPr>
          <w:p>
            <w:pPr>
              <w:spacing w:after="0"/>
              <w:rPr>
                <w:sz w:val="22"/>
                <w:szCs w:val="22"/>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Other income, net</w:t>
            </w:r>
          </w:p>
        </w:tc>
        <w:tc>
          <w:tcPr>
            <w:tcW w:w="0" w:type="dxa"/>
            <w:vAlign w:val="bottom"/>
          </w:tcPr>
          <w:p>
            <w:pPr>
              <w:spacing w:after="0"/>
              <w:rPr>
                <w:sz w:val="1"/>
                <w:szCs w:val="1"/>
                <w:color w:val="auto"/>
              </w:rPr>
            </w:pPr>
          </w:p>
        </w:tc>
      </w:tr>
      <w:tr>
        <w:trPr>
          <w:trHeight w:val="225"/>
        </w:trPr>
        <w:tc>
          <w:tcPr>
            <w:tcW w:w="3500" w:type="dxa"/>
            <w:vAlign w:val="bottom"/>
          </w:tcPr>
          <w:p>
            <w:pPr>
              <w:spacing w:after="0"/>
              <w:rPr>
                <w:sz w:val="20"/>
                <w:szCs w:val="20"/>
                <w:color w:val="auto"/>
              </w:rPr>
            </w:pPr>
            <w:r>
              <w:rPr>
                <w:rFonts w:ascii="Times New Roman" w:cs="Times New Roman" w:eastAsia="Times New Roman" w:hAnsi="Times New Roman"/>
                <w:sz w:val="19"/>
                <w:szCs w:val="19"/>
                <w:color w:val="auto"/>
              </w:rPr>
              <w:t>Pension a nd Other Postretirement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3500" w:type="dxa"/>
            <w:vAlign w:val="bottom"/>
          </w:tcPr>
          <w:p>
            <w:pPr>
              <w:ind w:left="200"/>
              <w:spacing w:after="0"/>
              <w:rPr>
                <w:sz w:val="20"/>
                <w:szCs w:val="20"/>
                <w:color w:val="auto"/>
              </w:rPr>
            </w:pPr>
            <w:r>
              <w:rPr>
                <w:rFonts w:ascii="Times New Roman" w:cs="Times New Roman" w:eastAsia="Times New Roman" w:hAnsi="Times New Roman"/>
                <w:sz w:val="19"/>
                <w:szCs w:val="19"/>
                <w:color w:val="auto"/>
              </w:rPr>
              <w:t>Plans:</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5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actuarial gain</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(39,742)</w:t>
            </w:r>
          </w:p>
        </w:tc>
        <w:tc>
          <w:tcPr>
            <w:tcW w:w="120" w:type="dxa"/>
            <w:vAlign w:val="bottom"/>
          </w:tcPr>
          <w:p>
            <w:pPr>
              <w:spacing w:after="0"/>
              <w:rPr>
                <w:sz w:val="20"/>
                <w:szCs w:val="20"/>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(42,146)</w:t>
            </w:r>
          </w:p>
        </w:tc>
        <w:tc>
          <w:tcPr>
            <w:tcW w:w="120" w:type="dxa"/>
            <w:vAlign w:val="bottom"/>
          </w:tcPr>
          <w:p>
            <w:pPr>
              <w:spacing w:after="0"/>
              <w:rPr>
                <w:sz w:val="20"/>
                <w:szCs w:val="20"/>
                <w:color w:val="auto"/>
              </w:rPr>
            </w:pP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20"/>
                <w:szCs w:val="20"/>
                <w:color w:val="auto"/>
                <w:w w:val="96"/>
              </w:rPr>
              <w:t>(70,833)</w:t>
            </w:r>
          </w:p>
        </w:tc>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( 1)</w:t>
            </w:r>
          </w:p>
        </w:tc>
        <w:tc>
          <w:tcPr>
            <w:tcW w:w="0" w:type="dxa"/>
            <w:vAlign w:val="bottom"/>
          </w:tcPr>
          <w:p>
            <w:pPr>
              <w:spacing w:after="0"/>
              <w:rPr>
                <w:sz w:val="1"/>
                <w:szCs w:val="1"/>
                <w:color w:val="auto"/>
              </w:rPr>
            </w:pPr>
          </w:p>
        </w:tc>
      </w:tr>
      <w:tr>
        <w:trPr>
          <w:trHeight w:val="236"/>
        </w:trPr>
        <w:tc>
          <w:tcPr>
            <w:tcW w:w="3500" w:type="dxa"/>
            <w:vAlign w:val="bottom"/>
          </w:tcPr>
          <w:p>
            <w:pPr>
              <w:ind w:left="400"/>
              <w:spacing w:after="0"/>
              <w:rPr>
                <w:sz w:val="20"/>
                <w:szCs w:val="20"/>
                <w:color w:val="auto"/>
              </w:rPr>
            </w:pPr>
            <w:r>
              <w:rPr>
                <w:rFonts w:ascii="Times New Roman" w:cs="Times New Roman" w:eastAsia="Times New Roman" w:hAnsi="Times New Roman"/>
                <w:sz w:val="19"/>
                <w:szCs w:val="19"/>
                <w:color w:val="auto"/>
              </w:rPr>
              <w:t>Amortization of net prior service</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50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(credit) cost ...... . . . .. . ... . . .</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20"/>
                <w:szCs w:val="20"/>
                <w:color w:val="auto"/>
              </w:rPr>
              <w:t>(1,951)</w:t>
            </w:r>
          </w:p>
        </w:tc>
        <w:tc>
          <w:tcPr>
            <w:tcW w:w="120" w:type="dxa"/>
            <w:vAlign w:val="bottom"/>
          </w:tcPr>
          <w:p>
            <w:pPr>
              <w:spacing w:after="0"/>
              <w:rPr>
                <w:sz w:val="20"/>
                <w:szCs w:val="20"/>
                <w:color w:val="auto"/>
              </w:rPr>
            </w:pPr>
          </w:p>
        </w:tc>
        <w:tc>
          <w:tcPr>
            <w:tcW w:w="80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rPr>
              <w:t>1,64 1</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2,864</w:t>
            </w:r>
          </w:p>
        </w:tc>
        <w:tc>
          <w:tcPr>
            <w:tcW w:w="12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 I)</w:t>
            </w:r>
          </w:p>
        </w:tc>
        <w:tc>
          <w:tcPr>
            <w:tcW w:w="0" w:type="dxa"/>
            <w:vAlign w:val="bottom"/>
          </w:tcPr>
          <w:p>
            <w:pPr>
              <w:spacing w:after="0"/>
              <w:rPr>
                <w:sz w:val="1"/>
                <w:szCs w:val="1"/>
                <w:color w:val="auto"/>
              </w:rPr>
            </w:pPr>
          </w:p>
        </w:tc>
      </w:tr>
      <w:tr>
        <w:trPr>
          <w:trHeight w:val="206"/>
        </w:trPr>
        <w:tc>
          <w:tcPr>
            <w:tcW w:w="3500" w:type="dxa"/>
            <w:vAlign w:val="bottom"/>
          </w:tcPr>
          <w:p>
            <w:pPr>
              <w:jc w:val="right"/>
              <w:ind w:right="7"/>
              <w:spacing w:after="0" w:line="206" w:lineRule="exact"/>
              <w:rPr>
                <w:sz w:val="20"/>
                <w:szCs w:val="20"/>
                <w:color w:val="auto"/>
              </w:rPr>
            </w:pPr>
            <w:r>
              <w:rPr>
                <w:rFonts w:ascii="Times New Roman" w:cs="Times New Roman" w:eastAsia="Times New Roman" w:hAnsi="Times New Roman"/>
                <w:sz w:val="19"/>
                <w:szCs w:val="19"/>
                <w:color w:val="auto"/>
              </w:rPr>
              <w:t>Settlement gains  ... ....... . .... .</w:t>
            </w:r>
          </w:p>
        </w:tc>
        <w:tc>
          <w:tcPr>
            <w:tcW w:w="1100" w:type="dxa"/>
            <w:vAlign w:val="bottom"/>
            <w:gridSpan w:val="4"/>
          </w:tcPr>
          <w:p>
            <w:pPr>
              <w:jc w:val="right"/>
              <w:ind w:right="120"/>
              <w:spacing w:after="0" w:line="206" w:lineRule="exact"/>
              <w:rPr>
                <w:sz w:val="20"/>
                <w:szCs w:val="20"/>
                <w:color w:val="auto"/>
              </w:rPr>
            </w:pPr>
            <w:r>
              <w:rPr>
                <w:rFonts w:ascii="Times New Roman" w:cs="Times New Roman" w:eastAsia="Times New Roman" w:hAnsi="Times New Roman"/>
                <w:sz w:val="20"/>
                <w:szCs w:val="20"/>
                <w:color w:val="auto"/>
              </w:rPr>
              <w:t>(653,427)</w:t>
            </w:r>
          </w:p>
        </w:tc>
        <w:tc>
          <w:tcPr>
            <w:tcW w:w="120" w:type="dxa"/>
            <w:vAlign w:val="bottom"/>
          </w:tcPr>
          <w:p>
            <w:pPr>
              <w:spacing w:after="0"/>
              <w:rPr>
                <w:sz w:val="17"/>
                <w:szCs w:val="17"/>
                <w:color w:val="auto"/>
              </w:rPr>
            </w:pPr>
          </w:p>
        </w:tc>
        <w:tc>
          <w:tcPr>
            <w:tcW w:w="800" w:type="dxa"/>
            <w:vAlign w:val="bottom"/>
          </w:tcPr>
          <w:p>
            <w:pPr>
              <w:jc w:val="right"/>
              <w:ind w:right="20"/>
              <w:spacing w:after="0" w:line="206" w:lineRule="exact"/>
              <w:rPr>
                <w:sz w:val="20"/>
                <w:szCs w:val="20"/>
                <w:color w:val="auto"/>
              </w:rPr>
            </w:pPr>
            <w:r>
              <w:rPr>
                <w:rFonts w:ascii="Times New Roman" w:cs="Times New Roman" w:eastAsia="Times New Roman" w:hAnsi="Times New Roman"/>
                <w:sz w:val="20"/>
                <w:szCs w:val="20"/>
                <w:color w:val="auto"/>
              </w:rPr>
              <w:t>(1,087)</w:t>
            </w:r>
          </w:p>
        </w:tc>
        <w:tc>
          <w:tcPr>
            <w:tcW w:w="120" w:type="dxa"/>
            <w:vAlign w:val="bottom"/>
          </w:tcPr>
          <w:p>
            <w:pPr>
              <w:spacing w:after="0"/>
              <w:rPr>
                <w:sz w:val="17"/>
                <w:szCs w:val="17"/>
                <w:color w:val="auto"/>
              </w:rPr>
            </w:pPr>
          </w:p>
        </w:tc>
        <w:tc>
          <w:tcPr>
            <w:tcW w:w="6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7"/>
                <w:szCs w:val="17"/>
                <w:color w:val="auto"/>
              </w:rPr>
            </w:pPr>
          </w:p>
        </w:tc>
        <w:tc>
          <w:tcPr>
            <w:tcW w:w="2720" w:type="dxa"/>
            <w:vAlign w:val="bottom"/>
          </w:tcPr>
          <w:p>
            <w:pPr>
              <w:ind w:left="60"/>
              <w:spacing w:after="0" w:line="20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36"/>
        </w:trPr>
        <w:tc>
          <w:tcPr>
            <w:tcW w:w="3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3"/>
          </w:tcPr>
          <w:p>
            <w:pPr>
              <w:jc w:val="right"/>
              <w:ind w:right="120"/>
              <w:spacing w:after="0" w:line="136" w:lineRule="exact"/>
              <w:rPr>
                <w:sz w:val="20"/>
                <w:szCs w:val="20"/>
                <w:color w:val="auto"/>
              </w:rPr>
            </w:pPr>
            <w:r>
              <w:rPr>
                <w:rFonts w:ascii="Times New Roman" w:cs="Times New Roman" w:eastAsia="Times New Roman" w:hAnsi="Times New Roman"/>
                <w:sz w:val="15"/>
                <w:szCs w:val="15"/>
                <w:color w:val="auto"/>
              </w:rPr>
              <w:t>---</w:t>
            </w:r>
          </w:p>
        </w:tc>
        <w:tc>
          <w:tcPr>
            <w:tcW w:w="2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500" w:type="dxa"/>
            <w:vAlign w:val="bottom"/>
          </w:tcPr>
          <w:p>
            <w:pPr>
              <w:spacing w:after="0"/>
              <w:rPr>
                <w:sz w:val="19"/>
                <w:szCs w:val="19"/>
                <w:color w:val="auto"/>
              </w:rPr>
            </w:pPr>
          </w:p>
        </w:tc>
        <w:tc>
          <w:tcPr>
            <w:tcW w:w="1100" w:type="dxa"/>
            <w:vAlign w:val="bottom"/>
            <w:gridSpan w:val="4"/>
          </w:tcPr>
          <w:p>
            <w:pPr>
              <w:jc w:val="right"/>
              <w:ind w:right="120"/>
              <w:spacing w:after="0" w:line="221" w:lineRule="exact"/>
              <w:rPr>
                <w:sz w:val="20"/>
                <w:szCs w:val="20"/>
                <w:color w:val="auto"/>
              </w:rPr>
            </w:pPr>
            <w:r>
              <w:rPr>
                <w:rFonts w:ascii="Times New Roman" w:cs="Times New Roman" w:eastAsia="Times New Roman" w:hAnsi="Times New Roman"/>
                <w:sz w:val="20"/>
                <w:szCs w:val="20"/>
                <w:color w:val="auto"/>
              </w:rPr>
              <w:t>(695,120)</w:t>
            </w:r>
          </w:p>
        </w:tc>
        <w:tc>
          <w:tcPr>
            <w:tcW w:w="120" w:type="dxa"/>
            <w:vAlign w:val="bottom"/>
          </w:tcPr>
          <w:p>
            <w:pPr>
              <w:spacing w:after="0"/>
              <w:rPr>
                <w:sz w:val="19"/>
                <w:szCs w:val="19"/>
                <w:color w:val="auto"/>
              </w:rPr>
            </w:pPr>
          </w:p>
        </w:tc>
        <w:tc>
          <w:tcPr>
            <w:tcW w:w="800" w:type="dxa"/>
            <w:vAlign w:val="bottom"/>
          </w:tcPr>
          <w:p>
            <w:pPr>
              <w:jc w:val="right"/>
              <w:ind w:right="20"/>
              <w:spacing w:after="0" w:line="221" w:lineRule="exact"/>
              <w:rPr>
                <w:sz w:val="20"/>
                <w:szCs w:val="20"/>
                <w:color w:val="auto"/>
              </w:rPr>
            </w:pPr>
            <w:r>
              <w:rPr>
                <w:rFonts w:ascii="Times New Roman" w:cs="Times New Roman" w:eastAsia="Times New Roman" w:hAnsi="Times New Roman"/>
                <w:sz w:val="20"/>
                <w:szCs w:val="20"/>
                <w:color w:val="auto"/>
                <w:w w:val="89"/>
              </w:rPr>
              <w:t>(4 1,592)</w:t>
            </w:r>
          </w:p>
        </w:tc>
        <w:tc>
          <w:tcPr>
            <w:tcW w:w="120" w:type="dxa"/>
            <w:vAlign w:val="bottom"/>
          </w:tcPr>
          <w:p>
            <w:pPr>
              <w:spacing w:after="0"/>
              <w:rPr>
                <w:sz w:val="19"/>
                <w:szCs w:val="19"/>
                <w:color w:val="auto"/>
              </w:rPr>
            </w:pPr>
          </w:p>
        </w:tc>
        <w:tc>
          <w:tcPr>
            <w:tcW w:w="740" w:type="dxa"/>
            <w:vAlign w:val="bottom"/>
            <w:gridSpan w:val="2"/>
          </w:tcPr>
          <w:p>
            <w:pPr>
              <w:jc w:val="right"/>
              <w:ind w:right="60"/>
              <w:spacing w:after="0" w:line="221" w:lineRule="exact"/>
              <w:rPr>
                <w:sz w:val="20"/>
                <w:szCs w:val="20"/>
                <w:color w:val="auto"/>
              </w:rPr>
            </w:pPr>
            <w:r>
              <w:rPr>
                <w:rFonts w:ascii="Times New Roman" w:cs="Times New Roman" w:eastAsia="Times New Roman" w:hAnsi="Times New Roman"/>
                <w:sz w:val="20"/>
                <w:szCs w:val="20"/>
                <w:color w:val="auto"/>
                <w:w w:val="96"/>
              </w:rPr>
              <w:t>(67,969)</w:t>
            </w: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Before tax</w:t>
            </w:r>
          </w:p>
        </w:tc>
        <w:tc>
          <w:tcPr>
            <w:tcW w:w="0" w:type="dxa"/>
            <w:vAlign w:val="bottom"/>
          </w:tcPr>
          <w:p>
            <w:pPr>
              <w:spacing w:after="0"/>
              <w:rPr>
                <w:sz w:val="1"/>
                <w:szCs w:val="1"/>
                <w:color w:val="auto"/>
              </w:rPr>
            </w:pPr>
          </w:p>
        </w:tc>
      </w:tr>
      <w:tr>
        <w:trPr>
          <w:trHeight w:val="238"/>
        </w:trPr>
        <w:tc>
          <w:tcPr>
            <w:tcW w:w="3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177,959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rPr>
              <w:t>10,649</w:t>
            </w:r>
          </w:p>
        </w:tc>
        <w:tc>
          <w:tcPr>
            <w:tcW w:w="12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17,482</w:t>
            </w:r>
          </w:p>
        </w:tc>
        <w:tc>
          <w:tcPr>
            <w:tcW w:w="120" w:type="dxa"/>
            <w:vAlign w:val="bottom"/>
          </w:tcPr>
          <w:p>
            <w:pPr>
              <w:spacing w:after="0"/>
              <w:rPr>
                <w:sz w:val="20"/>
                <w:szCs w:val="20"/>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Provision for income taxes</w:t>
            </w:r>
          </w:p>
        </w:tc>
        <w:tc>
          <w:tcPr>
            <w:tcW w:w="0" w:type="dxa"/>
            <w:vAlign w:val="bottom"/>
          </w:tcPr>
          <w:p>
            <w:pPr>
              <w:spacing w:after="0"/>
              <w:rPr>
                <w:sz w:val="1"/>
                <w:szCs w:val="1"/>
                <w:color w:val="auto"/>
              </w:rPr>
            </w:pPr>
          </w:p>
        </w:tc>
      </w:tr>
      <w:tr>
        <w:trPr>
          <w:trHeight w:val="324"/>
        </w:trPr>
        <w:tc>
          <w:tcPr>
            <w:tcW w:w="3500" w:type="dxa"/>
            <w:vAlign w:val="bottom"/>
          </w:tcPr>
          <w:p>
            <w:pPr>
              <w:spacing w:after="0"/>
              <w:rPr>
                <w:sz w:val="24"/>
                <w:szCs w:val="24"/>
                <w:color w:val="auto"/>
              </w:rPr>
            </w:pP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(517,161)</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(30,943)</w:t>
            </w:r>
          </w:p>
        </w:tc>
        <w:tc>
          <w:tcPr>
            <w:tcW w:w="3580" w:type="dxa"/>
            <w:vAlign w:val="bottom"/>
            <w:gridSpan w:val="4"/>
          </w:tcPr>
          <w:p>
            <w:pPr>
              <w:ind w:left="120"/>
              <w:spacing w:after="0"/>
              <w:rPr>
                <w:sz w:val="20"/>
                <w:szCs w:val="20"/>
                <w:color w:val="auto"/>
              </w:rPr>
            </w:pPr>
            <w:r>
              <w:rPr>
                <w:rFonts w:ascii="Times New Roman" w:cs="Times New Roman" w:eastAsia="Times New Roman" w:hAnsi="Times New Roman"/>
                <w:sz w:val="20"/>
                <w:szCs w:val="20"/>
                <w:color w:val="auto"/>
              </w:rPr>
              <w:t xml:space="preserve">(50,487)  </w:t>
            </w:r>
            <w:r>
              <w:rPr>
                <w:rFonts w:ascii="Times New Roman" w:cs="Times New Roman" w:eastAsia="Times New Roman" w:hAnsi="Times New Roman"/>
                <w:sz w:val="18"/>
                <w:szCs w:val="18"/>
                <w:color w:val="auto"/>
              </w:rPr>
              <w:t>Net of tax</w:t>
            </w:r>
          </w:p>
        </w:tc>
        <w:tc>
          <w:tcPr>
            <w:tcW w:w="0" w:type="dxa"/>
            <w:vAlign w:val="bottom"/>
          </w:tcPr>
          <w:p>
            <w:pPr>
              <w:spacing w:after="0"/>
              <w:rPr>
                <w:sz w:val="1"/>
                <w:szCs w:val="1"/>
                <w:color w:val="auto"/>
              </w:rPr>
            </w:pPr>
          </w:p>
        </w:tc>
      </w:tr>
      <w:tr>
        <w:trPr>
          <w:trHeight w:val="315"/>
        </w:trPr>
        <w:tc>
          <w:tcPr>
            <w:tcW w:w="350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Cash Flow Hedges . . . . . . . . . . . . . . . . . .</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9"/>
                <w:szCs w:val="19"/>
                <w:color w:val="auto"/>
              </w:rPr>
              <w:t>(364)</w:t>
            </w:r>
          </w:p>
        </w:tc>
        <w:tc>
          <w:tcPr>
            <w:tcW w:w="120" w:type="dxa"/>
            <w:vAlign w:val="bottom"/>
          </w:tcPr>
          <w:p>
            <w:pPr>
              <w:spacing w:after="0"/>
              <w:rPr>
                <w:sz w:val="24"/>
                <w:szCs w:val="24"/>
                <w:color w:val="auto"/>
              </w:rPr>
            </w:pP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(5,363)</w:t>
            </w:r>
          </w:p>
        </w:tc>
        <w:tc>
          <w:tcPr>
            <w:tcW w:w="1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393</w:t>
            </w:r>
          </w:p>
        </w:tc>
        <w:tc>
          <w:tcPr>
            <w:tcW w:w="120" w:type="dxa"/>
            <w:vAlign w:val="bottom"/>
          </w:tcPr>
          <w:p>
            <w:pPr>
              <w:spacing w:after="0"/>
              <w:rPr>
                <w:sz w:val="24"/>
                <w:szCs w:val="24"/>
                <w:color w:val="auto"/>
              </w:rPr>
            </w:pPr>
          </w:p>
        </w:tc>
        <w:tc>
          <w:tcPr>
            <w:tcW w:w="2720" w:type="dxa"/>
            <w:vAlign w:val="bottom"/>
          </w:tcPr>
          <w:p>
            <w:pPr>
              <w:ind w:left="60"/>
              <w:spacing w:after="0"/>
              <w:rPr>
                <w:sz w:val="20"/>
                <w:szCs w:val="20"/>
                <w:color w:val="auto"/>
              </w:rPr>
            </w:pPr>
            <w:r>
              <w:rPr>
                <w:rFonts w:ascii="Times New Roman" w:cs="Times New Roman" w:eastAsia="Times New Roman" w:hAnsi="Times New Roman"/>
                <w:sz w:val="19"/>
                <w:szCs w:val="19"/>
                <w:color w:val="auto"/>
              </w:rPr>
              <w:t>In terest expense</w:t>
            </w:r>
          </w:p>
        </w:tc>
        <w:tc>
          <w:tcPr>
            <w:tcW w:w="0" w:type="dxa"/>
            <w:vAlign w:val="bottom"/>
          </w:tcPr>
          <w:p>
            <w:pPr>
              <w:spacing w:after="0"/>
              <w:rPr>
                <w:sz w:val="1"/>
                <w:szCs w:val="1"/>
                <w:color w:val="auto"/>
              </w:rPr>
            </w:pPr>
          </w:p>
        </w:tc>
      </w:tr>
      <w:tr>
        <w:trPr>
          <w:trHeight w:val="324"/>
        </w:trPr>
        <w:tc>
          <w:tcPr>
            <w:tcW w:w="3500" w:type="dxa"/>
            <w:vAlign w:val="bottom"/>
          </w:tcPr>
          <w:p>
            <w:pPr>
              <w:jc w:val="right"/>
              <w:ind w:right="7"/>
              <w:spacing w:after="0"/>
              <w:rPr>
                <w:sz w:val="20"/>
                <w:szCs w:val="20"/>
                <w:color w:val="auto"/>
              </w:rPr>
            </w:pPr>
            <w:r>
              <w:rPr>
                <w:rFonts w:ascii="Times New Roman" w:cs="Times New Roman" w:eastAsia="Times New Roman" w:hAnsi="Times New Roman"/>
                <w:sz w:val="19"/>
                <w:szCs w:val="19"/>
                <w:color w:val="auto"/>
              </w:rPr>
              <w:t>Total reclassification for the year  . . . . .</w:t>
            </w:r>
          </w:p>
        </w:tc>
        <w:tc>
          <w:tcPr>
            <w:tcW w:w="1100" w:type="dxa"/>
            <w:vAlign w:val="bottom"/>
            <w:gridSpan w:val="4"/>
          </w:tcPr>
          <w:p>
            <w:pPr>
              <w:jc w:val="right"/>
              <w:ind w:right="120"/>
              <w:spacing w:after="0"/>
              <w:rPr>
                <w:sz w:val="20"/>
                <w:szCs w:val="20"/>
                <w:color w:val="auto"/>
              </w:rPr>
            </w:pPr>
            <w:r>
              <w:rPr>
                <w:rFonts w:ascii="Times New Roman" w:cs="Times New Roman" w:eastAsia="Times New Roman" w:hAnsi="Times New Roman"/>
                <w:sz w:val="20"/>
                <w:szCs w:val="20"/>
                <w:color w:val="auto"/>
              </w:rPr>
              <w:t>$(518,290)</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w:t>
            </w:r>
          </w:p>
        </w:tc>
        <w:tc>
          <w:tcPr>
            <w:tcW w:w="80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(36,306)</w:t>
            </w:r>
          </w:p>
        </w:tc>
        <w:tc>
          <w:tcPr>
            <w:tcW w:w="860" w:type="dxa"/>
            <w:vAlign w:val="bottom"/>
            <w:gridSpan w:val="3"/>
          </w:tcPr>
          <w:p>
            <w:pPr>
              <w:jc w:val="right"/>
              <w:ind w:right="60"/>
              <w:spacing w:after="0"/>
              <w:rPr>
                <w:sz w:val="20"/>
                <w:szCs w:val="20"/>
                <w:color w:val="auto"/>
              </w:rPr>
            </w:pPr>
            <w:r>
              <w:rPr>
                <w:rFonts w:ascii="Times New Roman" w:cs="Times New Roman" w:eastAsia="Times New Roman" w:hAnsi="Times New Roman"/>
                <w:sz w:val="20"/>
                <w:szCs w:val="20"/>
                <w:color w:val="auto"/>
                <w:w w:val="99"/>
              </w:rPr>
              <w:t>$(50,094)</w:t>
            </w:r>
          </w:p>
        </w:tc>
        <w:tc>
          <w:tcPr>
            <w:tcW w:w="2720" w:type="dxa"/>
            <w:vAlign w:val="bottom"/>
          </w:tcPr>
          <w:p>
            <w:pPr>
              <w:ind w:left="80"/>
              <w:spacing w:after="0"/>
              <w:rPr>
                <w:sz w:val="20"/>
                <w:szCs w:val="20"/>
                <w:color w:val="auto"/>
              </w:rPr>
            </w:pPr>
            <w:r>
              <w:rPr>
                <w:rFonts w:ascii="Times New Roman" w:cs="Times New Roman" w:eastAsia="Times New Roman" w:hAnsi="Times New Roman"/>
                <w:sz w:val="19"/>
                <w:szCs w:val="19"/>
                <w:color w:val="auto"/>
              </w:rPr>
              <w:t>Net of tax</w:t>
            </w:r>
          </w:p>
        </w:tc>
        <w:tc>
          <w:tcPr>
            <w:tcW w:w="0" w:type="dxa"/>
            <w:vAlign w:val="bottom"/>
          </w:tcPr>
          <w:p>
            <w:pPr>
              <w:spacing w:after="0"/>
              <w:rPr>
                <w:sz w:val="1"/>
                <w:szCs w:val="1"/>
                <w:color w:val="auto"/>
              </w:rPr>
            </w:pPr>
          </w:p>
        </w:tc>
      </w:tr>
    </w:tbl>
    <w:p>
      <w:pPr>
        <w:spacing w:after="0" w:line="261" w:lineRule="exact"/>
        <w:rPr>
          <w:sz w:val="20"/>
          <w:szCs w:val="20"/>
          <w:color w:val="auto"/>
        </w:rPr>
      </w:pPr>
    </w:p>
    <w:p>
      <w:pPr>
        <w:jc w:val="both"/>
        <w:ind w:left="420" w:right="125" w:hanging="325"/>
        <w:spacing w:after="0" w:line="272" w:lineRule="auto"/>
        <w:tabs>
          <w:tab w:leader="none" w:pos="400" w:val="left"/>
        </w:tabs>
        <w:rPr>
          <w:sz w:val="20"/>
          <w:szCs w:val="20"/>
          <w:color w:val="auto"/>
        </w:rPr>
      </w:pPr>
      <w:r>
        <w:rPr>
          <w:rFonts w:ascii="Times New Roman" w:cs="Times New Roman" w:eastAsia="Times New Roman" w:hAnsi="Times New Roman"/>
          <w:sz w:val="15"/>
          <w:szCs w:val="15"/>
          <w:color w:val="auto"/>
        </w:rPr>
        <w:t>( I)</w:t>
        <w:tab/>
        <w:t>These accumulated other comprehensive income components are included in the computation of net periodic pension a nd postretirement plan cost (see Note 15) and are included in non-operating pension and postretirement benefit income in the Company's Consolidated</w:t>
      </w:r>
    </w:p>
    <w:p>
      <w:pPr>
        <w:ind w:left="440"/>
        <w:spacing w:after="0" w:line="234" w:lineRule="auto"/>
        <w:rPr>
          <w:sz w:val="20"/>
          <w:szCs w:val="20"/>
          <w:color w:val="auto"/>
        </w:rPr>
      </w:pPr>
      <w:r>
        <w:rPr>
          <w:rFonts w:ascii="Times New Roman" w:cs="Times New Roman" w:eastAsia="Times New Roman" w:hAnsi="Times New Roman"/>
          <w:sz w:val="17"/>
          <w:szCs w:val="17"/>
          <w:color w:val="auto"/>
        </w:rPr>
        <w:t>Statements of Operations.</w:t>
      </w:r>
    </w:p>
    <w:p>
      <w:pPr>
        <w:sectPr>
          <w:pgSz w:w="12240" w:h="15850" w:orient="portrait"/>
          <w:cols w:equalWidth="0" w:num="1">
            <w:col w:w="9365"/>
          </w:cols>
          <w:pgMar w:left="1440" w:top="1385" w:right="1440" w:bottom="73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7"/>
          <w:szCs w:val="17"/>
          <w:color w:val="auto"/>
        </w:rPr>
        <w:t>141</w:t>
      </w:r>
    </w:p>
    <w:p>
      <w:pPr>
        <w:sectPr>
          <w:pgSz w:w="12240" w:h="15850" w:orient="portrait"/>
          <w:cols w:equalWidth="0" w:num="1">
            <w:col w:w="9365"/>
          </w:cols>
          <w:pgMar w:left="1440" w:top="1385" w:right="1440" w:bottom="731" w:gutter="0" w:footer="0" w:header="0"/>
          <w:type w:val="continuous"/>
        </w:sectPr>
      </w:pPr>
    </w:p>
    <w:bookmarkStart w:id="157" w:name="page158"/>
    <w:bookmarkEnd w:id="157"/>
    <w:p>
      <w:pPr>
        <w:ind w:left="12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6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18. CONTINGENCIES AND OTHER COMMITMENTS</w:t>
      </w:r>
    </w:p>
    <w:p>
      <w:pPr>
        <w:spacing w:after="0" w:line="149"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Litigation, Legal a nd Other Matters. The Company and its subsidiaries are subject to complaints and administrative proceedings and are defendants in various civil lawsuits that have arisen in the ordinary course of their businesses, including contract disputes; actions alleging negligence, libel, defamation and invasion of privacy; trademark, copyright and patent infringement; real estate lease and sublease disputes; violations of employment laws and applicable wage and hour laws; and statutory or common law claims involving current and former students and employees. Although the outcomes of the legal claims and proceedings against the Company cannot be predicted with certainty, based on currently available information, management believes that there are no existing claims or proceedings that are likely to have a material effect on the Company's business, financial condition, results of operations or cash flows. However, based on currently available information, management believes it is reasonably possible that future losses from existing and threatened legal, regulatory and other proceedings in excess of the amounts recorded could reach approximately $10 million.</w:t>
      </w:r>
    </w:p>
    <w:p>
      <w:pPr>
        <w:spacing w:after="0" w:line="284" w:lineRule="exact"/>
        <w:rPr>
          <w:sz w:val="20"/>
          <w:szCs w:val="20"/>
          <w:color w:val="auto"/>
        </w:rPr>
      </w:pPr>
    </w:p>
    <w:p>
      <w:pPr>
        <w:jc w:val="both"/>
        <w:ind w:left="120" w:right="105" w:firstLine="10"/>
        <w:spacing w:after="0" w:line="263" w:lineRule="auto"/>
        <w:rPr>
          <w:sz w:val="20"/>
          <w:szCs w:val="20"/>
          <w:color w:val="auto"/>
        </w:rPr>
      </w:pPr>
      <w:r>
        <w:rPr>
          <w:rFonts w:ascii="Times New Roman" w:cs="Times New Roman" w:eastAsia="Times New Roman" w:hAnsi="Times New Roman"/>
          <w:sz w:val="19"/>
          <w:szCs w:val="19"/>
          <w:color w:val="auto"/>
        </w:rPr>
        <w:t>In May 202 1, Kaplan received notice from the Department of Edlucation (ED) that it would be conducting a fact-finding process pursuant to the borrower defense to repayment (BDTR) regulations to determine the validity of BDTR claims and a request for documents related to several of Kaplan's previously owned schools. In 2021, Kaplan received borrower defense applications from the ED seeking discharge of approximately $35 million in loans, excluding interest, from former Kaplan University students. It is not clear to what extent the ED will exclude claims based on the underlying statutes of limitations, evidence provided by Kaplan, prior settlements with tlhese students relieving their debt outside of the BDTR process, or any prior investigation related to schools attended by the student applicants. The ED's process for adjudicating these claims is subject to the borrower defense regulations including those finalized in 2022 and effective July I, 2023. Compared to the previous rule, the new rule in part, expands actions that can give rise to claims for discharge; provides that the borrower's claim will be presumed true if the institution does not provide any responsive evidence; provides an easier process for group claims; and relies on current program review penalty hearing processes for discharge recoupment. Under the rule, the recoupment process applies only to loans first disbursed after July 1, 2023; however, the discharge process and standards apply to any pending application regardless of the loan date.</w:t>
      </w:r>
    </w:p>
    <w:p>
      <w:pPr>
        <w:spacing w:after="0" w:line="200" w:lineRule="exact"/>
        <w:rPr>
          <w:sz w:val="20"/>
          <w:szCs w:val="20"/>
          <w:color w:val="auto"/>
        </w:rPr>
      </w:pPr>
    </w:p>
    <w:p>
      <w:pPr>
        <w:spacing w:after="0" w:line="321" w:lineRule="exact"/>
        <w:rPr>
          <w:sz w:val="20"/>
          <w:szCs w:val="20"/>
          <w:color w:val="auto"/>
        </w:rPr>
      </w:pPr>
    </w:p>
    <w:p>
      <w:pPr>
        <w:jc w:val="both"/>
        <w:ind w:left="120" w:right="105" w:firstLine="11"/>
        <w:spacing w:after="0" w:line="263" w:lineRule="auto"/>
        <w:rPr>
          <w:sz w:val="20"/>
          <w:szCs w:val="20"/>
          <w:color w:val="auto"/>
        </w:rPr>
      </w:pPr>
      <w:r>
        <w:rPr>
          <w:rFonts w:ascii="Times New Roman" w:cs="Times New Roman" w:eastAsia="Times New Roman" w:hAnsi="Times New Roman"/>
          <w:sz w:val="19"/>
          <w:szCs w:val="19"/>
          <w:color w:val="auto"/>
        </w:rPr>
        <w:t xml:space="preserve">Kaplan believes it has substantive as well as procedural defenses to the borrower defense claims that would bar any student discharge or school liability, including that the claims are barred by the applicable statute of limitations, are unproven, incomplete and fail to meet regulatory filing requirements. Kaplan expects to vigorously defend any attempt by the ED to hold Kaplan liable for any ultimate student discharges. Kaplan responded to the initial set of claims in 2021 with documentary and narrative evndence to refute the allegations, demonstrate their lack of merit, and support the denial of all such claims by the ED. Kaplan intends to similarly respond to any new claims that apply to Kaplan University or other prior Kaplan-owned schools.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claims are successful, the ED may seek reimbursement for the amount discharged from Kaplan. </w:t>
      </w:r>
      <w:r>
        <w:rPr>
          <w:rFonts w:ascii="Arial" w:cs="Arial" w:eastAsia="Arial" w:hAnsi="Arial"/>
          <w:sz w:val="19"/>
          <w:szCs w:val="19"/>
          <w:color w:val="auto"/>
        </w:rPr>
        <w:t>If</w:t>
      </w:r>
      <w:r>
        <w:rPr>
          <w:rFonts w:ascii="Times New Roman" w:cs="Times New Roman" w:eastAsia="Times New Roman" w:hAnsi="Times New Roman"/>
          <w:sz w:val="19"/>
          <w:szCs w:val="19"/>
          <w:color w:val="auto"/>
        </w:rPr>
        <w:t xml:space="preserve"> the iED initiates a reimblUrsement action against Kaplan followi ng approval of former students' BDTR applications, Kaplan may be subject to significant liability.</w:t>
      </w:r>
    </w:p>
    <w:p>
      <w:pPr>
        <w:spacing w:after="0" w:line="200" w:lineRule="exact"/>
        <w:rPr>
          <w:sz w:val="20"/>
          <w:szCs w:val="20"/>
          <w:color w:val="auto"/>
        </w:rPr>
      </w:pPr>
    </w:p>
    <w:p>
      <w:pPr>
        <w:spacing w:after="0" w:line="322" w:lineRule="exact"/>
        <w:rPr>
          <w:sz w:val="20"/>
          <w:szCs w:val="20"/>
          <w:color w:val="auto"/>
        </w:rPr>
      </w:pPr>
    </w:p>
    <w:p>
      <w:pPr>
        <w:jc w:val="both"/>
        <w:ind w:left="120" w:right="125" w:firstLine="11"/>
        <w:spacing w:after="0" w:line="263" w:lineRule="auto"/>
        <w:rPr>
          <w:sz w:val="20"/>
          <w:szCs w:val="20"/>
          <w:color w:val="auto"/>
        </w:rPr>
      </w:pPr>
      <w:r>
        <w:rPr>
          <w:rFonts w:ascii="Times New Roman" w:cs="Times New Roman" w:eastAsia="Times New Roman" w:hAnsi="Times New Roman"/>
          <w:sz w:val="19"/>
          <w:szCs w:val="19"/>
          <w:color w:val="auto"/>
        </w:rPr>
        <w:t xml:space="preserve">As part of the </w:t>
      </w:r>
      <w:r>
        <w:rPr>
          <w:rFonts w:ascii="Times New Roman" w:cs="Times New Roman" w:eastAsia="Times New Roman" w:hAnsi="Times New Roman"/>
          <w:sz w:val="19"/>
          <w:szCs w:val="19"/>
          <w:i w:val="1"/>
          <w:iCs w:val="1"/>
          <w:color w:val="auto"/>
        </w:rPr>
        <w:t>Sweet v. Cardona</w:t>
      </w:r>
      <w:r>
        <w:rPr>
          <w:rFonts w:ascii="Times New Roman" w:cs="Times New Roman" w:eastAsia="Times New Roman" w:hAnsi="Times New Roman"/>
          <w:sz w:val="19"/>
          <w:szCs w:val="19"/>
          <w:color w:val="auto"/>
        </w:rPr>
        <w:t xml:space="preserve"> settlement described below, the ED agreed to review any BDTR applications submitted between June 23, 2022 and November 15, 2022 on an expedited basis. In Jan uary 2024, Kaplan was informed that the ED received applications during this time period regarding former Kaplan University and Purdue Global students. Kaplan received those applications and believes none of the applications has merit and that the applications are far outside any stanne of limitations period and accordingly Kaplan responded similarly to responses for prior claims. The total discharge amount sought or how much of that amount would apply to Kaplan University students is not fuJly known. The </w:t>
      </w:r>
      <w:r>
        <w:rPr>
          <w:rFonts w:ascii="Times New Roman" w:cs="Times New Roman" w:eastAsia="Times New Roman" w:hAnsi="Times New Roman"/>
          <w:sz w:val="19"/>
          <w:szCs w:val="19"/>
          <w:i w:val="1"/>
          <w:iCs w:val="1"/>
          <w:color w:val="auto"/>
        </w:rPr>
        <w:t>Sweet v. Carduna</w:t>
      </w:r>
      <w:r>
        <w:rPr>
          <w:rFonts w:ascii="Times New Roman" w:cs="Times New Roman" w:eastAsia="Times New Roman" w:hAnsi="Times New Roman"/>
          <w:sz w:val="19"/>
          <w:szCs w:val="19"/>
          <w:color w:val="auto"/>
        </w:rPr>
        <w:t xml:space="preserve"> seulemen!l requires the ED to adjudicate applications received during the designated time period pursuant to the requirements of the 2016 Borrower Defense Regulation. As noted, if the claims are successful, the ED may seek reimbursement for the amount discharged from Kaplan. Kaplan believes it has significant defenses against any attempt by the ED at recoupment including the claims' collective lack of merit, the applicable statute of limitations periods, and the ED's standing for recoupment given the </w:t>
      </w:r>
      <w:r>
        <w:rPr>
          <w:rFonts w:ascii="Times New Roman" w:cs="Times New Roman" w:eastAsia="Times New Roman" w:hAnsi="Times New Roman"/>
          <w:sz w:val="19"/>
          <w:szCs w:val="19"/>
          <w:i w:val="1"/>
          <w:iCs w:val="1"/>
          <w:color w:val="auto"/>
        </w:rPr>
        <w:t>Sweet</w:t>
      </w:r>
      <w:r>
        <w:rPr>
          <w:rFonts w:ascii="Times New Roman" w:cs="Times New Roman" w:eastAsia="Times New Roman" w:hAnsi="Times New Roman"/>
          <w:sz w:val="19"/>
          <w:szCs w:val="19"/>
          <w:color w:val="auto"/>
        </w:rPr>
        <w:t xml:space="preserve"> settlement described below. Regardless, if the ED initiates a reimbursement</w:t>
      </w:r>
    </w:p>
    <w:p>
      <w:pPr>
        <w:sectPr>
          <w:pgSz w:w="12240" w:h="15850" w:orient="portrait"/>
          <w:cols w:equalWidth="0" w:num="1">
            <w:col w:w="9365"/>
          </w:cols>
          <w:pgMar w:left="1440" w:top="1377" w:right="1440" w:bottom="721" w:gutter="0" w:footer="0" w:header="0"/>
        </w:sectPr>
      </w:pPr>
    </w:p>
    <w:p>
      <w:pPr>
        <w:spacing w:after="0" w:line="200" w:lineRule="exact"/>
        <w:rPr>
          <w:sz w:val="20"/>
          <w:szCs w:val="20"/>
          <w:color w:val="auto"/>
        </w:rPr>
      </w:pPr>
    </w:p>
    <w:p>
      <w:pPr>
        <w:spacing w:after="0" w:line="285"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142</w:t>
        <w:tab/>
        <w:t>2024 FORM 10-K</w:t>
      </w:r>
    </w:p>
    <w:p>
      <w:pPr>
        <w:sectPr>
          <w:pgSz w:w="12240" w:h="15850" w:orient="portrait"/>
          <w:cols w:equalWidth="0" w:num="1">
            <w:col w:w="9365"/>
          </w:cols>
          <w:pgMar w:left="1440" w:top="1377" w:right="1440" w:bottom="721" w:gutter="0" w:footer="0" w:header="0"/>
          <w:type w:val="continuous"/>
        </w:sectPr>
      </w:pPr>
    </w:p>
    <w:bookmarkStart w:id="158" w:name="page159"/>
    <w:bookmarkEnd w:id="158"/>
    <w:p>
      <w:pPr>
        <w:jc w:val="both"/>
        <w:ind w:left="120" w:right="125" w:firstLine="1"/>
        <w:spacing w:after="0" w:line="24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6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action against Kaplan following approval of former students' BDTR applications, Kaplan may be subject to significant liability.</w:t>
      </w:r>
    </w:p>
    <w:p>
      <w:pPr>
        <w:spacing w:after="0" w:line="273"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 xml:space="preserve">ln November 2022, the Northern District of California approved the settlement agreement </w:t>
      </w:r>
      <w:r>
        <w:rPr>
          <w:rFonts w:ascii="Arial" w:cs="Arial" w:eastAsia="Arial" w:hAnsi="Arial"/>
          <w:sz w:val="18"/>
          <w:szCs w:val="18"/>
          <w:color w:val="auto"/>
        </w:rPr>
        <w:t>in</w:t>
      </w:r>
      <w:r>
        <w:rPr>
          <w:rFonts w:ascii="Times New Roman" w:cs="Times New Roman" w:eastAsia="Times New Roman" w:hAnsi="Times New Roman"/>
          <w:sz w:val="19"/>
          <w:szCs w:val="19"/>
          <w:color w:val="auto"/>
        </w:rPr>
        <w:t xml:space="preserve"> the lawsuit </w:t>
      </w:r>
      <w:r>
        <w:rPr>
          <w:rFonts w:ascii="Times New Roman" w:cs="Times New Roman" w:eastAsia="Times New Roman" w:hAnsi="Times New Roman"/>
          <w:sz w:val="19"/>
          <w:szCs w:val="19"/>
          <w:i w:val="1"/>
          <w:iCs w:val="1"/>
          <w:color w:val="auto"/>
        </w:rPr>
        <w:t>Sweet v.</w:t>
      </w:r>
      <w:r>
        <w:rPr>
          <w:rFonts w:ascii="Times New Roman" w:cs="Times New Roman" w:eastAsia="Times New Roman" w:hAnsi="Times New Roman"/>
          <w:sz w:val="19"/>
          <w:szCs w:val="19"/>
          <w:color w:val="auto"/>
        </w:rPr>
        <w:t xml:space="preserve"> </w:t>
      </w:r>
      <w:r>
        <w:rPr>
          <w:rFonts w:ascii="Arial" w:cs="Arial" w:eastAsia="Arial" w:hAnsi="Arial"/>
          <w:sz w:val="18"/>
          <w:szCs w:val="18"/>
          <w:i w:val="1"/>
          <w:iCs w:val="1"/>
          <w:color w:val="auto"/>
        </w:rPr>
        <w:t xml:space="preserve">Cardona. </w:t>
      </w:r>
      <w:r>
        <w:rPr>
          <w:rFonts w:ascii="Times New Roman" w:cs="Times New Roman" w:eastAsia="Times New Roman" w:hAnsi="Times New Roman"/>
          <w:sz w:val="19"/>
          <w:szCs w:val="19"/>
          <w:color w:val="auto"/>
        </w:rPr>
        <w:t>The Plaintiffs in that lawsuit claimed that the ED failed to properly cons ider and decide pending BDTR</w:t>
      </w:r>
      <w:r>
        <w:rPr>
          <w:rFonts w:ascii="Arial" w:cs="Arial" w:eastAsia="Arial" w:hAnsi="Arial"/>
          <w:sz w:val="18"/>
          <w:szCs w:val="18"/>
          <w:i w:val="1"/>
          <w:iCs w:val="1"/>
          <w:color w:val="auto"/>
        </w:rPr>
        <w:t xml:space="preserve"> </w:t>
      </w:r>
      <w:r>
        <w:rPr>
          <w:rFonts w:ascii="Times New Roman" w:cs="Times New Roman" w:eastAsia="Times New Roman" w:hAnsi="Times New Roman"/>
          <w:sz w:val="19"/>
          <w:szCs w:val="19"/>
          <w:color w:val="auto"/>
        </w:rPr>
        <w:t xml:space="preserve">c laims . As part of the settlement, the ED agreed to discharge loans of borrowers who attended 150 specific schools, including all schools formerly owned by Kaplan, and who had BDTR claims pending as of the June 22, 2022 settlement execution date. This discharge will likely cover each of the first set of applications the ED sent to Kaplan and to which Kaplan previously responded. The ED and the Court made clear that these discharges as part of a settlement are not determinations that the pending BDTR cla ims are valid and the fact of the settlement discharge cannot </w:t>
      </w:r>
      <w:r>
        <w:rPr>
          <w:rFonts w:ascii="Arial" w:cs="Arial" w:eastAsia="Arial" w:hAnsi="Arial"/>
          <w:sz w:val="19"/>
          <w:szCs w:val="19"/>
          <w:color w:val="auto"/>
        </w:rPr>
        <w:t>be</w:t>
      </w:r>
      <w:r>
        <w:rPr>
          <w:rFonts w:ascii="Times New Roman" w:cs="Times New Roman" w:eastAsia="Times New Roman" w:hAnsi="Times New Roman"/>
          <w:sz w:val="19"/>
          <w:szCs w:val="19"/>
          <w:color w:val="auto"/>
        </w:rPr>
        <w:t xml:space="preserve"> used as evidence of any determination of wrongdoing by the institutions. However, despite the fa·ct that the loans are discharged per the settlement, the ED may still attempt to separately adjudicate the associated BDTR claims and follow the reg ulatory process for seeking recoupment from the institutions for such c la ims . As noted above, this settlement like ly also applies to the resolution, future adjudication, and possible discharge of the newly noticed claims. As also noted, the ED could attempt to recoup from Kaplan some or all of any discharged amount for the newly noticed claims.</w:t>
      </w:r>
    </w:p>
    <w:p>
      <w:pPr>
        <w:spacing w:after="0" w:line="200" w:lineRule="exact"/>
        <w:rPr>
          <w:sz w:val="20"/>
          <w:szCs w:val="20"/>
          <w:color w:val="auto"/>
        </w:rPr>
      </w:pPr>
    </w:p>
    <w:p>
      <w:pPr>
        <w:spacing w:after="0" w:line="293" w:lineRule="exact"/>
        <w:rPr>
          <w:sz w:val="20"/>
          <w:szCs w:val="20"/>
          <w:color w:val="auto"/>
        </w:rPr>
      </w:pPr>
    </w:p>
    <w:p>
      <w:pPr>
        <w:jc w:val="both"/>
        <w:ind w:left="120" w:right="125"/>
        <w:spacing w:after="0" w:line="249" w:lineRule="auto"/>
        <w:rPr>
          <w:sz w:val="20"/>
          <w:szCs w:val="20"/>
          <w:color w:val="auto"/>
        </w:rPr>
      </w:pPr>
      <w:r>
        <w:rPr>
          <w:rFonts w:ascii="Times New Roman" w:cs="Times New Roman" w:eastAsia="Times New Roman" w:hAnsi="Times New Roman"/>
          <w:sz w:val="19"/>
          <w:szCs w:val="19"/>
          <w:color w:val="auto"/>
        </w:rPr>
        <w:t xml:space="preserve">ln August 2018, Purdue University Global received an updated Provisional Program Participation Agreement (PPPA) from the ED which is necessary for continued pa1ticipation in the federal Title </w:t>
      </w:r>
      <w:r>
        <w:rPr>
          <w:rFonts w:ascii="Arial" w:cs="Arial" w:eastAsia="Arial" w:hAnsi="Arial"/>
          <w:sz w:val="24"/>
          <w:szCs w:val="24"/>
          <w:color w:val="auto"/>
        </w:rPr>
        <w:t>rv</w:t>
      </w:r>
      <w:r>
        <w:rPr>
          <w:rFonts w:ascii="Times New Roman" w:cs="Times New Roman" w:eastAsia="Times New Roman" w:hAnsi="Times New Roman"/>
          <w:sz w:val="19"/>
          <w:szCs w:val="19"/>
          <w:color w:val="auto"/>
        </w:rPr>
        <w:t xml:space="preserve"> programs after the change in ownership from Kaplan to Purdue. On November 25, 2024 the ED approved Pw-due Global's Application for Participation in the Title </w:t>
      </w:r>
      <w:r>
        <w:rPr>
          <w:rFonts w:ascii="Times New Roman" w:cs="Times New Roman" w:eastAsia="Times New Roman" w:hAnsi="Times New Roman"/>
          <w:sz w:val="20"/>
          <w:szCs w:val="20"/>
          <w:color w:val="auto"/>
        </w:rPr>
        <w:t>IV</w:t>
      </w:r>
      <w:r>
        <w:rPr>
          <w:rFonts w:ascii="Times New Roman" w:cs="Times New Roman" w:eastAsia="Times New Roman" w:hAnsi="Times New Roman"/>
          <w:sz w:val="19"/>
          <w:szCs w:val="19"/>
          <w:color w:val="auto"/>
        </w:rPr>
        <w:t xml:space="preserve"> program and granted a full Program Partic ipation Agreement. This Program Participation Agreement expires on December 31, 2028 and will need to be renewed prior to that date pursuant to federal reg ulations. Pursuant to the terms of the Pr·ogram Participation Agreement, Purdue Global must report to the ED any accreditation or governme nta l agency action or class action lawsuit.</w:t>
      </w:r>
    </w:p>
    <w:p>
      <w:pPr>
        <w:spacing w:after="0" w:line="267" w:lineRule="exact"/>
        <w:rPr>
          <w:sz w:val="20"/>
          <w:szCs w:val="20"/>
          <w:color w:val="auto"/>
        </w:rPr>
      </w:pPr>
    </w:p>
    <w:p>
      <w:pPr>
        <w:jc w:val="both"/>
        <w:ind w:left="120" w:right="125"/>
        <w:spacing w:after="0" w:line="261" w:lineRule="auto"/>
        <w:rPr>
          <w:sz w:val="20"/>
          <w:szCs w:val="20"/>
          <w:color w:val="auto"/>
        </w:rPr>
      </w:pPr>
      <w:r>
        <w:rPr>
          <w:rFonts w:ascii="Times New Roman" w:cs="Times New Roman" w:eastAsia="Times New Roman" w:hAnsi="Times New Roman"/>
          <w:sz w:val="19"/>
          <w:szCs w:val="19"/>
          <w:color w:val="auto"/>
        </w:rPr>
        <w:t>Other</w:t>
      </w:r>
      <w:r>
        <w:rPr>
          <w:sz w:val="20"/>
          <w:szCs w:val="20"/>
          <w:color w:val="auto"/>
        </w:rPr>
        <w:t xml:space="preserve"> </w:t>
      </w:r>
      <w:r>
        <w:rPr>
          <w:rFonts w:ascii="Times New Roman" w:cs="Times New Roman" w:eastAsia="Times New Roman" w:hAnsi="Times New Roman"/>
          <w:sz w:val="19"/>
          <w:szCs w:val="19"/>
          <w:color w:val="auto"/>
        </w:rPr>
        <w:t>Commitments. The Company's broadcast subsidiaries are parties to certain agreements that commit them to purchase programming to be produced in future years. As of December 31, 2024, such commitments amounted to approximately $26.5 million. If such programs are not produced, the Company's commitment would expire without obligation.</w:t>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19. BUSINESS SEGMENTS</w:t>
      </w:r>
    </w:p>
    <w:p>
      <w:pPr>
        <w:spacing w:after="0" w:line="140" w:lineRule="exact"/>
        <w:rPr>
          <w:sz w:val="20"/>
          <w:szCs w:val="20"/>
          <w:color w:val="auto"/>
        </w:rPr>
      </w:pPr>
    </w:p>
    <w:p>
      <w:pPr>
        <w:jc w:val="both"/>
        <w:ind w:left="120" w:right="125" w:firstLine="1"/>
        <w:spacing w:after="0" w:line="265" w:lineRule="auto"/>
        <w:rPr>
          <w:sz w:val="20"/>
          <w:szCs w:val="20"/>
          <w:color w:val="auto"/>
        </w:rPr>
      </w:pPr>
      <w:r>
        <w:rPr>
          <w:rFonts w:ascii="Times New Roman" w:cs="Times New Roman" w:eastAsia="Times New Roman" w:hAnsi="Times New Roman"/>
          <w:sz w:val="19"/>
          <w:szCs w:val="19"/>
          <w:color w:val="auto"/>
        </w:rPr>
        <w:t>Ba sis of Presentation. The Company's organizational structure is based o n a number of factors that management uses to evaluate, view and run its business operations, which irnclude, but are not limited to, customers, the nature of products and services and use of resources. The business segments disclosed in the Consolidated Financia[ Statements are based on this organizational structure and information reviewed by the Company's management to evaluate the business segment results .</w:t>
      </w:r>
    </w:p>
    <w:p>
      <w:pPr>
        <w:spacing w:after="0" w:line="234" w:lineRule="exact"/>
        <w:rPr>
          <w:sz w:val="20"/>
          <w:szCs w:val="20"/>
          <w:color w:val="auto"/>
        </w:rPr>
      </w:pPr>
    </w:p>
    <w:p>
      <w:pPr>
        <w:jc w:val="both"/>
        <w:ind w:left="120" w:right="125" w:firstLine="2"/>
        <w:spacing w:after="0" w:line="262" w:lineRule="auto"/>
        <w:rPr>
          <w:sz w:val="20"/>
          <w:szCs w:val="20"/>
          <w:color w:val="auto"/>
        </w:rPr>
      </w:pPr>
      <w:r>
        <w:rPr>
          <w:rFonts w:ascii="Times New Roman" w:cs="Times New Roman" w:eastAsia="Times New Roman" w:hAnsi="Times New Roman"/>
          <w:sz w:val="19"/>
          <w:szCs w:val="19"/>
          <w:color w:val="auto"/>
        </w:rPr>
        <w:t>The Company has seven reportable segments: Kaplan Inte rnational, Kaplan Hig her Education, Kaplan Supplemental Education, Television Broadcasting, Manufacturing, Healthcare and Automotive. The Company defines its operating segme nts as those operations whose results the chief operating decision maker (CODM), who is o ur Chief Executive Officer, regularly reviews to analyze perfo nnance and allocate resources.</w:t>
      </w:r>
    </w:p>
    <w:p>
      <w:pPr>
        <w:spacing w:after="0" w:line="257" w:lineRule="exact"/>
        <w:rPr>
          <w:sz w:val="20"/>
          <w:szCs w:val="20"/>
          <w:color w:val="auto"/>
        </w:rPr>
      </w:pPr>
    </w:p>
    <w:p>
      <w:pPr>
        <w:jc w:val="both"/>
        <w:ind w:left="120" w:right="105" w:firstLine="1"/>
        <w:spacing w:after="0" w:line="262" w:lineRule="auto"/>
        <w:rPr>
          <w:sz w:val="20"/>
          <w:szCs w:val="20"/>
          <w:color w:val="auto"/>
        </w:rPr>
      </w:pPr>
      <w:r>
        <w:rPr>
          <w:rFonts w:ascii="Times New Roman" w:cs="Times New Roman" w:eastAsia="Times New Roman" w:hAnsi="Times New Roman"/>
          <w:sz w:val="19"/>
          <w:szCs w:val="19"/>
          <w:color w:val="auto"/>
        </w:rPr>
        <w:t>The Company and CODM use both operating income before ammtization of intangible assets and impairment of goodwill and other long-lived assets and earnings before interest, income taxes, depreciation, amortization and pensio n service cost (EBTTDAP) to evaluate segment perfo rmance and allocate resources to the Company's segme rns. The CODM uses reports provided during annual budget presentations, the three-year forecasting process, quarterly business reviews and monthly management reports and related communication when making decisions about allocating capital resources across segments. T he accounting policies at the segments are the same as described in Note 2 . In computing operating income before amo1tization by segment, the effects of amortization of intangible assets, impairment of goodwill and other long-lived assets, equity in earnings (losses) of affiliates, interest income, interest expense, non-operating pension and postretirement benefit income, other</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88"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143</w:t>
      </w:r>
    </w:p>
    <w:p>
      <w:pPr>
        <w:sectPr>
          <w:pgSz w:w="12240" w:h="15850" w:orient="portrait"/>
          <w:cols w:equalWidth="0" w:num="1">
            <w:col w:w="9365"/>
          </w:cols>
          <w:pgMar w:left="1440" w:top="1392" w:right="1440" w:bottom="721" w:gutter="0" w:footer="0" w:header="0"/>
          <w:type w:val="continuous"/>
        </w:sectPr>
      </w:pPr>
    </w:p>
    <w:bookmarkStart w:id="159" w:name="page160"/>
    <w:bookmarkEnd w:id="159"/>
    <w:p>
      <w:pPr>
        <w:jc w:val="both"/>
        <w:ind w:left="120" w:right="105"/>
        <w:spacing w:after="0" w:line="243" w:lineRule="auto"/>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non-o[perating income and expense items and income taxes are excluded. In computing EBITDAP, the effects of pension service cost, depreciation, impairment of goodwi ll and other lo ng-lived assets, equity in earnings (losses)</w:t>
      </w:r>
    </w:p>
    <w:p>
      <w:pPr>
        <w:spacing w:after="0" w:line="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auto"/>
        </w:rPr>
        <w:t>of affiiliates, interest income, interest expense, non-operating pension and postretirement benefit income, other</w:t>
      </w:r>
    </w:p>
    <w:p>
      <w:pPr>
        <w:spacing w:after="0" w:line="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non-operating income and expense items and income taxes are excluded. lntersegment sales are not material.</w:t>
      </w:r>
    </w:p>
    <w:p>
      <w:pPr>
        <w:spacing w:after="0" w:line="266" w:lineRule="exact"/>
        <w:rPr>
          <w:sz w:val="20"/>
          <w:szCs w:val="20"/>
          <w:color w:val="auto"/>
        </w:rPr>
      </w:pPr>
    </w:p>
    <w:p>
      <w:pPr>
        <w:jc w:val="both"/>
        <w:ind w:left="120" w:right="125"/>
        <w:spacing w:after="0" w:line="257" w:lineRule="auto"/>
        <w:rPr>
          <w:sz w:val="20"/>
          <w:szCs w:val="20"/>
          <w:color w:val="auto"/>
        </w:rPr>
      </w:pPr>
      <w:r>
        <w:rPr>
          <w:rFonts w:ascii="Times New Roman" w:cs="Times New Roman" w:eastAsia="Times New Roman" w:hAnsi="Times New Roman"/>
          <w:sz w:val="19"/>
          <w:szCs w:val="19"/>
          <w:color w:val="auto"/>
        </w:rPr>
        <w:t>Identifiable assets by segment are those assets used in the Company's operations in each business segment. The investments in marketable equity securities and affiliates, and prepaid pension cost are not included in identifiable assets by segment. Investments in marketable equity securities are discussed in Note 4.</w:t>
      </w:r>
    </w:p>
    <w:p>
      <w:pPr>
        <w:spacing w:after="0" w:line="253" w:lineRule="exact"/>
        <w:rPr>
          <w:sz w:val="20"/>
          <w:szCs w:val="20"/>
          <w:color w:val="auto"/>
        </w:rPr>
      </w:pPr>
    </w:p>
    <w:p>
      <w:pPr>
        <w:jc w:val="both"/>
        <w:ind w:left="120" w:right="125" w:hanging="8"/>
        <w:spacing w:after="0" w:line="262" w:lineRule="auto"/>
        <w:rPr>
          <w:sz w:val="20"/>
          <w:szCs w:val="20"/>
          <w:color w:val="auto"/>
        </w:rPr>
      </w:pPr>
      <w:r>
        <w:rPr>
          <w:rFonts w:ascii="Times New Roman" w:cs="Times New Roman" w:eastAsia="Times New Roman" w:hAnsi="Times New Roman"/>
          <w:sz w:val="19"/>
          <w:szCs w:val="19"/>
          <w:b w:val="1"/>
          <w:bCs w:val="1"/>
          <w:color w:val="auto"/>
        </w:rPr>
        <w:t>Education.</w:t>
      </w:r>
      <w:r>
        <w:rPr>
          <w:sz w:val="20"/>
          <w:szCs w:val="20"/>
          <w:color w:val="auto"/>
        </w:rPr>
        <w:t xml:space="preserve"> </w:t>
      </w:r>
      <w:r>
        <w:rPr>
          <w:rFonts w:ascii="Times New Roman" w:cs="Times New Roman" w:eastAsia="Times New Roman" w:hAnsi="Times New Roman"/>
          <w:sz w:val="19"/>
          <w:szCs w:val="19"/>
          <w:color w:val="auto"/>
        </w:rPr>
        <w:t>Education products a nd services are provided by Kaplan, Inc. KI inc ludes professional training and postsecondary education businesses largely outside the U.S., as well as English-language programs. KHE includes the results as a service provider to higher education institutions. Supplemental Education includes Kaplan's standardized test preparation, domestic professional and other continuing education businesses.</w:t>
      </w:r>
    </w:p>
    <w:p>
      <w:pPr>
        <w:spacing w:after="0" w:line="256" w:lineRule="exact"/>
        <w:rPr>
          <w:sz w:val="20"/>
          <w:szCs w:val="20"/>
          <w:color w:val="auto"/>
        </w:rPr>
      </w:pPr>
    </w:p>
    <w:p>
      <w:pPr>
        <w:jc w:val="both"/>
        <w:ind w:left="120" w:right="125" w:firstLine="10"/>
        <w:spacing w:after="0" w:line="259" w:lineRule="auto"/>
        <w:rPr>
          <w:sz w:val="20"/>
          <w:szCs w:val="20"/>
          <w:color w:val="auto"/>
        </w:rPr>
      </w:pPr>
      <w:r>
        <w:rPr>
          <w:rFonts w:ascii="Times New Roman" w:cs="Times New Roman" w:eastAsia="Times New Roman" w:hAnsi="Times New Roman"/>
          <w:sz w:val="19"/>
          <w:szCs w:val="19"/>
          <w:color w:val="auto"/>
        </w:rPr>
        <w:t>As of December 31, 2024, Kaplan had a total outstanding accounts receivable balance of $95.3 million from Purdue Global related to amounts due for reimbursements for services, fees earned and a deferred fee. Included in this total, Kaplan has a $19.7 million long-term receivable balance due from Purdue Global at December 31, 2024, related to the advance of $20.0 million during the initial KU Transaction.</w:t>
      </w:r>
    </w:p>
    <w:p>
      <w:pPr>
        <w:spacing w:after="0" w:line="241" w:lineRule="exact"/>
        <w:rPr>
          <w:sz w:val="20"/>
          <w:szCs w:val="20"/>
          <w:color w:val="auto"/>
        </w:rPr>
      </w:pPr>
    </w:p>
    <w:p>
      <w:pPr>
        <w:jc w:val="both"/>
        <w:ind w:left="120" w:right="105" w:firstLine="1"/>
        <w:spacing w:after="0" w:line="266" w:lineRule="auto"/>
        <w:rPr>
          <w:sz w:val="20"/>
          <w:szCs w:val="20"/>
          <w:color w:val="auto"/>
        </w:rPr>
      </w:pPr>
      <w:r>
        <w:rPr>
          <w:rFonts w:ascii="Times New Roman" w:cs="Times New Roman" w:eastAsia="Times New Roman" w:hAnsi="Times New Roman"/>
          <w:sz w:val="19"/>
          <w:szCs w:val="19"/>
          <w:b w:val="1"/>
          <w:bCs w:val="1"/>
          <w:color w:val="auto"/>
        </w:rPr>
        <w:t xml:space="preserve">Television Broadcasting. </w:t>
      </w:r>
      <w:r>
        <w:rPr>
          <w:rFonts w:ascii="Times New Roman" w:cs="Times New Roman" w:eastAsia="Times New Roman" w:hAnsi="Times New Roman"/>
          <w:sz w:val="19"/>
          <w:szCs w:val="19"/>
          <w:color w:val="auto"/>
        </w:rPr>
        <w:t>Television broadcasting operations are conducted through seven television stations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serving the Detroit, Houston, San Antonio, Orlando, Jacksonville and Roanoke television markets. All stations are network-affiliated (except for WJ XT in Jacksonville), with revenues derived primarily from sales of advertising time. In addition, the stations generate revenue from retransmission consent agreements for the right to carry their signals.</w:t>
      </w:r>
    </w:p>
    <w:p>
      <w:pPr>
        <w:spacing w:after="0" w:line="200" w:lineRule="exact"/>
        <w:rPr>
          <w:sz w:val="20"/>
          <w:szCs w:val="20"/>
          <w:color w:val="auto"/>
        </w:rPr>
      </w:pPr>
    </w:p>
    <w:p>
      <w:pPr>
        <w:spacing w:after="0" w:line="281" w:lineRule="exact"/>
        <w:rPr>
          <w:sz w:val="20"/>
          <w:szCs w:val="20"/>
          <w:color w:val="auto"/>
        </w:rPr>
      </w:pPr>
    </w:p>
    <w:p>
      <w:pPr>
        <w:jc w:val="both"/>
        <w:ind w:left="120" w:right="125" w:firstLine="1"/>
        <w:spacing w:after="0" w:line="262" w:lineRule="auto"/>
        <w:rPr>
          <w:sz w:val="20"/>
          <w:szCs w:val="20"/>
          <w:color w:val="auto"/>
        </w:rPr>
      </w:pPr>
      <w:r>
        <w:rPr>
          <w:rFonts w:ascii="Times New Roman" w:cs="Times New Roman" w:eastAsia="Times New Roman" w:hAnsi="Times New Roman"/>
          <w:sz w:val="19"/>
          <w:szCs w:val="19"/>
          <w:b w:val="1"/>
          <w:bCs w:val="1"/>
          <w:color w:val="auto"/>
        </w:rPr>
        <w:t xml:space="preserve">Manufacturing. </w:t>
      </w:r>
      <w:r>
        <w:rPr>
          <w:rFonts w:ascii="Times New Roman" w:cs="Times New Roman" w:eastAsia="Times New Roman" w:hAnsi="Times New Roman"/>
          <w:sz w:val="19"/>
          <w:szCs w:val="19"/>
          <w:color w:val="auto"/>
        </w:rPr>
        <w:t>Manufacturing operations include Hoover, an Augusta, GA-based supplier of pressure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impregnated kiln-dried lumber and plywood products for fire retardant and preservative applicat ion; Dekko, a GaJTett, IN -based manufactu rer of electrical workspace solutions, architectural lighting, and electrical components and assemblies; Joyce/Dayton, a Dayton, OH-based manufacturer of screw jacks and other linear motion systems; and Forney, a global supplier of products and systems that control and monitor combustion processes in electric utility and industrial applications.</w:t>
      </w:r>
    </w:p>
    <w:p>
      <w:pPr>
        <w:spacing w:after="0" w:line="238" w:lineRule="exact"/>
        <w:rPr>
          <w:sz w:val="20"/>
          <w:szCs w:val="20"/>
          <w:color w:val="auto"/>
        </w:rPr>
      </w:pPr>
    </w:p>
    <w:p>
      <w:pPr>
        <w:jc w:val="both"/>
        <w:ind w:left="120" w:right="125" w:firstLine="2"/>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Healtlhcare. </w:t>
      </w:r>
      <w:r>
        <w:rPr>
          <w:rFonts w:ascii="Times New Roman" w:cs="Times New Roman" w:eastAsia="Times New Roman" w:hAnsi="Times New Roman"/>
          <w:sz w:val="19"/>
          <w:szCs w:val="19"/>
          <w:color w:val="auto"/>
        </w:rPr>
        <w:t>GHG provides home health, hospice and palliative services. GHG also provides other healthcare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services, including nursing care and prescription services for patilents receiving in-home infusion therapies; ABA therapy; physician services for allergy, asthma and immunology patients; in-home aesthetics; and healthcare software-as-a-service technology.</w:t>
      </w:r>
    </w:p>
    <w:p>
      <w:pPr>
        <w:spacing w:after="0" w:line="246" w:lineRule="exact"/>
        <w:rPr>
          <w:sz w:val="20"/>
          <w:szCs w:val="20"/>
          <w:color w:val="auto"/>
        </w:rPr>
      </w:pPr>
    </w:p>
    <w:p>
      <w:pPr>
        <w:jc w:val="both"/>
        <w:ind w:left="120" w:right="105" w:firstLine="2"/>
        <w:spacing w:after="0" w:line="265" w:lineRule="auto"/>
        <w:rPr>
          <w:sz w:val="20"/>
          <w:szCs w:val="20"/>
          <w:color w:val="auto"/>
        </w:rPr>
      </w:pPr>
      <w:r>
        <w:rPr>
          <w:rFonts w:ascii="Times New Roman" w:cs="Times New Roman" w:eastAsia="Times New Roman" w:hAnsi="Times New Roman"/>
          <w:sz w:val="19"/>
          <w:szCs w:val="19"/>
          <w:b w:val="1"/>
          <w:bCs w:val="1"/>
          <w:color w:val="auto"/>
        </w:rPr>
        <w:t xml:space="preserve">Automotive. </w:t>
      </w:r>
      <w:r>
        <w:rPr>
          <w:rFonts w:ascii="Times New Roman" w:cs="Times New Roman" w:eastAsia="Times New Roman" w:hAnsi="Times New Roman"/>
          <w:sz w:val="19"/>
          <w:szCs w:val="19"/>
          <w:color w:val="auto"/>
        </w:rPr>
        <w:t>Automotive includes eight automotive dealerships and valet repair services in the Washington,</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D.C. metropolitan area and Richmond, VA, including Lexus of Rockville, Honda of Tysons Corner, Jeep of Bethesda, Ford of Manassas, Toyota of Woodbridge and Chrysler-Dodge-Jeep-Ram of Woodbridge, which were acqu ired in July 2022, and Toyota of Richmond, which was acquired in September 2023. The automotive group was awarded a Kia Open Point dealership in Bethesda, MD, which commenced operations at the end of December 2023.</w:t>
      </w:r>
    </w:p>
    <w:p>
      <w:pPr>
        <w:sectPr>
          <w:pgSz w:w="12240" w:h="15850" w:orient="portrait"/>
          <w:cols w:equalWidth="0" w:num="1">
            <w:col w:w="9365"/>
          </w:cols>
          <w:pgMar w:left="1440" w:top="1392"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19"/>
          <w:szCs w:val="19"/>
          <w:color w:val="auto"/>
        </w:rPr>
        <w:t>144</w:t>
        <w:tab/>
        <w:t>2024 FORM 10-K</w:t>
      </w:r>
    </w:p>
    <w:p>
      <w:pPr>
        <w:sectPr>
          <w:pgSz w:w="12240" w:h="15850" w:orient="portrait"/>
          <w:cols w:equalWidth="0" w:num="1">
            <w:col w:w="9365"/>
          </w:cols>
          <w:pgMar w:left="1440" w:top="1392" w:right="1440" w:bottom="721" w:gutter="0" w:footer="0" w:header="0"/>
          <w:type w:val="continuous"/>
        </w:sectPr>
      </w:pPr>
    </w:p>
    <w:bookmarkStart w:id="160" w:name="page161"/>
    <w:bookmarkEnd w:id="160"/>
    <w:p>
      <w:pPr>
        <w:ind w:left="1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68">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 ther Businesses. Other businesses includes the following:</w:t>
      </w:r>
    </w:p>
    <w:p>
      <w:pPr>
        <w:spacing w:after="0" w:line="149" w:lineRule="exact"/>
        <w:rPr>
          <w:sz w:val="20"/>
          <w:szCs w:val="20"/>
          <w:color w:val="auto"/>
        </w:rPr>
      </w:pPr>
    </w:p>
    <w:p>
      <w:pPr>
        <w:ind w:left="920" w:right="125" w:hanging="3"/>
        <w:spacing w:after="0" w:line="283" w:lineRule="auto"/>
        <w:rPr>
          <w:sz w:val="20"/>
          <w:szCs w:val="20"/>
          <w:color w:val="auto"/>
        </w:rPr>
      </w:pPr>
      <w:r>
        <w:rPr>
          <w:rFonts w:ascii="Times New Roman" w:cs="Times New Roman" w:eastAsia="Times New Roman" w:hAnsi="Times New Roman"/>
          <w:sz w:val="18"/>
          <w:szCs w:val="18"/>
          <w:color w:val="auto"/>
        </w:rPr>
        <w:t>Society6, Sa.atchi</w:t>
      </w:r>
      <w:r>
        <w:rPr>
          <w:sz w:val="20"/>
          <w:szCs w:val="20"/>
          <w:color w:val="auto"/>
        </w:rPr>
        <w:t xml:space="preserve"> </w:t>
      </w:r>
      <w:r>
        <w:rPr>
          <w:rFonts w:ascii="Times New Roman" w:cs="Times New Roman" w:eastAsia="Times New Roman" w:hAnsi="Times New Roman"/>
          <w:sz w:val="18"/>
          <w:szCs w:val="18"/>
          <w:color w:val="auto"/>
        </w:rPr>
        <w:t>Art and WGB following the restrlllcturing of Leaf Group into three stand-alone businesses in the second quarter of2023:</w:t>
      </w:r>
    </w:p>
    <w:p>
      <w:pPr>
        <w:spacing w:after="0" w:line="113" w:lineRule="exact"/>
        <w:rPr>
          <w:sz w:val="20"/>
          <w:szCs w:val="20"/>
          <w:color w:val="auto"/>
        </w:rPr>
      </w:pPr>
    </w:p>
    <w:p>
      <w:pPr>
        <w:ind w:left="1320" w:right="145" w:hanging="303"/>
        <w:spacing w:after="0" w:line="272" w:lineRule="auto"/>
        <w:tabs>
          <w:tab w:leader="none" w:pos="131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Society6 (formerly included in Leaf Marketplace), an online commerce platform featuring original art and designs on an array of consumer products.</w:t>
      </w:r>
    </w:p>
    <w:p>
      <w:pPr>
        <w:spacing w:after="0" w:line="121" w:lineRule="exact"/>
        <w:rPr>
          <w:rFonts w:ascii="Times New Roman" w:cs="Times New Roman" w:eastAsia="Times New Roman" w:hAnsi="Times New Roman"/>
          <w:sz w:val="18"/>
          <w:szCs w:val="18"/>
          <w:color w:val="auto"/>
        </w:rPr>
      </w:pPr>
    </w:p>
    <w:p>
      <w:pPr>
        <w:ind w:left="1320" w:right="125" w:hanging="13"/>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Saatchi Art (formerly included in Leaf Marketplace), an online art gallery and in-person art fair business.</w:t>
      </w:r>
    </w:p>
    <w:p>
      <w:pPr>
        <w:spacing w:after="0" w:line="385" w:lineRule="exact"/>
        <w:rPr>
          <w:rFonts w:ascii="Times New Roman" w:cs="Times New Roman" w:eastAsia="Times New Roman" w:hAnsi="Times New Roman"/>
          <w:sz w:val="18"/>
          <w:szCs w:val="18"/>
          <w:color w:val="auto"/>
        </w:rPr>
      </w:pPr>
    </w:p>
    <w:p>
      <w:pPr>
        <w:ind w:left="1320" w:right="125" w:firstLine="11"/>
        <w:spacing w:after="0" w:line="27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WGB (formerly Leaf Media), an owner and operator of websites that educate and inform consumers across a wide variety of life topics.</w:t>
      </w:r>
    </w:p>
    <w:p>
      <w:pPr>
        <w:spacing w:after="0" w:line="127" w:lineRule="exact"/>
        <w:rPr>
          <w:sz w:val="20"/>
          <w:szCs w:val="20"/>
          <w:color w:val="auto"/>
        </w:rPr>
      </w:pPr>
    </w:p>
    <w:p>
      <w:pPr>
        <w:jc w:val="both"/>
        <w:ind w:left="920" w:right="125"/>
        <w:spacing w:after="0" w:line="277" w:lineRule="auto"/>
        <w:rPr>
          <w:sz w:val="20"/>
          <w:szCs w:val="20"/>
          <w:color w:val="auto"/>
        </w:rPr>
      </w:pPr>
      <w:r>
        <w:rPr>
          <w:rFonts w:ascii="Times New Roman" w:cs="Times New Roman" w:eastAsia="Times New Roman" w:hAnsi="Times New Roman"/>
          <w:sz w:val="18"/>
          <w:szCs w:val="18"/>
          <w:color w:val="auto"/>
        </w:rPr>
        <w:t>Clyde's</w:t>
      </w:r>
      <w:r>
        <w:rPr>
          <w:sz w:val="20"/>
          <w:szCs w:val="20"/>
          <w:color w:val="auto"/>
        </w:rPr>
        <w:t xml:space="preserve"> </w:t>
      </w:r>
      <w:r>
        <w:rPr>
          <w:rFonts w:ascii="Times New Roman" w:cs="Times New Roman" w:eastAsia="Times New Roman" w:hAnsi="Times New Roman"/>
          <w:sz w:val="18"/>
          <w:szCs w:val="18"/>
          <w:color w:val="auto"/>
        </w:rPr>
        <w:t xml:space="preserve">Restaurant Group owns and operates </w:t>
      </w:r>
      <w:r>
        <w:rPr>
          <w:rFonts w:ascii="Arial" w:cs="Arial" w:eastAsia="Arial" w:hAnsi="Arial"/>
          <w:sz w:val="18"/>
          <w:szCs w:val="18"/>
          <w:color w:val="auto"/>
        </w:rPr>
        <w:t>I</w:t>
      </w:r>
      <w:r>
        <w:rPr>
          <w:rFonts w:ascii="Times New Roman" w:cs="Times New Roman" w:eastAsia="Times New Roman" w:hAnsi="Times New Roman"/>
          <w:sz w:val="18"/>
          <w:szCs w:val="18"/>
          <w:color w:val="auto"/>
        </w:rPr>
        <w:t xml:space="preserve"> 4 restaurants and entertainment venues m the Washington, D.C. metropolitan area.</w:t>
      </w:r>
    </w:p>
    <w:p>
      <w:pPr>
        <w:spacing w:after="0" w:line="1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Framebridge, a custom framing company.</w:t>
      </w:r>
    </w:p>
    <w:p>
      <w:pPr>
        <w:spacing w:after="0" w:line="149" w:lineRule="exact"/>
        <w:rPr>
          <w:sz w:val="20"/>
          <w:szCs w:val="20"/>
          <w:color w:val="auto"/>
        </w:rPr>
      </w:pPr>
    </w:p>
    <w:p>
      <w:pPr>
        <w:jc w:val="both"/>
        <w:ind w:left="920" w:right="125" w:firstLine="2"/>
        <w:spacing w:after="0" w:line="278" w:lineRule="auto"/>
        <w:rPr>
          <w:sz w:val="20"/>
          <w:szCs w:val="20"/>
          <w:color w:val="auto"/>
        </w:rPr>
      </w:pPr>
      <w:r>
        <w:rPr>
          <w:rFonts w:ascii="Times New Roman" w:cs="Times New Roman" w:eastAsia="Times New Roman" w:hAnsi="Times New Roman"/>
          <w:sz w:val="18"/>
          <w:szCs w:val="18"/>
          <w:color w:val="auto"/>
        </w:rPr>
        <w:t>Code3, a marketing solutions provider; the Slate Group and Foreign Policy Group, which publish online and print magazines and websites; and three investment stage businesses, Decile, City Cast and Supporting Cast. Other businesses also includes CyberVista, which merged with another entity in October 2022 resulting in the deconsolidation of the subsidiary and Pinna, which merged with another entity in June 2023 resulting in the deconsolidation of the subsidiary.</w:t>
      </w:r>
    </w:p>
    <w:p>
      <w:pPr>
        <w:spacing w:after="0" w:line="241" w:lineRule="exact"/>
        <w:rPr>
          <w:sz w:val="20"/>
          <w:szCs w:val="20"/>
          <w:color w:val="auto"/>
        </w:rPr>
      </w:pPr>
    </w:p>
    <w:p>
      <w:pPr>
        <w:jc w:val="both"/>
        <w:ind w:left="120" w:right="125" w:hanging="1"/>
        <w:spacing w:after="0" w:line="283" w:lineRule="auto"/>
        <w:rPr>
          <w:sz w:val="20"/>
          <w:szCs w:val="20"/>
          <w:color w:val="auto"/>
        </w:rPr>
      </w:pPr>
      <w:r>
        <w:rPr>
          <w:rFonts w:ascii="Times New Roman" w:cs="Times New Roman" w:eastAsia="Times New Roman" w:hAnsi="Times New Roman"/>
          <w:sz w:val="18"/>
          <w:szCs w:val="18"/>
          <w:color w:val="auto"/>
        </w:rPr>
        <w:t>Corpor a te Office.</w:t>
      </w:r>
      <w:r>
        <w:rPr>
          <w:sz w:val="20"/>
          <w:szCs w:val="20"/>
          <w:color w:val="auto"/>
        </w:rPr>
        <w:t xml:space="preserve"> </w:t>
      </w:r>
      <w:r>
        <w:rPr>
          <w:rFonts w:ascii="Times New Roman" w:cs="Times New Roman" w:eastAsia="Times New Roman" w:hAnsi="Times New Roman"/>
          <w:sz w:val="18"/>
          <w:szCs w:val="18"/>
          <w:color w:val="auto"/>
        </w:rPr>
        <w:t>Corporate office includes the expenses of the Company's corporate office, defined benefit pension expense, and certain continuing obligations related to prior business dispositions.</w:t>
      </w:r>
    </w:p>
    <w:p>
      <w:pPr>
        <w:spacing w:after="0" w:line="237" w:lineRule="exact"/>
        <w:rPr>
          <w:sz w:val="20"/>
          <w:szCs w:val="20"/>
          <w:color w:val="auto"/>
        </w:rPr>
      </w:pPr>
    </w:p>
    <w:p>
      <w:pPr>
        <w:jc w:val="both"/>
        <w:ind w:left="120" w:right="125" w:firstLine="1"/>
        <w:spacing w:after="0" w:line="277" w:lineRule="auto"/>
        <w:rPr>
          <w:sz w:val="20"/>
          <w:szCs w:val="20"/>
          <w:color w:val="auto"/>
        </w:rPr>
      </w:pPr>
      <w:r>
        <w:rPr>
          <w:rFonts w:ascii="Times New Roman" w:cs="Times New Roman" w:eastAsia="Times New Roman" w:hAnsi="Times New Roman"/>
          <w:sz w:val="18"/>
          <w:szCs w:val="18"/>
          <w:color w:val="auto"/>
        </w:rPr>
        <w:t xml:space="preserve">Geogr a phical Informatio n. The Company's non-U.S. revenues in 2024, 2023 and 2022 totaled approximately $ 1,042 million, $930 million and $776 million, respectively, primarily from Kaplan's operations outside the U.S. Additionally, revenues in 2024, 2023 and 2022 totaled approximately $618 million, $543 million, and $448 million, respectively, from Kaplan's operations in the U.K. The Company's long-lived assets in non-U.S. countries (excluding goodwill and other intangible assets), totaled approximately $455 million and $492 million at December 3 </w:t>
      </w:r>
      <w:r>
        <w:rPr>
          <w:rFonts w:ascii="Arial" w:cs="Arial" w:eastAsia="Arial" w:hAnsi="Arial"/>
          <w:sz w:val="17"/>
          <w:szCs w:val="17"/>
          <w:color w:val="auto"/>
        </w:rPr>
        <w:t>I ,</w:t>
      </w:r>
      <w:r>
        <w:rPr>
          <w:rFonts w:ascii="Times New Roman" w:cs="Times New Roman" w:eastAsia="Times New Roman" w:hAnsi="Times New Roman"/>
          <w:sz w:val="18"/>
          <w:szCs w:val="18"/>
          <w:color w:val="auto"/>
        </w:rPr>
        <w:t xml:space="preserve"> 2024 and 2023, respectively.</w:t>
      </w:r>
    </w:p>
    <w:p>
      <w:pPr>
        <w:sectPr>
          <w:pgSz w:w="12240" w:h="15850" w:orient="portrait"/>
          <w:cols w:equalWidth="0" w:num="1">
            <w:col w:w="9365"/>
          </w:cols>
          <w:pgMar w:left="1440" w:top="1396"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8"/>
          <w:szCs w:val="18"/>
          <w:color w:val="auto"/>
        </w:rPr>
        <w:t>GRAHAM HOLDINGS COMPANY</w:t>
      </w:r>
      <w:r>
        <w:rPr>
          <w:sz w:val="20"/>
          <w:szCs w:val="20"/>
          <w:color w:val="auto"/>
        </w:rPr>
        <w:tab/>
      </w:r>
      <w:r>
        <w:rPr>
          <w:rFonts w:ascii="Times New Roman" w:cs="Times New Roman" w:eastAsia="Times New Roman" w:hAnsi="Times New Roman"/>
          <w:sz w:val="18"/>
          <w:szCs w:val="18"/>
          <w:color w:val="auto"/>
        </w:rPr>
        <w:t>145</w:t>
      </w:r>
    </w:p>
    <w:p>
      <w:pPr>
        <w:sectPr>
          <w:pgSz w:w="12240" w:h="15850" w:orient="portrait"/>
          <w:cols w:equalWidth="0" w:num="1">
            <w:col w:w="9365"/>
          </w:cols>
          <w:pgMar w:left="1440" w:top="1396" w:right="1440" w:bottom="721" w:gutter="0" w:footer="0" w:header="0"/>
          <w:type w:val="continuous"/>
        </w:sectPr>
      </w:pPr>
    </w:p>
    <w:bookmarkStart w:id="161" w:name="page162"/>
    <w:bookmarkEnd w:id="16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6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Company information broken down by operating segment and education division:</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300" w:type="dxa"/>
            <w:vAlign w:val="bottom"/>
            <w:gridSpan w:val="5"/>
          </w:tcPr>
          <w:p>
            <w:pPr>
              <w:ind w:left="60"/>
              <w:spacing w:after="0"/>
              <w:rPr>
                <w:sz w:val="20"/>
                <w:szCs w:val="20"/>
                <w:color w:val="auto"/>
              </w:rPr>
            </w:pPr>
            <w:r>
              <w:rPr>
                <w:rFonts w:ascii="Times New Roman" w:cs="Times New Roman" w:eastAsia="Times New Roman" w:hAnsi="Times New Roman"/>
                <w:sz w:val="15"/>
                <w:szCs w:val="15"/>
                <w:color w:val="auto"/>
              </w:rPr>
              <w:t xml:space="preserve">Vear </w:t>
            </w:r>
            <w:r>
              <w:rPr>
                <w:rFonts w:ascii="Arial" w:cs="Arial" w:eastAsia="Arial" w:hAnsi="Arial"/>
                <w:sz w:val="10"/>
                <w:szCs w:val="10"/>
                <w:color w:val="auto"/>
              </w:rPr>
              <w:t>~~nderl</w:t>
            </w:r>
            <w:r>
              <w:rPr>
                <w:rFonts w:ascii="Times New Roman" w:cs="Times New Roman" w:eastAsia="Times New Roman" w:hAnsi="Times New Roman"/>
                <w:sz w:val="15"/>
                <w:szCs w:val="15"/>
                <w:color w:val="auto"/>
              </w:rPr>
              <w:t xml:space="preserve"> Oecember 3 1,2024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58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920" w:type="dxa"/>
            <w:vAlign w:val="bottom"/>
            <w:tcBorders>
              <w:bottom w:val="single" w:sz="8" w:color="403C3C"/>
            </w:tcBorders>
            <w:gridSpan w:val="2"/>
          </w:tcPr>
          <w:p>
            <w:pPr>
              <w:spacing w:after="0"/>
              <w:rPr>
                <w:sz w:val="4"/>
                <w:szCs w:val="4"/>
                <w:color w:val="auto"/>
              </w:rPr>
            </w:pPr>
          </w:p>
        </w:tc>
        <w:tc>
          <w:tcPr>
            <w:tcW w:w="180" w:type="dxa"/>
            <w:vAlign w:val="bottom"/>
            <w:tcBorders>
              <w:bottom w:val="single" w:sz="8" w:color="403C3C"/>
            </w:tcBorders>
          </w:tcPr>
          <w:p>
            <w:pPr>
              <w:spacing w:after="0"/>
              <w:rPr>
                <w:sz w:val="4"/>
                <w:szCs w:val="4"/>
                <w:color w:val="auto"/>
              </w:rPr>
            </w:pPr>
          </w:p>
        </w:tc>
        <w:tc>
          <w:tcPr>
            <w:tcW w:w="1060" w:type="dxa"/>
            <w:vAlign w:val="bottom"/>
            <w:tcBorders>
              <w:bottom w:val="single" w:sz="8" w:color="403C3C"/>
            </w:tcBorders>
          </w:tcPr>
          <w:p>
            <w:pPr>
              <w:spacing w:after="0"/>
              <w:rPr>
                <w:sz w:val="4"/>
                <w:szCs w:val="4"/>
                <w:color w:val="auto"/>
              </w:rPr>
            </w:pPr>
          </w:p>
        </w:tc>
        <w:tc>
          <w:tcPr>
            <w:tcW w:w="200" w:type="dxa"/>
            <w:vAlign w:val="bottom"/>
            <w:tcBorders>
              <w:bottom w:val="single" w:sz="8" w:color="403C3C"/>
            </w:tcBorders>
          </w:tcPr>
          <w:p>
            <w:pPr>
              <w:spacing w:after="0"/>
              <w:rPr>
                <w:sz w:val="4"/>
                <w:szCs w:val="4"/>
                <w:color w:val="auto"/>
              </w:rPr>
            </w:pPr>
          </w:p>
        </w:tc>
        <w:tc>
          <w:tcPr>
            <w:tcW w:w="76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4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660" w:type="dxa"/>
            <w:vAlign w:val="bottom"/>
            <w:tcBorders>
              <w:bottom w:val="single" w:sz="8" w:color="403C3C"/>
            </w:tcBorders>
          </w:tcPr>
          <w:p>
            <w:pPr>
              <w:spacing w:after="0"/>
              <w:rPr>
                <w:sz w:val="4"/>
                <w:szCs w:val="4"/>
                <w:color w:val="auto"/>
              </w:rPr>
            </w:pPr>
          </w:p>
        </w:tc>
        <w:tc>
          <w:tcPr>
            <w:tcW w:w="4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2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640" w:type="dxa"/>
            <w:vAlign w:val="bottom"/>
            <w:tcBorders>
              <w:bottom w:val="single" w:sz="8" w:color="403C3C"/>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44"/>
              <w:spacing w:after="0"/>
              <w:rPr>
                <w:sz w:val="20"/>
                <w:szCs w:val="20"/>
                <w:color w:val="auto"/>
              </w:rPr>
            </w:pPr>
            <w:r>
              <w:rPr>
                <w:rFonts w:ascii="Times New Roman" w:cs="Times New Roman" w:eastAsia="Times New Roman" w:hAnsi="Times New Roman"/>
                <w:sz w:val="15"/>
                <w:szCs w:val="15"/>
                <w:color w:val="auto"/>
              </w:rPr>
              <w:t>TeleYision</w:t>
            </w:r>
          </w:p>
        </w:tc>
        <w:tc>
          <w:tcPr>
            <w:tcW w:w="18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Manufacturing</w:t>
            </w:r>
          </w:p>
        </w:tc>
        <w:tc>
          <w:tcPr>
            <w:tcW w:w="1060" w:type="dxa"/>
            <w:vAlign w:val="bottom"/>
            <w:gridSpan w:val="3"/>
            <w:vMerge w:val="restart"/>
          </w:tcPr>
          <w:p>
            <w:pPr>
              <w:ind w:left="200"/>
              <w:spacing w:after="0"/>
              <w:rPr>
                <w:sz w:val="20"/>
                <w:szCs w:val="20"/>
                <w:color w:val="auto"/>
              </w:rPr>
            </w:pPr>
            <w:r>
              <w:rPr>
                <w:rFonts w:ascii="Times New Roman" w:cs="Times New Roman" w:eastAsia="Times New Roman" w:hAnsi="Times New Roman"/>
                <w:sz w:val="15"/>
                <w:szCs w:val="15"/>
                <w:color w:val="auto"/>
              </w:rPr>
              <w:t>Healthcare</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3"/>
          </w:tcPr>
          <w:p>
            <w:pPr>
              <w:jc w:val="right"/>
              <w:ind w:right="24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68"/>
        </w:trPr>
        <w:tc>
          <w:tcPr>
            <w:tcW w:w="1820" w:type="dxa"/>
            <w:vAlign w:val="bottom"/>
            <w:gridSpan w:val="3"/>
            <w:vMerge w:val="continue"/>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120"/>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1020" w:type="dxa"/>
            <w:vAlign w:val="bottom"/>
            <w:gridSpan w:val="3"/>
          </w:tcPr>
          <w:p>
            <w:pPr>
              <w:jc w:val="right"/>
              <w:spacing w:after="0" w:line="168" w:lineRule="exact"/>
              <w:rPr>
                <w:sz w:val="20"/>
                <w:szCs w:val="20"/>
                <w:color w:val="auto"/>
              </w:rPr>
            </w:pPr>
            <w:r>
              <w:rPr>
                <w:rFonts w:ascii="Times New Roman" w:cs="Times New Roman" w:eastAsia="Times New Roman" w:hAnsi="Times New Roman"/>
                <w:sz w:val="15"/>
                <w:szCs w:val="15"/>
                <w:color w:val="auto"/>
              </w:rPr>
              <w:t>Broadcasting</w:t>
            </w:r>
          </w:p>
        </w:tc>
        <w:tc>
          <w:tcPr>
            <w:tcW w:w="1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060" w:type="dxa"/>
            <w:vAlign w:val="bottom"/>
            <w:gridSpan w:val="3"/>
            <w:vMerge w:val="continue"/>
          </w:tcPr>
          <w:p>
            <w:pPr>
              <w:spacing w:after="0"/>
              <w:rPr>
                <w:sz w:val="14"/>
                <w:szCs w:val="14"/>
                <w:color w:val="auto"/>
              </w:rPr>
            </w:pPr>
          </w:p>
        </w:tc>
        <w:tc>
          <w:tcPr>
            <w:tcW w:w="900" w:type="dxa"/>
            <w:vAlign w:val="bottom"/>
            <w:gridSpan w:val="5"/>
          </w:tcPr>
          <w:p>
            <w:pPr>
              <w:ind w:left="80"/>
              <w:spacing w:after="0" w:line="168" w:lineRule="exact"/>
              <w:rPr>
                <w:sz w:val="20"/>
                <w:szCs w:val="20"/>
                <w:color w:val="auto"/>
              </w:rPr>
            </w:pPr>
            <w:r>
              <w:rPr>
                <w:rFonts w:ascii="Times New Roman" w:cs="Times New Roman" w:eastAsia="Times New Roman" w:hAnsi="Times New Roman"/>
                <w:sz w:val="15"/>
                <w:szCs w:val="15"/>
                <w:color w:val="auto"/>
              </w:rPr>
              <w:t>AutomotiYe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4"/>
          </w:tcPr>
          <w:p>
            <w:pPr>
              <w:jc w:val="right"/>
              <w:ind w:right="100"/>
              <w:spacing w:after="0" w:line="168" w:lineRule="exact"/>
              <w:rPr>
                <w:sz w:val="20"/>
                <w:szCs w:val="20"/>
                <w:color w:val="auto"/>
              </w:rPr>
            </w:pPr>
            <w:r>
              <w:rPr>
                <w:rFonts w:ascii="Times New Roman" w:cs="Times New Roman" w:eastAsia="Times New Roman" w:hAnsi="Times New Roman"/>
                <w:sz w:val="15"/>
                <w:szCs w:val="15"/>
                <w:color w:val="auto"/>
              </w:rPr>
              <w:t>Segments</w:t>
            </w:r>
          </w:p>
        </w:tc>
        <w:tc>
          <w:tcPr>
            <w:tcW w:w="0" w:type="dxa"/>
            <w:vAlign w:val="bottom"/>
          </w:tcPr>
          <w:p>
            <w:pPr>
              <w:spacing w:after="0"/>
              <w:rPr>
                <w:sz w:val="1"/>
                <w:szCs w:val="1"/>
                <w:color w:val="auto"/>
              </w:rPr>
            </w:pPr>
          </w:p>
        </w:tc>
      </w:tr>
      <w:tr>
        <w:trPr>
          <w:trHeight w:val="34"/>
        </w:trPr>
        <w:tc>
          <w:tcPr>
            <w:tcW w:w="920" w:type="dxa"/>
            <w:vAlign w:val="bottom"/>
            <w:tcBorders>
              <w:bottom w:val="single" w:sz="8" w:color="403C3C"/>
            </w:tcBorders>
          </w:tcPr>
          <w:p>
            <w:pPr>
              <w:spacing w:after="0"/>
              <w:rPr>
                <w:sz w:val="2"/>
                <w:szCs w:val="2"/>
                <w:color w:val="auto"/>
              </w:rPr>
            </w:pPr>
          </w:p>
        </w:tc>
        <w:tc>
          <w:tcPr>
            <w:tcW w:w="90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403C3C"/>
            </w:tcBorders>
          </w:tcPr>
          <w:p>
            <w:pPr>
              <w:spacing w:after="0"/>
              <w:rPr>
                <w:sz w:val="2"/>
                <w:szCs w:val="2"/>
                <w:color w:val="auto"/>
              </w:rPr>
            </w:pPr>
          </w:p>
        </w:tc>
        <w:tc>
          <w:tcPr>
            <w:tcW w:w="60" w:type="dxa"/>
            <w:vAlign w:val="bottom"/>
            <w:tcBorders>
              <w:bottom w:val="single" w:sz="8" w:color="403C3C"/>
            </w:tcBorders>
          </w:tcPr>
          <w:p>
            <w:pPr>
              <w:spacing w:after="0"/>
              <w:rPr>
                <w:sz w:val="2"/>
                <w:szCs w:val="2"/>
                <w:color w:val="auto"/>
              </w:rPr>
            </w:pPr>
          </w:p>
        </w:tc>
        <w:tc>
          <w:tcPr>
            <w:tcW w:w="580" w:type="dxa"/>
            <w:vAlign w:val="bottom"/>
            <w:tcBorders>
              <w:bottom w:val="single" w:sz="8" w:color="403C3C"/>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403C3C"/>
            </w:tcBorders>
          </w:tcPr>
          <w:p>
            <w:pPr>
              <w:spacing w:after="0"/>
              <w:rPr>
                <w:sz w:val="2"/>
                <w:szCs w:val="2"/>
                <w:color w:val="auto"/>
              </w:rPr>
            </w:pPr>
          </w:p>
        </w:tc>
        <w:tc>
          <w:tcPr>
            <w:tcW w:w="70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403C3C"/>
            </w:tcBorders>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Borders>
              <w:bottom w:val="single" w:sz="8" w:color="403C3C"/>
            </w:tcBorders>
          </w:tcPr>
          <w:p>
            <w:pPr>
              <w:spacing w:after="0"/>
              <w:rPr>
                <w:sz w:val="2"/>
                <w:szCs w:val="2"/>
                <w:color w:val="auto"/>
              </w:rPr>
            </w:pPr>
          </w:p>
        </w:tc>
        <w:tc>
          <w:tcPr>
            <w:tcW w:w="80" w:type="dxa"/>
            <w:vAlign w:val="bottom"/>
            <w:tcBorders>
              <w:bottom w:val="single" w:sz="8" w:color="403C3C"/>
            </w:tcBorders>
          </w:tcPr>
          <w:p>
            <w:pPr>
              <w:spacing w:after="0"/>
              <w:rPr>
                <w:sz w:val="2"/>
                <w:szCs w:val="2"/>
                <w:color w:val="auto"/>
              </w:rPr>
            </w:pPr>
          </w:p>
        </w:tc>
        <w:tc>
          <w:tcPr>
            <w:tcW w:w="660" w:type="dxa"/>
            <w:vAlign w:val="bottom"/>
            <w:tcBorders>
              <w:bottom w:val="single" w:sz="8" w:color="403C3C"/>
            </w:tcBorders>
          </w:tcPr>
          <w:p>
            <w:pPr>
              <w:spacing w:after="0"/>
              <w:rPr>
                <w:sz w:val="2"/>
                <w:szCs w:val="2"/>
                <w:color w:val="auto"/>
              </w:rPr>
            </w:pPr>
          </w:p>
        </w:tc>
        <w:tc>
          <w:tcPr>
            <w:tcW w:w="40" w:type="dxa"/>
            <w:vAlign w:val="bottom"/>
            <w:tcBorders>
              <w:bottom w:val="single" w:sz="8" w:color="403C3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Borders>
              <w:bottom w:val="single" w:sz="8" w:color="403C3C"/>
            </w:tcBorders>
          </w:tcPr>
          <w:p>
            <w:pPr>
              <w:spacing w:after="0"/>
              <w:rPr>
                <w:sz w:val="2"/>
                <w:szCs w:val="2"/>
                <w:color w:val="auto"/>
              </w:rPr>
            </w:pPr>
          </w:p>
        </w:tc>
        <w:tc>
          <w:tcPr>
            <w:tcW w:w="640" w:type="dxa"/>
            <w:vAlign w:val="bottom"/>
            <w:tcBorders>
              <w:bottom w:val="single" w:sz="8" w:color="403C3C"/>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Operating ReYenues  </w:t>
            </w:r>
            <w:r>
              <w:rPr>
                <w:rFonts w:ascii="Arial" w:cs="Arial" w:eastAsia="Arial" w:hAnsi="Arial"/>
                <w:sz w:val="18"/>
                <w:szCs w:val="18"/>
                <w:color w:val="auto"/>
              </w:rPr>
              <w:t>. .. .</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ind w:left="20"/>
              <w:spacing w:after="0"/>
              <w:rPr>
                <w:sz w:val="20"/>
                <w:szCs w:val="20"/>
                <w:color w:val="auto"/>
              </w:rPr>
            </w:pPr>
            <w:r>
              <w:rPr>
                <w:rFonts w:ascii="Arial" w:cs="Arial" w:eastAsia="Arial" w:hAnsi="Arial"/>
                <w:sz w:val="18"/>
                <w:szCs w:val="18"/>
                <w:color w:val="auto"/>
              </w:rPr>
              <w:t>. .. . .....</w:t>
            </w:r>
          </w:p>
        </w:tc>
        <w:tc>
          <w:tcPr>
            <w:tcW w:w="340" w:type="dxa"/>
            <w:vAlign w:val="bottom"/>
            <w:gridSpan w:val="3"/>
          </w:tcPr>
          <w:p>
            <w:pPr>
              <w:ind w:left="20"/>
              <w:spacing w:after="0"/>
              <w:rPr>
                <w:sz w:val="20"/>
                <w:szCs w:val="20"/>
                <w:color w:val="auto"/>
              </w:rPr>
            </w:pPr>
            <w:r>
              <w:rPr>
                <w:rFonts w:ascii="Arial" w:cs="Arial" w:eastAsia="Arial" w:hAnsi="Arial"/>
                <w:sz w:val="7"/>
                <w:szCs w:val="7"/>
                <w:color w:val="auto"/>
              </w:rPr>
              <w:t>'</w:t>
            </w:r>
            <w:r>
              <w:rPr>
                <w:rFonts w:ascii="Times New Roman" w:cs="Times New Roman" w:eastAsia="Times New Roman" w:hAnsi="Times New Roman"/>
                <w:sz w:val="15"/>
                <w:szCs w:val="15"/>
                <w:color w:val="auto"/>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1,691,778</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535,678</w:t>
            </w:r>
          </w:p>
        </w:tc>
        <w:tc>
          <w:tcPr>
            <w:tcW w:w="124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$395,642</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$611,109</w:t>
            </w:r>
          </w:p>
        </w:tc>
        <w:tc>
          <w:tcPr>
            <w:tcW w:w="100" w:type="dxa"/>
            <w:vAlign w:val="bottom"/>
          </w:tcPr>
          <w:p>
            <w:pPr>
              <w:spacing w:after="0"/>
              <w:rPr>
                <w:sz w:val="20"/>
                <w:szCs w:val="20"/>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1,200,477</w:t>
            </w:r>
          </w:p>
        </w:tc>
        <w:tc>
          <w:tcPr>
            <w:tcW w:w="40" w:type="dxa"/>
            <w:vAlign w:val="bottom"/>
          </w:tcPr>
          <w:p>
            <w:pPr>
              <w:spacing w:after="0"/>
              <w:rPr>
                <w:sz w:val="20"/>
                <w:szCs w:val="20"/>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4,434,684</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Reconciliation ofRevenue</w:t>
            </w: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Other Bus inesses and Corporate Oftlce</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 xml:space="preserve">ReYem1es </w:t>
            </w:r>
            <w:r>
              <w:rPr>
                <w:rFonts w:ascii="Times New Roman" w:cs="Times New Roman" w:eastAsia="Times New Roman" w:hAnsi="Times New Roman"/>
                <w:sz w:val="10"/>
                <w:szCs w:val="10"/>
                <w:color w:val="auto"/>
              </w:rPr>
              <w:t>( I)  ..  . ..  .</w:t>
            </w:r>
          </w:p>
        </w:tc>
        <w:tc>
          <w:tcPr>
            <w:tcW w:w="400" w:type="dxa"/>
            <w:vAlign w:val="bottom"/>
          </w:tcPr>
          <w:p>
            <w:pPr>
              <w:spacing w:after="0"/>
              <w:rPr>
                <w:sz w:val="20"/>
                <w:szCs w:val="20"/>
                <w:color w:val="auto"/>
              </w:rPr>
            </w:pPr>
            <w:r>
              <w:rPr>
                <w:rFonts w:ascii="Times New Roman" w:cs="Times New Roman" w:eastAsia="Times New Roman" w:hAnsi="Times New Roman"/>
                <w:sz w:val="10"/>
                <w:szCs w:val="10"/>
                <w:color w:val="auto"/>
              </w:rPr>
              <w:t>• . .  ..</w:t>
            </w:r>
          </w:p>
        </w:tc>
        <w:tc>
          <w:tcPr>
            <w:tcW w:w="70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 ..  . .. .  ..</w:t>
            </w:r>
          </w:p>
        </w:tc>
        <w:tc>
          <w:tcPr>
            <w:tcW w:w="160" w:type="dxa"/>
            <w:vAlign w:val="bottom"/>
          </w:tcPr>
          <w:p>
            <w:pPr>
              <w:ind w:left="2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5"/>
                <w:szCs w:val="15"/>
                <w:color w:val="auto"/>
              </w:rPr>
              <w:t>358,822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2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 xml:space="preserve">l nterscgmcnt Elimination  </w:t>
            </w:r>
            <w:r>
              <w:rPr>
                <w:rFonts w:ascii="Arial" w:cs="Arial" w:eastAsia="Arial" w:hAnsi="Arial"/>
                <w:sz w:val="18"/>
                <w:szCs w:val="18"/>
                <w:color w:val="auto"/>
              </w:rPr>
              <w:t>..</w:t>
            </w:r>
          </w:p>
        </w:tc>
        <w:tc>
          <w:tcPr>
            <w:tcW w:w="700" w:type="dxa"/>
            <w:vAlign w:val="bottom"/>
          </w:tcPr>
          <w:p>
            <w:pPr>
              <w:ind w:left="20"/>
              <w:spacing w:after="0"/>
              <w:rPr>
                <w:sz w:val="20"/>
                <w:szCs w:val="20"/>
                <w:color w:val="auto"/>
              </w:rPr>
            </w:pPr>
            <w:r>
              <w:rPr>
                <w:rFonts w:ascii="Arial" w:cs="Arial" w:eastAsia="Arial" w:hAnsi="Arial"/>
                <w:sz w:val="18"/>
                <w:szCs w:val="18"/>
                <w:color w:val="auto"/>
                <w:w w:val="94"/>
              </w:rPr>
              <w:t>. .. . .. .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(2,602)</w:t>
            </w:r>
          </w:p>
        </w:tc>
        <w:tc>
          <w:tcPr>
            <w:tcW w:w="0" w:type="dxa"/>
            <w:vAlign w:val="bottom"/>
          </w:tcPr>
          <w:p>
            <w:pPr>
              <w:spacing w:after="0"/>
              <w:rPr>
                <w:sz w:val="1"/>
                <w:szCs w:val="1"/>
                <w:color w:val="auto"/>
              </w:rPr>
            </w:pPr>
          </w:p>
        </w:tc>
      </w:tr>
      <w:tr>
        <w:trPr>
          <w:trHeight w:val="36"/>
        </w:trPr>
        <w:tc>
          <w:tcPr>
            <w:tcW w:w="2220" w:type="dxa"/>
            <w:vAlign w:val="bottom"/>
            <w:gridSpan w:val="4"/>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640" w:type="dxa"/>
            <w:vAlign w:val="bottom"/>
            <w:tcBorders>
              <w:bottom w:val="single" w:sz="8" w:color="4C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Total Consolida ted ReYenues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 ·· </w:t>
            </w:r>
            <w:r>
              <w:rPr>
                <w:rFonts w:ascii="Arial" w:cs="Arial" w:eastAsia="Arial" w:hAnsi="Arial"/>
                <w:sz w:val="13"/>
                <w:szCs w:val="13"/>
                <w:color w:val="auto"/>
              </w:rPr>
              <w:t>...</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4,790,904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2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i w:val="1"/>
                <w:iCs w:val="1"/>
                <w:color w:val="auto"/>
              </w:rPr>
              <w:t>Less: Significant Expenses t2J</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4C4C4C"/>
            </w:tcBorders>
          </w:tcPr>
          <w:p>
            <w:pPr>
              <w:spacing w:after="0"/>
              <w:rPr>
                <w:sz w:val="2"/>
                <w:szCs w:val="2"/>
                <w:color w:val="auto"/>
              </w:rPr>
            </w:pPr>
          </w:p>
        </w:tc>
        <w:tc>
          <w:tcPr>
            <w:tcW w:w="640" w:type="dxa"/>
            <w:vAlign w:val="bottom"/>
            <w:tcBorders>
              <w:bottom w:val="single" w:sz="8" w:color="4C4C4C"/>
            </w:tcBorders>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222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 xml:space="preserve">Cost of RcYenuc </w:t>
            </w:r>
            <w:r>
              <w:rPr>
                <w:rFonts w:ascii="Times New Roman" w:cs="Times New Roman" w:eastAsia="Times New Roman" w:hAnsi="Times New Roman"/>
                <w:sz w:val="9"/>
                <w:szCs w:val="9"/>
                <w:color w:val="auto"/>
              </w:rPr>
              <w:t>(3)</w:t>
            </w:r>
            <w:r>
              <w:rPr>
                <w:rFonts w:ascii="Times New Roman" w:cs="Times New Roman" w:eastAsia="Times New Roman" w:hAnsi="Times New Roman"/>
                <w:sz w:val="15"/>
                <w:szCs w:val="15"/>
                <w:color w:val="auto"/>
              </w:rPr>
              <w:t xml:space="preserve">   </w:t>
            </w:r>
            <w:r>
              <w:rPr>
                <w:rFonts w:ascii="Arial" w:cs="Arial" w:eastAsia="Arial" w:hAnsi="Arial"/>
                <w:sz w:val="18"/>
                <w:szCs w:val="18"/>
                <w:color w:val="auto"/>
              </w:rPr>
              <w:t>. .</w:t>
            </w:r>
          </w:p>
        </w:tc>
        <w:tc>
          <w:tcPr>
            <w:tcW w:w="400" w:type="dxa"/>
            <w:vAlign w:val="bottom"/>
          </w:tcPr>
          <w:p>
            <w:pPr>
              <w:spacing w:after="0"/>
              <w:rPr>
                <w:sz w:val="20"/>
                <w:szCs w:val="20"/>
                <w:color w:val="auto"/>
              </w:rPr>
            </w:pPr>
            <w:r>
              <w:rPr>
                <w:rFonts w:ascii="Arial" w:cs="Arial" w:eastAsia="Arial" w:hAnsi="Arial"/>
                <w:sz w:val="18"/>
                <w:szCs w:val="18"/>
                <w:color w:val="auto"/>
              </w:rPr>
              <w:t>.. . ..</w:t>
            </w:r>
          </w:p>
        </w:tc>
        <w:tc>
          <w:tcPr>
            <w:tcW w:w="700" w:type="dxa"/>
            <w:vAlign w:val="bottom"/>
          </w:tcPr>
          <w:p>
            <w:pPr>
              <w:ind w:left="20"/>
              <w:spacing w:after="0"/>
              <w:rPr>
                <w:sz w:val="20"/>
                <w:szCs w:val="20"/>
                <w:color w:val="auto"/>
              </w:rPr>
            </w:pPr>
            <w:r>
              <w:rPr>
                <w:rFonts w:ascii="Arial" w:cs="Arial" w:eastAsia="Arial" w:hAnsi="Arial"/>
                <w:sz w:val="18"/>
                <w:szCs w:val="18"/>
                <w:color w:val="auto"/>
                <w:w w:val="94"/>
              </w:rPr>
              <w:t>. .. . .. .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655,482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293,215</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343,695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1,021,271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2,313,663</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22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rPr>
              <w:t>Payroll and Fringe Benefits</w:t>
            </w: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60" w:type="dxa"/>
            <w:vAlign w:val="bottom"/>
            <w:gridSpan w:val="8"/>
          </w:tcPr>
          <w:p>
            <w:pPr>
              <w:ind w:left="480"/>
              <w:spacing w:after="0"/>
              <w:rPr>
                <w:sz w:val="20"/>
                <w:szCs w:val="20"/>
                <w:color w:val="auto"/>
              </w:rPr>
            </w:pPr>
            <w:r>
              <w:rPr>
                <w:rFonts w:ascii="Times New Roman" w:cs="Times New Roman" w:eastAsia="Times New Roman" w:hAnsi="Times New Roman"/>
                <w:sz w:val="15"/>
                <w:szCs w:val="15"/>
                <w:color w:val="auto"/>
              </w:rPr>
              <w:t xml:space="preserve">Expense </w:t>
            </w:r>
            <w:r>
              <w:rPr>
                <w:rFonts w:ascii="Times New Roman" w:cs="Times New Roman" w:eastAsia="Times New Roman" w:hAnsi="Times New Roman"/>
                <w:sz w:val="10"/>
                <w:szCs w:val="10"/>
                <w:color w:val="auto"/>
              </w:rPr>
              <w:t>14)  •••  . ••  . •• • ••  . •• • •• • •• •</w:t>
            </w:r>
          </w:p>
        </w:tc>
        <w:tc>
          <w:tcPr>
            <w:tcW w:w="740" w:type="dxa"/>
            <w:vAlign w:val="bottom"/>
            <w:gridSpan w:val="3"/>
          </w:tcPr>
          <w:p>
            <w:pPr>
              <w:jc w:val="right"/>
              <w:ind w:right="80"/>
              <w:spacing w:after="0"/>
              <w:rPr>
                <w:sz w:val="20"/>
                <w:szCs w:val="20"/>
                <w:color w:val="auto"/>
              </w:rPr>
            </w:pPr>
            <w:r>
              <w:rPr>
                <w:rFonts w:ascii="Times New Roman" w:cs="Times New Roman" w:eastAsia="Times New Roman" w:hAnsi="Times New Roman"/>
                <w:sz w:val="15"/>
                <w:szCs w:val="15"/>
                <w:color w:val="auto"/>
              </w:rPr>
              <w:t>471,144</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104"/>
              <w:spacing w:after="0"/>
              <w:rPr>
                <w:sz w:val="20"/>
                <w:szCs w:val="20"/>
                <w:color w:val="auto"/>
              </w:rPr>
            </w:pPr>
            <w:r>
              <w:rPr>
                <w:rFonts w:ascii="Times New Roman" w:cs="Times New Roman" w:eastAsia="Times New Roman" w:hAnsi="Times New Roman"/>
                <w:sz w:val="15"/>
                <w:szCs w:val="15"/>
                <w:color w:val="auto"/>
              </w:rPr>
              <w:t>112,316</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84,416</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667,876</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Occupancy Expense . .</w:t>
            </w: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116,839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7,573</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U4,412</w:t>
            </w:r>
          </w:p>
        </w:tc>
        <w:tc>
          <w:tcPr>
            <w:tcW w:w="0" w:type="dxa"/>
            <w:vAlign w:val="bottom"/>
          </w:tcPr>
          <w:p>
            <w:pPr>
              <w:spacing w:after="0"/>
              <w:rPr>
                <w:sz w:val="1"/>
                <w:szCs w:val="1"/>
                <w:color w:val="auto"/>
              </w:rPr>
            </w:pPr>
          </w:p>
        </w:tc>
      </w:tr>
      <w:tr>
        <w:trPr>
          <w:trHeight w:val="200"/>
        </w:trPr>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Advertising and Marketing Expense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70,828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70,828</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Networking and Programming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Expense  ..... . .. .</w:t>
            </w: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126,474</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126,474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22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w w:val="99"/>
              </w:rPr>
              <w:t xml:space="preserve">Management SerYices </w:t>
            </w:r>
            <w:r>
              <w:rPr>
                <w:rFonts w:ascii="Arial" w:cs="Arial" w:eastAsia="Arial" w:hAnsi="Arial"/>
                <w:sz w:val="14"/>
                <w:szCs w:val="14"/>
                <w:color w:val="auto"/>
                <w:w w:val="99"/>
              </w:rPr>
              <w:t>&lt;S&gt; • ••</w:t>
            </w:r>
          </w:p>
        </w:tc>
        <w:tc>
          <w:tcPr>
            <w:tcW w:w="1040" w:type="dxa"/>
            <w:vAlign w:val="bottom"/>
            <w:gridSpan w:val="4"/>
          </w:tcPr>
          <w:p>
            <w:pPr>
              <w:ind w:left="20"/>
              <w:spacing w:after="0"/>
              <w:rPr>
                <w:sz w:val="20"/>
                <w:szCs w:val="20"/>
                <w:color w:val="auto"/>
              </w:rPr>
            </w:pPr>
            <w:r>
              <w:rPr>
                <w:rFonts w:ascii="Arial" w:cs="Arial" w:eastAsia="Arial" w:hAnsi="Arial"/>
                <w:sz w:val="14"/>
                <w:szCs w:val="14"/>
                <w:color w:val="auto"/>
              </w:rPr>
              <w:t>. •• • •• • •• •</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8,054</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8,054</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220" w:type="dxa"/>
            <w:vAlign w:val="bottom"/>
            <w:gridSpan w:val="4"/>
          </w:tcPr>
          <w:p>
            <w:pPr>
              <w:ind w:left="320"/>
              <w:spacing w:after="0" w:line="169"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Arial" w:cs="Arial" w:eastAsia="Arial" w:hAnsi="Arial"/>
                <w:sz w:val="14"/>
                <w:szCs w:val="14"/>
                <w:color w:val="auto"/>
              </w:rPr>
              <w:t>&lt;6&gt; • • ••</w:t>
            </w:r>
          </w:p>
        </w:tc>
        <w:tc>
          <w:tcPr>
            <w:tcW w:w="1040" w:type="dxa"/>
            <w:vAlign w:val="bottom"/>
            <w:gridSpan w:val="4"/>
          </w:tcPr>
          <w:p>
            <w:pPr>
              <w:ind w:left="20"/>
              <w:spacing w:after="0"/>
              <w:rPr>
                <w:sz w:val="20"/>
                <w:szCs w:val="20"/>
                <w:color w:val="auto"/>
              </w:rPr>
            </w:pPr>
            <w:r>
              <w:rPr>
                <w:rFonts w:ascii="Arial" w:cs="Arial" w:eastAsia="Arial" w:hAnsi="Arial"/>
                <w:sz w:val="14"/>
                <w:szCs w:val="14"/>
                <w:color w:val="auto"/>
              </w:rPr>
              <w:t>. •• • •• . •• .</w:t>
            </w:r>
          </w:p>
        </w:tc>
        <w:tc>
          <w:tcPr>
            <w:tcW w:w="740" w:type="dxa"/>
            <w:vAlign w:val="bottom"/>
            <w:gridSpan w:val="3"/>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190,448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73,064</w:t>
            </w:r>
          </w:p>
        </w:tc>
        <w:tc>
          <w:tcPr>
            <w:tcW w:w="1240" w:type="dxa"/>
            <w:vAlign w:val="bottom"/>
            <w:gridSpan w:val="2"/>
          </w:tcPr>
          <w:p>
            <w:pPr>
              <w:jc w:val="right"/>
              <w:ind w:right="164"/>
              <w:spacing w:after="0" w:line="169" w:lineRule="exact"/>
              <w:rPr>
                <w:sz w:val="20"/>
                <w:szCs w:val="20"/>
                <w:color w:val="auto"/>
              </w:rPr>
            </w:pPr>
            <w:r>
              <w:rPr>
                <w:rFonts w:ascii="Times New Roman" w:cs="Times New Roman" w:eastAsia="Times New Roman" w:hAnsi="Times New Roman"/>
                <w:sz w:val="15"/>
                <w:szCs w:val="15"/>
                <w:color w:val="auto"/>
              </w:rPr>
              <w:t>59,379</w:t>
            </w:r>
          </w:p>
        </w:tc>
        <w:tc>
          <w:tcPr>
            <w:tcW w:w="96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188,856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34,059</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545,806</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989494"/>
            </w:tcBorders>
          </w:tcPr>
          <w:p>
            <w:pPr>
              <w:spacing w:after="0"/>
              <w:rPr>
                <w:sz w:val="2"/>
                <w:szCs w:val="2"/>
                <w:color w:val="auto"/>
              </w:rPr>
            </w:pPr>
          </w:p>
        </w:tc>
        <w:tc>
          <w:tcPr>
            <w:tcW w:w="100" w:type="dxa"/>
            <w:vAlign w:val="bottom"/>
            <w:tcBorders>
              <w:bottom w:val="single" w:sz="8" w:color="989494"/>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gridSpan w:val="2"/>
            <w:vMerge w:val="restart"/>
          </w:tcPr>
          <w:p>
            <w:pPr>
              <w:ind w:left="2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909090"/>
            </w:tcBorders>
          </w:tcPr>
          <w:p>
            <w:pPr>
              <w:spacing w:after="0"/>
              <w:rPr>
                <w:sz w:val="2"/>
                <w:szCs w:val="2"/>
                <w:color w:val="auto"/>
              </w:rPr>
            </w:pPr>
          </w:p>
        </w:tc>
        <w:tc>
          <w:tcPr>
            <w:tcW w:w="40" w:type="dxa"/>
            <w:vAlign w:val="bottom"/>
            <w:tcBorders>
              <w:bottom w:val="single" w:sz="8" w:color="909090"/>
            </w:tcBorders>
          </w:tcPr>
          <w:p>
            <w:pPr>
              <w:spacing w:after="0"/>
              <w:rPr>
                <w:sz w:val="2"/>
                <w:szCs w:val="2"/>
                <w:color w:val="auto"/>
              </w:rPr>
            </w:pPr>
          </w:p>
        </w:tc>
        <w:tc>
          <w:tcPr>
            <w:tcW w:w="80" w:type="dxa"/>
            <w:vAlign w:val="bottom"/>
            <w:tcBorders>
              <w:bottom w:val="single" w:sz="8" w:color="909090"/>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949090"/>
            </w:tcBorders>
          </w:tcPr>
          <w:p>
            <w:pPr>
              <w:spacing w:after="0"/>
              <w:rPr>
                <w:sz w:val="2"/>
                <w:szCs w:val="2"/>
                <w:color w:val="auto"/>
              </w:rPr>
            </w:pPr>
          </w:p>
        </w:tc>
        <w:tc>
          <w:tcPr>
            <w:tcW w:w="40" w:type="dxa"/>
            <w:vAlign w:val="bottom"/>
            <w:tcBorders>
              <w:bottom w:val="single" w:sz="8" w:color="94909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EBITDAP</w:t>
            </w: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3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5"/>
                <w:szCs w:val="15"/>
                <w:color w:val="auto"/>
              </w:rPr>
              <w:t>187,037</w:t>
            </w:r>
          </w:p>
        </w:tc>
        <w:tc>
          <w:tcPr>
            <w:tcW w:w="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jc w:val="right"/>
              <w:ind w:right="84"/>
              <w:spacing w:after="0"/>
              <w:rPr>
                <w:sz w:val="20"/>
                <w:szCs w:val="20"/>
                <w:color w:val="auto"/>
              </w:rPr>
            </w:pPr>
            <w:r>
              <w:rPr>
                <w:rFonts w:ascii="Times New Roman" w:cs="Times New Roman" w:eastAsia="Times New Roman" w:hAnsi="Times New Roman"/>
                <w:sz w:val="15"/>
                <w:szCs w:val="15"/>
                <w:color w:val="auto"/>
              </w:rPr>
              <w:t>223,824</w:t>
            </w: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45,104</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577,571</w:t>
            </w: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0"/>
        </w:trPr>
        <w:tc>
          <w:tcPr>
            <w:tcW w:w="1820" w:type="dxa"/>
            <w:vAlign w:val="bottom"/>
            <w:gridSpan w:val="3"/>
            <w:vMerge w:val="continue"/>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gridSpan w:val="3"/>
            <w:vMerge w:val="continue"/>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1240" w:type="dxa"/>
            <w:vAlign w:val="bottom"/>
            <w:gridSpan w:val="2"/>
          </w:tcPr>
          <w:p>
            <w:pPr>
              <w:jc w:val="right"/>
              <w:ind w:right="144"/>
              <w:spacing w:after="0" w:line="140" w:lineRule="exact"/>
              <w:rPr>
                <w:sz w:val="20"/>
                <w:szCs w:val="20"/>
                <w:color w:val="auto"/>
              </w:rPr>
            </w:pPr>
            <w:r>
              <w:rPr>
                <w:rFonts w:ascii="Times New Roman" w:cs="Times New Roman" w:eastAsia="Times New Roman" w:hAnsi="Times New Roman"/>
                <w:sz w:val="15"/>
                <w:szCs w:val="15"/>
                <w:color w:val="auto"/>
              </w:rPr>
              <w:t>$  43,048</w:t>
            </w:r>
          </w:p>
        </w:tc>
        <w:tc>
          <w:tcPr>
            <w:tcW w:w="960" w:type="dxa"/>
            <w:vAlign w:val="bottom"/>
            <w:gridSpan w:val="2"/>
          </w:tcPr>
          <w:p>
            <w:pPr>
              <w:ind w:left="260"/>
              <w:spacing w:after="0" w:line="140" w:lineRule="exact"/>
              <w:rPr>
                <w:sz w:val="20"/>
                <w:szCs w:val="20"/>
                <w:color w:val="auto"/>
              </w:rPr>
            </w:pPr>
            <w:r>
              <w:rPr>
                <w:rFonts w:ascii="Times New Roman" w:cs="Times New Roman" w:eastAsia="Times New Roman" w:hAnsi="Times New Roman"/>
                <w:sz w:val="15"/>
                <w:szCs w:val="15"/>
                <w:color w:val="auto"/>
              </w:rPr>
              <w:t>$  78,558</w:t>
            </w:r>
          </w:p>
        </w:tc>
        <w:tc>
          <w:tcPr>
            <w:tcW w:w="100" w:type="dxa"/>
            <w:vAlign w:val="bottom"/>
          </w:tcPr>
          <w:p>
            <w:pPr>
              <w:spacing w:after="0"/>
              <w:rPr>
                <w:sz w:val="12"/>
                <w:szCs w:val="12"/>
                <w:color w:val="auto"/>
              </w:rPr>
            </w:pPr>
          </w:p>
        </w:tc>
        <w:tc>
          <w:tcPr>
            <w:tcW w:w="200" w:type="dxa"/>
            <w:vAlign w:val="bottom"/>
            <w:gridSpan w:val="3"/>
          </w:tcPr>
          <w:p>
            <w:pPr>
              <w:jc w:val="right"/>
              <w:spacing w:after="0" w:line="140" w:lineRule="exact"/>
              <w:rPr>
                <w:sz w:val="20"/>
                <w:szCs w:val="20"/>
                <w:color w:val="auto"/>
              </w:rPr>
            </w:pPr>
            <w:r>
              <w:rPr>
                <w:rFonts w:ascii="Times New Roman" w:cs="Times New Roman" w:eastAsia="Times New Roman" w:hAnsi="Times New Roman"/>
                <w:sz w:val="15"/>
                <w:szCs w:val="15"/>
                <w:color w:val="auto"/>
              </w:rPr>
              <w:t>$</w:t>
            </w:r>
          </w:p>
        </w:tc>
        <w:tc>
          <w:tcPr>
            <w:tcW w:w="6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gridSpan w:val="4"/>
          </w:tcPr>
          <w:p>
            <w:pPr>
              <w:jc w:val="right"/>
              <w:spacing w:after="0" w:line="140"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76"/>
        </w:trPr>
        <w:tc>
          <w:tcPr>
            <w:tcW w:w="920" w:type="dxa"/>
            <w:vAlign w:val="bottom"/>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Borders>
              <w:bottom w:val="single" w:sz="8" w:color="504C4C"/>
            </w:tcBorders>
          </w:tcPr>
          <w:p>
            <w:pPr>
              <w:spacing w:after="0"/>
              <w:rPr>
                <w:sz w:val="6"/>
                <w:szCs w:val="6"/>
                <w:color w:val="auto"/>
              </w:rPr>
            </w:pPr>
          </w:p>
        </w:tc>
        <w:tc>
          <w:tcPr>
            <w:tcW w:w="60" w:type="dxa"/>
            <w:vAlign w:val="bottom"/>
            <w:tcBorders>
              <w:bottom w:val="single" w:sz="8" w:color="504C4C"/>
            </w:tcBorders>
          </w:tcPr>
          <w:p>
            <w:pPr>
              <w:spacing w:after="0"/>
              <w:rPr>
                <w:sz w:val="6"/>
                <w:szCs w:val="6"/>
                <w:color w:val="auto"/>
              </w:rPr>
            </w:pPr>
          </w:p>
        </w:tc>
        <w:tc>
          <w:tcPr>
            <w:tcW w:w="580" w:type="dxa"/>
            <w:vAlign w:val="bottom"/>
            <w:tcBorders>
              <w:bottom w:val="single" w:sz="8" w:color="504C4C"/>
            </w:tcBorders>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960" w:type="dxa"/>
            <w:vAlign w:val="bottom"/>
            <w:gridSpan w:val="2"/>
            <w:vMerge w:val="restart"/>
          </w:tcPr>
          <w:p>
            <w:pPr>
              <w:ind w:left="260"/>
              <w:spacing w:after="0" w:line="151" w:lineRule="exact"/>
              <w:rPr>
                <w:sz w:val="20"/>
                <w:szCs w:val="20"/>
                <w:color w:val="auto"/>
              </w:rPr>
            </w:pPr>
            <w:r>
              <w:rPr>
                <w:rFonts w:ascii="Arial" w:cs="Arial" w:eastAsia="Arial" w:hAnsi="Arial"/>
                <w:sz w:val="16"/>
                <w:szCs w:val="16"/>
                <w:color w:val="auto"/>
              </w:rPr>
              <w:t>---</w:t>
            </w: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Borders>
              <w:bottom w:val="single" w:sz="8" w:color="504C4C"/>
            </w:tcBorders>
          </w:tcPr>
          <w:p>
            <w:pPr>
              <w:spacing w:after="0"/>
              <w:rPr>
                <w:sz w:val="6"/>
                <w:szCs w:val="6"/>
                <w:color w:val="auto"/>
              </w:rPr>
            </w:pPr>
          </w:p>
        </w:tc>
        <w:tc>
          <w:tcPr>
            <w:tcW w:w="660" w:type="dxa"/>
            <w:vAlign w:val="bottom"/>
            <w:tcBorders>
              <w:bottom w:val="single" w:sz="8" w:color="504C4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Borders>
              <w:bottom w:val="single" w:sz="8" w:color="504C4C"/>
            </w:tcBorders>
          </w:tcPr>
          <w:p>
            <w:pPr>
              <w:spacing w:after="0"/>
              <w:rPr>
                <w:sz w:val="6"/>
                <w:szCs w:val="6"/>
                <w:color w:val="auto"/>
              </w:rPr>
            </w:pPr>
          </w:p>
        </w:tc>
        <w:tc>
          <w:tcPr>
            <w:tcW w:w="640" w:type="dxa"/>
            <w:vAlign w:val="bottom"/>
            <w:tcBorders>
              <w:bottom w:val="single" w:sz="8" w:color="504C4C"/>
            </w:tcBorders>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860" w:type="dxa"/>
            <w:vAlign w:val="bottom"/>
          </w:tcPr>
          <w:p>
            <w:pPr>
              <w:spacing w:after="0"/>
              <w:rPr>
                <w:sz w:val="4"/>
                <w:szCs w:val="4"/>
                <w:color w:val="auto"/>
              </w:rPr>
            </w:pPr>
          </w:p>
        </w:tc>
        <w:tc>
          <w:tcPr>
            <w:tcW w:w="4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9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82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color w:val="auto"/>
              </w:rPr>
              <w:t>Pensiorn SerY icc Cost . . .. .</w:t>
            </w:r>
          </w:p>
        </w:tc>
        <w:tc>
          <w:tcPr>
            <w:tcW w:w="4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 . ..</w:t>
            </w:r>
          </w:p>
        </w:tc>
        <w:tc>
          <w:tcPr>
            <w:tcW w:w="700" w:type="dxa"/>
            <w:vAlign w:val="bottom"/>
          </w:tcPr>
          <w:p>
            <w:pPr>
              <w:ind w:left="20"/>
              <w:spacing w:after="0" w:line="166" w:lineRule="exact"/>
              <w:rPr>
                <w:sz w:val="20"/>
                <w:szCs w:val="20"/>
                <w:color w:val="auto"/>
              </w:rPr>
            </w:pPr>
            <w:r>
              <w:rPr>
                <w:rFonts w:ascii="Times New Roman" w:cs="Times New Roman" w:eastAsia="Times New Roman" w:hAnsi="Times New Roman"/>
                <w:sz w:val="15"/>
                <w:szCs w:val="15"/>
                <w:color w:val="auto"/>
              </w:rPr>
              <w:t>. .. . .. . ..</w:t>
            </w:r>
          </w:p>
        </w:tc>
        <w:tc>
          <w:tcPr>
            <w:tcW w:w="160" w:type="dxa"/>
            <w:vAlign w:val="bottom"/>
          </w:tcPr>
          <w:p>
            <w:pPr>
              <w:ind w:left="20"/>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80"/>
              <w:spacing w:after="0" w:line="166" w:lineRule="exact"/>
              <w:rPr>
                <w:sz w:val="20"/>
                <w:szCs w:val="20"/>
                <w:color w:val="auto"/>
              </w:rPr>
            </w:pPr>
            <w:r>
              <w:rPr>
                <w:rFonts w:ascii="Times New Roman" w:cs="Times New Roman" w:eastAsia="Times New Roman" w:hAnsi="Times New Roman"/>
                <w:sz w:val="15"/>
                <w:szCs w:val="15"/>
                <w:color w:val="auto"/>
              </w:rPr>
              <w:t>17,733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4"/>
              <w:spacing w:after="0" w:line="166" w:lineRule="exact"/>
              <w:rPr>
                <w:sz w:val="20"/>
                <w:szCs w:val="20"/>
                <w:color w:val="auto"/>
              </w:rPr>
            </w:pPr>
            <w:r>
              <w:rPr>
                <w:rFonts w:ascii="Times New Roman" w:cs="Times New Roman" w:eastAsia="Times New Roman" w:hAnsi="Times New Roman"/>
                <w:sz w:val="15"/>
                <w:szCs w:val="15"/>
                <w:color w:val="auto"/>
              </w:rPr>
              <w:t>6,055</w:t>
            </w:r>
          </w:p>
        </w:tc>
        <w:tc>
          <w:tcPr>
            <w:tcW w:w="1240" w:type="dxa"/>
            <w:vAlign w:val="bottom"/>
            <w:gridSpan w:val="2"/>
          </w:tcPr>
          <w:p>
            <w:pPr>
              <w:jc w:val="right"/>
              <w:ind w:right="164"/>
              <w:spacing w:after="0" w:line="166" w:lineRule="exact"/>
              <w:rPr>
                <w:sz w:val="20"/>
                <w:szCs w:val="20"/>
                <w:color w:val="auto"/>
              </w:rPr>
            </w:pPr>
            <w:r>
              <w:rPr>
                <w:rFonts w:ascii="Times New Roman" w:cs="Times New Roman" w:eastAsia="Times New Roman" w:hAnsi="Times New Roman"/>
                <w:sz w:val="15"/>
                <w:szCs w:val="15"/>
                <w:color w:val="auto"/>
              </w:rPr>
              <w:t>2,877</w:t>
            </w:r>
          </w:p>
        </w:tc>
        <w:tc>
          <w:tcPr>
            <w:tcW w:w="960" w:type="dxa"/>
            <w:vAlign w:val="bottom"/>
            <w:gridSpan w:val="2"/>
          </w:tcPr>
          <w:p>
            <w:pPr>
              <w:jc w:val="right"/>
              <w:ind w:right="80"/>
              <w:spacing w:after="0" w:line="166" w:lineRule="exact"/>
              <w:rPr>
                <w:sz w:val="20"/>
                <w:szCs w:val="20"/>
                <w:color w:val="auto"/>
              </w:rPr>
            </w:pPr>
            <w:r>
              <w:rPr>
                <w:rFonts w:ascii="Times New Roman" w:cs="Times New Roman" w:eastAsia="Times New Roman" w:hAnsi="Times New Roman"/>
                <w:sz w:val="15"/>
                <w:szCs w:val="15"/>
                <w:color w:val="auto"/>
              </w:rPr>
              <w:t>19,303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116</w:t>
            </w:r>
          </w:p>
        </w:tc>
        <w:tc>
          <w:tcPr>
            <w:tcW w:w="40" w:type="dxa"/>
            <w:vAlign w:val="bottom"/>
          </w:tcPr>
          <w:p>
            <w:pPr>
              <w:spacing w:after="0"/>
              <w:rPr>
                <w:sz w:val="14"/>
                <w:szCs w:val="14"/>
                <w:color w:val="auto"/>
              </w:rPr>
            </w:pPr>
          </w:p>
        </w:tc>
        <w:tc>
          <w:tcPr>
            <w:tcW w:w="260" w:type="dxa"/>
            <w:vAlign w:val="bottom"/>
            <w:gridSpan w:val="4"/>
          </w:tcPr>
          <w:p>
            <w:pPr>
              <w:jc w:val="right"/>
              <w:spacing w:after="0" w:line="166"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66" w:lineRule="exact"/>
              <w:rPr>
                <w:sz w:val="20"/>
                <w:szCs w:val="20"/>
                <w:color w:val="auto"/>
              </w:rPr>
            </w:pPr>
            <w:r>
              <w:rPr>
                <w:rFonts w:ascii="Times New Roman" w:cs="Times New Roman" w:eastAsia="Times New Roman" w:hAnsi="Times New Roman"/>
                <w:sz w:val="15"/>
                <w:szCs w:val="15"/>
                <w:color w:val="auto"/>
              </w:rPr>
              <w:t>46,084</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820" w:type="dxa"/>
            <w:vAlign w:val="bottom"/>
            <w:gridSpan w:val="3"/>
          </w:tcPr>
          <w:p>
            <w:pPr>
              <w:spacing w:after="0" w:line="170" w:lineRule="exact"/>
              <w:rPr>
                <w:sz w:val="20"/>
                <w:szCs w:val="20"/>
                <w:color w:val="auto"/>
              </w:rPr>
            </w:pPr>
            <w:r>
              <w:rPr>
                <w:rFonts w:ascii="Times New Roman" w:cs="Times New Roman" w:eastAsia="Times New Roman" w:hAnsi="Times New Roman"/>
                <w:sz w:val="15"/>
                <w:szCs w:val="15"/>
                <w:color w:val="auto"/>
              </w:rPr>
              <w:t xml:space="preserve">Depreciation Expense  </w:t>
            </w:r>
            <w:r>
              <w:rPr>
                <w:rFonts w:ascii="Arial" w:cs="Arial" w:eastAsia="Arial" w:hAnsi="Arial"/>
                <w:sz w:val="18"/>
                <w:szCs w:val="18"/>
                <w:color w:val="auto"/>
              </w:rPr>
              <w:t>. .. .</w:t>
            </w:r>
          </w:p>
        </w:tc>
        <w:tc>
          <w:tcPr>
            <w:tcW w:w="400" w:type="dxa"/>
            <w:vAlign w:val="bottom"/>
          </w:tcPr>
          <w:p>
            <w:pPr>
              <w:spacing w:after="0" w:line="170" w:lineRule="exact"/>
              <w:rPr>
                <w:sz w:val="20"/>
                <w:szCs w:val="20"/>
                <w:color w:val="auto"/>
              </w:rPr>
            </w:pPr>
            <w:r>
              <w:rPr>
                <w:rFonts w:ascii="Arial" w:cs="Arial" w:eastAsia="Arial" w:hAnsi="Arial"/>
                <w:sz w:val="18"/>
                <w:szCs w:val="18"/>
                <w:color w:val="auto"/>
              </w:rPr>
              <w:t xml:space="preserve">.. </w:t>
            </w:r>
            <w:r>
              <w:rPr>
                <w:rFonts w:ascii="Arial" w:cs="Arial" w:eastAsia="Arial" w:hAnsi="Arial"/>
                <w:sz w:val="7"/>
                <w:szCs w:val="7"/>
                <w:color w:val="auto"/>
              </w:rPr>
              <w:t>'</w:t>
            </w:r>
            <w:r>
              <w:rPr>
                <w:rFonts w:ascii="Arial" w:cs="Arial" w:eastAsia="Arial" w:hAnsi="Arial"/>
                <w:sz w:val="18"/>
                <w:szCs w:val="18"/>
                <w:color w:val="auto"/>
              </w:rPr>
              <w:t xml:space="preserve"> ..</w:t>
            </w:r>
          </w:p>
        </w:tc>
        <w:tc>
          <w:tcPr>
            <w:tcW w:w="700" w:type="dxa"/>
            <w:vAlign w:val="bottom"/>
          </w:tcPr>
          <w:p>
            <w:pPr>
              <w:ind w:left="20"/>
              <w:spacing w:after="0" w:line="170" w:lineRule="exact"/>
              <w:rPr>
                <w:sz w:val="20"/>
                <w:szCs w:val="20"/>
                <w:color w:val="auto"/>
              </w:rPr>
            </w:pPr>
            <w:r>
              <w:rPr>
                <w:rFonts w:ascii="Arial" w:cs="Arial" w:eastAsia="Arial" w:hAnsi="Arial"/>
                <w:sz w:val="18"/>
                <w:szCs w:val="18"/>
                <w:color w:val="auto"/>
                <w:w w:val="94"/>
              </w:rPr>
              <w:t>. .. . .. . ..</w:t>
            </w:r>
          </w:p>
        </w:tc>
        <w:tc>
          <w:tcPr>
            <w:tcW w:w="160" w:type="dxa"/>
            <w:vAlign w:val="bottom"/>
          </w:tcPr>
          <w:p>
            <w:pPr>
              <w:ind w:left="20"/>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3"/>
          </w:tcPr>
          <w:p>
            <w:pPr>
              <w:jc w:val="right"/>
              <w:ind w:right="100"/>
              <w:spacing w:after="0" w:line="170" w:lineRule="exact"/>
              <w:rPr>
                <w:sz w:val="20"/>
                <w:szCs w:val="20"/>
                <w:color w:val="auto"/>
              </w:rPr>
            </w:pPr>
            <w:r>
              <w:rPr>
                <w:rFonts w:ascii="Times New Roman" w:cs="Times New Roman" w:eastAsia="Times New Roman" w:hAnsi="Times New Roman"/>
                <w:sz w:val="15"/>
                <w:szCs w:val="15"/>
                <w:color w:val="auto"/>
              </w:rPr>
              <w:t>35,058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jc w:val="right"/>
              <w:ind w:right="84"/>
              <w:spacing w:after="0" w:line="170" w:lineRule="exact"/>
              <w:rPr>
                <w:sz w:val="20"/>
                <w:szCs w:val="20"/>
                <w:color w:val="auto"/>
              </w:rPr>
            </w:pPr>
            <w:r>
              <w:rPr>
                <w:rFonts w:ascii="Times New Roman" w:cs="Times New Roman" w:eastAsia="Times New Roman" w:hAnsi="Times New Roman"/>
                <w:sz w:val="15"/>
                <w:szCs w:val="15"/>
                <w:color w:val="auto"/>
              </w:rPr>
              <w:t>11,174</w:t>
            </w:r>
          </w:p>
        </w:tc>
        <w:tc>
          <w:tcPr>
            <w:tcW w:w="1240" w:type="dxa"/>
            <w:vAlign w:val="bottom"/>
            <w:gridSpan w:val="2"/>
          </w:tcPr>
          <w:p>
            <w:pPr>
              <w:jc w:val="right"/>
              <w:ind w:right="164"/>
              <w:spacing w:after="0" w:line="170" w:lineRule="exact"/>
              <w:rPr>
                <w:sz w:val="20"/>
                <w:szCs w:val="20"/>
                <w:color w:val="auto"/>
              </w:rPr>
            </w:pPr>
            <w:r>
              <w:rPr>
                <w:rFonts w:ascii="Times New Roman" w:cs="Times New Roman" w:eastAsia="Times New Roman" w:hAnsi="Times New Roman"/>
                <w:sz w:val="15"/>
                <w:szCs w:val="15"/>
                <w:color w:val="auto"/>
              </w:rPr>
              <w:t>10,983</w:t>
            </w:r>
          </w:p>
        </w:tc>
        <w:tc>
          <w:tcPr>
            <w:tcW w:w="9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5"/>
                <w:szCs w:val="15"/>
                <w:color w:val="auto"/>
              </w:rPr>
              <w:t>6,859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6,959</w:t>
            </w:r>
          </w:p>
        </w:tc>
        <w:tc>
          <w:tcPr>
            <w:tcW w:w="40" w:type="dxa"/>
            <w:vAlign w:val="bottom"/>
          </w:tcPr>
          <w:p>
            <w:pPr>
              <w:spacing w:after="0"/>
              <w:rPr>
                <w:sz w:val="14"/>
                <w:szCs w:val="14"/>
                <w:color w:val="auto"/>
              </w:rPr>
            </w:pPr>
          </w:p>
        </w:tc>
        <w:tc>
          <w:tcPr>
            <w:tcW w:w="26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71,033</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2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Income from Operations before</w:t>
            </w:r>
          </w:p>
        </w:tc>
        <w:tc>
          <w:tcPr>
            <w:tcW w:w="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989494"/>
            </w:tcBorders>
          </w:tcPr>
          <w:p>
            <w:pPr>
              <w:spacing w:after="0"/>
              <w:rPr>
                <w:sz w:val="2"/>
                <w:szCs w:val="2"/>
                <w:color w:val="auto"/>
              </w:rPr>
            </w:pPr>
          </w:p>
        </w:tc>
        <w:tc>
          <w:tcPr>
            <w:tcW w:w="100" w:type="dxa"/>
            <w:vAlign w:val="bottom"/>
            <w:tcBorders>
              <w:bottom w:val="single" w:sz="8" w:color="989494"/>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960" w:type="dxa"/>
            <w:vAlign w:val="bottom"/>
            <w:gridSpan w:val="2"/>
            <w:vMerge w:val="restart"/>
          </w:tcPr>
          <w:p>
            <w:pPr>
              <w:ind w:left="2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60" w:type="dxa"/>
            <w:vAlign w:val="bottom"/>
            <w:tcBorders>
              <w:bottom w:val="single" w:sz="8" w:color="909090"/>
            </w:tcBorders>
          </w:tcPr>
          <w:p>
            <w:pPr>
              <w:spacing w:after="0"/>
              <w:rPr>
                <w:sz w:val="2"/>
                <w:szCs w:val="2"/>
                <w:color w:val="auto"/>
              </w:rPr>
            </w:pPr>
          </w:p>
        </w:tc>
        <w:tc>
          <w:tcPr>
            <w:tcW w:w="40" w:type="dxa"/>
            <w:vAlign w:val="bottom"/>
            <w:tcBorders>
              <w:bottom w:val="single" w:sz="8" w:color="909090"/>
            </w:tcBorders>
          </w:tcPr>
          <w:p>
            <w:pPr>
              <w:spacing w:after="0"/>
              <w:rPr>
                <w:sz w:val="2"/>
                <w:szCs w:val="2"/>
                <w:color w:val="auto"/>
              </w:rPr>
            </w:pPr>
          </w:p>
        </w:tc>
        <w:tc>
          <w:tcPr>
            <w:tcW w:w="80" w:type="dxa"/>
            <w:vAlign w:val="bottom"/>
            <w:tcBorders>
              <w:bottom w:val="single" w:sz="8" w:color="909090"/>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949090"/>
            </w:tcBorders>
          </w:tcPr>
          <w:p>
            <w:pPr>
              <w:spacing w:after="0"/>
              <w:rPr>
                <w:sz w:val="2"/>
                <w:szCs w:val="2"/>
                <w:color w:val="auto"/>
              </w:rPr>
            </w:pPr>
          </w:p>
        </w:tc>
        <w:tc>
          <w:tcPr>
            <w:tcW w:w="40" w:type="dxa"/>
            <w:vAlign w:val="bottom"/>
            <w:tcBorders>
              <w:bottom w:val="single" w:sz="8" w:color="949090"/>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220" w:type="dxa"/>
            <w:vAlign w:val="bottom"/>
            <w:gridSpan w:val="4"/>
            <w:vMerge w:val="continue"/>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20" w:type="dxa"/>
            <w:vAlign w:val="bottom"/>
            <w:gridSpan w:val="4"/>
            <w:vMerge w:val="continue"/>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Amortization of Intangib le Assets and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20" w:type="dxa"/>
            <w:vAlign w:val="bottom"/>
            <w:gridSpan w:val="5"/>
          </w:tcPr>
          <w:p>
            <w:pPr>
              <w:ind w:left="160"/>
              <w:spacing w:after="0"/>
              <w:rPr>
                <w:sz w:val="20"/>
                <w:szCs w:val="20"/>
                <w:color w:val="auto"/>
              </w:rPr>
            </w:pPr>
            <w:r>
              <w:rPr>
                <w:rFonts w:ascii="Times New Roman" w:cs="Times New Roman" w:eastAsia="Times New Roman" w:hAnsi="Times New Roman"/>
                <w:sz w:val="15"/>
                <w:szCs w:val="15"/>
                <w:color w:val="auto"/>
              </w:rPr>
              <w:t>Impairment of Goodwill and Other</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Long-LiYed Assets  . ......</w:t>
            </w:r>
          </w:p>
        </w:tc>
        <w:tc>
          <w:tcPr>
            <w:tcW w:w="700" w:type="dxa"/>
            <w:vAlign w:val="bottom"/>
          </w:tcPr>
          <w:p>
            <w:pPr>
              <w:spacing w:after="0"/>
              <w:rPr>
                <w:sz w:val="16"/>
                <w:szCs w:val="16"/>
                <w:color w:val="auto"/>
              </w:rPr>
            </w:pPr>
          </w:p>
        </w:tc>
        <w:tc>
          <w:tcPr>
            <w:tcW w:w="340" w:type="dxa"/>
            <w:vAlign w:val="bottom"/>
            <w:gridSpan w:val="3"/>
          </w:tcPr>
          <w:p>
            <w:pPr>
              <w:ind w:left="260"/>
              <w:spacing w:after="0"/>
              <w:rPr>
                <w:sz w:val="20"/>
                <w:szCs w:val="20"/>
                <w:color w:val="auto"/>
              </w:rPr>
            </w:pPr>
            <w:r>
              <w:rPr>
                <w:rFonts w:ascii="Times New Roman" w:cs="Times New Roman" w:eastAsia="Times New Roman" w:hAnsi="Times New Roman"/>
                <w:sz w:val="15"/>
                <w:szCs w:val="15"/>
                <w:color w:val="auto"/>
                <w:w w:val="79"/>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134,246</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206,595</w:t>
            </w:r>
          </w:p>
        </w:tc>
        <w:tc>
          <w:tcPr>
            <w:tcW w:w="12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29,188</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52,396</w:t>
            </w:r>
          </w:p>
        </w:tc>
        <w:tc>
          <w:tcPr>
            <w:tcW w:w="100" w:type="dxa"/>
            <w:vAlign w:val="bottom"/>
          </w:tcPr>
          <w:p>
            <w:pPr>
              <w:spacing w:after="0"/>
              <w:rPr>
                <w:sz w:val="16"/>
                <w:szCs w:val="16"/>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38,029</w:t>
            </w:r>
          </w:p>
        </w:tc>
        <w:tc>
          <w:tcPr>
            <w:tcW w:w="40" w:type="dxa"/>
            <w:vAlign w:val="bottom"/>
          </w:tcPr>
          <w:p>
            <w:pPr>
              <w:spacing w:after="0"/>
              <w:rPr>
                <w:sz w:val="16"/>
                <w:szCs w:val="16"/>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460,454</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504C4C"/>
            </w:tcBorders>
          </w:tcPr>
          <w:p>
            <w:pPr>
              <w:spacing w:after="0"/>
              <w:rPr>
                <w:sz w:val="5"/>
                <w:szCs w:val="5"/>
                <w:color w:val="auto"/>
              </w:rPr>
            </w:pPr>
          </w:p>
        </w:tc>
        <w:tc>
          <w:tcPr>
            <w:tcW w:w="60" w:type="dxa"/>
            <w:vAlign w:val="bottom"/>
            <w:tcBorders>
              <w:bottom w:val="single" w:sz="8" w:color="504C4C"/>
            </w:tcBorders>
          </w:tcPr>
          <w:p>
            <w:pPr>
              <w:spacing w:after="0"/>
              <w:rPr>
                <w:sz w:val="5"/>
                <w:szCs w:val="5"/>
                <w:color w:val="auto"/>
              </w:rPr>
            </w:pPr>
          </w:p>
        </w:tc>
        <w:tc>
          <w:tcPr>
            <w:tcW w:w="580" w:type="dxa"/>
            <w:vAlign w:val="bottom"/>
            <w:tcBorders>
              <w:bottom w:val="single" w:sz="8" w:color="504C4C"/>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960" w:type="dxa"/>
            <w:vAlign w:val="bottom"/>
            <w:gridSpan w:val="2"/>
            <w:vMerge w:val="restart"/>
          </w:tcPr>
          <w:p>
            <w:pPr>
              <w:ind w:left="260"/>
              <w:spacing w:after="0" w:line="236" w:lineRule="exact"/>
              <w:rPr>
                <w:sz w:val="20"/>
                <w:szCs w:val="20"/>
                <w:color w:val="auto"/>
              </w:rPr>
            </w:pPr>
            <w:r>
              <w:rPr>
                <w:rFonts w:ascii="Arial" w:cs="Arial" w:eastAsia="Arial" w:hAnsi="Arial"/>
                <w:sz w:val="21"/>
                <w:szCs w:val="21"/>
                <w:color w:val="auto"/>
              </w:rPr>
              <w:t>---</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Borders>
              <w:bottom w:val="single" w:sz="8" w:color="4C4C4C"/>
            </w:tcBorders>
          </w:tcPr>
          <w:p>
            <w:pPr>
              <w:spacing w:after="0"/>
              <w:rPr>
                <w:sz w:val="5"/>
                <w:szCs w:val="5"/>
                <w:color w:val="auto"/>
              </w:rPr>
            </w:pPr>
          </w:p>
        </w:tc>
        <w:tc>
          <w:tcPr>
            <w:tcW w:w="660" w:type="dxa"/>
            <w:vAlign w:val="bottom"/>
            <w:tcBorders>
              <w:bottom w:val="single" w:sz="8" w:color="4C4C4C"/>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4C4C4C"/>
            </w:tcBorders>
          </w:tcPr>
          <w:p>
            <w:pPr>
              <w:spacing w:after="0"/>
              <w:rPr>
                <w:sz w:val="5"/>
                <w:szCs w:val="5"/>
                <w:color w:val="auto"/>
              </w:rPr>
            </w:pPr>
          </w:p>
        </w:tc>
        <w:tc>
          <w:tcPr>
            <w:tcW w:w="640" w:type="dxa"/>
            <w:vAlign w:val="bottom"/>
            <w:tcBorders>
              <w:bottom w:val="single" w:sz="8" w:color="4C4C4C"/>
            </w:tcBorders>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82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 xml:space="preserve">Other B usinesses </w:t>
            </w:r>
            <w:r>
              <w:rPr>
                <w:rFonts w:ascii="Arial" w:cs="Arial" w:eastAsia="Arial" w:hAnsi="Arial"/>
                <w:sz w:val="9"/>
                <w:szCs w:val="9"/>
                <w:color w:val="auto"/>
              </w:rPr>
              <w:t>(7J</w:t>
            </w:r>
          </w:p>
        </w:tc>
        <w:tc>
          <w:tcPr>
            <w:tcW w:w="4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 xml:space="preserve">-· </w:t>
            </w:r>
            <w:r>
              <w:rPr>
                <w:rFonts w:ascii="Arial" w:cs="Arial" w:eastAsia="Arial" w:hAnsi="Arial"/>
                <w:sz w:val="13"/>
                <w:szCs w:val="13"/>
                <w:color w:val="auto"/>
              </w:rPr>
              <w:t>. ..</w:t>
            </w:r>
          </w:p>
        </w:tc>
        <w:tc>
          <w:tcPr>
            <w:tcW w:w="700" w:type="dxa"/>
            <w:vAlign w:val="bottom"/>
            <w:vMerge w:val="restart"/>
          </w:tcPr>
          <w:p>
            <w:pPr>
              <w:ind w:left="2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2"/>
                <w:szCs w:val="12"/>
                <w:color w:val="auto"/>
              </w:rPr>
              <w:t>·· • ··</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5"/>
                <w:szCs w:val="15"/>
                <w:color w:val="auto"/>
              </w:rPr>
              <w:t>(99,101)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2"/>
        </w:trPr>
        <w:tc>
          <w:tcPr>
            <w:tcW w:w="1820" w:type="dxa"/>
            <w:vAlign w:val="bottom"/>
            <w:gridSpan w:val="3"/>
            <w:vMerge w:val="continue"/>
          </w:tcPr>
          <w:p>
            <w:pPr>
              <w:ind w:left="1420"/>
              <w:spacing w:after="0" w:line="51" w:lineRule="exact"/>
              <w:rPr>
                <w:sz w:val="20"/>
                <w:szCs w:val="20"/>
                <w:color w:val="auto"/>
              </w:rPr>
            </w:pPr>
            <w:r>
              <w:rPr>
                <w:rFonts w:ascii="Arial" w:cs="Arial" w:eastAsia="Arial" w:hAnsi="Arial"/>
                <w:sz w:val="5"/>
                <w:szCs w:val="5"/>
                <w:color w:val="auto"/>
              </w:rPr>
              <w:t>. . ...</w:t>
            </w:r>
          </w:p>
        </w:tc>
        <w:tc>
          <w:tcPr>
            <w:tcW w:w="4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Corporate Costs .... . .. .</w:t>
            </w: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(58,908)</w:t>
            </w:r>
          </w:p>
        </w:tc>
        <w:tc>
          <w:tcPr>
            <w:tcW w:w="0" w:type="dxa"/>
            <w:vAlign w:val="bottom"/>
          </w:tcPr>
          <w:p>
            <w:pPr>
              <w:spacing w:after="0"/>
              <w:rPr>
                <w:sz w:val="1"/>
                <w:szCs w:val="1"/>
                <w:color w:val="auto"/>
              </w:rPr>
            </w:pPr>
          </w:p>
        </w:tc>
      </w:tr>
      <w:tr>
        <w:trPr>
          <w:trHeight w:val="210"/>
        </w:trPr>
        <w:tc>
          <w:tcPr>
            <w:tcW w:w="2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 xml:space="preserve">Amortization of Intangible Assets  </w:t>
            </w:r>
            <w:r>
              <w:rPr>
                <w:rFonts w:ascii="Arial" w:cs="Arial" w:eastAsia="Arial" w:hAnsi="Arial"/>
                <w:sz w:val="18"/>
                <w:szCs w:val="18"/>
                <w:color w:val="auto"/>
              </w:rPr>
              <w:t>. . .. . ..</w:t>
            </w:r>
          </w:p>
        </w:tc>
        <w:tc>
          <w:tcPr>
            <w:tcW w:w="160" w:type="dxa"/>
            <w:vAlign w:val="bottom"/>
          </w:tcPr>
          <w:p>
            <w:pPr>
              <w:ind w:left="20"/>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(37,119)</w:t>
            </w:r>
          </w:p>
        </w:tc>
        <w:tc>
          <w:tcPr>
            <w:tcW w:w="0" w:type="dxa"/>
            <w:vAlign w:val="bottom"/>
          </w:tcPr>
          <w:p>
            <w:pPr>
              <w:spacing w:after="0"/>
              <w:rPr>
                <w:sz w:val="1"/>
                <w:szCs w:val="1"/>
                <w:color w:val="auto"/>
              </w:rPr>
            </w:pPr>
          </w:p>
        </w:tc>
      </w:tr>
      <w:tr>
        <w:trPr>
          <w:trHeight w:val="181"/>
        </w:trPr>
        <w:tc>
          <w:tcPr>
            <w:tcW w:w="2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Impairment of Good will and Other Long-</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w w:val="94"/>
              </w:rPr>
              <w:t xml:space="preserve">LiYed Assets  </w:t>
            </w:r>
            <w:r>
              <w:rPr>
                <w:rFonts w:ascii="Arial" w:cs="Arial" w:eastAsia="Arial" w:hAnsi="Arial"/>
                <w:sz w:val="18"/>
                <w:szCs w:val="18"/>
                <w:color w:val="auto"/>
                <w:w w:val="94"/>
              </w:rPr>
              <w:t>. . . . . . . . .</w:t>
            </w:r>
          </w:p>
        </w:tc>
        <w:tc>
          <w:tcPr>
            <w:tcW w:w="400" w:type="dxa"/>
            <w:vAlign w:val="bottom"/>
          </w:tcPr>
          <w:p>
            <w:pPr>
              <w:spacing w:after="0"/>
              <w:rPr>
                <w:sz w:val="20"/>
                <w:szCs w:val="20"/>
                <w:color w:val="auto"/>
              </w:rPr>
            </w:pPr>
            <w:r>
              <w:rPr>
                <w:rFonts w:ascii="Arial" w:cs="Arial" w:eastAsia="Arial" w:hAnsi="Arial"/>
                <w:sz w:val="18"/>
                <w:szCs w:val="18"/>
                <w:color w:val="auto"/>
                <w:w w:val="84"/>
              </w:rPr>
              <w:t>. . . . .</w:t>
            </w:r>
          </w:p>
        </w:tc>
        <w:tc>
          <w:tcPr>
            <w:tcW w:w="700" w:type="dxa"/>
            <w:vAlign w:val="bottom"/>
          </w:tcPr>
          <w:p>
            <w:pPr>
              <w:ind w:left="20"/>
              <w:spacing w:after="0"/>
              <w:rPr>
                <w:sz w:val="20"/>
                <w:szCs w:val="20"/>
                <w:color w:val="auto"/>
              </w:rPr>
            </w:pPr>
            <w:r>
              <w:rPr>
                <w:rFonts w:ascii="Arial" w:cs="Arial" w:eastAsia="Arial" w:hAnsi="Arial"/>
                <w:sz w:val="18"/>
                <w:szCs w:val="18"/>
                <w:color w:val="auto"/>
                <w:w w:val="77"/>
              </w:rPr>
              <w:t>. . . . . . . .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(49,822)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1820" w:type="dxa"/>
            <w:vAlign w:val="bottom"/>
            <w:gridSpan w:val="3"/>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60" w:type="dxa"/>
            <w:vAlign w:val="bottom"/>
            <w:tcBorders>
              <w:bottom w:val="single" w:sz="8" w:color="0C0C0C"/>
            </w:tcBorders>
          </w:tcPr>
          <w:p>
            <w:pPr>
              <w:spacing w:after="0"/>
              <w:rPr>
                <w:sz w:val="3"/>
                <w:szCs w:val="3"/>
                <w:color w:val="auto"/>
              </w:rPr>
            </w:pPr>
          </w:p>
        </w:tc>
        <w:tc>
          <w:tcPr>
            <w:tcW w:w="640" w:type="dxa"/>
            <w:vAlign w:val="bottom"/>
            <w:tcBorders>
              <w:bottom w:val="single" w:sz="8" w:color="0C0C0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2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Income from Operations ......</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2 15,504</w:t>
            </w: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20" w:type="dxa"/>
            <w:vAlign w:val="bottom"/>
            <w:gridSpan w:val="5"/>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640" w:type="dxa"/>
            <w:vAlign w:val="bottom"/>
            <w:tcBorders>
              <w:bottom w:val="single" w:sz="8" w:color="4C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20" w:type="dxa"/>
            <w:vAlign w:val="bottom"/>
            <w:gridSpan w:val="5"/>
          </w:tcPr>
          <w:p>
            <w:pPr>
              <w:spacing w:after="0"/>
              <w:rPr>
                <w:sz w:val="20"/>
                <w:szCs w:val="20"/>
                <w:color w:val="auto"/>
              </w:rPr>
            </w:pPr>
            <w:r>
              <w:rPr>
                <w:rFonts w:ascii="Arial" w:cs="Arial" w:eastAsia="Arial" w:hAnsi="Arial"/>
                <w:sz w:val="15"/>
                <w:szCs w:val="15"/>
                <w:color w:val="auto"/>
              </w:rPr>
              <w:t xml:space="preserve">Equity </w:t>
            </w:r>
            <w:r>
              <w:rPr>
                <w:rFonts w:ascii="Times New Roman" w:cs="Times New Roman" w:eastAsia="Times New Roman" w:hAnsi="Times New Roman"/>
                <w:sz w:val="15"/>
                <w:szCs w:val="15"/>
                <w:color w:val="auto"/>
              </w:rPr>
              <w:t>in Losses of Affiliates, Net</w:t>
            </w:r>
            <w:r>
              <w:rPr>
                <w:rFonts w:ascii="Arial" w:cs="Arial" w:eastAsia="Arial" w:hAnsi="Arial"/>
                <w:sz w:val="15"/>
                <w:szCs w:val="15"/>
                <w:color w:val="auto"/>
              </w:rPr>
              <w:t xml:space="preserve">  </w:t>
            </w:r>
            <w:r>
              <w:rPr>
                <w:rFonts w:ascii="Arial" w:cs="Arial" w:eastAsia="Arial" w:hAnsi="Arial"/>
                <w:sz w:val="18"/>
                <w:szCs w:val="18"/>
                <w:color w:val="auto"/>
              </w:rPr>
              <w:t>. . . . . .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(3,303)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 . .. .</w:t>
            </w: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(176,281)</w:t>
            </w:r>
          </w:p>
        </w:tc>
        <w:tc>
          <w:tcPr>
            <w:tcW w:w="0" w:type="dxa"/>
            <w:vAlign w:val="bottom"/>
          </w:tcPr>
          <w:p>
            <w:pPr>
              <w:spacing w:after="0"/>
              <w:rPr>
                <w:sz w:val="1"/>
                <w:szCs w:val="1"/>
                <w:color w:val="auto"/>
              </w:rPr>
            </w:pPr>
          </w:p>
        </w:tc>
      </w:tr>
      <w:tr>
        <w:trPr>
          <w:trHeight w:val="200"/>
        </w:trPr>
        <w:tc>
          <w:tcPr>
            <w:tcW w:w="3260" w:type="dxa"/>
            <w:vAlign w:val="bottom"/>
            <w:gridSpan w:val="8"/>
          </w:tcPr>
          <w:p>
            <w:pPr>
              <w:spacing w:after="0"/>
              <w:rPr>
                <w:sz w:val="20"/>
                <w:szCs w:val="20"/>
                <w:color w:val="auto"/>
              </w:rPr>
            </w:pPr>
            <w:r>
              <w:rPr>
                <w:rFonts w:ascii="Times New Roman" w:cs="Times New Roman" w:eastAsia="Times New Roman" w:hAnsi="Times New Roman"/>
                <w:sz w:val="15"/>
                <w:szCs w:val="15"/>
                <w:color w:val="auto"/>
              </w:rPr>
              <w:t>Non-Opemting Pension and Postretirement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82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Benefit Income, Net .. .</w:t>
            </w: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 . ..</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794,949</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2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Gain on Marketable Equity Securities,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2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Net ...............................</w:t>
            </w:r>
          </w:p>
        </w:tc>
        <w:tc>
          <w:tcPr>
            <w:tcW w:w="860" w:type="dxa"/>
            <w:vAlign w:val="bottom"/>
            <w:gridSpan w:val="2"/>
            <w:vMerge w:val="restart"/>
          </w:tcPr>
          <w:p>
            <w:pPr>
              <w:spacing w:after="0"/>
              <w:rPr>
                <w:sz w:val="20"/>
                <w:szCs w:val="20"/>
                <w:color w:val="auto"/>
              </w:rPr>
            </w:pPr>
            <w:r>
              <w:rPr>
                <w:rFonts w:ascii="Arial" w:cs="Arial" w:eastAsia="Arial" w:hAnsi="Arial"/>
                <w:sz w:val="23"/>
                <w:szCs w:val="23"/>
                <w:color w:val="auto"/>
                <w:w w:val="95"/>
              </w:rPr>
              <w:t>... ... ... .</w:t>
            </w:r>
            <w:r>
              <w:rPr>
                <w:rFonts w:ascii="Times New Roman" w:cs="Times New Roman" w:eastAsia="Times New Roman" w:hAnsi="Times New Roman"/>
                <w:sz w:val="30"/>
                <w:szCs w:val="30"/>
                <w:color w:val="auto"/>
                <w:w w:val="95"/>
                <w:vertAlign w:val="superscript"/>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181,295</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 ther I ncome, Net ..</w:t>
            </w:r>
          </w:p>
        </w:tc>
        <w:tc>
          <w:tcPr>
            <w:tcW w:w="400" w:type="dxa"/>
            <w:vAlign w:val="bottom"/>
          </w:tcPr>
          <w:p>
            <w:pPr>
              <w:spacing w:after="0"/>
              <w:rPr>
                <w:sz w:val="21"/>
                <w:szCs w:val="21"/>
                <w:color w:val="auto"/>
              </w:rPr>
            </w:pPr>
          </w:p>
        </w:tc>
        <w:tc>
          <w:tcPr>
            <w:tcW w:w="860" w:type="dxa"/>
            <w:vAlign w:val="bottom"/>
            <w:gridSpan w:val="2"/>
            <w:vMerge w:val="continue"/>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504C4C"/>
            </w:tcBorders>
          </w:tcPr>
          <w:p>
            <w:pPr>
              <w:spacing w:after="0"/>
              <w:rPr>
                <w:sz w:val="21"/>
                <w:szCs w:val="21"/>
                <w:color w:val="auto"/>
              </w:rPr>
            </w:pPr>
          </w:p>
        </w:tc>
        <w:tc>
          <w:tcPr>
            <w:tcW w:w="640" w:type="dxa"/>
            <w:vAlign w:val="bottom"/>
            <w:tcBorders>
              <w:bottom w:val="single" w:sz="8" w:color="504C4C"/>
            </w:tcBorders>
          </w:tcPr>
          <w:p>
            <w:pPr>
              <w:jc w:val="right"/>
              <w:spacing w:after="0"/>
              <w:rPr>
                <w:sz w:val="20"/>
                <w:szCs w:val="20"/>
                <w:color w:val="auto"/>
              </w:rPr>
            </w:pPr>
            <w:r>
              <w:rPr>
                <w:rFonts w:ascii="Times New Roman" w:cs="Times New Roman" w:eastAsia="Times New Roman" w:hAnsi="Times New Roman"/>
                <w:sz w:val="15"/>
                <w:szCs w:val="15"/>
                <w:color w:val="auto"/>
              </w:rPr>
              <w:t>12,546</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22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9"/>
              </w:rPr>
              <w:t>1,024,710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1820" w:type="dxa"/>
            <w:vAlign w:val="bottom"/>
            <w:gridSpan w:val="3"/>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340" w:type="dxa"/>
            <w:vAlign w:val="bottom"/>
            <w:gridSpan w:val="3"/>
          </w:tcPr>
          <w:p>
            <w:pPr>
              <w:spacing w:after="0"/>
              <w:rPr>
                <w:sz w:val="5"/>
                <w:szCs w:val="5"/>
                <w:color w:val="auto"/>
              </w:rPr>
            </w:pPr>
          </w:p>
        </w:tc>
        <w:tc>
          <w:tcPr>
            <w:tcW w:w="740" w:type="dxa"/>
            <w:vAlign w:val="bottom"/>
            <w:gridSpan w:val="3"/>
          </w:tcPr>
          <w:p>
            <w:pPr>
              <w:spacing w:after="0"/>
              <w:rPr>
                <w:sz w:val="5"/>
                <w:szCs w:val="5"/>
                <w:color w:val="auto"/>
              </w:rPr>
            </w:pPr>
          </w:p>
        </w:tc>
        <w:tc>
          <w:tcPr>
            <w:tcW w:w="320" w:type="dxa"/>
            <w:vAlign w:val="bottom"/>
            <w:gridSpan w:val="2"/>
          </w:tcPr>
          <w:p>
            <w:pPr>
              <w:spacing w:after="0"/>
              <w:rPr>
                <w:sz w:val="5"/>
                <w:szCs w:val="5"/>
                <w:color w:val="auto"/>
              </w:rPr>
            </w:pPr>
          </w:p>
        </w:tc>
        <w:tc>
          <w:tcPr>
            <w:tcW w:w="700" w:type="dxa"/>
            <w:vAlign w:val="bottom"/>
          </w:tcPr>
          <w:p>
            <w:pPr>
              <w:spacing w:after="0"/>
              <w:rPr>
                <w:sz w:val="5"/>
                <w:szCs w:val="5"/>
                <w:color w:val="auto"/>
              </w:rPr>
            </w:pPr>
          </w:p>
        </w:tc>
        <w:tc>
          <w:tcPr>
            <w:tcW w:w="1240" w:type="dxa"/>
            <w:vAlign w:val="bottom"/>
            <w:gridSpan w:val="2"/>
          </w:tcPr>
          <w:p>
            <w:pPr>
              <w:spacing w:after="0"/>
              <w:rPr>
                <w:sz w:val="5"/>
                <w:szCs w:val="5"/>
                <w:color w:val="auto"/>
              </w:rPr>
            </w:pPr>
          </w:p>
        </w:tc>
        <w:tc>
          <w:tcPr>
            <w:tcW w:w="960" w:type="dxa"/>
            <w:vAlign w:val="bottom"/>
            <w:gridSpan w:val="2"/>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gridSpan w:val="3"/>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Borders>
              <w:bottom w:val="single" w:sz="8" w:color="504C4C"/>
            </w:tcBorders>
            <w:gridSpan w:val="3"/>
          </w:tcPr>
          <w:p>
            <w:pPr>
              <w:spacing w:after="0"/>
              <w:rPr>
                <w:sz w:val="5"/>
                <w:szCs w:val="5"/>
                <w:color w:val="auto"/>
              </w:rPr>
            </w:pPr>
          </w:p>
        </w:tc>
        <w:tc>
          <w:tcPr>
            <w:tcW w:w="640" w:type="dxa"/>
            <w:vAlign w:val="bottom"/>
            <w:tcBorders>
              <w:bottom w:val="single" w:sz="8" w:color="504C4C"/>
            </w:tcBorders>
          </w:tcPr>
          <w:p>
            <w:pPr>
              <w:spacing w:after="0"/>
              <w:rPr>
                <w:sz w:val="5"/>
                <w:szCs w:val="5"/>
                <w:color w:val="auto"/>
              </w:rPr>
            </w:pPr>
          </w:p>
        </w:tc>
        <w:tc>
          <w:tcPr>
            <w:tcW w:w="40" w:type="dxa"/>
            <w:vAlign w:val="bottom"/>
            <w:tcBorders>
              <w:bottom w:val="single" w:sz="8" w:color="504C4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6"/>
        </w:trPr>
        <w:tc>
          <w:tcPr>
            <w:tcW w:w="18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Capital Expenditures . .. .</w:t>
            </w:r>
          </w:p>
        </w:tc>
        <w:tc>
          <w:tcPr>
            <w:tcW w:w="40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w:t>
            </w: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25,989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tcPr>
          <w:p>
            <w:pPr>
              <w:jc w:val="right"/>
              <w:ind w:right="84"/>
              <w:spacing w:after="0"/>
              <w:rPr>
                <w:sz w:val="20"/>
                <w:szCs w:val="20"/>
                <w:color w:val="auto"/>
              </w:rPr>
            </w:pPr>
            <w:r>
              <w:rPr>
                <w:rFonts w:ascii="Times New Roman" w:cs="Times New Roman" w:eastAsia="Times New Roman" w:hAnsi="Times New Roman"/>
                <w:sz w:val="15"/>
                <w:szCs w:val="15"/>
                <w:color w:val="auto"/>
              </w:rPr>
              <w:t>5,887</w:t>
            </w:r>
          </w:p>
        </w:tc>
        <w:tc>
          <w:tcPr>
            <w:tcW w:w="124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15,951</w:t>
            </w:r>
          </w:p>
        </w:tc>
        <w:tc>
          <w:tcPr>
            <w:tcW w:w="960" w:type="dxa"/>
            <w:vAlign w:val="bottom"/>
            <w:gridSpan w:val="2"/>
          </w:tcPr>
          <w:p>
            <w:pPr>
              <w:ind w:left="260"/>
              <w:spacing w:after="0"/>
              <w:rPr>
                <w:sz w:val="20"/>
                <w:szCs w:val="20"/>
                <w:color w:val="auto"/>
              </w:rPr>
            </w:pPr>
            <w:r>
              <w:rPr>
                <w:rFonts w:ascii="Times New Roman" w:cs="Times New Roman" w:eastAsia="Times New Roman" w:hAnsi="Times New Roman"/>
                <w:sz w:val="15"/>
                <w:szCs w:val="15"/>
                <w:color w:val="auto"/>
              </w:rPr>
              <w:t>$  10,182</w:t>
            </w:r>
          </w:p>
        </w:tc>
        <w:tc>
          <w:tcPr>
            <w:tcW w:w="100" w:type="dxa"/>
            <w:vAlign w:val="bottom"/>
          </w:tcPr>
          <w:p>
            <w:pPr>
              <w:spacing w:after="0"/>
              <w:rPr>
                <w:sz w:val="21"/>
                <w:szCs w:val="21"/>
                <w:color w:val="auto"/>
              </w:rPr>
            </w:pPr>
          </w:p>
        </w:tc>
        <w:tc>
          <w:tcPr>
            <w:tcW w:w="20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4,063</w:t>
            </w:r>
          </w:p>
        </w:tc>
        <w:tc>
          <w:tcPr>
            <w:tcW w:w="40" w:type="dxa"/>
            <w:vAlign w:val="bottom"/>
          </w:tcPr>
          <w:p>
            <w:pPr>
              <w:spacing w:after="0"/>
              <w:rPr>
                <w:sz w:val="21"/>
                <w:szCs w:val="21"/>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62,072</w:t>
            </w: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920" w:type="dxa"/>
            <w:vAlign w:val="bottom"/>
            <w:gridSpan w:val="5"/>
          </w:tcPr>
          <w:p>
            <w:pPr>
              <w:spacing w:after="0"/>
              <w:rPr>
                <w:sz w:val="20"/>
                <w:szCs w:val="20"/>
                <w:color w:val="auto"/>
              </w:rPr>
            </w:pPr>
            <w:r>
              <w:rPr>
                <w:rFonts w:ascii="Times New Roman" w:cs="Times New Roman" w:eastAsia="Times New Roman" w:hAnsi="Times New Roman"/>
                <w:sz w:val="15"/>
                <w:szCs w:val="15"/>
                <w:i w:val="1"/>
                <w:iCs w:val="1"/>
                <w:color w:val="auto"/>
              </w:rPr>
              <w:t>Reconciliation of Capital Expenditures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92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Other Businesses and Corporate Office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20" w:type="dxa"/>
            <w:vAlign w:val="bottom"/>
            <w:gridSpan w:val="4"/>
          </w:tcPr>
          <w:p>
            <w:pPr>
              <w:ind w:left="480"/>
              <w:spacing w:after="0"/>
              <w:rPr>
                <w:sz w:val="20"/>
                <w:szCs w:val="20"/>
                <w:color w:val="auto"/>
              </w:rPr>
            </w:pPr>
            <w:r>
              <w:rPr>
                <w:rFonts w:ascii="Times New Roman" w:cs="Times New Roman" w:eastAsia="Times New Roman" w:hAnsi="Times New Roman"/>
                <w:sz w:val="15"/>
                <w:szCs w:val="15"/>
                <w:color w:val="auto"/>
              </w:rPr>
              <w:t xml:space="preserve">Capital Expenditures </w:t>
            </w:r>
            <w:r>
              <w:rPr>
                <w:rFonts w:ascii="Arial" w:cs="Arial" w:eastAsia="Arial" w:hAnsi="Arial"/>
                <w:sz w:val="14"/>
                <w:szCs w:val="14"/>
                <w:color w:val="auto"/>
              </w:rPr>
              <w:t>&lt;8&gt;</w:t>
            </w:r>
            <w:r>
              <w:rPr>
                <w:rFonts w:ascii="Times New Roman" w:cs="Times New Roman" w:eastAsia="Times New Roman" w:hAnsi="Times New Roman"/>
                <w:sz w:val="15"/>
                <w:szCs w:val="15"/>
                <w:color w:val="auto"/>
              </w:rPr>
              <w:t xml:space="preserve"> </w:t>
            </w:r>
            <w:r>
              <w:rPr>
                <w:rFonts w:ascii="Arial" w:cs="Arial" w:eastAsia="Arial" w:hAnsi="Arial"/>
                <w:sz w:val="18"/>
                <w:szCs w:val="18"/>
                <w:color w:val="auto"/>
              </w:rPr>
              <w:t>..</w:t>
            </w:r>
          </w:p>
        </w:tc>
        <w:tc>
          <w:tcPr>
            <w:tcW w:w="700" w:type="dxa"/>
            <w:vAlign w:val="bottom"/>
          </w:tcPr>
          <w:p>
            <w:pPr>
              <w:ind w:left="20"/>
              <w:spacing w:after="0"/>
              <w:rPr>
                <w:sz w:val="20"/>
                <w:szCs w:val="20"/>
                <w:color w:val="auto"/>
              </w:rPr>
            </w:pPr>
            <w:r>
              <w:rPr>
                <w:rFonts w:ascii="Arial" w:cs="Arial" w:eastAsia="Arial" w:hAnsi="Arial"/>
                <w:sz w:val="18"/>
                <w:szCs w:val="18"/>
                <w:color w:val="auto"/>
                <w:w w:val="94"/>
              </w:rPr>
              <w:t>. .. . .. . ..</w:t>
            </w: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31,027</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22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color w:val="auto"/>
              </w:rPr>
              <w:t>Tota l Ca pital Expenditures</w:t>
            </w:r>
          </w:p>
        </w:tc>
        <w:tc>
          <w:tcPr>
            <w:tcW w:w="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60" w:type="dxa"/>
            <w:vAlign w:val="bottom"/>
            <w:tcBorders>
              <w:bottom w:val="single" w:sz="8" w:color="504C4C"/>
            </w:tcBorders>
          </w:tcPr>
          <w:p>
            <w:pPr>
              <w:spacing w:after="0"/>
              <w:rPr>
                <w:sz w:val="3"/>
                <w:szCs w:val="3"/>
                <w:color w:val="auto"/>
              </w:rPr>
            </w:pPr>
          </w:p>
        </w:tc>
        <w:tc>
          <w:tcPr>
            <w:tcW w:w="640" w:type="dxa"/>
            <w:vAlign w:val="bottom"/>
            <w:tcBorders>
              <w:bottom w:val="single" w:sz="8" w:color="504C4C"/>
            </w:tcBorders>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920" w:type="dxa"/>
            <w:vAlign w:val="bottom"/>
            <w:gridSpan w:val="5"/>
            <w:vMerge w:val="continue"/>
          </w:tcPr>
          <w:p>
            <w:pPr>
              <w:jc w:val="right"/>
              <w:spacing w:after="0" w:line="181" w:lineRule="exact"/>
              <w:rPr>
                <w:sz w:val="20"/>
                <w:szCs w:val="20"/>
                <w:color w:val="auto"/>
              </w:rPr>
            </w:pPr>
            <w:r>
              <w:rPr>
                <w:rFonts w:ascii="Arial" w:cs="Arial" w:eastAsia="Arial" w:hAnsi="Arial"/>
                <w:sz w:val="20"/>
                <w:szCs w:val="20"/>
                <w:color w:val="auto"/>
              </w:rPr>
              <w:t>... .... .. ...</w:t>
            </w:r>
          </w:p>
        </w:tc>
        <w:tc>
          <w:tcPr>
            <w:tcW w:w="160" w:type="dxa"/>
            <w:vAlign w:val="bottom"/>
          </w:tcPr>
          <w:p>
            <w:pPr>
              <w:ind w:left="20"/>
              <w:spacing w:after="0" w:line="256" w:lineRule="exact"/>
              <w:rPr>
                <w:sz w:val="20"/>
                <w:szCs w:val="20"/>
                <w:color w:val="auto"/>
              </w:rPr>
            </w:pPr>
            <w:r>
              <w:rPr>
                <w:rFonts w:ascii="Arial" w:cs="Arial" w:eastAsia="Arial" w:hAnsi="Arial"/>
                <w:sz w:val="23"/>
                <w:szCs w:val="23"/>
                <w:color w:val="auto"/>
              </w:rPr>
              <w:t>.</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93,099</w:t>
            </w: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0C0C0C"/>
            </w:tcBorders>
          </w:tcPr>
          <w:p>
            <w:pPr>
              <w:spacing w:after="0"/>
              <w:rPr>
                <w:sz w:val="12"/>
                <w:szCs w:val="12"/>
                <w:color w:val="auto"/>
              </w:rPr>
            </w:pPr>
          </w:p>
        </w:tc>
        <w:tc>
          <w:tcPr>
            <w:tcW w:w="40" w:type="dxa"/>
            <w:vAlign w:val="bottom"/>
            <w:tcBorders>
              <w:bottom w:val="single" w:sz="8" w:color="0C0C0C"/>
            </w:tcBorders>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504C4C"/>
            </w:tcBorders>
          </w:tcPr>
          <w:p>
            <w:pPr>
              <w:spacing w:after="0"/>
              <w:rPr>
                <w:sz w:val="12"/>
                <w:szCs w:val="12"/>
                <w:color w:val="auto"/>
              </w:rPr>
            </w:pPr>
          </w:p>
        </w:tc>
        <w:tc>
          <w:tcPr>
            <w:tcW w:w="60" w:type="dxa"/>
            <w:vAlign w:val="bottom"/>
            <w:tcBorders>
              <w:top w:val="single" w:sz="8" w:color="504C4C"/>
            </w:tcBorders>
          </w:tcPr>
          <w:p>
            <w:pPr>
              <w:spacing w:after="0"/>
              <w:rPr>
                <w:sz w:val="12"/>
                <w:szCs w:val="12"/>
                <w:color w:val="auto"/>
              </w:rPr>
            </w:pPr>
          </w:p>
        </w:tc>
        <w:tc>
          <w:tcPr>
            <w:tcW w:w="640" w:type="dxa"/>
            <w:vAlign w:val="bottom"/>
            <w:tcBorders>
              <w:top w:val="single" w:sz="8" w:color="504C4C"/>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40" w:right="125" w:hanging="324"/>
        <w:spacing w:after="0" w:line="272" w:lineRule="auto"/>
        <w:tabs>
          <w:tab w:leader="none" w:pos="420" w:val="left"/>
        </w:tabs>
        <w:rPr>
          <w:sz w:val="20"/>
          <w:szCs w:val="20"/>
          <w:color w:val="auto"/>
        </w:rPr>
      </w:pPr>
      <w:r>
        <w:rPr>
          <w:rFonts w:ascii="Arial" w:cs="Arial" w:eastAsia="Arial" w:hAnsi="Arial"/>
          <w:sz w:val="14"/>
          <w:szCs w:val="14"/>
          <w:color w:val="auto"/>
        </w:rPr>
        <w:t>( I)</w:t>
      </w:r>
      <w:r>
        <w:rPr>
          <w:sz w:val="20"/>
          <w:szCs w:val="20"/>
          <w:color w:val="auto"/>
        </w:rPr>
        <w:tab/>
      </w:r>
      <w:r>
        <w:rPr>
          <w:rFonts w:ascii="Times New Roman" w:cs="Times New Roman" w:eastAsia="Times New Roman" w:hAnsi="Times New Roman"/>
          <w:sz w:val="15"/>
          <w:szCs w:val="15"/>
          <w:color w:val="auto"/>
        </w:rPr>
        <w:t>Revenue from segments below the quantitative thresholds is attributable to Other Businesses and the Corporate Office, as described aboYe. None of these operating segments meet the quantitative thresholds for determining reportable segments.</w:t>
      </w:r>
    </w:p>
    <w:p>
      <w:pPr>
        <w:spacing w:after="0" w:line="15" w:lineRule="exact"/>
        <w:rPr>
          <w:sz w:val="20"/>
          <w:szCs w:val="20"/>
          <w:color w:val="auto"/>
        </w:rPr>
      </w:pPr>
    </w:p>
    <w:p>
      <w:pPr>
        <w:ind w:left="420" w:hanging="307"/>
        <w:spacing w:after="0"/>
        <w:tabs>
          <w:tab w:leader="none" w:pos="42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significant expense categories and amounts align with the segment-level information that is regularly provided to the CODM .</w:t>
      </w:r>
    </w:p>
    <w:p>
      <w:pPr>
        <w:spacing w:after="0" w:line="22" w:lineRule="exact"/>
        <w:rPr>
          <w:rFonts w:ascii="Times New Roman" w:cs="Times New Roman" w:eastAsia="Times New Roman" w:hAnsi="Times New Roman"/>
          <w:sz w:val="15"/>
          <w:szCs w:val="15"/>
          <w:color w:val="auto"/>
        </w:rPr>
      </w:pPr>
    </w:p>
    <w:p>
      <w:pPr>
        <w:jc w:val="both"/>
        <w:ind w:left="440" w:right="125" w:hanging="327"/>
        <w:spacing w:after="0" w:line="278" w:lineRule="auto"/>
        <w:tabs>
          <w:tab w:leader="none" w:pos="4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 renects the amounts repot1ed and proYided to the CODM and does not necessarily reconcile to the Company's Consolidated Statement of Operations or al ign across reportable segments. Cost of reYenue excl udes charges related to depreciation, which is shown separately above.</w:t>
      </w:r>
    </w:p>
    <w:p>
      <w:pPr>
        <w:spacing w:after="0" w:line="1" w:lineRule="exact"/>
        <w:rPr>
          <w:rFonts w:ascii="Times New Roman" w:cs="Times New Roman" w:eastAsia="Times New Roman" w:hAnsi="Times New Roman"/>
          <w:sz w:val="15"/>
          <w:szCs w:val="15"/>
          <w:color w:val="auto"/>
        </w:rPr>
      </w:pPr>
    </w:p>
    <w:p>
      <w:pPr>
        <w:ind w:left="440" w:right="105" w:hanging="327"/>
        <w:spacing w:after="0" w:line="249" w:lineRule="auto"/>
        <w:tabs>
          <w:tab w:leader="none" w:pos="439"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pension service cost, which is shown separately aboYe. Excludes any payroll and related benefits costs captured in cost of revenue.</w:t>
      </w:r>
    </w:p>
    <w:p>
      <w:pPr>
        <w:spacing w:after="0" w:line="217"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Management and operating scrYices proYidcd </w:t>
      </w:r>
      <w:r>
        <w:rPr>
          <w:rFonts w:ascii="Times New Roman" w:cs="Times New Roman" w:eastAsia="Times New Roman" w:hAnsi="Times New Roman"/>
          <w:sz w:val="14"/>
          <w:szCs w:val="14"/>
          <w:color w:val="auto"/>
        </w:rPr>
        <w:t>by</w:t>
      </w:r>
      <w:r>
        <w:rPr>
          <w:rFonts w:ascii="Times New Roman" w:cs="Times New Roman" w:eastAsia="Times New Roman" w:hAnsi="Times New Roman"/>
          <w:sz w:val="15"/>
          <w:szCs w:val="15"/>
          <w:color w:val="auto"/>
        </w:rPr>
        <w:t xml:space="preserve"> Christopher J. Ourisman and his team of industry professionals.</w:t>
      </w:r>
    </w:p>
    <w:p>
      <w:pPr>
        <w:sectPr>
          <w:pgSz w:w="12240" w:h="15850" w:orient="portrait"/>
          <w:cols w:equalWidth="0" w:num="1">
            <w:col w:w="9365"/>
          </w:cols>
          <w:pgMar w:left="1440" w:top="1394" w:right="1440" w:bottom="717" w:gutter="0" w:footer="0" w:header="0"/>
        </w:sectPr>
      </w:pPr>
    </w:p>
    <w:p>
      <w:pPr>
        <w:spacing w:after="0" w:line="200" w:lineRule="exact"/>
        <w:rPr>
          <w:sz w:val="20"/>
          <w:szCs w:val="20"/>
          <w:color w:val="auto"/>
        </w:rPr>
      </w:pPr>
    </w:p>
    <w:p>
      <w:pPr>
        <w:spacing w:after="0" w:line="306"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146</w:t>
        <w:tab/>
        <w:t>2024 FORM 10-K</w:t>
      </w:r>
    </w:p>
    <w:p>
      <w:pPr>
        <w:sectPr>
          <w:pgSz w:w="12240" w:h="15850" w:orient="portrait"/>
          <w:cols w:equalWidth="0" w:num="1">
            <w:col w:w="9365"/>
          </w:cols>
          <w:pgMar w:left="1440" w:top="1394" w:right="1440" w:bottom="717" w:gutter="0" w:footer="0" w:header="0"/>
          <w:type w:val="continuous"/>
        </w:sectPr>
      </w:pPr>
    </w:p>
    <w:bookmarkStart w:id="162" w:name="page163"/>
    <w:bookmarkEnd w:id="162"/>
    <w:p>
      <w:pPr>
        <w:ind w:left="440" w:hanging="327"/>
        <w:spacing w:after="0"/>
        <w:tabs>
          <w:tab w:leader="none" w:pos="4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70">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Other segment items for each reportable segment include:</w:t>
      </w:r>
    </w:p>
    <w:p>
      <w:pPr>
        <w:spacing w:after="0" w:line="22" w:lineRule="exact"/>
        <w:rPr>
          <w:rFonts w:ascii="Times New Roman" w:cs="Times New Roman" w:eastAsia="Times New Roman" w:hAnsi="Times New Roman"/>
          <w:sz w:val="15"/>
          <w:szCs w:val="15"/>
          <w:color w:val="auto"/>
        </w:rPr>
      </w:pPr>
    </w:p>
    <w:p>
      <w:pPr>
        <w:ind w:left="760" w:right="125" w:hanging="323"/>
        <w:spacing w:after="0" w:line="272" w:lineRule="auto"/>
        <w:tabs>
          <w:tab w:leader="none" w:pos="77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Education (includes Kaplan International, Kaplan Higher Education and Kaplan Supplemen tal Education)- training and employment expense, travel meals and entcz1ainment expense, operating fees and other general and administrative (G&amp;A) expenses.</w:t>
      </w:r>
    </w:p>
    <w:p>
      <w:pPr>
        <w:spacing w:after="0" w:line="9" w:lineRule="exact"/>
        <w:rPr>
          <w:rFonts w:ascii="Times New Roman" w:cs="Times New Roman" w:eastAsia="Times New Roman" w:hAnsi="Times New Roman"/>
          <w:sz w:val="15"/>
          <w:szCs w:val="15"/>
          <w:color w:val="auto"/>
        </w:rPr>
      </w:pPr>
    </w:p>
    <w:p>
      <w:pPr>
        <w:ind w:left="760" w:right="125" w:hanging="323"/>
        <w:spacing w:after="0" w:line="272" w:lineRule="auto"/>
        <w:tabs>
          <w:tab w:leader="none" w:pos="751"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Television Broadcasting- other broadcast expenses, facilities expenses, third-party commission costs and other selling, general and adm inistrative expenses (SG&amp;A).</w:t>
      </w:r>
    </w:p>
    <w:p>
      <w:pPr>
        <w:spacing w:after="0" w:line="4"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payroll and fringe benefits expense (SG&amp;A) and other SG&amp;A expenses.</w:t>
      </w:r>
    </w:p>
    <w:p>
      <w:pPr>
        <w:spacing w:after="0" w:line="27"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Healthcare- indirect costs (e.g. payroll and benefits expenses, general and administrative ex!)enses) and other SG&amp;A expenses.</w:t>
      </w:r>
    </w:p>
    <w:p>
      <w:pPr>
        <w:spacing w:after="0" w:line="27" w:lineRule="exact"/>
        <w:rPr>
          <w:rFonts w:ascii="Times New Roman" w:cs="Times New Roman" w:eastAsia="Times New Roman" w:hAnsi="Times New Roman"/>
          <w:sz w:val="15"/>
          <w:szCs w:val="15"/>
          <w:color w:val="auto"/>
        </w:rPr>
      </w:pPr>
    </w:p>
    <w:p>
      <w:pPr>
        <w:ind w:left="760" w:hanging="323"/>
        <w:spacing w:after="0"/>
        <w:tabs>
          <w:tab w:leader="none" w:pos="760"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Automotive- advez1ising and marketing expense and other G&amp;A expenses.</w:t>
      </w:r>
    </w:p>
    <w:p>
      <w:pPr>
        <w:spacing w:after="0" w:line="22" w:lineRule="exact"/>
        <w:rPr>
          <w:rFonts w:ascii="Times New Roman" w:cs="Times New Roman" w:eastAsia="Times New Roman" w:hAnsi="Times New Roman"/>
          <w:sz w:val="15"/>
          <w:szCs w:val="15"/>
          <w:color w:val="auto"/>
        </w:rPr>
      </w:pPr>
    </w:p>
    <w:p>
      <w:pPr>
        <w:ind w:left="440" w:right="125" w:hanging="327"/>
        <w:spacing w:after="0" w:line="272" w:lineRule="auto"/>
        <w:tabs>
          <w:tab w:leader="none" w:pos="441"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9" w:lineRule="exact"/>
        <w:rPr>
          <w:rFonts w:ascii="Times New Roman" w:cs="Times New Roman" w:eastAsia="Times New Roman" w:hAnsi="Times New Roman"/>
          <w:sz w:val="15"/>
          <w:szCs w:val="15"/>
          <w:color w:val="auto"/>
        </w:rPr>
      </w:pPr>
    </w:p>
    <w:p>
      <w:pPr>
        <w:ind w:left="440" w:right="125" w:hanging="327"/>
        <w:spacing w:after="0" w:line="285" w:lineRule="auto"/>
        <w:tabs>
          <w:tab w:leader="none" w:pos="440" w:val="left"/>
        </w:tabs>
        <w:numPr>
          <w:ilvl w:val="0"/>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Expenditures from operating segments below the quantitative thresholds a re attributable to Other Businesses and the Corporate Office, as described above. None of these operating segments meet the quantitati ve th resholds for determining reportable segments.</w:t>
      </w:r>
    </w:p>
    <w:p>
      <w:pPr>
        <w:spacing w:after="0" w:line="23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education division comprises the following operating segments: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2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40" w:type="dxa"/>
            <w:vAlign w:val="bottom"/>
            <w:gridSpan w:val="11"/>
          </w:tcPr>
          <w:p>
            <w:pPr>
              <w:jc w:val="right"/>
              <w:ind w:right="40"/>
              <w:spacing w:after="0"/>
              <w:rPr>
                <w:sz w:val="20"/>
                <w:szCs w:val="20"/>
                <w:color w:val="auto"/>
              </w:rPr>
            </w:pPr>
            <w:r>
              <w:rPr>
                <w:rFonts w:ascii="Times New Roman" w:cs="Times New Roman" w:eastAsia="Times New Roman" w:hAnsi="Times New Roman"/>
                <w:sz w:val="15"/>
                <w:szCs w:val="15"/>
                <w:color w:val="auto"/>
              </w:rPr>
              <w:t xml:space="preserve">Year Ended December </w:t>
            </w:r>
            <w:r>
              <w:rPr>
                <w:rFonts w:ascii="Arial" w:cs="Arial" w:eastAsia="Arial" w:hAnsi="Arial"/>
                <w:sz w:val="14"/>
                <w:szCs w:val="14"/>
                <w:color w:val="auto"/>
              </w:rPr>
              <w:t>3 1,</w:t>
            </w:r>
            <w:r>
              <w:rPr>
                <w:rFonts w:ascii="Times New Roman" w:cs="Times New Roman" w:eastAsia="Times New Roman" w:hAnsi="Times New Roman"/>
                <w:sz w:val="15"/>
                <w:szCs w:val="15"/>
                <w:color w:val="auto"/>
              </w:rPr>
              <w:t xml:space="preserve"> 2024</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2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720" w:type="dxa"/>
            <w:vAlign w:val="bottom"/>
            <w:tcBorders>
              <w:bottom w:val="single" w:sz="8" w:color="141414"/>
            </w:tcBorders>
          </w:tcPr>
          <w:p>
            <w:pPr>
              <w:spacing w:after="0"/>
              <w:rPr>
                <w:sz w:val="3"/>
                <w:szCs w:val="3"/>
                <w:color w:val="auto"/>
              </w:rPr>
            </w:pPr>
          </w:p>
        </w:tc>
        <w:tc>
          <w:tcPr>
            <w:tcW w:w="60" w:type="dxa"/>
            <w:vAlign w:val="bottom"/>
            <w:tcBorders>
              <w:bottom w:val="single" w:sz="8" w:color="141414"/>
            </w:tcBorders>
          </w:tcPr>
          <w:p>
            <w:pPr>
              <w:spacing w:after="0"/>
              <w:rPr>
                <w:sz w:val="3"/>
                <w:szCs w:val="3"/>
                <w:color w:val="auto"/>
              </w:rPr>
            </w:pPr>
          </w:p>
        </w:tc>
        <w:tc>
          <w:tcPr>
            <w:tcW w:w="18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58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200" w:type="dxa"/>
            <w:vAlign w:val="bottom"/>
            <w:tcBorders>
              <w:bottom w:val="single" w:sz="8" w:color="141414"/>
            </w:tcBorders>
          </w:tcPr>
          <w:p>
            <w:pPr>
              <w:spacing w:after="0"/>
              <w:rPr>
                <w:sz w:val="3"/>
                <w:szCs w:val="3"/>
                <w:color w:val="auto"/>
              </w:rPr>
            </w:pPr>
          </w:p>
        </w:tc>
        <w:tc>
          <w:tcPr>
            <w:tcW w:w="140" w:type="dxa"/>
            <w:vAlign w:val="bottom"/>
            <w:tcBorders>
              <w:bottom w:val="single" w:sz="8" w:color="141414"/>
            </w:tcBorders>
          </w:tcPr>
          <w:p>
            <w:pPr>
              <w:spacing w:after="0"/>
              <w:rPr>
                <w:sz w:val="3"/>
                <w:szCs w:val="3"/>
                <w:color w:val="auto"/>
              </w:rPr>
            </w:pPr>
          </w:p>
        </w:tc>
        <w:tc>
          <w:tcPr>
            <w:tcW w:w="80" w:type="dxa"/>
            <w:vAlign w:val="bottom"/>
            <w:tcBorders>
              <w:bottom w:val="single" w:sz="8" w:color="141414"/>
            </w:tcBorders>
          </w:tcPr>
          <w:p>
            <w:pPr>
              <w:spacing w:after="0"/>
              <w:rPr>
                <w:sz w:val="3"/>
                <w:szCs w:val="3"/>
                <w:color w:val="auto"/>
              </w:rPr>
            </w:pPr>
          </w:p>
        </w:tc>
        <w:tc>
          <w:tcPr>
            <w:tcW w:w="580" w:type="dxa"/>
            <w:vAlign w:val="bottom"/>
            <w:tcBorders>
              <w:bottom w:val="single" w:sz="8" w:color="141414"/>
            </w:tcBorders>
          </w:tcPr>
          <w:p>
            <w:pPr>
              <w:spacing w:after="0"/>
              <w:rPr>
                <w:sz w:val="3"/>
                <w:szCs w:val="3"/>
                <w:color w:val="auto"/>
              </w:rPr>
            </w:pPr>
          </w:p>
        </w:tc>
        <w:tc>
          <w:tcPr>
            <w:tcW w:w="140" w:type="dxa"/>
            <w:vAlign w:val="bottom"/>
            <w:tcBorders>
              <w:bottom w:val="single" w:sz="8" w:color="141414"/>
            </w:tcBorders>
          </w:tcPr>
          <w:p>
            <w:pPr>
              <w:spacing w:after="0"/>
              <w:rPr>
                <w:sz w:val="3"/>
                <w:szCs w:val="3"/>
                <w:color w:val="auto"/>
              </w:rPr>
            </w:pPr>
          </w:p>
        </w:tc>
        <w:tc>
          <w:tcPr>
            <w:tcW w:w="20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700" w:type="dxa"/>
            <w:vAlign w:val="bottom"/>
            <w:tcBorders>
              <w:bottom w:val="single" w:sz="8" w:color="141414"/>
            </w:tcBorders>
            <w:gridSpan w:val="3"/>
          </w:tcPr>
          <w:p>
            <w:pPr>
              <w:spacing w:after="0"/>
              <w:rPr>
                <w:sz w:val="3"/>
                <w:szCs w:val="3"/>
                <w:color w:val="auto"/>
              </w:rPr>
            </w:pPr>
          </w:p>
        </w:tc>
        <w:tc>
          <w:tcPr>
            <w:tcW w:w="18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240" w:type="dxa"/>
            <w:vAlign w:val="bottom"/>
            <w:tcBorders>
              <w:bottom w:val="single" w:sz="8" w:color="141414"/>
            </w:tcBorders>
          </w:tcPr>
          <w:p>
            <w:pPr>
              <w:spacing w:after="0"/>
              <w:rPr>
                <w:sz w:val="3"/>
                <w:szCs w:val="3"/>
                <w:color w:val="auto"/>
              </w:rPr>
            </w:pPr>
          </w:p>
        </w:tc>
        <w:tc>
          <w:tcPr>
            <w:tcW w:w="66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160" w:type="dxa"/>
            <w:vAlign w:val="bottom"/>
            <w:tcBorders>
              <w:bottom w:val="single" w:sz="8" w:color="141414"/>
            </w:tcBorders>
          </w:tcPr>
          <w:p>
            <w:pPr>
              <w:spacing w:after="0"/>
              <w:rPr>
                <w:sz w:val="3"/>
                <w:szCs w:val="3"/>
                <w:color w:val="auto"/>
              </w:rPr>
            </w:pPr>
          </w:p>
        </w:tc>
        <w:tc>
          <w:tcPr>
            <w:tcW w:w="640" w:type="dxa"/>
            <w:vAlign w:val="bottom"/>
            <w:tcBorders>
              <w:bottom w:val="single" w:sz="8" w:color="141414"/>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4"/>
          </w:tcPr>
          <w:p>
            <w:pPr>
              <w:jc w:val="center"/>
              <w:ind w:right="220"/>
              <w:spacing w:after="0"/>
              <w:rPr>
                <w:sz w:val="20"/>
                <w:szCs w:val="20"/>
                <w:color w:val="auto"/>
              </w:rPr>
            </w:pPr>
            <w:r>
              <w:rPr>
                <w:rFonts w:ascii="Times New Roman" w:cs="Times New Roman" w:eastAsia="Times New Roman" w:hAnsi="Times New Roman"/>
                <w:sz w:val="15"/>
                <w:szCs w:val="15"/>
                <w:color w:val="auto"/>
              </w:rPr>
              <w:t>Ka plan</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140"/>
              <w:spacing w:after="0" w:line="162" w:lineRule="exact"/>
              <w:rPr>
                <w:sz w:val="20"/>
                <w:szCs w:val="20"/>
                <w:color w:val="auto"/>
              </w:rPr>
            </w:pPr>
            <w:r>
              <w:rPr>
                <w:rFonts w:ascii="Times New Roman" w:cs="Times New Roman" w:eastAsia="Times New Roman" w:hAnsi="Times New Roman"/>
                <w:sz w:val="15"/>
                <w:szCs w:val="15"/>
                <w:color w:val="auto"/>
              </w:rPr>
              <w:t>Kaplan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5"/>
                <w:szCs w:val="15"/>
                <w:color w:val="auto"/>
              </w:rPr>
              <w:t>Higher</w:t>
            </w:r>
          </w:p>
        </w:tc>
        <w:tc>
          <w:tcPr>
            <w:tcW w:w="1140" w:type="dxa"/>
            <w:vAlign w:val="bottom"/>
            <w:gridSpan w:val="5"/>
          </w:tcPr>
          <w:p>
            <w:pPr>
              <w:ind w:left="180"/>
              <w:spacing w:after="0" w:line="162" w:lineRule="exact"/>
              <w:rPr>
                <w:sz w:val="20"/>
                <w:szCs w:val="20"/>
                <w:color w:val="auto"/>
              </w:rPr>
            </w:pPr>
            <w:r>
              <w:rPr>
                <w:rFonts w:ascii="Times New Roman" w:cs="Times New Roman" w:eastAsia="Times New Roman" w:hAnsi="Times New Roman"/>
                <w:sz w:val="15"/>
                <w:szCs w:val="15"/>
                <w:color w:val="auto"/>
              </w:rPr>
              <w:t>S upplemental</w:t>
            </w:r>
          </w:p>
        </w:tc>
        <w:tc>
          <w:tcPr>
            <w:tcW w:w="1100" w:type="dxa"/>
            <w:vAlign w:val="bottom"/>
            <w:gridSpan w:val="6"/>
          </w:tcPr>
          <w:p>
            <w:pPr>
              <w:jc w:val="center"/>
              <w:ind w:right="20"/>
              <w:spacing w:after="0" w:line="162" w:lineRule="exact"/>
              <w:rPr>
                <w:sz w:val="20"/>
                <w:szCs w:val="20"/>
                <w:color w:val="auto"/>
              </w:rPr>
            </w:pPr>
            <w:r>
              <w:rPr>
                <w:rFonts w:ascii="Times New Roman" w:cs="Times New Roman" w:eastAsia="Times New Roman" w:hAnsi="Times New Roman"/>
                <w:sz w:val="15"/>
                <w:szCs w:val="15"/>
                <w:color w:val="auto"/>
              </w:rPr>
              <w:t>C orporate</w:t>
            </w:r>
          </w:p>
        </w:tc>
        <w:tc>
          <w:tcPr>
            <w:tcW w:w="1020" w:type="dxa"/>
            <w:vAlign w:val="bottom"/>
            <w:gridSpan w:val="4"/>
          </w:tcPr>
          <w:p>
            <w:pPr>
              <w:jc w:val="center"/>
              <w:ind w:right="80"/>
              <w:spacing w:after="0" w:line="162" w:lineRule="exact"/>
              <w:rPr>
                <w:sz w:val="20"/>
                <w:szCs w:val="20"/>
                <w:color w:val="auto"/>
              </w:rPr>
            </w:pPr>
            <w:r>
              <w:rPr>
                <w:rFonts w:ascii="Times New Roman" w:cs="Times New Roman" w:eastAsia="Times New Roman" w:hAnsi="Times New Roman"/>
                <w:sz w:val="15"/>
                <w:szCs w:val="15"/>
                <w:color w:val="auto"/>
              </w:rPr>
              <w:t>Intcrsegme nt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right"/>
              <w:ind w:right="132"/>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68"/>
        </w:trPr>
        <w:tc>
          <w:tcPr>
            <w:tcW w:w="20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(in thou sands)</w:t>
            </w:r>
          </w:p>
        </w:tc>
        <w:tc>
          <w:tcPr>
            <w:tcW w:w="1000" w:type="dxa"/>
            <w:vAlign w:val="bottom"/>
          </w:tcPr>
          <w:p>
            <w:pPr>
              <w:spacing w:after="0"/>
              <w:rPr>
                <w:sz w:val="14"/>
                <w:szCs w:val="14"/>
                <w:color w:val="auto"/>
              </w:rPr>
            </w:pPr>
          </w:p>
        </w:tc>
        <w:tc>
          <w:tcPr>
            <w:tcW w:w="1020" w:type="dxa"/>
            <w:vAlign w:val="bottom"/>
            <w:gridSpan w:val="5"/>
          </w:tcPr>
          <w:p>
            <w:pPr>
              <w:jc w:val="center"/>
              <w:spacing w:after="0" w:line="168" w:lineRule="exact"/>
              <w:rPr>
                <w:sz w:val="20"/>
                <w:szCs w:val="20"/>
                <w:color w:val="auto"/>
              </w:rPr>
            </w:pPr>
            <w:r>
              <w:rPr>
                <w:rFonts w:ascii="Times New Roman" w:cs="Times New Roman" w:eastAsia="Times New Roman" w:hAnsi="Times New Roman"/>
                <w:sz w:val="15"/>
                <w:szCs w:val="15"/>
                <w:color w:val="auto"/>
              </w:rPr>
              <w:t>International</w:t>
            </w:r>
          </w:p>
        </w:tc>
        <w:tc>
          <w:tcPr>
            <w:tcW w:w="180" w:type="dxa"/>
            <w:vAlign w:val="bottom"/>
          </w:tcPr>
          <w:p>
            <w:pPr>
              <w:spacing w:after="0"/>
              <w:rPr>
                <w:sz w:val="14"/>
                <w:szCs w:val="14"/>
                <w:color w:val="auto"/>
              </w:rPr>
            </w:pPr>
          </w:p>
        </w:tc>
        <w:tc>
          <w:tcPr>
            <w:tcW w:w="720" w:type="dxa"/>
            <w:vAlign w:val="bottom"/>
            <w:gridSpan w:val="4"/>
          </w:tcPr>
          <w:p>
            <w:pPr>
              <w:jc w:val="center"/>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200" w:type="dxa"/>
            <w:vAlign w:val="bottom"/>
          </w:tcPr>
          <w:p>
            <w:pPr>
              <w:spacing w:after="0"/>
              <w:rPr>
                <w:sz w:val="14"/>
                <w:szCs w:val="14"/>
                <w:color w:val="auto"/>
              </w:rPr>
            </w:pPr>
          </w:p>
        </w:tc>
        <w:tc>
          <w:tcPr>
            <w:tcW w:w="940" w:type="dxa"/>
            <w:vAlign w:val="bottom"/>
            <w:gridSpan w:val="4"/>
          </w:tcPr>
          <w:p>
            <w:pPr>
              <w:ind w:left="120"/>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1100" w:type="dxa"/>
            <w:vAlign w:val="bottom"/>
            <w:gridSpan w:val="6"/>
          </w:tcPr>
          <w:p>
            <w:pPr>
              <w:jc w:val="center"/>
              <w:ind w:right="20"/>
              <w:spacing w:after="0" w:line="168" w:lineRule="exact"/>
              <w:rPr>
                <w:sz w:val="20"/>
                <w:szCs w:val="20"/>
                <w:color w:val="auto"/>
              </w:rPr>
            </w:pPr>
            <w:r>
              <w:rPr>
                <w:rFonts w:ascii="Times New Roman" w:cs="Times New Roman" w:eastAsia="Times New Roman" w:hAnsi="Times New Roman"/>
                <w:sz w:val="15"/>
                <w:szCs w:val="15"/>
                <w:color w:val="auto"/>
              </w:rPr>
              <w:t>and Other</w:t>
            </w:r>
          </w:p>
        </w:tc>
        <w:tc>
          <w:tcPr>
            <w:tcW w:w="20" w:type="dxa"/>
            <w:vAlign w:val="bottom"/>
          </w:tcPr>
          <w:p>
            <w:pPr>
              <w:spacing w:after="0"/>
              <w:rPr>
                <w:sz w:val="14"/>
                <w:szCs w:val="14"/>
                <w:color w:val="auto"/>
              </w:rPr>
            </w:pPr>
          </w:p>
        </w:tc>
        <w:tc>
          <w:tcPr>
            <w:tcW w:w="1000" w:type="dxa"/>
            <w:vAlign w:val="bottom"/>
            <w:gridSpan w:val="3"/>
          </w:tcPr>
          <w:p>
            <w:pPr>
              <w:jc w:val="center"/>
              <w:ind w:right="120"/>
              <w:spacing w:after="0" w:line="168" w:lineRule="exact"/>
              <w:rPr>
                <w:sz w:val="20"/>
                <w:szCs w:val="20"/>
                <w:color w:val="auto"/>
              </w:rPr>
            </w:pPr>
            <w:r>
              <w:rPr>
                <w:rFonts w:ascii="Times New Roman" w:cs="Times New Roman" w:eastAsia="Times New Roman" w:hAnsi="Times New Roman"/>
                <w:sz w:val="15"/>
                <w:szCs w:val="15"/>
                <w:color w:val="auto"/>
              </w:rPr>
              <w:t>Elimination</w:t>
            </w:r>
          </w:p>
        </w:tc>
        <w:tc>
          <w:tcPr>
            <w:tcW w:w="100" w:type="dxa"/>
            <w:vAlign w:val="bottom"/>
          </w:tcPr>
          <w:p>
            <w:pPr>
              <w:spacing w:after="0"/>
              <w:rPr>
                <w:sz w:val="14"/>
                <w:szCs w:val="14"/>
                <w:color w:val="auto"/>
              </w:rPr>
            </w:pPr>
          </w:p>
        </w:tc>
        <w:tc>
          <w:tcPr>
            <w:tcW w:w="80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35"/>
        </w:trPr>
        <w:tc>
          <w:tcPr>
            <w:tcW w:w="2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181414"/>
            </w:tcBorders>
            <w:gridSpan w:val="2"/>
          </w:tcPr>
          <w:p>
            <w:pPr>
              <w:spacing w:after="0"/>
              <w:rPr>
                <w:sz w:val="3"/>
                <w:szCs w:val="3"/>
                <w:color w:val="auto"/>
              </w:rPr>
            </w:pPr>
          </w:p>
        </w:tc>
        <w:tc>
          <w:tcPr>
            <w:tcW w:w="720" w:type="dxa"/>
            <w:vAlign w:val="bottom"/>
            <w:tcBorders>
              <w:bottom w:val="single" w:sz="8" w:color="181414"/>
            </w:tcBorders>
          </w:tcPr>
          <w:p>
            <w:pPr>
              <w:spacing w:after="0"/>
              <w:rPr>
                <w:sz w:val="3"/>
                <w:szCs w:val="3"/>
                <w:color w:val="auto"/>
              </w:rPr>
            </w:pPr>
          </w:p>
        </w:tc>
        <w:tc>
          <w:tcPr>
            <w:tcW w:w="60" w:type="dxa"/>
            <w:vAlign w:val="bottom"/>
            <w:tcBorders>
              <w:bottom w:val="single" w:sz="8" w:color="181414"/>
            </w:tcBorders>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Borders>
              <w:bottom w:val="single" w:sz="8" w:color="181414"/>
            </w:tcBorders>
            <w:gridSpan w:val="3"/>
          </w:tcPr>
          <w:p>
            <w:pPr>
              <w:spacing w:after="0"/>
              <w:rPr>
                <w:sz w:val="3"/>
                <w:szCs w:val="3"/>
                <w:color w:val="auto"/>
              </w:rPr>
            </w:pPr>
          </w:p>
        </w:tc>
        <w:tc>
          <w:tcPr>
            <w:tcW w:w="2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181414"/>
            </w:tcBorders>
            <w:gridSpan w:val="2"/>
          </w:tcPr>
          <w:p>
            <w:pPr>
              <w:spacing w:after="0"/>
              <w:rPr>
                <w:sz w:val="3"/>
                <w:szCs w:val="3"/>
                <w:color w:val="auto"/>
              </w:rPr>
            </w:pPr>
          </w:p>
        </w:tc>
        <w:tc>
          <w:tcPr>
            <w:tcW w:w="580" w:type="dxa"/>
            <w:vAlign w:val="bottom"/>
            <w:tcBorders>
              <w:bottom w:val="single" w:sz="8" w:color="181414"/>
            </w:tcBorders>
          </w:tcPr>
          <w:p>
            <w:pPr>
              <w:spacing w:after="0"/>
              <w:rPr>
                <w:sz w:val="3"/>
                <w:szCs w:val="3"/>
                <w:color w:val="auto"/>
              </w:rPr>
            </w:pPr>
          </w:p>
        </w:tc>
        <w:tc>
          <w:tcPr>
            <w:tcW w:w="14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Borders>
              <w:bottom w:val="single" w:sz="8" w:color="181414"/>
            </w:tcBorders>
            <w:gridSpan w:val="2"/>
          </w:tcPr>
          <w:p>
            <w:pPr>
              <w:spacing w:after="0"/>
              <w:rPr>
                <w:sz w:val="3"/>
                <w:szCs w:val="3"/>
                <w:color w:val="auto"/>
              </w:rPr>
            </w:pPr>
          </w:p>
        </w:tc>
        <w:tc>
          <w:tcPr>
            <w:tcW w:w="580" w:type="dxa"/>
            <w:vAlign w:val="bottom"/>
            <w:tcBorders>
              <w:bottom w:val="single" w:sz="8" w:color="181414"/>
            </w:tcBorders>
          </w:tcPr>
          <w:p>
            <w:pPr>
              <w:spacing w:after="0"/>
              <w:rPr>
                <w:sz w:val="3"/>
                <w:szCs w:val="3"/>
                <w:color w:val="auto"/>
              </w:rPr>
            </w:pPr>
          </w:p>
        </w:tc>
        <w:tc>
          <w:tcPr>
            <w:tcW w:w="40" w:type="dxa"/>
            <w:vAlign w:val="bottom"/>
            <w:tcBorders>
              <w:bottom w:val="single" w:sz="8" w:color="181414"/>
            </w:tcBorders>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bottom w:val="single" w:sz="8" w:color="181414"/>
            </w:tcBorders>
          </w:tcPr>
          <w:p>
            <w:pPr>
              <w:spacing w:after="0"/>
              <w:rPr>
                <w:sz w:val="3"/>
                <w:szCs w:val="3"/>
                <w:color w:val="auto"/>
              </w:rPr>
            </w:pPr>
          </w:p>
        </w:tc>
        <w:tc>
          <w:tcPr>
            <w:tcW w:w="660" w:type="dxa"/>
            <w:vAlign w:val="bottom"/>
            <w:tcBorders>
              <w:bottom w:val="single" w:sz="8" w:color="181414"/>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Borders>
              <w:bottom w:val="single" w:sz="8" w:color="181414"/>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Revenues .. . ...........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1,074,207</w:t>
            </w:r>
          </w:p>
        </w:tc>
        <w:tc>
          <w:tcPr>
            <w:tcW w:w="60" w:type="dxa"/>
            <w:vAlign w:val="bottom"/>
          </w:tcPr>
          <w:p>
            <w:pPr>
              <w:spacing w:after="0"/>
              <w:rPr>
                <w:sz w:val="21"/>
                <w:szCs w:val="21"/>
                <w:color w:val="auto"/>
              </w:rPr>
            </w:pPr>
          </w:p>
        </w:tc>
        <w:tc>
          <w:tcPr>
            <w:tcW w:w="88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w w:val="97"/>
              </w:rPr>
              <w:t>$324,815</w:t>
            </w:r>
          </w:p>
        </w:tc>
        <w:tc>
          <w:tcPr>
            <w:tcW w:w="20" w:type="dxa"/>
            <w:vAlign w:val="bottom"/>
          </w:tcPr>
          <w:p>
            <w:pPr>
              <w:spacing w:after="0"/>
              <w:rPr>
                <w:sz w:val="21"/>
                <w:szCs w:val="21"/>
                <w:color w:val="auto"/>
              </w:rPr>
            </w:pP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291,630</w:t>
            </w:r>
          </w:p>
        </w:tc>
        <w:tc>
          <w:tcPr>
            <w:tcW w:w="14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5,761</w:t>
            </w: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(4,635)</w:t>
            </w:r>
          </w:p>
        </w:tc>
        <w:tc>
          <w:tcPr>
            <w:tcW w:w="10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$1,691,778</w:t>
            </w:r>
          </w:p>
        </w:tc>
        <w:tc>
          <w:tcPr>
            <w:tcW w:w="0" w:type="dxa"/>
            <w:vAlign w:val="bottom"/>
          </w:tcPr>
          <w:p>
            <w:pPr>
              <w:spacing w:after="0"/>
              <w:rPr>
                <w:sz w:val="1"/>
                <w:szCs w:val="1"/>
                <w:color w:val="auto"/>
              </w:rPr>
            </w:pPr>
          </w:p>
        </w:tc>
      </w:tr>
      <w:tr>
        <w:trPr>
          <w:trHeight w:val="212"/>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 xml:space="preserve">Less: Significant Expenses </w:t>
            </w:r>
            <w:r>
              <w:rPr>
                <w:rFonts w:ascii="Arial" w:cs="Arial" w:eastAsia="Arial" w:hAnsi="Arial"/>
                <w:sz w:val="18"/>
                <w:szCs w:val="18"/>
                <w:color w:val="auto"/>
              </w:rPr>
              <w:t>rn</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4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11"/>
                <w:szCs w:val="11"/>
                <w:color w:val="auto"/>
              </w:rPr>
              <w:t>(2)  • .  .</w:t>
            </w: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1"/>
                <w:szCs w:val="11"/>
                <w:color w:val="auto"/>
              </w:rPr>
              <w:t>..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361,508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247,196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51,574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w w:val="95"/>
              </w:rPr>
              <w:t>(4,796)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655,482</w:t>
            </w:r>
          </w:p>
        </w:tc>
        <w:tc>
          <w:tcPr>
            <w:tcW w:w="0" w:type="dxa"/>
            <w:vAlign w:val="bottom"/>
          </w:tcPr>
          <w:p>
            <w:pPr>
              <w:spacing w:after="0"/>
              <w:rPr>
                <w:sz w:val="1"/>
                <w:szCs w:val="1"/>
                <w:color w:val="auto"/>
              </w:rPr>
            </w:pPr>
          </w:p>
        </w:tc>
      </w:tr>
      <w:tr>
        <w:trPr>
          <w:trHeight w:val="208"/>
        </w:trPr>
        <w:tc>
          <w:tcPr>
            <w:tcW w:w="3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Payroll and Fringe Benefits</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40" w:type="dxa"/>
            <w:vAlign w:val="bottom"/>
          </w:tcPr>
          <w:p>
            <w:pPr>
              <w:ind w:left="540"/>
              <w:spacing w:after="0"/>
              <w:rPr>
                <w:sz w:val="20"/>
                <w:szCs w:val="20"/>
                <w:color w:val="auto"/>
              </w:rPr>
            </w:pPr>
            <w:r>
              <w:rPr>
                <w:rFonts w:ascii="Times New Roman" w:cs="Times New Roman" w:eastAsia="Times New Roman" w:hAnsi="Times New Roman"/>
                <w:sz w:val="17"/>
                <w:szCs w:val="17"/>
                <w:color w:val="auto"/>
              </w:rPr>
              <w:t xml:space="preserve">Expense </w:t>
            </w:r>
            <w:r>
              <w:rPr>
                <w:rFonts w:ascii="Times New Roman" w:cs="Times New Roman" w:eastAsia="Times New Roman" w:hAnsi="Times New Roman"/>
                <w:sz w:val="11"/>
                <w:szCs w:val="11"/>
                <w:color w:val="auto"/>
              </w:rPr>
              <w:t>(3)   .  . .. • • ...</w:t>
            </w:r>
          </w:p>
        </w:tc>
        <w:tc>
          <w:tcPr>
            <w:tcW w:w="1000" w:type="dxa"/>
            <w:vAlign w:val="bottom"/>
          </w:tcPr>
          <w:p>
            <w:pPr>
              <w:jc w:val="right"/>
              <w:ind w:right="50"/>
              <w:spacing w:after="0"/>
              <w:rPr>
                <w:sz w:val="20"/>
                <w:szCs w:val="20"/>
                <w:color w:val="auto"/>
              </w:rPr>
            </w:pPr>
            <w:r>
              <w:rPr>
                <w:rFonts w:ascii="Times New Roman" w:cs="Times New Roman" w:eastAsia="Times New Roman" w:hAnsi="Times New Roman"/>
                <w:sz w:val="11"/>
                <w:szCs w:val="11"/>
                <w:color w:val="auto"/>
              </w:rPr>
              <w:t>.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299,643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17,431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126,410</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27,660</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471,144</w:t>
            </w:r>
          </w:p>
        </w:tc>
        <w:tc>
          <w:tcPr>
            <w:tcW w:w="0" w:type="dxa"/>
            <w:vAlign w:val="bottom"/>
          </w:tcPr>
          <w:p>
            <w:pPr>
              <w:spacing w:after="0"/>
              <w:rPr>
                <w:sz w:val="1"/>
                <w:szCs w:val="1"/>
                <w:color w:val="auto"/>
              </w:rPr>
            </w:pPr>
          </w:p>
        </w:tc>
      </w:tr>
      <w:tr>
        <w:trPr>
          <w:trHeight w:val="219"/>
        </w:trPr>
        <w:tc>
          <w:tcPr>
            <w:tcW w:w="3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Occupancy Expense  ...........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107,813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2,703</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116,839</w:t>
            </w:r>
          </w:p>
        </w:tc>
        <w:tc>
          <w:tcPr>
            <w:tcW w:w="0" w:type="dxa"/>
            <w:vAlign w:val="bottom"/>
          </w:tcPr>
          <w:p>
            <w:pPr>
              <w:spacing w:after="0"/>
              <w:rPr>
                <w:sz w:val="1"/>
                <w:szCs w:val="1"/>
                <w:color w:val="auto"/>
              </w:rPr>
            </w:pPr>
          </w:p>
        </w:tc>
      </w:tr>
      <w:tr>
        <w:trPr>
          <w:trHeight w:val="217"/>
        </w:trPr>
        <w:tc>
          <w:tcPr>
            <w:tcW w:w="30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40" w:type="dxa"/>
            <w:vAlign w:val="bottom"/>
            <w:gridSpan w:val="2"/>
          </w:tcPr>
          <w:p>
            <w:pPr>
              <w:ind w:left="540"/>
              <w:spacing w:after="0"/>
              <w:rPr>
                <w:sz w:val="20"/>
                <w:szCs w:val="20"/>
                <w:color w:val="auto"/>
              </w:rPr>
            </w:pPr>
            <w:r>
              <w:rPr>
                <w:rFonts w:ascii="Times New Roman" w:cs="Times New Roman" w:eastAsia="Times New Roman" w:hAnsi="Times New Roman"/>
                <w:sz w:val="17"/>
                <w:szCs w:val="17"/>
                <w:color w:val="auto"/>
              </w:rPr>
              <w:t>Expense  . .. . .. . .... . ......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32,414</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70,828</w:t>
            </w:r>
          </w:p>
        </w:tc>
        <w:tc>
          <w:tcPr>
            <w:tcW w:w="0" w:type="dxa"/>
            <w:vAlign w:val="bottom"/>
          </w:tcPr>
          <w:p>
            <w:pPr>
              <w:spacing w:after="0"/>
              <w:rPr>
                <w:sz w:val="1"/>
                <w:szCs w:val="1"/>
                <w:color w:val="auto"/>
              </w:rPr>
            </w:pPr>
          </w:p>
        </w:tc>
      </w:tr>
      <w:tr>
        <w:trPr>
          <w:trHeight w:val="134"/>
        </w:trPr>
        <w:tc>
          <w:tcPr>
            <w:tcW w:w="2040" w:type="dxa"/>
            <w:vAlign w:val="bottom"/>
          </w:tcPr>
          <w:p>
            <w:pPr>
              <w:ind w:left="1960"/>
              <w:spacing w:after="0"/>
              <w:rPr>
                <w:sz w:val="20"/>
                <w:szCs w:val="20"/>
                <w:color w:val="auto"/>
              </w:rPr>
            </w:pPr>
            <w:r>
              <w:rPr>
                <w:rFonts w:ascii="Times New Roman" w:cs="Times New Roman" w:eastAsia="Times New Roman" w:hAnsi="Times New Roman"/>
                <w:sz w:val="11"/>
                <w:szCs w:val="11"/>
                <w:color w:val="auto"/>
              </w:rPr>
              <w:t>4</w:t>
            </w:r>
          </w:p>
        </w:tc>
        <w:tc>
          <w:tcPr>
            <w:tcW w:w="1000" w:type="dxa"/>
            <w:vAlign w:val="bottom"/>
            <w:vMerge w:val="restart"/>
          </w:tcPr>
          <w:p>
            <w:pPr>
              <w:jc w:val="right"/>
              <w:ind w:right="130"/>
              <w:spacing w:after="0"/>
              <w:rPr>
                <w:sz w:val="20"/>
                <w:szCs w:val="20"/>
                <w:color w:val="auto"/>
              </w:rPr>
            </w:pPr>
            <w:r>
              <w:rPr>
                <w:rFonts w:ascii="Arial" w:cs="Arial" w:eastAsia="Arial" w:hAnsi="Arial"/>
                <w:sz w:val="13"/>
                <w:szCs w:val="13"/>
                <w:color w:val="auto"/>
              </w:rPr>
              <w:t>&gt; ........</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141,743</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1,427</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41,760</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vMerge w:val="restart"/>
          </w:tcPr>
          <w:p>
            <w:pPr>
              <w:jc w:val="right"/>
              <w:ind w:right="93"/>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190,448</w:t>
            </w:r>
          </w:p>
        </w:tc>
        <w:tc>
          <w:tcPr>
            <w:tcW w:w="0" w:type="dxa"/>
            <w:vAlign w:val="bottom"/>
          </w:tcPr>
          <w:p>
            <w:pPr>
              <w:spacing w:after="0"/>
              <w:rPr>
                <w:sz w:val="1"/>
                <w:szCs w:val="1"/>
                <w:color w:val="auto"/>
              </w:rPr>
            </w:pPr>
          </w:p>
        </w:tc>
      </w:tr>
      <w:tr>
        <w:trPr>
          <w:trHeight w:val="123"/>
        </w:trPr>
        <w:tc>
          <w:tcPr>
            <w:tcW w:w="2040" w:type="dxa"/>
            <w:vAlign w:val="bottom"/>
          </w:tcPr>
          <w:p>
            <w:pPr>
              <w:ind w:left="360"/>
              <w:spacing w:after="0" w:line="114" w:lineRule="exact"/>
              <w:rPr>
                <w:sz w:val="20"/>
                <w:szCs w:val="20"/>
                <w:color w:val="auto"/>
              </w:rPr>
            </w:pPr>
            <w:r>
              <w:rPr>
                <w:rFonts w:ascii="Times New Roman" w:cs="Times New Roman" w:eastAsia="Times New Roman" w:hAnsi="Times New Roman"/>
                <w:sz w:val="13"/>
                <w:szCs w:val="13"/>
                <w:color w:val="auto"/>
              </w:rPr>
              <w:t xml:space="preserve">Other Segment Items </w:t>
            </w:r>
            <w:r>
              <w:rPr>
                <w:rFonts w:ascii="Arial" w:cs="Arial" w:eastAsia="Arial" w:hAnsi="Arial"/>
                <w:sz w:val="9"/>
                <w:szCs w:val="9"/>
                <w:color w:val="auto"/>
              </w:rPr>
              <w:t>&lt;</w:t>
            </w:r>
          </w:p>
        </w:tc>
        <w:tc>
          <w:tcPr>
            <w:tcW w:w="1000" w:type="dxa"/>
            <w:vAlign w:val="bottom"/>
            <w:vMerge w:val="continue"/>
          </w:tcPr>
          <w:p>
            <w:pPr>
              <w:jc w:val="right"/>
              <w:ind w:right="50"/>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Borders>
              <w:bottom w:val="single" w:sz="8" w:color="504C4C"/>
            </w:tcBorders>
          </w:tcPr>
          <w:p>
            <w:pPr>
              <w:spacing w:after="0"/>
              <w:rPr>
                <w:sz w:val="10"/>
                <w:szCs w:val="10"/>
                <w:color w:val="auto"/>
              </w:rPr>
            </w:pPr>
          </w:p>
        </w:tc>
        <w:tc>
          <w:tcPr>
            <w:tcW w:w="720" w:type="dxa"/>
            <w:vAlign w:val="bottom"/>
            <w:tcBorders>
              <w:bottom w:val="single" w:sz="8" w:color="504C4C"/>
            </w:tcBorders>
            <w:vMerge w:val="continue"/>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bottom w:val="single" w:sz="8" w:color="504C4C"/>
            </w:tcBorders>
          </w:tcPr>
          <w:p>
            <w:pPr>
              <w:spacing w:after="0"/>
              <w:rPr>
                <w:sz w:val="10"/>
                <w:szCs w:val="10"/>
                <w:color w:val="auto"/>
              </w:rPr>
            </w:pPr>
          </w:p>
        </w:tc>
        <w:tc>
          <w:tcPr>
            <w:tcW w:w="580" w:type="dxa"/>
            <w:vAlign w:val="bottom"/>
            <w:tcBorders>
              <w:bottom w:val="single" w:sz="8" w:color="504C4C"/>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Borders>
              <w:bottom w:val="single" w:sz="8" w:color="504C4C"/>
            </w:tcBorders>
          </w:tcPr>
          <w:p>
            <w:pPr>
              <w:spacing w:after="0"/>
              <w:rPr>
                <w:sz w:val="10"/>
                <w:szCs w:val="10"/>
                <w:color w:val="auto"/>
              </w:rPr>
            </w:pPr>
          </w:p>
        </w:tc>
        <w:tc>
          <w:tcPr>
            <w:tcW w:w="580" w:type="dxa"/>
            <w:vAlign w:val="bottom"/>
            <w:tcBorders>
              <w:bottom w:val="single" w:sz="8" w:color="504C4C"/>
            </w:tcBorders>
            <w:vMerge w:val="continue"/>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Borders>
              <w:bottom w:val="single" w:sz="8" w:color="504C4C"/>
            </w:tcBorders>
          </w:tcPr>
          <w:p>
            <w:pPr>
              <w:spacing w:after="0"/>
              <w:rPr>
                <w:sz w:val="10"/>
                <w:szCs w:val="10"/>
                <w:color w:val="auto"/>
              </w:rPr>
            </w:pPr>
          </w:p>
        </w:tc>
        <w:tc>
          <w:tcPr>
            <w:tcW w:w="580" w:type="dxa"/>
            <w:vAlign w:val="bottom"/>
            <w:tcBorders>
              <w:bottom w:val="single" w:sz="8" w:color="504C4C"/>
            </w:tcBorders>
            <w:vMerge w:val="continue"/>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Borders>
              <w:bottom w:val="single" w:sz="8" w:color="504C4C"/>
            </w:tcBorders>
          </w:tcPr>
          <w:p>
            <w:pPr>
              <w:spacing w:after="0"/>
              <w:rPr>
                <w:sz w:val="10"/>
                <w:szCs w:val="10"/>
                <w:color w:val="auto"/>
              </w:rPr>
            </w:pPr>
          </w:p>
        </w:tc>
        <w:tc>
          <w:tcPr>
            <w:tcW w:w="640" w:type="dxa"/>
            <w:vAlign w:val="bottom"/>
            <w:tcBorders>
              <w:bottom w:val="single" w:sz="8" w:color="504C4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4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EBITDAP  . .. . . ..... . ...........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131,086</w:t>
            </w:r>
          </w:p>
        </w:tc>
        <w:tc>
          <w:tcPr>
            <w:tcW w:w="60" w:type="dxa"/>
            <w:vAlign w:val="bottom"/>
          </w:tcPr>
          <w:p>
            <w:pPr>
              <w:spacing w:after="0"/>
              <w:rPr>
                <w:sz w:val="21"/>
                <w:szCs w:val="21"/>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51,195</w:t>
            </w:r>
          </w:p>
        </w:tc>
        <w:tc>
          <w:tcPr>
            <w:tcW w:w="20" w:type="dxa"/>
            <w:vAlign w:val="bottom"/>
          </w:tcPr>
          <w:p>
            <w:pPr>
              <w:spacing w:after="0"/>
              <w:rPr>
                <w:sz w:val="21"/>
                <w:szCs w:val="21"/>
                <w:color w:val="auto"/>
              </w:rPr>
            </w:pP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14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w w:val="97"/>
              </w:rPr>
              <w:t>(33,524)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1"/>
                <w:szCs w:val="21"/>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187,037</w:t>
            </w:r>
          </w:p>
        </w:tc>
        <w:tc>
          <w:tcPr>
            <w:tcW w:w="0" w:type="dxa"/>
            <w:vAlign w:val="bottom"/>
          </w:tcPr>
          <w:p>
            <w:pPr>
              <w:spacing w:after="0"/>
              <w:rPr>
                <w:sz w:val="1"/>
                <w:szCs w:val="1"/>
                <w:color w:val="auto"/>
              </w:rPr>
            </w:pPr>
          </w:p>
        </w:tc>
      </w:tr>
      <w:tr>
        <w:trPr>
          <w:trHeight w:val="38"/>
        </w:trPr>
        <w:tc>
          <w:tcPr>
            <w:tcW w:w="20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100C0C"/>
            </w:tcBorders>
          </w:tcPr>
          <w:p>
            <w:pPr>
              <w:spacing w:after="0"/>
              <w:rPr>
                <w:sz w:val="3"/>
                <w:szCs w:val="3"/>
                <w:color w:val="auto"/>
              </w:rPr>
            </w:pPr>
          </w:p>
        </w:tc>
        <w:tc>
          <w:tcPr>
            <w:tcW w:w="720" w:type="dxa"/>
            <w:vAlign w:val="bottom"/>
            <w:tcBorders>
              <w:bottom w:val="single" w:sz="8" w:color="100C0C"/>
            </w:tcBorders>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0C0808"/>
            </w:tcBorders>
          </w:tcPr>
          <w:p>
            <w:pPr>
              <w:spacing w:after="0"/>
              <w:rPr>
                <w:sz w:val="3"/>
                <w:szCs w:val="3"/>
                <w:color w:val="auto"/>
              </w:rPr>
            </w:pPr>
          </w:p>
        </w:tc>
        <w:tc>
          <w:tcPr>
            <w:tcW w:w="64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Pension Service Cost  . ... . . . ..... . . .</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7,848</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8"/>
              </w:rPr>
              <w:t>1,561</w:t>
            </w: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17,733</w:t>
            </w:r>
          </w:p>
        </w:tc>
        <w:tc>
          <w:tcPr>
            <w:tcW w:w="0" w:type="dxa"/>
            <w:vAlign w:val="bottom"/>
          </w:tcPr>
          <w:p>
            <w:pPr>
              <w:spacing w:after="0"/>
              <w:rPr>
                <w:sz w:val="1"/>
                <w:szCs w:val="1"/>
                <w:color w:val="auto"/>
              </w:rPr>
            </w:pPr>
          </w:p>
        </w:tc>
      </w:tr>
      <w:tr>
        <w:trPr>
          <w:trHeight w:val="229"/>
        </w:trPr>
        <w:tc>
          <w:tcPr>
            <w:tcW w:w="30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Depreciation Expense .... . ... . . . . . . .</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28,683</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35,058</w:t>
            </w:r>
          </w:p>
        </w:tc>
        <w:tc>
          <w:tcPr>
            <w:tcW w:w="0" w:type="dxa"/>
            <w:vAlign w:val="bottom"/>
          </w:tcPr>
          <w:p>
            <w:pPr>
              <w:spacing w:after="0"/>
              <w:rPr>
                <w:sz w:val="1"/>
                <w:szCs w:val="1"/>
                <w:color w:val="auto"/>
              </w:rPr>
            </w:pPr>
          </w:p>
        </w:tc>
      </w:tr>
      <w:tr>
        <w:trPr>
          <w:trHeight w:val="29"/>
        </w:trPr>
        <w:tc>
          <w:tcPr>
            <w:tcW w:w="30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Ope rations</w:t>
            </w: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504C4C"/>
            </w:tcBorders>
          </w:tcPr>
          <w:p>
            <w:pPr>
              <w:spacing w:after="0"/>
              <w:rPr>
                <w:sz w:val="2"/>
                <w:szCs w:val="2"/>
                <w:color w:val="auto"/>
              </w:rPr>
            </w:pPr>
          </w:p>
        </w:tc>
        <w:tc>
          <w:tcPr>
            <w:tcW w:w="640" w:type="dxa"/>
            <w:vAlign w:val="bottom"/>
            <w:tcBorders>
              <w:bottom w:val="single" w:sz="8" w:color="504C4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befo re Amortization of Intangible</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Assets a nd Impairment of Long-</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0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Lived Assets .... ... . . ... ..... ..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101,699</w:t>
            </w:r>
          </w:p>
        </w:tc>
        <w:tc>
          <w:tcPr>
            <w:tcW w:w="60" w:type="dxa"/>
            <w:vAlign w:val="bottom"/>
          </w:tcPr>
          <w:p>
            <w:pPr>
              <w:spacing w:after="0"/>
              <w:rPr>
                <w:sz w:val="20"/>
                <w:szCs w:val="20"/>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40,750</w:t>
            </w:r>
          </w:p>
        </w:tc>
        <w:tc>
          <w:tcPr>
            <w:tcW w:w="20" w:type="dxa"/>
            <w:vAlign w:val="bottom"/>
          </w:tcPr>
          <w:p>
            <w:pPr>
              <w:spacing w:after="0"/>
              <w:rPr>
                <w:sz w:val="20"/>
                <w:szCs w:val="20"/>
                <w:color w:val="auto"/>
              </w:rPr>
            </w:pP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26,934</w:t>
            </w:r>
          </w:p>
        </w:tc>
        <w:tc>
          <w:tcPr>
            <w:tcW w:w="140" w:type="dxa"/>
            <w:vAlign w:val="bottom"/>
          </w:tcPr>
          <w:p>
            <w:pPr>
              <w:spacing w:after="0"/>
              <w:rPr>
                <w:sz w:val="20"/>
                <w:szCs w:val="20"/>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(35,148)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660" w:type="dxa"/>
            <w:vAlign w:val="bottom"/>
          </w:tcPr>
          <w:p>
            <w:pPr>
              <w:jc w:val="right"/>
              <w:ind w:right="113"/>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134,246</w:t>
            </w:r>
          </w:p>
        </w:tc>
        <w:tc>
          <w:tcPr>
            <w:tcW w:w="0" w:type="dxa"/>
            <w:vAlign w:val="bottom"/>
          </w:tcPr>
          <w:p>
            <w:pPr>
              <w:spacing w:after="0"/>
              <w:rPr>
                <w:sz w:val="1"/>
                <w:szCs w:val="1"/>
                <w:color w:val="auto"/>
              </w:rPr>
            </w:pPr>
          </w:p>
        </w:tc>
      </w:tr>
      <w:tr>
        <w:trPr>
          <w:trHeight w:val="298"/>
        </w:trPr>
        <w:tc>
          <w:tcPr>
            <w:tcW w:w="3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  .. . . ......... .</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22,560</w:t>
            </w:r>
          </w:p>
        </w:tc>
        <w:tc>
          <w:tcPr>
            <w:tcW w:w="60" w:type="dxa"/>
            <w:vAlign w:val="bottom"/>
          </w:tcPr>
          <w:p>
            <w:pPr>
              <w:spacing w:after="0"/>
              <w:rPr>
                <w:sz w:val="24"/>
                <w:szCs w:val="24"/>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42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2,413</w:t>
            </w:r>
          </w:p>
        </w:tc>
        <w:tc>
          <w:tcPr>
            <w:tcW w:w="140" w:type="dxa"/>
            <w:vAlign w:val="bottom"/>
          </w:tcPr>
          <w:p>
            <w:pPr>
              <w:spacing w:after="0"/>
              <w:rPr>
                <w:sz w:val="24"/>
                <w:szCs w:val="24"/>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9"/>
                <w:szCs w:val="19"/>
                <w:color w:val="auto"/>
              </w:rPr>
              <w:t>$</w:t>
            </w: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gridSpan w:val="2"/>
          </w:tcPr>
          <w:p>
            <w:pPr>
              <w:ind w:left="80"/>
              <w:spacing w:after="0"/>
              <w:rPr>
                <w:sz w:val="20"/>
                <w:szCs w:val="20"/>
                <w:color w:val="auto"/>
              </w:rPr>
            </w:pPr>
            <w:r>
              <w:rPr>
                <w:rFonts w:ascii="Times New Roman" w:cs="Times New Roman" w:eastAsia="Times New Roman" w:hAnsi="Times New Roman"/>
                <w:sz w:val="19"/>
                <w:szCs w:val="19"/>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25,989</w:t>
            </w: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5"/>
          <w:szCs w:val="15"/>
          <w:color w:val="auto"/>
        </w:rPr>
        <w:t>( I)</w:t>
        <w:tab/>
        <w:t>The significant expense categories and amounts align with the segment-level information that is regularly provided to the CODM .</w:t>
      </w:r>
    </w:p>
    <w:p>
      <w:pPr>
        <w:spacing w:after="0" w:line="32" w:lineRule="exact"/>
        <w:rPr>
          <w:sz w:val="20"/>
          <w:szCs w:val="20"/>
          <w:color w:val="auto"/>
        </w:rPr>
      </w:pPr>
    </w:p>
    <w:p>
      <w:pPr>
        <w:jc w:val="both"/>
        <w:ind w:left="440" w:right="125" w:hanging="327"/>
        <w:spacing w:after="0" w:line="282" w:lineRule="auto"/>
        <w:tabs>
          <w:tab w:leader="none" w:pos="4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 reflects the amounts repoz1ed and provided to the CODM and does not necessarily reconcile to the Company's Consolidated Statement of Operations or al ign across reportable segments. Cost of revenue excludes charges related to depreciation, which is shown separately above.</w:t>
      </w:r>
    </w:p>
    <w:p>
      <w:pPr>
        <w:spacing w:after="0" w:line="2" w:lineRule="exact"/>
        <w:rPr>
          <w:rFonts w:ascii="Times New Roman" w:cs="Times New Roman" w:eastAsia="Times New Roman" w:hAnsi="Times New Roman"/>
          <w:sz w:val="15"/>
          <w:szCs w:val="15"/>
          <w:color w:val="auto"/>
        </w:rPr>
      </w:pPr>
    </w:p>
    <w:p>
      <w:pPr>
        <w:ind w:left="440" w:right="105" w:hanging="327"/>
        <w:spacing w:after="0" w:line="249" w:lineRule="auto"/>
        <w:tabs>
          <w:tab w:leader="none" w:pos="439"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pension service cost, wh ich is shown separately above. Excludes any payroll and related benefits costs captured in cost of revenue.</w:t>
      </w:r>
    </w:p>
    <w:p>
      <w:pPr>
        <w:spacing w:after="0" w:line="207"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segment items for each reportable segment include:</w:t>
      </w:r>
    </w:p>
    <w:p>
      <w:pPr>
        <w:spacing w:after="0" w:line="32" w:lineRule="exact"/>
        <w:rPr>
          <w:rFonts w:ascii="Times New Roman" w:cs="Times New Roman" w:eastAsia="Times New Roman" w:hAnsi="Times New Roman"/>
          <w:sz w:val="15"/>
          <w:szCs w:val="15"/>
          <w:color w:val="auto"/>
        </w:rPr>
      </w:pPr>
    </w:p>
    <w:p>
      <w:pPr>
        <w:ind w:left="760" w:right="125" w:hanging="323"/>
        <w:spacing w:after="0" w:line="262" w:lineRule="auto"/>
        <w:tabs>
          <w:tab w:leader="none" w:pos="770"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Kaplan internatioz1al - travel meals and entertainment expense, training and employment expense, operating fees and other G&amp;A expenses.</w:t>
      </w:r>
    </w:p>
    <w:p>
      <w:pPr>
        <w:spacing w:after="0" w:line="207"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education - training and employment expense, operating fees and other G&amp;A expenses.</w:t>
      </w:r>
    </w:p>
    <w:p>
      <w:pPr>
        <w:spacing w:after="0" w:line="37" w:lineRule="exact"/>
        <w:rPr>
          <w:rFonts w:ascii="Times New Roman" w:cs="Times New Roman" w:eastAsia="Times New Roman" w:hAnsi="Times New Roman"/>
          <w:sz w:val="15"/>
          <w:szCs w:val="15"/>
          <w:color w:val="auto"/>
        </w:rPr>
      </w:pPr>
    </w:p>
    <w:p>
      <w:pPr>
        <w:ind w:left="760" w:hanging="323"/>
        <w:spacing w:after="0"/>
        <w:tabs>
          <w:tab w:leader="none" w:pos="760"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Supplemental education - training and employment expense, operating fees and other G&amp;A expenses.</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8"/>
          <w:szCs w:val="18"/>
          <w:color w:val="auto"/>
        </w:rPr>
        <w:t>147</w:t>
      </w:r>
    </w:p>
    <w:p>
      <w:pPr>
        <w:sectPr>
          <w:pgSz w:w="12240" w:h="15850" w:orient="portrait"/>
          <w:cols w:equalWidth="0" w:num="1">
            <w:col w:w="9365"/>
          </w:cols>
          <w:pgMar w:left="1440" w:top="1385" w:right="1440" w:bottom="721" w:gutter="0" w:footer="0" w:header="0"/>
          <w:type w:val="continuous"/>
        </w:sectPr>
      </w:pPr>
    </w:p>
    <w:bookmarkStart w:id="163" w:name="page164"/>
    <w:bookmarkEnd w:id="163"/>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71">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Company information broken down by operating segment and education division:</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60" w:type="dxa"/>
            <w:vAlign w:val="bottom"/>
            <w:gridSpan w:val="5"/>
          </w:tcPr>
          <w:p>
            <w:pPr>
              <w:jc w:val="right"/>
              <w:ind w:right="40"/>
              <w:spacing w:after="0"/>
              <w:rPr>
                <w:sz w:val="20"/>
                <w:szCs w:val="20"/>
                <w:color w:val="auto"/>
              </w:rPr>
            </w:pPr>
            <w:r>
              <w:rPr>
                <w:rFonts w:ascii="Times New Roman" w:cs="Times New Roman" w:eastAsia="Times New Roman" w:hAnsi="Times New Roman"/>
                <w:sz w:val="15"/>
                <w:szCs w:val="15"/>
                <w:color w:val="auto"/>
              </w:rPr>
              <w:t>Y car F.nclccl Occemhcr 3 I, 2023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3"/>
        </w:trPr>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58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920" w:type="dxa"/>
            <w:vAlign w:val="bottom"/>
            <w:tcBorders>
              <w:bottom w:val="single" w:sz="8" w:color="403C3C"/>
            </w:tcBorders>
          </w:tcPr>
          <w:p>
            <w:pPr>
              <w:spacing w:after="0"/>
              <w:rPr>
                <w:sz w:val="4"/>
                <w:szCs w:val="4"/>
                <w:color w:val="auto"/>
              </w:rPr>
            </w:pPr>
          </w:p>
        </w:tc>
        <w:tc>
          <w:tcPr>
            <w:tcW w:w="40" w:type="dxa"/>
            <w:vAlign w:val="bottom"/>
            <w:tcBorders>
              <w:bottom w:val="single" w:sz="8" w:color="403C3C"/>
            </w:tcBorders>
          </w:tcPr>
          <w:p>
            <w:pPr>
              <w:spacing w:after="0"/>
              <w:rPr>
                <w:sz w:val="4"/>
                <w:szCs w:val="4"/>
                <w:color w:val="auto"/>
              </w:rPr>
            </w:pPr>
          </w:p>
        </w:tc>
        <w:tc>
          <w:tcPr>
            <w:tcW w:w="140" w:type="dxa"/>
            <w:vAlign w:val="bottom"/>
            <w:tcBorders>
              <w:bottom w:val="single" w:sz="8" w:color="403C3C"/>
            </w:tcBorders>
          </w:tcPr>
          <w:p>
            <w:pPr>
              <w:spacing w:after="0"/>
              <w:rPr>
                <w:sz w:val="4"/>
                <w:szCs w:val="4"/>
                <w:color w:val="auto"/>
              </w:rPr>
            </w:pPr>
          </w:p>
        </w:tc>
        <w:tc>
          <w:tcPr>
            <w:tcW w:w="106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76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4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20" w:type="dxa"/>
            <w:vAlign w:val="bottom"/>
            <w:tcBorders>
              <w:bottom w:val="single" w:sz="8" w:color="403C3C"/>
            </w:tcBorders>
          </w:tcPr>
          <w:p>
            <w:pPr>
              <w:spacing w:after="0"/>
              <w:rPr>
                <w:sz w:val="4"/>
                <w:szCs w:val="4"/>
                <w:color w:val="auto"/>
              </w:rPr>
            </w:pPr>
          </w:p>
        </w:tc>
        <w:tc>
          <w:tcPr>
            <w:tcW w:w="620" w:type="dxa"/>
            <w:vAlign w:val="bottom"/>
            <w:tcBorders>
              <w:bottom w:val="single" w:sz="8" w:color="403C3C"/>
            </w:tcBorders>
          </w:tcPr>
          <w:p>
            <w:pPr>
              <w:spacing w:after="0"/>
              <w:rPr>
                <w:sz w:val="4"/>
                <w:szCs w:val="4"/>
                <w:color w:val="auto"/>
              </w:rPr>
            </w:pPr>
          </w:p>
        </w:tc>
        <w:tc>
          <w:tcPr>
            <w:tcW w:w="40" w:type="dxa"/>
            <w:vAlign w:val="bottom"/>
            <w:tcBorders>
              <w:bottom w:val="single" w:sz="8" w:color="403C3C"/>
            </w:tcBorders>
          </w:tcPr>
          <w:p>
            <w:pPr>
              <w:spacing w:after="0"/>
              <w:rPr>
                <w:sz w:val="4"/>
                <w:szCs w:val="4"/>
                <w:color w:val="auto"/>
              </w:rPr>
            </w:pPr>
          </w:p>
        </w:tc>
        <w:tc>
          <w:tcPr>
            <w:tcW w:w="80" w:type="dxa"/>
            <w:vAlign w:val="bottom"/>
            <w:tcBorders>
              <w:bottom w:val="single" w:sz="8" w:color="403C3C"/>
            </w:tcBorders>
          </w:tcPr>
          <w:p>
            <w:pPr>
              <w:spacing w:after="0"/>
              <w:rPr>
                <w:sz w:val="4"/>
                <w:szCs w:val="4"/>
                <w:color w:val="auto"/>
              </w:rPr>
            </w:pPr>
          </w:p>
        </w:tc>
        <w:tc>
          <w:tcPr>
            <w:tcW w:w="100" w:type="dxa"/>
            <w:vAlign w:val="bottom"/>
            <w:tcBorders>
              <w:bottom w:val="single" w:sz="8" w:color="403C3C"/>
            </w:tcBorders>
          </w:tcPr>
          <w:p>
            <w:pPr>
              <w:spacing w:after="0"/>
              <w:rPr>
                <w:sz w:val="4"/>
                <w:szCs w:val="4"/>
                <w:color w:val="auto"/>
              </w:rPr>
            </w:pPr>
          </w:p>
        </w:tc>
        <w:tc>
          <w:tcPr>
            <w:tcW w:w="20" w:type="dxa"/>
            <w:vAlign w:val="bottom"/>
            <w:tcBorders>
              <w:bottom w:val="single" w:sz="8" w:color="403C3C"/>
            </w:tcBorders>
          </w:tcPr>
          <w:p>
            <w:pPr>
              <w:spacing w:after="0"/>
              <w:rPr>
                <w:sz w:val="4"/>
                <w:szCs w:val="4"/>
                <w:color w:val="auto"/>
              </w:rPr>
            </w:pPr>
          </w:p>
        </w:tc>
        <w:tc>
          <w:tcPr>
            <w:tcW w:w="60" w:type="dxa"/>
            <w:vAlign w:val="bottom"/>
            <w:tcBorders>
              <w:bottom w:val="single" w:sz="8" w:color="403C3C"/>
            </w:tcBorders>
          </w:tcPr>
          <w:p>
            <w:pPr>
              <w:spacing w:after="0"/>
              <w:rPr>
                <w:sz w:val="4"/>
                <w:szCs w:val="4"/>
                <w:color w:val="auto"/>
              </w:rPr>
            </w:pPr>
          </w:p>
        </w:tc>
        <w:tc>
          <w:tcPr>
            <w:tcW w:w="640" w:type="dxa"/>
            <w:vAlign w:val="bottom"/>
            <w:tcBorders>
              <w:bottom w:val="single" w:sz="8" w:color="403C3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 in thousands)</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center"/>
              <w:ind w:right="60"/>
              <w:spacing w:after="0"/>
              <w:rPr>
                <w:sz w:val="20"/>
                <w:szCs w:val="20"/>
                <w:color w:val="auto"/>
              </w:rPr>
            </w:pPr>
            <w:r>
              <w:rPr>
                <w:rFonts w:ascii="Times New Roman" w:cs="Times New Roman" w:eastAsia="Times New Roman" w:hAnsi="Times New Roman"/>
                <w:sz w:val="15"/>
                <w:szCs w:val="15"/>
                <w:color w:val="auto"/>
              </w:rPr>
              <w:t>TeleYision</w:t>
            </w:r>
          </w:p>
        </w:tc>
        <w:tc>
          <w:tcPr>
            <w:tcW w:w="140" w:type="dxa"/>
            <w:vAlign w:val="bottom"/>
          </w:tcPr>
          <w:p>
            <w:pPr>
              <w:spacing w:after="0"/>
              <w:rPr>
                <w:sz w:val="15"/>
                <w:szCs w:val="15"/>
                <w:color w:val="auto"/>
              </w:rPr>
            </w:pPr>
          </w:p>
        </w:tc>
        <w:tc>
          <w:tcPr>
            <w:tcW w:w="1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5"/>
                <w:szCs w:val="15"/>
                <w:color w:val="auto"/>
              </w:rPr>
              <w:t>Manufacturing</w:t>
            </w: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0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68"/>
        </w:trPr>
        <w:tc>
          <w:tcPr>
            <w:tcW w:w="174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4"/>
          </w:tcPr>
          <w:p>
            <w:pPr>
              <w:jc w:val="right"/>
              <w:ind w:right="100"/>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1060" w:type="dxa"/>
            <w:vAlign w:val="bottom"/>
            <w:gridSpan w:val="3"/>
          </w:tcPr>
          <w:p>
            <w:pPr>
              <w:jc w:val="center"/>
              <w:spacing w:after="0" w:line="168" w:lineRule="exact"/>
              <w:rPr>
                <w:sz w:val="20"/>
                <w:szCs w:val="20"/>
                <w:color w:val="auto"/>
              </w:rPr>
            </w:pPr>
            <w:r>
              <w:rPr>
                <w:rFonts w:ascii="Times New Roman" w:cs="Times New Roman" w:eastAsia="Times New Roman" w:hAnsi="Times New Roman"/>
                <w:sz w:val="15"/>
                <w:szCs w:val="15"/>
                <w:color w:val="auto"/>
              </w:rPr>
              <w:t>Broadcasting</w:t>
            </w:r>
          </w:p>
        </w:tc>
        <w:tc>
          <w:tcPr>
            <w:tcW w:w="14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gridSpan w:val="2"/>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Healthcare</w:t>
            </w:r>
          </w:p>
        </w:tc>
        <w:tc>
          <w:tcPr>
            <w:tcW w:w="80" w:type="dxa"/>
            <w:vAlign w:val="bottom"/>
          </w:tcPr>
          <w:p>
            <w:pPr>
              <w:spacing w:after="0"/>
              <w:rPr>
                <w:sz w:val="14"/>
                <w:szCs w:val="14"/>
                <w:color w:val="auto"/>
              </w:rPr>
            </w:pPr>
          </w:p>
        </w:tc>
        <w:tc>
          <w:tcPr>
            <w:tcW w:w="920" w:type="dxa"/>
            <w:vAlign w:val="bottom"/>
            <w:gridSpan w:val="6"/>
          </w:tcPr>
          <w:p>
            <w:pPr>
              <w:jc w:val="right"/>
              <w:ind w:right="20"/>
              <w:spacing w:after="0" w:line="168" w:lineRule="exact"/>
              <w:rPr>
                <w:sz w:val="20"/>
                <w:szCs w:val="20"/>
                <w:color w:val="auto"/>
              </w:rPr>
            </w:pPr>
            <w:r>
              <w:rPr>
                <w:rFonts w:ascii="Times New Roman" w:cs="Times New Roman" w:eastAsia="Times New Roman" w:hAnsi="Times New Roman"/>
                <w:sz w:val="15"/>
                <w:szCs w:val="15"/>
                <w:color w:val="auto"/>
              </w:rPr>
              <w:t>AutomotiYe</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gridSpan w:val="5"/>
          </w:tcPr>
          <w:p>
            <w:pPr>
              <w:jc w:val="right"/>
              <w:ind w:right="100"/>
              <w:spacing w:after="0" w:line="168" w:lineRule="exact"/>
              <w:rPr>
                <w:sz w:val="20"/>
                <w:szCs w:val="20"/>
                <w:color w:val="auto"/>
              </w:rPr>
            </w:pPr>
            <w:r>
              <w:rPr>
                <w:rFonts w:ascii="Times New Roman" w:cs="Times New Roman" w:eastAsia="Times New Roman" w:hAnsi="Times New Roman"/>
                <w:sz w:val="15"/>
                <w:szCs w:val="15"/>
                <w:color w:val="auto"/>
              </w:rPr>
              <w:t>Segments</w:t>
            </w:r>
          </w:p>
        </w:tc>
        <w:tc>
          <w:tcPr>
            <w:tcW w:w="0" w:type="dxa"/>
            <w:vAlign w:val="bottom"/>
          </w:tcPr>
          <w:p>
            <w:pPr>
              <w:spacing w:after="0"/>
              <w:rPr>
                <w:sz w:val="1"/>
                <w:szCs w:val="1"/>
                <w:color w:val="auto"/>
              </w:rPr>
            </w:pPr>
          </w:p>
        </w:tc>
      </w:tr>
      <w:tr>
        <w:trPr>
          <w:trHeight w:val="34"/>
        </w:trPr>
        <w:tc>
          <w:tcPr>
            <w:tcW w:w="920" w:type="dxa"/>
            <w:vAlign w:val="bottom"/>
            <w:tcBorders>
              <w:bottom w:val="single" w:sz="8" w:color="403C3C"/>
            </w:tcBorders>
          </w:tcPr>
          <w:p>
            <w:pPr>
              <w:spacing w:after="0"/>
              <w:rPr>
                <w:sz w:val="2"/>
                <w:szCs w:val="2"/>
                <w:color w:val="auto"/>
              </w:rPr>
            </w:pPr>
          </w:p>
        </w:tc>
        <w:tc>
          <w:tcPr>
            <w:tcW w:w="82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403C3C"/>
            </w:tcBorders>
          </w:tcPr>
          <w:p>
            <w:pPr>
              <w:spacing w:after="0"/>
              <w:rPr>
                <w:sz w:val="2"/>
                <w:szCs w:val="2"/>
                <w:color w:val="auto"/>
              </w:rPr>
            </w:pPr>
          </w:p>
        </w:tc>
        <w:tc>
          <w:tcPr>
            <w:tcW w:w="60" w:type="dxa"/>
            <w:vAlign w:val="bottom"/>
            <w:tcBorders>
              <w:bottom w:val="single" w:sz="8" w:color="403C3C"/>
            </w:tcBorders>
          </w:tcPr>
          <w:p>
            <w:pPr>
              <w:spacing w:after="0"/>
              <w:rPr>
                <w:sz w:val="2"/>
                <w:szCs w:val="2"/>
                <w:color w:val="auto"/>
              </w:rPr>
            </w:pPr>
          </w:p>
        </w:tc>
        <w:tc>
          <w:tcPr>
            <w:tcW w:w="580" w:type="dxa"/>
            <w:vAlign w:val="bottom"/>
            <w:tcBorders>
              <w:bottom w:val="single" w:sz="8" w:color="403C3C"/>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403C3C"/>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Borders>
              <w:bottom w:val="single" w:sz="8" w:color="403C3C"/>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403C3C"/>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403C3C"/>
            </w:tcBorders>
          </w:tcPr>
          <w:p>
            <w:pPr>
              <w:spacing w:after="0"/>
              <w:rPr>
                <w:sz w:val="2"/>
                <w:szCs w:val="2"/>
                <w:color w:val="auto"/>
              </w:rPr>
            </w:pPr>
          </w:p>
        </w:tc>
        <w:tc>
          <w:tcPr>
            <w:tcW w:w="100" w:type="dxa"/>
            <w:vAlign w:val="bottom"/>
            <w:tcBorders>
              <w:bottom w:val="single" w:sz="8" w:color="403C3C"/>
            </w:tcBorders>
          </w:tcPr>
          <w:p>
            <w:pPr>
              <w:spacing w:after="0"/>
              <w:rPr>
                <w:sz w:val="2"/>
                <w:szCs w:val="2"/>
                <w:color w:val="auto"/>
              </w:rPr>
            </w:pPr>
          </w:p>
        </w:tc>
        <w:tc>
          <w:tcPr>
            <w:tcW w:w="20" w:type="dxa"/>
            <w:vAlign w:val="bottom"/>
            <w:tcBorders>
              <w:bottom w:val="single" w:sz="8" w:color="403C3C"/>
            </w:tcBorders>
          </w:tcPr>
          <w:p>
            <w:pPr>
              <w:spacing w:after="0"/>
              <w:rPr>
                <w:sz w:val="2"/>
                <w:szCs w:val="2"/>
                <w:color w:val="auto"/>
              </w:rPr>
            </w:pPr>
          </w:p>
        </w:tc>
        <w:tc>
          <w:tcPr>
            <w:tcW w:w="620" w:type="dxa"/>
            <w:vAlign w:val="bottom"/>
            <w:tcBorders>
              <w:bottom w:val="single" w:sz="8" w:color="403C3C"/>
            </w:tcBorders>
          </w:tcPr>
          <w:p>
            <w:pPr>
              <w:spacing w:after="0"/>
              <w:rPr>
                <w:sz w:val="2"/>
                <w:szCs w:val="2"/>
                <w:color w:val="auto"/>
              </w:rPr>
            </w:pPr>
          </w:p>
        </w:tc>
        <w:tc>
          <w:tcPr>
            <w:tcW w:w="40" w:type="dxa"/>
            <w:vAlign w:val="bottom"/>
            <w:tcBorders>
              <w:bottom w:val="single" w:sz="8" w:color="403C3C"/>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gridSpan w:val="2"/>
          </w:tcPr>
          <w:p>
            <w:pPr>
              <w:spacing w:after="0"/>
              <w:rPr>
                <w:sz w:val="2"/>
                <w:szCs w:val="2"/>
                <w:color w:val="auto"/>
              </w:rPr>
            </w:pPr>
          </w:p>
        </w:tc>
        <w:tc>
          <w:tcPr>
            <w:tcW w:w="60" w:type="dxa"/>
            <w:vAlign w:val="bottom"/>
            <w:tcBorders>
              <w:bottom w:val="single" w:sz="8" w:color="403C3C"/>
            </w:tcBorders>
          </w:tcPr>
          <w:p>
            <w:pPr>
              <w:spacing w:after="0"/>
              <w:rPr>
                <w:sz w:val="2"/>
                <w:szCs w:val="2"/>
                <w:color w:val="auto"/>
              </w:rPr>
            </w:pPr>
          </w:p>
        </w:tc>
        <w:tc>
          <w:tcPr>
            <w:tcW w:w="640" w:type="dxa"/>
            <w:vAlign w:val="bottom"/>
            <w:tcBorders>
              <w:bottom w:val="single" w:sz="8" w:color="403C3C"/>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xml:space="preserve">Operating ReYenues  </w:t>
            </w:r>
            <w:r>
              <w:rPr>
                <w:rFonts w:ascii="Arial" w:cs="Arial" w:eastAsia="Arial" w:hAnsi="Arial"/>
                <w:sz w:val="18"/>
                <w:szCs w:val="18"/>
                <w:color w:val="auto"/>
              </w:rPr>
              <w:t>. ..</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700" w:type="dxa"/>
            <w:vAlign w:val="bottom"/>
          </w:tcPr>
          <w:p>
            <w:pPr>
              <w:spacing w:after="0"/>
              <w:rPr>
                <w:sz w:val="20"/>
                <w:szCs w:val="20"/>
                <w:color w:val="auto"/>
              </w:rPr>
            </w:pPr>
            <w:r>
              <w:rPr>
                <w:rFonts w:ascii="Arial" w:cs="Arial" w:eastAsia="Arial" w:hAnsi="Arial"/>
                <w:sz w:val="18"/>
                <w:szCs w:val="18"/>
                <w:color w:val="auto"/>
              </w:rPr>
              <w:t>. .. . .....</w:t>
            </w:r>
          </w:p>
        </w:tc>
        <w:tc>
          <w:tcPr>
            <w:tcW w:w="320" w:type="dxa"/>
            <w:vAlign w:val="bottom"/>
            <w:gridSpan w:val="3"/>
          </w:tcPr>
          <w:p>
            <w:pPr>
              <w:spacing w:after="0"/>
              <w:rPr>
                <w:sz w:val="20"/>
                <w:szCs w:val="20"/>
                <w:color w:val="auto"/>
              </w:rPr>
            </w:pPr>
            <w:r>
              <w:rPr>
                <w:rFonts w:ascii="Arial" w:cs="Arial" w:eastAsia="Arial" w:hAnsi="Arial"/>
                <w:sz w:val="7"/>
                <w:szCs w:val="7"/>
                <w:color w:val="auto"/>
              </w:rPr>
              <w:t>'</w:t>
            </w:r>
            <w:r>
              <w:rPr>
                <w:rFonts w:ascii="Times New Roman" w:cs="Times New Roman" w:eastAsia="Times New Roman" w:hAnsi="Times New Roman"/>
                <w:sz w:val="15"/>
                <w:szCs w:val="15"/>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9"/>
              </w:rPr>
              <w:t>1,587,581</w:t>
            </w:r>
          </w:p>
        </w:tc>
        <w:tc>
          <w:tcPr>
            <w:tcW w:w="100" w:type="dxa"/>
            <w:vAlign w:val="bottom"/>
          </w:tcPr>
          <w:p>
            <w:pPr>
              <w:spacing w:after="0"/>
              <w:rPr>
                <w:sz w:val="20"/>
                <w:szCs w:val="20"/>
                <w:color w:val="auto"/>
              </w:rPr>
            </w:pPr>
          </w:p>
        </w:tc>
        <w:tc>
          <w:tcPr>
            <w:tcW w:w="10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$472,436</w:t>
            </w:r>
          </w:p>
        </w:tc>
        <w:tc>
          <w:tcPr>
            <w:tcW w:w="40" w:type="dxa"/>
            <w:vAlign w:val="bottom"/>
          </w:tcPr>
          <w:p>
            <w:pPr>
              <w:spacing w:after="0"/>
              <w:rPr>
                <w:sz w:val="20"/>
                <w:szCs w:val="20"/>
                <w:color w:val="auto"/>
              </w:rPr>
            </w:pP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$447,910</w:t>
            </w:r>
          </w:p>
        </w:tc>
        <w:tc>
          <w:tcPr>
            <w:tcW w:w="100" w:type="dxa"/>
            <w:vAlign w:val="bottom"/>
          </w:tcPr>
          <w:p>
            <w:pPr>
              <w:spacing w:after="0"/>
              <w:rPr>
                <w:sz w:val="20"/>
                <w:szCs w:val="20"/>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$459,48 1</w:t>
            </w: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w w:val="99"/>
              </w:rPr>
              <w:t>1,079,893</w:t>
            </w:r>
          </w:p>
        </w:tc>
        <w:tc>
          <w:tcPr>
            <w:tcW w:w="40" w:type="dxa"/>
            <w:vAlign w:val="bottom"/>
          </w:tcPr>
          <w:p>
            <w:pPr>
              <w:spacing w:after="0"/>
              <w:rPr>
                <w:sz w:val="20"/>
                <w:szCs w:val="20"/>
                <w:color w:val="auto"/>
              </w:rPr>
            </w:pPr>
          </w:p>
        </w:tc>
        <w:tc>
          <w:tcPr>
            <w:tcW w:w="920" w:type="dxa"/>
            <w:vAlign w:val="bottom"/>
            <w:gridSpan w:val="6"/>
          </w:tcPr>
          <w:p>
            <w:pPr>
              <w:jc w:val="right"/>
              <w:ind w:right="20"/>
              <w:spacing w:after="0"/>
              <w:rPr>
                <w:sz w:val="20"/>
                <w:szCs w:val="20"/>
                <w:color w:val="auto"/>
              </w:rPr>
            </w:pPr>
            <w:r>
              <w:rPr>
                <w:rFonts w:ascii="Times New Roman" w:cs="Times New Roman" w:eastAsia="Times New Roman" w:hAnsi="Times New Roman"/>
                <w:sz w:val="15"/>
                <w:szCs w:val="15"/>
                <w:color w:val="auto"/>
              </w:rPr>
              <w:t>$4,047,301</w:t>
            </w: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1740" w:type="dxa"/>
            <w:vAlign w:val="bottom"/>
            <w:gridSpan w:val="3"/>
          </w:tcPr>
          <w:p>
            <w:pPr>
              <w:spacing w:after="0"/>
              <w:rPr>
                <w:sz w:val="20"/>
                <w:szCs w:val="20"/>
                <w:color w:val="auto"/>
              </w:rPr>
            </w:pPr>
            <w:r>
              <w:rPr>
                <w:rFonts w:ascii="Times New Roman" w:cs="Times New Roman" w:eastAsia="Times New Roman" w:hAnsi="Times New Roman"/>
                <w:sz w:val="15"/>
                <w:szCs w:val="15"/>
                <w:i w:val="1"/>
                <w:iCs w:val="1"/>
                <w:color w:val="auto"/>
              </w:rPr>
              <w:t>Reconciliation ofRevenue</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940" w:type="dxa"/>
            <w:vAlign w:val="bottom"/>
            <w:gridSpan w:val="6"/>
          </w:tcPr>
          <w:p>
            <w:pPr>
              <w:ind w:left="320"/>
              <w:spacing w:after="0"/>
              <w:rPr>
                <w:sz w:val="20"/>
                <w:szCs w:val="20"/>
                <w:color w:val="auto"/>
              </w:rPr>
            </w:pPr>
            <w:r>
              <w:rPr>
                <w:rFonts w:ascii="Times New Roman" w:cs="Times New Roman" w:eastAsia="Times New Roman" w:hAnsi="Times New Roman"/>
                <w:sz w:val="15"/>
                <w:szCs w:val="15"/>
                <w:color w:val="auto"/>
              </w:rPr>
              <w:t>Other Bus inesses and Corporate Oftlce</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74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 xml:space="preserve">ReYem1es </w:t>
            </w:r>
            <w:r>
              <w:rPr>
                <w:rFonts w:ascii="Times New Roman" w:cs="Times New Roman" w:eastAsia="Times New Roman" w:hAnsi="Times New Roman"/>
                <w:sz w:val="10"/>
                <w:szCs w:val="10"/>
                <w:color w:val="auto"/>
              </w:rPr>
              <w:t>( I)  ..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 . .  ..</w:t>
            </w:r>
          </w:p>
        </w:tc>
        <w:tc>
          <w:tcPr>
            <w:tcW w:w="700" w:type="dxa"/>
            <w:vAlign w:val="bottom"/>
          </w:tcPr>
          <w:p>
            <w:pPr>
              <w:spacing w:after="0"/>
              <w:rPr>
                <w:sz w:val="20"/>
                <w:szCs w:val="20"/>
                <w:color w:val="auto"/>
              </w:rPr>
            </w:pPr>
            <w:r>
              <w:rPr>
                <w:rFonts w:ascii="Times New Roman" w:cs="Times New Roman" w:eastAsia="Times New Roman" w:hAnsi="Times New Roman"/>
                <w:sz w:val="10"/>
                <w:szCs w:val="10"/>
                <w:color w:val="auto"/>
              </w:rPr>
              <w:t>. ..  . .. .  ..</w:t>
            </w:r>
          </w:p>
        </w:tc>
        <w:tc>
          <w:tcPr>
            <w:tcW w:w="140" w:type="dxa"/>
            <w:vAlign w:val="bottom"/>
          </w:tcPr>
          <w:p>
            <w:pPr>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37 1.233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 xml:space="preserve">l nterscgmcnt Elimination  </w:t>
            </w:r>
            <w:r>
              <w:rPr>
                <w:rFonts w:ascii="Arial" w:cs="Arial" w:eastAsia="Arial" w:hAnsi="Arial"/>
                <w:sz w:val="18"/>
                <w:szCs w:val="18"/>
                <w:color w:val="auto"/>
              </w:rPr>
              <w:t>..</w:t>
            </w:r>
          </w:p>
        </w:tc>
        <w:tc>
          <w:tcPr>
            <w:tcW w:w="700" w:type="dxa"/>
            <w:vAlign w:val="bottom"/>
          </w:tcPr>
          <w:p>
            <w:pPr>
              <w:spacing w:after="0"/>
              <w:rPr>
                <w:sz w:val="20"/>
                <w:szCs w:val="20"/>
                <w:color w:val="auto"/>
              </w:rPr>
            </w:pPr>
            <w:r>
              <w:rPr>
                <w:rFonts w:ascii="Arial" w:cs="Arial" w:eastAsia="Arial" w:hAnsi="Arial"/>
                <w:sz w:val="18"/>
                <w:szCs w:val="18"/>
                <w:color w:val="auto"/>
                <w:w w:val="96"/>
              </w:rPr>
              <w:t>. .. . ..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(3,657)</w:t>
            </w:r>
          </w:p>
        </w:tc>
        <w:tc>
          <w:tcPr>
            <w:tcW w:w="0" w:type="dxa"/>
            <w:vAlign w:val="bottom"/>
          </w:tcPr>
          <w:p>
            <w:pPr>
              <w:spacing w:after="0"/>
              <w:rPr>
                <w:sz w:val="1"/>
                <w:szCs w:val="1"/>
                <w:color w:val="auto"/>
              </w:rPr>
            </w:pPr>
          </w:p>
        </w:tc>
      </w:tr>
      <w:tr>
        <w:trPr>
          <w:trHeight w:val="36"/>
        </w:trPr>
        <w:tc>
          <w:tcPr>
            <w:tcW w:w="2240" w:type="dxa"/>
            <w:vAlign w:val="bottom"/>
            <w:gridSpan w:val="5"/>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640" w:type="dxa"/>
            <w:vAlign w:val="bottom"/>
            <w:tcBorders>
              <w:bottom w:val="single" w:sz="8" w:color="4C4C4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9"/>
        </w:trPr>
        <w:tc>
          <w:tcPr>
            <w:tcW w:w="22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Total Consolida ted Revenues ...</w:t>
            </w: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xml:space="preserve">·· • ·· </w:t>
            </w:r>
            <w:r>
              <w:rPr>
                <w:rFonts w:ascii="Arial" w:cs="Arial" w:eastAsia="Arial" w:hAnsi="Arial"/>
                <w:sz w:val="13"/>
                <w:szCs w:val="13"/>
                <w:color w:val="auto"/>
              </w:rPr>
              <w:t>...</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gridSpan w:val="5"/>
          </w:tcPr>
          <w:p>
            <w:pPr>
              <w:jc w:val="right"/>
              <w:spacing w:after="0"/>
              <w:rPr>
                <w:sz w:val="20"/>
                <w:szCs w:val="20"/>
                <w:color w:val="auto"/>
              </w:rPr>
            </w:pPr>
            <w:r>
              <w:rPr>
                <w:rFonts w:ascii="Times New Roman" w:cs="Times New Roman" w:eastAsia="Times New Roman" w:hAnsi="Times New Roman"/>
                <w:sz w:val="15"/>
                <w:szCs w:val="15"/>
                <w:color w:val="auto"/>
              </w:rPr>
              <w:t>$4,4 14,877</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1900" w:type="dxa"/>
            <w:vAlign w:val="bottom"/>
            <w:gridSpan w:val="4"/>
            <w:vMerge w:val="restart"/>
          </w:tcPr>
          <w:p>
            <w:pPr>
              <w:spacing w:after="0"/>
              <w:rPr>
                <w:sz w:val="20"/>
                <w:szCs w:val="20"/>
                <w:color w:val="auto"/>
              </w:rPr>
            </w:pPr>
            <w:r>
              <w:rPr>
                <w:rFonts w:ascii="Times New Roman" w:cs="Times New Roman" w:eastAsia="Times New Roman" w:hAnsi="Times New Roman"/>
                <w:sz w:val="15"/>
                <w:szCs w:val="15"/>
                <w:i w:val="1"/>
                <w:iCs w:val="1"/>
                <w:color w:val="auto"/>
              </w:rPr>
              <w:t>Less: Significant Expenses t2J</w:t>
            </w: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4C4C4C"/>
            </w:tcBorders>
          </w:tcPr>
          <w:p>
            <w:pPr>
              <w:spacing w:after="0"/>
              <w:rPr>
                <w:sz w:val="2"/>
                <w:szCs w:val="2"/>
                <w:color w:val="auto"/>
              </w:rPr>
            </w:pPr>
          </w:p>
        </w:tc>
        <w:tc>
          <w:tcPr>
            <w:tcW w:w="640" w:type="dxa"/>
            <w:vAlign w:val="bottom"/>
            <w:tcBorders>
              <w:bottom w:val="single" w:sz="8" w:color="4C4C4C"/>
            </w:tcBorders>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0"/>
        </w:trPr>
        <w:tc>
          <w:tcPr>
            <w:tcW w:w="1900" w:type="dxa"/>
            <w:vAlign w:val="bottom"/>
            <w:gridSpan w:val="4"/>
            <w:vMerge w:val="continue"/>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 xml:space="preserve">Cost of Revenue </w:t>
            </w:r>
            <w:r>
              <w:rPr>
                <w:rFonts w:ascii="Times New Roman" w:cs="Times New Roman" w:eastAsia="Times New Roman" w:hAnsi="Times New Roman"/>
                <w:sz w:val="9"/>
                <w:szCs w:val="9"/>
                <w:color w:val="auto"/>
              </w:rPr>
              <w:t>(3)</w:t>
            </w:r>
            <w:r>
              <w:rPr>
                <w:rFonts w:ascii="Times New Roman" w:cs="Times New Roman" w:eastAsia="Times New Roman" w:hAnsi="Times New Roman"/>
                <w:sz w:val="15"/>
                <w:szCs w:val="15"/>
                <w:color w:val="auto"/>
              </w:rPr>
              <w:t xml:space="preserve">   </w:t>
            </w: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w w:val="93"/>
              </w:rPr>
              <w:t>. .. . ..</w:t>
            </w:r>
          </w:p>
        </w:tc>
        <w:tc>
          <w:tcPr>
            <w:tcW w:w="700" w:type="dxa"/>
            <w:vAlign w:val="bottom"/>
          </w:tcPr>
          <w:p>
            <w:pPr>
              <w:spacing w:after="0"/>
              <w:rPr>
                <w:sz w:val="20"/>
                <w:szCs w:val="20"/>
                <w:color w:val="auto"/>
              </w:rPr>
            </w:pPr>
            <w:r>
              <w:rPr>
                <w:rFonts w:ascii="Arial" w:cs="Arial" w:eastAsia="Arial" w:hAnsi="Arial"/>
                <w:sz w:val="18"/>
                <w:szCs w:val="18"/>
                <w:color w:val="auto"/>
                <w:w w:val="96"/>
              </w:rPr>
              <w:t>. .. . ..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623,731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323,906</w:t>
            </w:r>
          </w:p>
        </w:tc>
        <w:tc>
          <w:tcPr>
            <w:tcW w:w="10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257,639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913,790</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7"/>
              </w:rPr>
              <w:t>2, 119,066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5"/>
                <w:szCs w:val="15"/>
                <w:color w:val="auto"/>
              </w:rPr>
              <w:t>Payroll and Fringe Benefits</w:t>
            </w: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3260" w:type="dxa"/>
            <w:vAlign w:val="bottom"/>
            <w:gridSpan w:val="9"/>
          </w:tcPr>
          <w:p>
            <w:pPr>
              <w:ind w:left="480"/>
              <w:spacing w:after="0"/>
              <w:rPr>
                <w:sz w:val="20"/>
                <w:szCs w:val="20"/>
                <w:color w:val="auto"/>
              </w:rPr>
            </w:pPr>
            <w:r>
              <w:rPr>
                <w:rFonts w:ascii="Times New Roman" w:cs="Times New Roman" w:eastAsia="Times New Roman" w:hAnsi="Times New Roman"/>
                <w:sz w:val="15"/>
                <w:szCs w:val="15"/>
                <w:color w:val="auto"/>
              </w:rPr>
              <w:t xml:space="preserve">Expense </w:t>
            </w:r>
            <w:r>
              <w:rPr>
                <w:rFonts w:ascii="Times New Roman" w:cs="Times New Roman" w:eastAsia="Times New Roman" w:hAnsi="Times New Roman"/>
                <w:sz w:val="10"/>
                <w:szCs w:val="10"/>
                <w:color w:val="auto"/>
              </w:rPr>
              <w:t>14)  •••  . ••  . •• • ••  . •• • •• • •• •</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432,730</w:t>
            </w:r>
          </w:p>
        </w:tc>
        <w:tc>
          <w:tcPr>
            <w:tcW w:w="102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119.311</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75.018</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627.059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gridSpan w:val="3"/>
          </w:tcPr>
          <w:p>
            <w:pPr>
              <w:ind w:left="320"/>
              <w:spacing w:after="0"/>
              <w:rPr>
                <w:sz w:val="20"/>
                <w:szCs w:val="20"/>
                <w:color w:val="auto"/>
              </w:rPr>
            </w:pPr>
            <w:r>
              <w:rPr>
                <w:rFonts w:ascii="Times New Roman" w:cs="Times New Roman" w:eastAsia="Times New Roman" w:hAnsi="Times New Roman"/>
                <w:sz w:val="15"/>
                <w:szCs w:val="15"/>
                <w:color w:val="auto"/>
              </w:rPr>
              <w:t>Occupancy Expense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112,230</w:t>
            </w: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6.562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11 8.792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gridSpan w:val="6"/>
          </w:tcPr>
          <w:p>
            <w:pPr>
              <w:ind w:left="320"/>
              <w:spacing w:after="0"/>
              <w:rPr>
                <w:sz w:val="20"/>
                <w:szCs w:val="20"/>
                <w:color w:val="auto"/>
              </w:rPr>
            </w:pPr>
            <w:r>
              <w:rPr>
                <w:rFonts w:ascii="Times New Roman" w:cs="Times New Roman" w:eastAsia="Times New Roman" w:hAnsi="Times New Roman"/>
                <w:sz w:val="15"/>
                <w:szCs w:val="15"/>
                <w:color w:val="auto"/>
              </w:rPr>
              <w:t>Advertising and Marketing Expense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64,427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64,427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gridSpan w:val="6"/>
          </w:tcPr>
          <w:p>
            <w:pPr>
              <w:ind w:left="320"/>
              <w:spacing w:after="0"/>
              <w:rPr>
                <w:sz w:val="20"/>
                <w:szCs w:val="20"/>
                <w:color w:val="auto"/>
              </w:rPr>
            </w:pPr>
            <w:r>
              <w:rPr>
                <w:rFonts w:ascii="Times New Roman" w:cs="Times New Roman" w:eastAsia="Times New Roman" w:hAnsi="Times New Roman"/>
                <w:sz w:val="15"/>
                <w:szCs w:val="15"/>
                <w:color w:val="auto"/>
              </w:rPr>
              <w:t>Networking and Programming</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gridSpan w:val="3"/>
          </w:tcPr>
          <w:p>
            <w:pPr>
              <w:ind w:left="480"/>
              <w:spacing w:after="0"/>
              <w:rPr>
                <w:sz w:val="20"/>
                <w:szCs w:val="20"/>
                <w:color w:val="auto"/>
              </w:rPr>
            </w:pPr>
            <w:r>
              <w:rPr>
                <w:rFonts w:ascii="Times New Roman" w:cs="Times New Roman" w:eastAsia="Times New Roman" w:hAnsi="Times New Roman"/>
                <w:sz w:val="15"/>
                <w:szCs w:val="15"/>
                <w:color w:val="auto"/>
              </w:rPr>
              <w:t>Expense  .....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129,827</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129,827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900" w:type="dxa"/>
            <w:vAlign w:val="bottom"/>
            <w:gridSpan w:val="4"/>
          </w:tcPr>
          <w:p>
            <w:pPr>
              <w:ind w:left="320"/>
              <w:spacing w:after="0"/>
              <w:rPr>
                <w:sz w:val="20"/>
                <w:szCs w:val="20"/>
                <w:color w:val="auto"/>
              </w:rPr>
            </w:pPr>
            <w:r>
              <w:rPr>
                <w:rFonts w:ascii="Times New Roman" w:cs="Times New Roman" w:eastAsia="Times New Roman" w:hAnsi="Times New Roman"/>
                <w:sz w:val="15"/>
                <w:szCs w:val="15"/>
                <w:color w:val="auto"/>
                <w:w w:val="96"/>
              </w:rPr>
              <w:t xml:space="preserve">Management Services </w:t>
            </w:r>
            <w:r>
              <w:rPr>
                <w:rFonts w:ascii="Arial" w:cs="Arial" w:eastAsia="Arial" w:hAnsi="Arial"/>
                <w:sz w:val="14"/>
                <w:szCs w:val="14"/>
                <w:color w:val="auto"/>
                <w:w w:val="96"/>
              </w:rPr>
              <w:t>&lt;S&gt;</w:t>
            </w:r>
          </w:p>
        </w:tc>
        <w:tc>
          <w:tcPr>
            <w:tcW w:w="340" w:type="dxa"/>
            <w:vAlign w:val="bottom"/>
          </w:tcPr>
          <w:p>
            <w:pPr>
              <w:jc w:val="right"/>
              <w:spacing w:after="0"/>
              <w:rPr>
                <w:sz w:val="20"/>
                <w:szCs w:val="20"/>
                <w:color w:val="auto"/>
              </w:rPr>
            </w:pPr>
            <w:r>
              <w:rPr>
                <w:rFonts w:ascii="Arial" w:cs="Arial" w:eastAsia="Arial" w:hAnsi="Arial"/>
                <w:sz w:val="14"/>
                <w:szCs w:val="14"/>
                <w:color w:val="auto"/>
              </w:rPr>
              <w:t>• ••</w:t>
            </w:r>
          </w:p>
        </w:tc>
        <w:tc>
          <w:tcPr>
            <w:tcW w:w="700" w:type="dxa"/>
            <w:vAlign w:val="bottom"/>
          </w:tcPr>
          <w:p>
            <w:pPr>
              <w:spacing w:after="0"/>
              <w:rPr>
                <w:sz w:val="20"/>
                <w:szCs w:val="20"/>
                <w:color w:val="auto"/>
              </w:rPr>
            </w:pPr>
            <w:r>
              <w:rPr>
                <w:rFonts w:ascii="Arial" w:cs="Arial" w:eastAsia="Arial" w:hAnsi="Arial"/>
                <w:sz w:val="14"/>
                <w:szCs w:val="14"/>
                <w:color w:val="auto"/>
              </w:rPr>
              <w:t>. •• • •• • ••</w:t>
            </w:r>
          </w:p>
        </w:tc>
        <w:tc>
          <w:tcPr>
            <w:tcW w:w="320" w:type="dxa"/>
            <w:vAlign w:val="bottom"/>
            <w:gridSpan w:val="3"/>
          </w:tcPr>
          <w:p>
            <w:pPr>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7,3 12</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900" w:type="dxa"/>
            <w:vAlign w:val="bottom"/>
            <w:gridSpan w:val="4"/>
          </w:tcPr>
          <w:p>
            <w:pPr>
              <w:ind w:left="320"/>
              <w:spacing w:after="0" w:line="169" w:lineRule="exact"/>
              <w:rPr>
                <w:sz w:val="20"/>
                <w:szCs w:val="20"/>
                <w:color w:val="auto"/>
              </w:rPr>
            </w:pPr>
            <w:r>
              <w:rPr>
                <w:rFonts w:ascii="Times New Roman" w:cs="Times New Roman" w:eastAsia="Times New Roman" w:hAnsi="Times New Roman"/>
                <w:sz w:val="15"/>
                <w:szCs w:val="15"/>
                <w:color w:val="auto"/>
              </w:rPr>
              <w:t xml:space="preserve">Other Segment Items </w:t>
            </w:r>
            <w:r>
              <w:rPr>
                <w:rFonts w:ascii="Arial" w:cs="Arial" w:eastAsia="Arial" w:hAnsi="Arial"/>
                <w:sz w:val="14"/>
                <w:szCs w:val="14"/>
                <w:color w:val="auto"/>
              </w:rPr>
              <w:t>&lt;6&gt;</w:t>
            </w:r>
          </w:p>
        </w:tc>
        <w:tc>
          <w:tcPr>
            <w:tcW w:w="340" w:type="dxa"/>
            <w:vAlign w:val="bottom"/>
          </w:tcPr>
          <w:p>
            <w:pPr>
              <w:jc w:val="right"/>
              <w:spacing w:after="0"/>
              <w:rPr>
                <w:sz w:val="20"/>
                <w:szCs w:val="20"/>
                <w:color w:val="auto"/>
              </w:rPr>
            </w:pPr>
            <w:r>
              <w:rPr>
                <w:rFonts w:ascii="Arial" w:cs="Arial" w:eastAsia="Arial" w:hAnsi="Arial"/>
                <w:sz w:val="14"/>
                <w:szCs w:val="14"/>
                <w:color w:val="auto"/>
                <w:w w:val="87"/>
              </w:rPr>
              <w:t>• • ••</w:t>
            </w:r>
          </w:p>
        </w:tc>
        <w:tc>
          <w:tcPr>
            <w:tcW w:w="700" w:type="dxa"/>
            <w:vAlign w:val="bottom"/>
          </w:tcPr>
          <w:p>
            <w:pPr>
              <w:spacing w:after="0"/>
              <w:rPr>
                <w:sz w:val="20"/>
                <w:szCs w:val="20"/>
                <w:color w:val="auto"/>
              </w:rPr>
            </w:pPr>
            <w:r>
              <w:rPr>
                <w:rFonts w:ascii="Arial" w:cs="Arial" w:eastAsia="Arial" w:hAnsi="Arial"/>
                <w:sz w:val="14"/>
                <w:szCs w:val="14"/>
                <w:color w:val="auto"/>
              </w:rPr>
              <w:t>. •• • •• . ••</w:t>
            </w:r>
          </w:p>
        </w:tc>
        <w:tc>
          <w:tcPr>
            <w:tcW w:w="140" w:type="dxa"/>
            <w:vAlign w:val="bottom"/>
          </w:tcPr>
          <w:p>
            <w:pPr>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188,345</w:t>
            </w:r>
          </w:p>
        </w:tc>
        <w:tc>
          <w:tcPr>
            <w:tcW w:w="100" w:type="dxa"/>
            <w:vAlign w:val="bottom"/>
          </w:tcPr>
          <w:p>
            <w:pPr>
              <w:spacing w:after="0"/>
              <w:rPr>
                <w:sz w:val="14"/>
                <w:szCs w:val="14"/>
                <w:color w:val="auto"/>
              </w:rPr>
            </w:pPr>
          </w:p>
        </w:tc>
        <w:tc>
          <w:tcPr>
            <w:tcW w:w="1020" w:type="dxa"/>
            <w:vAlign w:val="bottom"/>
            <w:gridSpan w:val="2"/>
          </w:tcPr>
          <w:p>
            <w:pPr>
              <w:jc w:val="right"/>
              <w:ind w:right="84"/>
              <w:spacing w:after="0" w:line="169" w:lineRule="exact"/>
              <w:rPr>
                <w:sz w:val="20"/>
                <w:szCs w:val="20"/>
                <w:color w:val="auto"/>
              </w:rPr>
            </w:pPr>
            <w:r>
              <w:rPr>
                <w:rFonts w:ascii="Times New Roman" w:cs="Times New Roman" w:eastAsia="Times New Roman" w:hAnsi="Times New Roman"/>
                <w:sz w:val="15"/>
                <w:szCs w:val="15"/>
                <w:color w:val="auto"/>
              </w:rPr>
              <w:t>68,355</w:t>
            </w:r>
          </w:p>
        </w:tc>
        <w:tc>
          <w:tcPr>
            <w:tcW w:w="40" w:type="dxa"/>
            <w:vAlign w:val="bottom"/>
          </w:tcPr>
          <w:p>
            <w:pPr>
              <w:spacing w:after="0"/>
              <w:rPr>
                <w:sz w:val="14"/>
                <w:szCs w:val="14"/>
                <w:color w:val="auto"/>
              </w:rPr>
            </w:pPr>
          </w:p>
        </w:tc>
        <w:tc>
          <w:tcPr>
            <w:tcW w:w="1200" w:type="dxa"/>
            <w:vAlign w:val="bottom"/>
            <w:gridSpan w:val="2"/>
          </w:tcPr>
          <w:p>
            <w:pPr>
              <w:jc w:val="right"/>
              <w:ind w:right="164"/>
              <w:spacing w:after="0" w:line="169" w:lineRule="exact"/>
              <w:rPr>
                <w:sz w:val="20"/>
                <w:szCs w:val="20"/>
                <w:color w:val="auto"/>
              </w:rPr>
            </w:pPr>
            <w:r>
              <w:rPr>
                <w:rFonts w:ascii="Times New Roman" w:cs="Times New Roman" w:eastAsia="Times New Roman" w:hAnsi="Times New Roman"/>
                <w:sz w:val="15"/>
                <w:szCs w:val="15"/>
                <w:color w:val="auto"/>
              </w:rPr>
              <w:t>66,426</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line="169" w:lineRule="exact"/>
              <w:rPr>
                <w:sz w:val="20"/>
                <w:szCs w:val="20"/>
                <w:color w:val="auto"/>
              </w:rPr>
            </w:pPr>
            <w:r>
              <w:rPr>
                <w:rFonts w:ascii="Times New Roman" w:cs="Times New Roman" w:eastAsia="Times New Roman" w:hAnsi="Times New Roman"/>
                <w:sz w:val="15"/>
                <w:szCs w:val="15"/>
                <w:color w:val="auto"/>
              </w:rPr>
              <w:t>154,764</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32,728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5 10,618</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4A0A4"/>
            </w:tcBorders>
          </w:tcPr>
          <w:p>
            <w:pPr>
              <w:spacing w:after="0"/>
              <w:rPr>
                <w:sz w:val="2"/>
                <w:szCs w:val="2"/>
                <w:color w:val="auto"/>
              </w:rPr>
            </w:pPr>
          </w:p>
        </w:tc>
        <w:tc>
          <w:tcPr>
            <w:tcW w:w="100" w:type="dxa"/>
            <w:vAlign w:val="bottom"/>
            <w:tcBorders>
              <w:bottom w:val="single" w:sz="8" w:color="A4A0A4"/>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160"/>
              <w:spacing w:after="0" w:line="137" w:lineRule="exact"/>
              <w:rPr>
                <w:sz w:val="20"/>
                <w:szCs w:val="20"/>
                <w:color w:val="auto"/>
              </w:rPr>
            </w:pPr>
            <w:r>
              <w:rPr>
                <w:rFonts w:ascii="Times New Roman" w:cs="Times New Roman" w:eastAsia="Times New Roman" w:hAnsi="Times New Roman"/>
                <w:sz w:val="12"/>
                <w:szCs w:val="12"/>
                <w:color w:val="auto"/>
              </w:rPr>
              <w:t>---</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8A8A8"/>
            </w:tcBorders>
          </w:tcPr>
          <w:p>
            <w:pPr>
              <w:spacing w:after="0"/>
              <w:rPr>
                <w:sz w:val="2"/>
                <w:szCs w:val="2"/>
                <w:color w:val="auto"/>
              </w:rPr>
            </w:pPr>
          </w:p>
        </w:tc>
        <w:tc>
          <w:tcPr>
            <w:tcW w:w="40" w:type="dxa"/>
            <w:vAlign w:val="bottom"/>
            <w:tcBorders>
              <w:bottom w:val="single" w:sz="8" w:color="A8A8A8"/>
            </w:tcBorders>
          </w:tcPr>
          <w:p>
            <w:pPr>
              <w:spacing w:after="0"/>
              <w:rPr>
                <w:sz w:val="2"/>
                <w:szCs w:val="2"/>
                <w:color w:val="auto"/>
              </w:rPr>
            </w:pPr>
          </w:p>
        </w:tc>
        <w:tc>
          <w:tcPr>
            <w:tcW w:w="80" w:type="dxa"/>
            <w:vAlign w:val="bottom"/>
            <w:tcBorders>
              <w:bottom w:val="single" w:sz="8" w:color="A8A8A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4A4A4"/>
            </w:tcBorders>
          </w:tcPr>
          <w:p>
            <w:pPr>
              <w:spacing w:after="0"/>
              <w:rPr>
                <w:sz w:val="2"/>
                <w:szCs w:val="2"/>
                <w:color w:val="auto"/>
              </w:rPr>
            </w:pPr>
          </w:p>
        </w:tc>
        <w:tc>
          <w:tcPr>
            <w:tcW w:w="20" w:type="dxa"/>
            <w:vAlign w:val="bottom"/>
            <w:tcBorders>
              <w:bottom w:val="single" w:sz="8" w:color="A4A4A4"/>
            </w:tcBorders>
          </w:tcPr>
          <w:p>
            <w:pPr>
              <w:spacing w:after="0"/>
              <w:rPr>
                <w:sz w:val="2"/>
                <w:szCs w:val="2"/>
                <w:color w:val="auto"/>
              </w:rPr>
            </w:pPr>
          </w:p>
        </w:tc>
        <w:tc>
          <w:tcPr>
            <w:tcW w:w="20" w:type="dxa"/>
            <w:vAlign w:val="bottom"/>
            <w:tcBorders>
              <w:bottom w:val="single" w:sz="8" w:color="A4A4A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83"/>
        </w:trPr>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2940" w:type="dxa"/>
            <w:vAlign w:val="bottom"/>
            <w:gridSpan w:val="6"/>
          </w:tcPr>
          <w:p>
            <w:pPr>
              <w:spacing w:after="0" w:line="149" w:lineRule="exact"/>
              <w:rPr>
                <w:sz w:val="20"/>
                <w:szCs w:val="20"/>
                <w:color w:val="auto"/>
              </w:rPr>
            </w:pPr>
            <w:r>
              <w:rPr>
                <w:rFonts w:ascii="Times New Roman" w:cs="Times New Roman" w:eastAsia="Times New Roman" w:hAnsi="Times New Roman"/>
                <w:sz w:val="15"/>
                <w:szCs w:val="15"/>
                <w:color w:val="auto"/>
              </w:rPr>
              <w:t>EBITDAP ......... . ..... . ..... ... ...</w:t>
            </w:r>
          </w:p>
        </w:tc>
        <w:tc>
          <w:tcPr>
            <w:tcW w:w="320" w:type="dxa"/>
            <w:vAlign w:val="bottom"/>
            <w:gridSpan w:val="3"/>
          </w:tcPr>
          <w:p>
            <w:pPr>
              <w:spacing w:after="0" w:line="149" w:lineRule="exact"/>
              <w:rPr>
                <w:sz w:val="20"/>
                <w:szCs w:val="20"/>
                <w:color w:val="auto"/>
              </w:rPr>
            </w:pPr>
            <w:r>
              <w:rPr>
                <w:rFonts w:ascii="Times New Roman" w:cs="Times New Roman" w:eastAsia="Times New Roman" w:hAnsi="Times New Roman"/>
                <w:sz w:val="15"/>
                <w:szCs w:val="15"/>
                <w:color w:val="auto"/>
              </w:rPr>
              <w:t>.   $</w:t>
            </w:r>
          </w:p>
        </w:tc>
        <w:tc>
          <w:tcPr>
            <w:tcW w:w="6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5"/>
                <w:szCs w:val="15"/>
                <w:color w:val="auto"/>
              </w:rPr>
              <w:t>166, 118</w:t>
            </w:r>
          </w:p>
        </w:tc>
        <w:tc>
          <w:tcPr>
            <w:tcW w:w="100" w:type="dxa"/>
            <w:vAlign w:val="bottom"/>
          </w:tcPr>
          <w:p>
            <w:pPr>
              <w:spacing w:after="0"/>
              <w:rPr>
                <w:sz w:val="12"/>
                <w:szCs w:val="12"/>
                <w:color w:val="auto"/>
              </w:rPr>
            </w:pPr>
          </w:p>
        </w:tc>
        <w:tc>
          <w:tcPr>
            <w:tcW w:w="1020" w:type="dxa"/>
            <w:vAlign w:val="bottom"/>
            <w:gridSpan w:val="2"/>
          </w:tcPr>
          <w:p>
            <w:pPr>
              <w:jc w:val="right"/>
              <w:ind w:right="84"/>
              <w:spacing w:after="0" w:line="149" w:lineRule="exact"/>
              <w:rPr>
                <w:sz w:val="20"/>
                <w:szCs w:val="20"/>
                <w:color w:val="auto"/>
              </w:rPr>
            </w:pPr>
            <w:r>
              <w:rPr>
                <w:rFonts w:ascii="Times New Roman" w:cs="Times New Roman" w:eastAsia="Times New Roman" w:hAnsi="Times New Roman"/>
                <w:sz w:val="15"/>
                <w:szCs w:val="15"/>
                <w:color w:val="auto"/>
              </w:rPr>
              <w:t>$154,943</w:t>
            </w:r>
          </w:p>
        </w:tc>
        <w:tc>
          <w:tcPr>
            <w:tcW w:w="40" w:type="dxa"/>
            <w:vAlign w:val="bottom"/>
          </w:tcPr>
          <w:p>
            <w:pPr>
              <w:spacing w:after="0"/>
              <w:rPr>
                <w:sz w:val="12"/>
                <w:szCs w:val="12"/>
                <w:color w:val="auto"/>
              </w:rPr>
            </w:pPr>
          </w:p>
        </w:tc>
        <w:tc>
          <w:tcPr>
            <w:tcW w:w="1200" w:type="dxa"/>
            <w:vAlign w:val="bottom"/>
            <w:gridSpan w:val="2"/>
          </w:tcPr>
          <w:p>
            <w:pPr>
              <w:jc w:val="right"/>
              <w:ind w:right="164"/>
              <w:spacing w:after="0" w:line="149" w:lineRule="exact"/>
              <w:rPr>
                <w:sz w:val="20"/>
                <w:szCs w:val="20"/>
                <w:color w:val="auto"/>
              </w:rPr>
            </w:pPr>
            <w:r>
              <w:rPr>
                <w:rFonts w:ascii="Times New Roman" w:cs="Times New Roman" w:eastAsia="Times New Roman" w:hAnsi="Times New Roman"/>
                <w:sz w:val="15"/>
                <w:szCs w:val="15"/>
                <w:color w:val="auto"/>
              </w:rPr>
              <w:t>$  57,578</w:t>
            </w:r>
          </w:p>
        </w:tc>
        <w:tc>
          <w:tcPr>
            <w:tcW w:w="100" w:type="dxa"/>
            <w:vAlign w:val="bottom"/>
          </w:tcPr>
          <w:p>
            <w:pPr>
              <w:spacing w:after="0"/>
              <w:rPr>
                <w:sz w:val="12"/>
                <w:szCs w:val="12"/>
                <w:color w:val="auto"/>
              </w:rPr>
            </w:pPr>
          </w:p>
        </w:tc>
        <w:tc>
          <w:tcPr>
            <w:tcW w:w="860" w:type="dxa"/>
            <w:vAlign w:val="bottom"/>
            <w:gridSpan w:val="2"/>
          </w:tcPr>
          <w:p>
            <w:pPr>
              <w:ind w:left="160"/>
              <w:spacing w:after="0" w:line="149" w:lineRule="exact"/>
              <w:rPr>
                <w:sz w:val="20"/>
                <w:szCs w:val="20"/>
                <w:color w:val="auto"/>
              </w:rPr>
            </w:pPr>
            <w:r>
              <w:rPr>
                <w:rFonts w:ascii="Times New Roman" w:cs="Times New Roman" w:eastAsia="Times New Roman" w:hAnsi="Times New Roman"/>
                <w:sz w:val="15"/>
                <w:szCs w:val="15"/>
                <w:color w:val="auto"/>
              </w:rPr>
              <w:t>$  47,078</w:t>
            </w:r>
          </w:p>
        </w:tc>
        <w:tc>
          <w:tcPr>
            <w:tcW w:w="320" w:type="dxa"/>
            <w:vAlign w:val="bottom"/>
            <w:gridSpan w:val="4"/>
          </w:tcPr>
          <w:p>
            <w:pPr>
              <w:jc w:val="right"/>
              <w:ind w:right="20"/>
              <w:spacing w:after="0" w:line="14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5"/>
                <w:szCs w:val="15"/>
                <w:color w:val="auto"/>
              </w:rPr>
              <w:t>44,483</w:t>
            </w:r>
          </w:p>
        </w:tc>
        <w:tc>
          <w:tcPr>
            <w:tcW w:w="40" w:type="dxa"/>
            <w:vAlign w:val="bottom"/>
          </w:tcPr>
          <w:p>
            <w:pPr>
              <w:spacing w:after="0"/>
              <w:rPr>
                <w:sz w:val="12"/>
                <w:szCs w:val="12"/>
                <w:color w:val="auto"/>
              </w:rPr>
            </w:pPr>
          </w:p>
        </w:tc>
        <w:tc>
          <w:tcPr>
            <w:tcW w:w="260" w:type="dxa"/>
            <w:vAlign w:val="bottom"/>
            <w:gridSpan w:val="4"/>
          </w:tcPr>
          <w:p>
            <w:pPr>
              <w:jc w:val="right"/>
              <w:spacing w:after="0" w:line="149"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49" w:lineRule="exact"/>
              <w:rPr>
                <w:sz w:val="20"/>
                <w:szCs w:val="20"/>
                <w:color w:val="auto"/>
              </w:rPr>
            </w:pPr>
            <w:r>
              <w:rPr>
                <w:rFonts w:ascii="Times New Roman" w:cs="Times New Roman" w:eastAsia="Times New Roman" w:hAnsi="Times New Roman"/>
                <w:sz w:val="15"/>
                <w:szCs w:val="15"/>
                <w:color w:val="auto"/>
              </w:rPr>
              <w:t>470,200</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504C4C"/>
            </w:tcBorders>
          </w:tcPr>
          <w:p>
            <w:pPr>
              <w:spacing w:after="0"/>
              <w:rPr>
                <w:sz w:val="5"/>
                <w:szCs w:val="5"/>
                <w:color w:val="auto"/>
              </w:rPr>
            </w:pPr>
          </w:p>
        </w:tc>
        <w:tc>
          <w:tcPr>
            <w:tcW w:w="60" w:type="dxa"/>
            <w:vAlign w:val="bottom"/>
            <w:tcBorders>
              <w:bottom w:val="single" w:sz="8" w:color="504C4C"/>
            </w:tcBorders>
          </w:tcPr>
          <w:p>
            <w:pPr>
              <w:spacing w:after="0"/>
              <w:rPr>
                <w:sz w:val="5"/>
                <w:szCs w:val="5"/>
                <w:color w:val="auto"/>
              </w:rPr>
            </w:pPr>
          </w:p>
        </w:tc>
        <w:tc>
          <w:tcPr>
            <w:tcW w:w="580" w:type="dxa"/>
            <w:vAlign w:val="bottom"/>
            <w:tcBorders>
              <w:bottom w:val="single" w:sz="8" w:color="504C4C"/>
            </w:tcBorders>
          </w:tcPr>
          <w:p>
            <w:pPr>
              <w:spacing w:after="0"/>
              <w:rPr>
                <w:sz w:val="5"/>
                <w:szCs w:val="5"/>
                <w:color w:val="auto"/>
              </w:rPr>
            </w:pPr>
          </w:p>
        </w:tc>
        <w:tc>
          <w:tcPr>
            <w:tcW w:w="100" w:type="dxa"/>
            <w:vAlign w:val="bottom"/>
          </w:tcPr>
          <w:p>
            <w:pPr>
              <w:spacing w:after="0"/>
              <w:rPr>
                <w:sz w:val="5"/>
                <w:szCs w:val="5"/>
                <w:color w:val="auto"/>
              </w:rPr>
            </w:pPr>
          </w:p>
        </w:tc>
        <w:tc>
          <w:tcPr>
            <w:tcW w:w="1020" w:type="dxa"/>
            <w:vAlign w:val="bottom"/>
            <w:gridSpan w:val="2"/>
            <w:vMerge w:val="restart"/>
          </w:tcPr>
          <w:p>
            <w:pPr>
              <w:jc w:val="center"/>
              <w:ind w:left="4"/>
              <w:spacing w:after="0" w:line="141" w:lineRule="exact"/>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ind w:left="160"/>
              <w:spacing w:after="0" w:line="141" w:lineRule="exact"/>
              <w:rPr>
                <w:sz w:val="20"/>
                <w:szCs w:val="20"/>
                <w:color w:val="auto"/>
              </w:rPr>
            </w:pPr>
            <w:r>
              <w:rPr>
                <w:rFonts w:ascii="Arial" w:cs="Arial" w:eastAsia="Arial" w:hAnsi="Arial"/>
                <w:sz w:val="16"/>
                <w:szCs w:val="16"/>
                <w:color w:val="auto"/>
              </w:rPr>
              <w: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504C4C"/>
            </w:tcBorders>
          </w:tcPr>
          <w:p>
            <w:pPr>
              <w:spacing w:after="0"/>
              <w:rPr>
                <w:sz w:val="5"/>
                <w:szCs w:val="5"/>
                <w:color w:val="auto"/>
              </w:rPr>
            </w:pPr>
          </w:p>
        </w:tc>
        <w:tc>
          <w:tcPr>
            <w:tcW w:w="20" w:type="dxa"/>
            <w:vAlign w:val="bottom"/>
            <w:tcBorders>
              <w:bottom w:val="single" w:sz="8" w:color="504C4C"/>
            </w:tcBorders>
          </w:tcPr>
          <w:p>
            <w:pPr>
              <w:spacing w:after="0"/>
              <w:rPr>
                <w:sz w:val="5"/>
                <w:szCs w:val="5"/>
                <w:color w:val="auto"/>
              </w:rPr>
            </w:pPr>
          </w:p>
        </w:tc>
        <w:tc>
          <w:tcPr>
            <w:tcW w:w="620" w:type="dxa"/>
            <w:vAlign w:val="bottom"/>
            <w:tcBorders>
              <w:bottom w:val="single" w:sz="8" w:color="504C4C"/>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504C4C"/>
            </w:tcBorders>
          </w:tcPr>
          <w:p>
            <w:pPr>
              <w:spacing w:after="0"/>
              <w:rPr>
                <w:sz w:val="5"/>
                <w:szCs w:val="5"/>
                <w:color w:val="auto"/>
              </w:rPr>
            </w:pPr>
          </w:p>
        </w:tc>
        <w:tc>
          <w:tcPr>
            <w:tcW w:w="640" w:type="dxa"/>
            <w:vAlign w:val="bottom"/>
            <w:tcBorders>
              <w:bottom w:val="single" w:sz="8" w:color="504C4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4"/>
        </w:trPr>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auto"/>
              </w:rPr>
              <w:t>27,471</w:t>
            </w: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1740" w:type="dxa"/>
            <w:vAlign w:val="bottom"/>
            <w:gridSpan w:val="3"/>
          </w:tcPr>
          <w:p>
            <w:pPr>
              <w:spacing w:after="0" w:line="166" w:lineRule="exact"/>
              <w:rPr>
                <w:sz w:val="20"/>
                <w:szCs w:val="20"/>
                <w:color w:val="auto"/>
              </w:rPr>
            </w:pPr>
            <w:r>
              <w:rPr>
                <w:rFonts w:ascii="Times New Roman" w:cs="Times New Roman" w:eastAsia="Times New Roman" w:hAnsi="Times New Roman"/>
                <w:sz w:val="15"/>
                <w:szCs w:val="15"/>
                <w:color w:val="auto"/>
              </w:rPr>
              <w:t>Pensiorn Serv icc Cost . . ..</w:t>
            </w:r>
          </w:p>
        </w:tc>
        <w:tc>
          <w:tcPr>
            <w:tcW w:w="50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 .. . ..</w:t>
            </w:r>
          </w:p>
        </w:tc>
        <w:tc>
          <w:tcPr>
            <w:tcW w:w="70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 .. . .. . ..</w:t>
            </w:r>
          </w:p>
        </w:tc>
        <w:tc>
          <w:tcPr>
            <w:tcW w:w="140" w:type="dxa"/>
            <w:vAlign w:val="bottom"/>
          </w:tcPr>
          <w:p>
            <w:pPr>
              <w:spacing w:after="0" w:line="166" w:lineRule="exact"/>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8,907</w:t>
            </w:r>
          </w:p>
        </w:tc>
        <w:tc>
          <w:tcPr>
            <w:tcW w:w="100" w:type="dxa"/>
            <w:vAlign w:val="bottom"/>
          </w:tcPr>
          <w:p>
            <w:pPr>
              <w:spacing w:after="0"/>
              <w:rPr>
                <w:sz w:val="14"/>
                <w:szCs w:val="14"/>
                <w:color w:val="auto"/>
              </w:rPr>
            </w:pPr>
          </w:p>
        </w:tc>
        <w:tc>
          <w:tcPr>
            <w:tcW w:w="1020" w:type="dxa"/>
            <w:vAlign w:val="bottom"/>
            <w:gridSpan w:val="2"/>
          </w:tcPr>
          <w:p>
            <w:pPr>
              <w:jc w:val="right"/>
              <w:ind w:right="104"/>
              <w:spacing w:after="0" w:line="166" w:lineRule="exact"/>
              <w:rPr>
                <w:sz w:val="20"/>
                <w:szCs w:val="20"/>
                <w:color w:val="auto"/>
              </w:rPr>
            </w:pPr>
            <w:r>
              <w:rPr>
                <w:rFonts w:ascii="Times New Roman" w:cs="Times New Roman" w:eastAsia="Times New Roman" w:hAnsi="Times New Roman"/>
                <w:sz w:val="15"/>
                <w:szCs w:val="15"/>
                <w:color w:val="auto"/>
              </w:rPr>
              <w:t>3,331</w:t>
            </w:r>
          </w:p>
        </w:tc>
        <w:tc>
          <w:tcPr>
            <w:tcW w:w="40" w:type="dxa"/>
            <w:vAlign w:val="bottom"/>
          </w:tcPr>
          <w:p>
            <w:pPr>
              <w:spacing w:after="0"/>
              <w:rPr>
                <w:sz w:val="14"/>
                <w:szCs w:val="14"/>
                <w:color w:val="auto"/>
              </w:rPr>
            </w:pPr>
          </w:p>
        </w:tc>
        <w:tc>
          <w:tcPr>
            <w:tcW w:w="1200" w:type="dxa"/>
            <w:vAlign w:val="bottom"/>
            <w:gridSpan w:val="2"/>
          </w:tcPr>
          <w:p>
            <w:pPr>
              <w:jc w:val="right"/>
              <w:ind w:right="164"/>
              <w:spacing w:after="0" w:line="166" w:lineRule="exact"/>
              <w:rPr>
                <w:sz w:val="20"/>
                <w:szCs w:val="20"/>
                <w:color w:val="auto"/>
              </w:rPr>
            </w:pPr>
            <w:r>
              <w:rPr>
                <w:rFonts w:ascii="Times New Roman" w:cs="Times New Roman" w:eastAsia="Times New Roman" w:hAnsi="Times New Roman"/>
                <w:sz w:val="15"/>
                <w:szCs w:val="15"/>
                <w:color w:val="auto"/>
              </w:rPr>
              <w:t>1, 115</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line="166" w:lineRule="exact"/>
              <w:rPr>
                <w:sz w:val="20"/>
                <w:szCs w:val="20"/>
                <w:color w:val="auto"/>
              </w:rPr>
            </w:pPr>
            <w:r>
              <w:rPr>
                <w:rFonts w:ascii="Times New Roman" w:cs="Times New Roman" w:eastAsia="Times New Roman" w:hAnsi="Times New Roman"/>
                <w:sz w:val="15"/>
                <w:szCs w:val="15"/>
                <w:color w:val="auto"/>
              </w:rPr>
              <w:t>14,083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spacing w:after="0" w:line="166" w:lineRule="exact"/>
              <w:rPr>
                <w:sz w:val="20"/>
                <w:szCs w:val="20"/>
                <w:color w:val="auto"/>
              </w:rPr>
            </w:pPr>
            <w:r>
              <w:rPr>
                <w:rFonts w:ascii="Times New Roman" w:cs="Times New Roman" w:eastAsia="Times New Roman" w:hAnsi="Times New Roman"/>
                <w:sz w:val="15"/>
                <w:szCs w:val="15"/>
                <w:color w:val="auto"/>
              </w:rPr>
              <w:t>35</w:t>
            </w:r>
          </w:p>
        </w:tc>
        <w:tc>
          <w:tcPr>
            <w:tcW w:w="40" w:type="dxa"/>
            <w:vAlign w:val="bottom"/>
          </w:tcPr>
          <w:p>
            <w:pPr>
              <w:spacing w:after="0"/>
              <w:rPr>
                <w:sz w:val="14"/>
                <w:szCs w:val="14"/>
                <w:color w:val="auto"/>
              </w:rPr>
            </w:pPr>
          </w:p>
        </w:tc>
        <w:tc>
          <w:tcPr>
            <w:tcW w:w="260" w:type="dxa"/>
            <w:vAlign w:val="bottom"/>
            <w:gridSpan w:val="4"/>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1740" w:type="dxa"/>
            <w:vAlign w:val="bottom"/>
            <w:gridSpan w:val="3"/>
          </w:tcPr>
          <w:p>
            <w:pPr>
              <w:spacing w:after="0" w:line="170" w:lineRule="exact"/>
              <w:rPr>
                <w:sz w:val="20"/>
                <w:szCs w:val="20"/>
                <w:color w:val="auto"/>
              </w:rPr>
            </w:pPr>
            <w:r>
              <w:rPr>
                <w:rFonts w:ascii="Times New Roman" w:cs="Times New Roman" w:eastAsia="Times New Roman" w:hAnsi="Times New Roman"/>
                <w:sz w:val="15"/>
                <w:szCs w:val="15"/>
                <w:color w:val="auto"/>
              </w:rPr>
              <w:t xml:space="preserve">Depreciation Expense  </w:t>
            </w:r>
            <w:r>
              <w:rPr>
                <w:rFonts w:ascii="Arial" w:cs="Arial" w:eastAsia="Arial" w:hAnsi="Arial"/>
                <w:sz w:val="18"/>
                <w:szCs w:val="18"/>
                <w:color w:val="auto"/>
              </w:rPr>
              <w:t>. ..</w:t>
            </w:r>
          </w:p>
        </w:tc>
        <w:tc>
          <w:tcPr>
            <w:tcW w:w="160" w:type="dxa"/>
            <w:vAlign w:val="bottom"/>
          </w:tcPr>
          <w:p>
            <w:pPr>
              <w:spacing w:after="0" w:line="170" w:lineRule="exact"/>
              <w:rPr>
                <w:sz w:val="20"/>
                <w:szCs w:val="20"/>
                <w:color w:val="auto"/>
              </w:rPr>
            </w:pPr>
            <w:r>
              <w:rPr>
                <w:rFonts w:ascii="Arial" w:cs="Arial" w:eastAsia="Arial" w:hAnsi="Arial"/>
                <w:sz w:val="17"/>
                <w:szCs w:val="17"/>
                <w:color w:val="auto"/>
                <w:w w:val="73"/>
              </w:rPr>
              <w:t>. ..</w:t>
            </w:r>
          </w:p>
        </w:tc>
        <w:tc>
          <w:tcPr>
            <w:tcW w:w="340" w:type="dxa"/>
            <w:vAlign w:val="bottom"/>
          </w:tcPr>
          <w:p>
            <w:pPr>
              <w:jc w:val="right"/>
              <w:spacing w:after="0" w:line="170" w:lineRule="exact"/>
              <w:rPr>
                <w:sz w:val="20"/>
                <w:szCs w:val="20"/>
                <w:color w:val="auto"/>
              </w:rPr>
            </w:pPr>
            <w:r>
              <w:rPr>
                <w:rFonts w:ascii="Arial" w:cs="Arial" w:eastAsia="Arial" w:hAnsi="Arial"/>
                <w:sz w:val="7"/>
                <w:szCs w:val="7"/>
                <w:color w:val="auto"/>
              </w:rPr>
              <w:t xml:space="preserve">' </w:t>
            </w:r>
            <w:r>
              <w:rPr>
                <w:rFonts w:ascii="Arial" w:cs="Arial" w:eastAsia="Arial" w:hAnsi="Arial"/>
                <w:sz w:val="18"/>
                <w:szCs w:val="18"/>
                <w:color w:val="auto"/>
              </w:rPr>
              <w:t>..</w:t>
            </w:r>
          </w:p>
        </w:tc>
        <w:tc>
          <w:tcPr>
            <w:tcW w:w="700" w:type="dxa"/>
            <w:vAlign w:val="bottom"/>
          </w:tcPr>
          <w:p>
            <w:pPr>
              <w:spacing w:after="0" w:line="170" w:lineRule="exact"/>
              <w:rPr>
                <w:sz w:val="20"/>
                <w:szCs w:val="20"/>
                <w:color w:val="auto"/>
              </w:rPr>
            </w:pPr>
            <w:r>
              <w:rPr>
                <w:rFonts w:ascii="Arial" w:cs="Arial" w:eastAsia="Arial" w:hAnsi="Arial"/>
                <w:sz w:val="18"/>
                <w:szCs w:val="18"/>
                <w:color w:val="auto"/>
                <w:w w:val="96"/>
              </w:rPr>
              <w:t>. .. . .. . ..</w:t>
            </w:r>
          </w:p>
        </w:tc>
        <w:tc>
          <w:tcPr>
            <w:tcW w:w="140" w:type="dxa"/>
            <w:vAlign w:val="bottom"/>
          </w:tcPr>
          <w:p>
            <w:pPr>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jc w:val="right"/>
              <w:spacing w:after="0" w:line="170" w:lineRule="exact"/>
              <w:rPr>
                <w:sz w:val="20"/>
                <w:szCs w:val="20"/>
                <w:color w:val="auto"/>
              </w:rPr>
            </w:pPr>
            <w:r>
              <w:rPr>
                <w:rFonts w:ascii="Times New Roman" w:cs="Times New Roman" w:eastAsia="Times New Roman" w:hAnsi="Times New Roman"/>
                <w:sz w:val="15"/>
                <w:szCs w:val="15"/>
                <w:color w:val="auto"/>
              </w:rPr>
              <w:t>38, 187</w:t>
            </w:r>
          </w:p>
        </w:tc>
        <w:tc>
          <w:tcPr>
            <w:tcW w:w="100" w:type="dxa"/>
            <w:vAlign w:val="bottom"/>
          </w:tcPr>
          <w:p>
            <w:pPr>
              <w:spacing w:after="0"/>
              <w:rPr>
                <w:sz w:val="14"/>
                <w:szCs w:val="14"/>
                <w:color w:val="auto"/>
              </w:rPr>
            </w:pPr>
          </w:p>
        </w:tc>
        <w:tc>
          <w:tcPr>
            <w:tcW w:w="1020" w:type="dxa"/>
            <w:vAlign w:val="bottom"/>
            <w:gridSpan w:val="2"/>
          </w:tcPr>
          <w:p>
            <w:pPr>
              <w:jc w:val="right"/>
              <w:ind w:right="84"/>
              <w:spacing w:after="0" w:line="170" w:lineRule="exact"/>
              <w:rPr>
                <w:sz w:val="20"/>
                <w:szCs w:val="20"/>
                <w:color w:val="auto"/>
              </w:rPr>
            </w:pPr>
            <w:r>
              <w:rPr>
                <w:rFonts w:ascii="Times New Roman" w:cs="Times New Roman" w:eastAsia="Times New Roman" w:hAnsi="Times New Roman"/>
                <w:sz w:val="15"/>
                <w:szCs w:val="15"/>
                <w:color w:val="auto"/>
              </w:rPr>
              <w:t>12,224</w:t>
            </w:r>
          </w:p>
        </w:tc>
        <w:tc>
          <w:tcPr>
            <w:tcW w:w="40" w:type="dxa"/>
            <w:vAlign w:val="bottom"/>
          </w:tcPr>
          <w:p>
            <w:pPr>
              <w:spacing w:after="0"/>
              <w:rPr>
                <w:sz w:val="14"/>
                <w:szCs w:val="14"/>
                <w:color w:val="auto"/>
              </w:rPr>
            </w:pPr>
          </w:p>
        </w:tc>
        <w:tc>
          <w:tcPr>
            <w:tcW w:w="1200" w:type="dxa"/>
            <w:vAlign w:val="bottom"/>
            <w:gridSpan w:val="2"/>
          </w:tcPr>
          <w:p>
            <w:pPr>
              <w:jc w:val="right"/>
              <w:ind w:right="164"/>
              <w:spacing w:after="0" w:line="170" w:lineRule="exact"/>
              <w:rPr>
                <w:sz w:val="20"/>
                <w:szCs w:val="20"/>
                <w:color w:val="auto"/>
              </w:rPr>
            </w:pPr>
            <w:r>
              <w:rPr>
                <w:rFonts w:ascii="Times New Roman" w:cs="Times New Roman" w:eastAsia="Times New Roman" w:hAnsi="Times New Roman"/>
                <w:sz w:val="15"/>
                <w:szCs w:val="15"/>
                <w:color w:val="auto"/>
              </w:rPr>
              <w:t>9,453</w:t>
            </w:r>
          </w:p>
        </w:tc>
        <w:tc>
          <w:tcPr>
            <w:tcW w:w="100" w:type="dxa"/>
            <w:vAlign w:val="bottom"/>
          </w:tcPr>
          <w:p>
            <w:pPr>
              <w:spacing w:after="0"/>
              <w:rPr>
                <w:sz w:val="14"/>
                <w:szCs w:val="14"/>
                <w:color w:val="auto"/>
              </w:rPr>
            </w:pPr>
          </w:p>
        </w:tc>
        <w:tc>
          <w:tcPr>
            <w:tcW w:w="860" w:type="dxa"/>
            <w:vAlign w:val="bottom"/>
            <w:gridSpan w:val="2"/>
          </w:tcPr>
          <w:p>
            <w:pPr>
              <w:jc w:val="right"/>
              <w:ind w:right="80"/>
              <w:spacing w:after="0" w:line="170" w:lineRule="exact"/>
              <w:rPr>
                <w:sz w:val="20"/>
                <w:szCs w:val="20"/>
                <w:color w:val="auto"/>
              </w:rPr>
            </w:pPr>
            <w:r>
              <w:rPr>
                <w:rFonts w:ascii="Times New Roman" w:cs="Times New Roman" w:eastAsia="Times New Roman" w:hAnsi="Times New Roman"/>
                <w:sz w:val="15"/>
                <w:szCs w:val="15"/>
                <w:color w:val="auto"/>
              </w:rPr>
              <w:t>5,475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2"/>
          </w:tcPr>
          <w:p>
            <w:pPr>
              <w:jc w:val="right"/>
              <w:ind w:right="20"/>
              <w:spacing w:after="0" w:line="170" w:lineRule="exact"/>
              <w:rPr>
                <w:sz w:val="20"/>
                <w:szCs w:val="20"/>
                <w:color w:val="auto"/>
              </w:rPr>
            </w:pPr>
            <w:r>
              <w:rPr>
                <w:rFonts w:ascii="Times New Roman" w:cs="Times New Roman" w:eastAsia="Times New Roman" w:hAnsi="Times New Roman"/>
                <w:sz w:val="15"/>
                <w:szCs w:val="15"/>
                <w:color w:val="auto"/>
              </w:rPr>
              <w:t>5,177</w:t>
            </w:r>
          </w:p>
        </w:tc>
        <w:tc>
          <w:tcPr>
            <w:tcW w:w="40" w:type="dxa"/>
            <w:vAlign w:val="bottom"/>
          </w:tcPr>
          <w:p>
            <w:pPr>
              <w:spacing w:after="0"/>
              <w:rPr>
                <w:sz w:val="14"/>
                <w:szCs w:val="14"/>
                <w:color w:val="auto"/>
              </w:rPr>
            </w:pPr>
          </w:p>
        </w:tc>
        <w:tc>
          <w:tcPr>
            <w:tcW w:w="260" w:type="dxa"/>
            <w:vAlign w:val="bottom"/>
            <w:gridSpan w:val="4"/>
          </w:tcPr>
          <w:p>
            <w:pPr>
              <w:jc w:val="right"/>
              <w:spacing w:after="0" w:line="170" w:lineRule="exact"/>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line="170" w:lineRule="exact"/>
              <w:rPr>
                <w:sz w:val="20"/>
                <w:szCs w:val="20"/>
                <w:color w:val="auto"/>
              </w:rPr>
            </w:pPr>
            <w:r>
              <w:rPr>
                <w:rFonts w:ascii="Times New Roman" w:cs="Times New Roman" w:eastAsia="Times New Roman" w:hAnsi="Times New Roman"/>
                <w:sz w:val="15"/>
                <w:szCs w:val="15"/>
                <w:color w:val="auto"/>
              </w:rPr>
              <w:t>70,516</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2240" w:type="dxa"/>
            <w:vAlign w:val="bottom"/>
            <w:gridSpan w:val="5"/>
            <w:vMerge w:val="restart"/>
          </w:tcPr>
          <w:p>
            <w:pPr>
              <w:spacing w:after="0"/>
              <w:rPr>
                <w:sz w:val="20"/>
                <w:szCs w:val="20"/>
                <w:color w:val="auto"/>
              </w:rPr>
            </w:pPr>
            <w:r>
              <w:rPr>
                <w:rFonts w:ascii="Times New Roman" w:cs="Times New Roman" w:eastAsia="Times New Roman" w:hAnsi="Times New Roman"/>
                <w:sz w:val="15"/>
                <w:szCs w:val="15"/>
                <w:color w:val="auto"/>
              </w:rPr>
              <w:t>Income from Operations before</w:t>
            </w:r>
          </w:p>
        </w:tc>
        <w:tc>
          <w:tcPr>
            <w:tcW w:w="7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580" w:type="dxa"/>
            <w:vAlign w:val="bottom"/>
            <w:tcBorders>
              <w:bottom w:val="single" w:sz="8" w:color="A4A0A4"/>
            </w:tcBorders>
          </w:tcPr>
          <w:p>
            <w:pPr>
              <w:spacing w:after="0"/>
              <w:rPr>
                <w:sz w:val="2"/>
                <w:szCs w:val="2"/>
                <w:color w:val="auto"/>
              </w:rPr>
            </w:pPr>
          </w:p>
        </w:tc>
        <w:tc>
          <w:tcPr>
            <w:tcW w:w="100" w:type="dxa"/>
            <w:vAlign w:val="bottom"/>
            <w:tcBorders>
              <w:bottom w:val="single" w:sz="8" w:color="A4A0A4"/>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gridSpan w:val="2"/>
            <w:vMerge w:val="restart"/>
          </w:tcPr>
          <w:p>
            <w:pPr>
              <w:ind w:left="160"/>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20" w:type="dxa"/>
            <w:vAlign w:val="bottom"/>
            <w:tcBorders>
              <w:bottom w:val="single" w:sz="8" w:color="A8A8A8"/>
            </w:tcBorders>
          </w:tcPr>
          <w:p>
            <w:pPr>
              <w:spacing w:after="0"/>
              <w:rPr>
                <w:sz w:val="2"/>
                <w:szCs w:val="2"/>
                <w:color w:val="auto"/>
              </w:rPr>
            </w:pPr>
          </w:p>
        </w:tc>
        <w:tc>
          <w:tcPr>
            <w:tcW w:w="40" w:type="dxa"/>
            <w:vAlign w:val="bottom"/>
            <w:tcBorders>
              <w:bottom w:val="single" w:sz="8" w:color="A8A8A8"/>
            </w:tcBorders>
          </w:tcPr>
          <w:p>
            <w:pPr>
              <w:spacing w:after="0"/>
              <w:rPr>
                <w:sz w:val="2"/>
                <w:szCs w:val="2"/>
                <w:color w:val="auto"/>
              </w:rPr>
            </w:pPr>
          </w:p>
        </w:tc>
        <w:tc>
          <w:tcPr>
            <w:tcW w:w="80" w:type="dxa"/>
            <w:vAlign w:val="bottom"/>
            <w:tcBorders>
              <w:bottom w:val="single" w:sz="8" w:color="A8A8A8"/>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40" w:type="dxa"/>
            <w:vAlign w:val="bottom"/>
            <w:tcBorders>
              <w:bottom w:val="single" w:sz="8" w:color="A4A4A4"/>
            </w:tcBorders>
          </w:tcPr>
          <w:p>
            <w:pPr>
              <w:spacing w:after="0"/>
              <w:rPr>
                <w:sz w:val="2"/>
                <w:szCs w:val="2"/>
                <w:color w:val="auto"/>
              </w:rPr>
            </w:pPr>
          </w:p>
        </w:tc>
        <w:tc>
          <w:tcPr>
            <w:tcW w:w="20" w:type="dxa"/>
            <w:vAlign w:val="bottom"/>
            <w:tcBorders>
              <w:bottom w:val="single" w:sz="8" w:color="A4A4A4"/>
            </w:tcBorders>
          </w:tcPr>
          <w:p>
            <w:pPr>
              <w:spacing w:after="0"/>
              <w:rPr>
                <w:sz w:val="2"/>
                <w:szCs w:val="2"/>
                <w:color w:val="auto"/>
              </w:rPr>
            </w:pPr>
          </w:p>
        </w:tc>
        <w:tc>
          <w:tcPr>
            <w:tcW w:w="20" w:type="dxa"/>
            <w:vAlign w:val="bottom"/>
            <w:tcBorders>
              <w:bottom w:val="single" w:sz="8" w:color="A4A4A4"/>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240" w:type="dxa"/>
            <w:vAlign w:val="bottom"/>
            <w:gridSpan w:val="5"/>
            <w:vMerge w:val="continue"/>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40" w:type="dxa"/>
            <w:vAlign w:val="bottom"/>
            <w:gridSpan w:val="5"/>
            <w:vMerge w:val="continue"/>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5"/>
                <w:szCs w:val="15"/>
                <w:color w:val="auto"/>
              </w:rPr>
              <w:t>Amortization of Intangible Assets and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5"/>
                <w:szCs w:val="15"/>
                <w:color w:val="auto"/>
              </w:rPr>
              <w:t>Impairment of Gooclwill and Other</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Long-Lived Assets  . ......</w:t>
            </w:r>
          </w:p>
        </w:tc>
        <w:tc>
          <w:tcPr>
            <w:tcW w:w="3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gridSpan w:val="3"/>
          </w:tcPr>
          <w:p>
            <w:pPr>
              <w:ind w:left="240"/>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119,024</w:t>
            </w:r>
          </w:p>
        </w:tc>
        <w:tc>
          <w:tcPr>
            <w:tcW w:w="10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$139,388</w:t>
            </w:r>
          </w:p>
        </w:tc>
        <w:tc>
          <w:tcPr>
            <w:tcW w:w="40" w:type="dxa"/>
            <w:vAlign w:val="bottom"/>
          </w:tcPr>
          <w:p>
            <w:pPr>
              <w:spacing w:after="0"/>
              <w:rPr>
                <w:sz w:val="16"/>
                <w:szCs w:val="16"/>
                <w:color w:val="auto"/>
              </w:rPr>
            </w:pPr>
          </w:p>
        </w:tc>
        <w:tc>
          <w:tcPr>
            <w:tcW w:w="1200" w:type="dxa"/>
            <w:vAlign w:val="bottom"/>
            <w:gridSpan w:val="2"/>
          </w:tcPr>
          <w:p>
            <w:pPr>
              <w:jc w:val="right"/>
              <w:ind w:right="144"/>
              <w:spacing w:after="0"/>
              <w:rPr>
                <w:sz w:val="20"/>
                <w:szCs w:val="20"/>
                <w:color w:val="auto"/>
              </w:rPr>
            </w:pPr>
            <w:r>
              <w:rPr>
                <w:rFonts w:ascii="Times New Roman" w:cs="Times New Roman" w:eastAsia="Times New Roman" w:hAnsi="Times New Roman"/>
                <w:sz w:val="15"/>
                <w:szCs w:val="15"/>
                <w:color w:val="auto"/>
              </w:rPr>
              <w:t>$  47,010</w:t>
            </w:r>
          </w:p>
        </w:tc>
        <w:tc>
          <w:tcPr>
            <w:tcW w:w="1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5"/>
                <w:szCs w:val="15"/>
                <w:color w:val="auto"/>
              </w:rPr>
              <w:t>27,520</w:t>
            </w: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5"/>
                <w:szCs w:val="15"/>
                <w:color w:val="auto"/>
              </w:rPr>
              <w:t>39,27 1</w:t>
            </w: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372.2 13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Borders>
              <w:bottom w:val="single" w:sz="8" w:color="504C4C"/>
            </w:tcBorders>
          </w:tcPr>
          <w:p>
            <w:pPr>
              <w:spacing w:after="0"/>
              <w:rPr>
                <w:sz w:val="5"/>
                <w:szCs w:val="5"/>
                <w:color w:val="auto"/>
              </w:rPr>
            </w:pPr>
          </w:p>
        </w:tc>
        <w:tc>
          <w:tcPr>
            <w:tcW w:w="60" w:type="dxa"/>
            <w:vAlign w:val="bottom"/>
            <w:tcBorders>
              <w:bottom w:val="single" w:sz="8" w:color="504C4C"/>
            </w:tcBorders>
          </w:tcPr>
          <w:p>
            <w:pPr>
              <w:spacing w:after="0"/>
              <w:rPr>
                <w:sz w:val="5"/>
                <w:szCs w:val="5"/>
                <w:color w:val="auto"/>
              </w:rPr>
            </w:pPr>
          </w:p>
        </w:tc>
        <w:tc>
          <w:tcPr>
            <w:tcW w:w="580" w:type="dxa"/>
            <w:vAlign w:val="bottom"/>
            <w:tcBorders>
              <w:bottom w:val="single" w:sz="8" w:color="504C4C"/>
            </w:tcBorders>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60" w:type="dxa"/>
            <w:vAlign w:val="bottom"/>
            <w:gridSpan w:val="2"/>
            <w:vMerge w:val="restart"/>
          </w:tcPr>
          <w:p>
            <w:pPr>
              <w:ind w:left="160"/>
              <w:spacing w:after="0" w:line="236" w:lineRule="exact"/>
              <w:rPr>
                <w:sz w:val="20"/>
                <w:szCs w:val="20"/>
                <w:color w:val="auto"/>
              </w:rPr>
            </w:pPr>
            <w:r>
              <w:rPr>
                <w:rFonts w:ascii="Arial" w:cs="Arial" w:eastAsia="Arial" w:hAnsi="Arial"/>
                <w:sz w:val="21"/>
                <w:szCs w:val="21"/>
                <w:color w:val="auto"/>
              </w:rPr>
              <w: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Borders>
              <w:bottom w:val="single" w:sz="8" w:color="4C4C4C"/>
            </w:tcBorders>
          </w:tcPr>
          <w:p>
            <w:pPr>
              <w:spacing w:after="0"/>
              <w:rPr>
                <w:sz w:val="5"/>
                <w:szCs w:val="5"/>
                <w:color w:val="auto"/>
              </w:rPr>
            </w:pPr>
          </w:p>
        </w:tc>
        <w:tc>
          <w:tcPr>
            <w:tcW w:w="20" w:type="dxa"/>
            <w:vAlign w:val="bottom"/>
            <w:tcBorders>
              <w:bottom w:val="single" w:sz="8" w:color="4C4C4C"/>
            </w:tcBorders>
          </w:tcPr>
          <w:p>
            <w:pPr>
              <w:spacing w:after="0"/>
              <w:rPr>
                <w:sz w:val="5"/>
                <w:szCs w:val="5"/>
                <w:color w:val="auto"/>
              </w:rPr>
            </w:pPr>
          </w:p>
        </w:tc>
        <w:tc>
          <w:tcPr>
            <w:tcW w:w="620" w:type="dxa"/>
            <w:vAlign w:val="bottom"/>
            <w:tcBorders>
              <w:bottom w:val="single" w:sz="8" w:color="4C4C4C"/>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Borders>
              <w:bottom w:val="single" w:sz="8" w:color="4C4C4C"/>
            </w:tcBorders>
          </w:tcPr>
          <w:p>
            <w:pPr>
              <w:spacing w:after="0"/>
              <w:rPr>
                <w:sz w:val="5"/>
                <w:szCs w:val="5"/>
                <w:color w:val="auto"/>
              </w:rPr>
            </w:pPr>
          </w:p>
        </w:tc>
        <w:tc>
          <w:tcPr>
            <w:tcW w:w="640" w:type="dxa"/>
            <w:vAlign w:val="bottom"/>
            <w:tcBorders>
              <w:bottom w:val="single" w:sz="8" w:color="4C4C4C"/>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740" w:type="dxa"/>
            <w:vAlign w:val="bottom"/>
            <w:gridSpan w:val="3"/>
            <w:vMerge w:val="restart"/>
          </w:tcPr>
          <w:p>
            <w:pPr>
              <w:spacing w:after="0"/>
              <w:rPr>
                <w:sz w:val="20"/>
                <w:szCs w:val="20"/>
                <w:color w:val="auto"/>
              </w:rPr>
            </w:pPr>
            <w:r>
              <w:rPr>
                <w:rFonts w:ascii="Times New Roman" w:cs="Times New Roman" w:eastAsia="Times New Roman" w:hAnsi="Times New Roman"/>
                <w:sz w:val="15"/>
                <w:szCs w:val="15"/>
                <w:color w:val="auto"/>
              </w:rPr>
              <w:t xml:space="preserve">Other Businesses </w:t>
            </w:r>
            <w:r>
              <w:rPr>
                <w:rFonts w:ascii="Times New Roman" w:cs="Times New Roman" w:eastAsia="Times New Roman" w:hAnsi="Times New Roman"/>
                <w:sz w:val="12"/>
                <w:szCs w:val="12"/>
                <w:color w:val="auto"/>
              </w:rPr>
              <w:t>(7J</w:t>
            </w:r>
            <w:r>
              <w:rPr>
                <w:rFonts w:ascii="Arial" w:cs="Arial" w:eastAsia="Arial" w:hAnsi="Arial"/>
                <w:sz w:val="14"/>
                <w:szCs w:val="14"/>
                <w:color w:val="auto"/>
              </w:rPr>
              <w:t>...</w:t>
            </w:r>
          </w:p>
        </w:tc>
        <w:tc>
          <w:tcPr>
            <w:tcW w:w="500" w:type="dxa"/>
            <w:vAlign w:val="bottom"/>
            <w:gridSpan w:val="2"/>
            <w:vMerge w:val="restart"/>
          </w:tcPr>
          <w:p>
            <w:pPr>
              <w:jc w:val="right"/>
              <w:ind w:right="218"/>
              <w:spacing w:after="0"/>
              <w:rPr>
                <w:sz w:val="20"/>
                <w:szCs w:val="20"/>
                <w:color w:val="auto"/>
              </w:rPr>
            </w:pPr>
            <w:r>
              <w:rPr>
                <w:rFonts w:ascii="Times New Roman" w:cs="Times New Roman" w:eastAsia="Times New Roman" w:hAnsi="Times New Roman"/>
                <w:sz w:val="15"/>
                <w:szCs w:val="15"/>
                <w:color w:val="auto"/>
              </w:rPr>
              <w:t>-·</w:t>
            </w:r>
          </w:p>
        </w:tc>
        <w:tc>
          <w:tcPr>
            <w:tcW w:w="700" w:type="dxa"/>
            <w:vAlign w:val="bottom"/>
            <w:vMerge w:val="restart"/>
          </w:tcPr>
          <w:p>
            <w:pPr>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2"/>
                <w:szCs w:val="12"/>
                <w:color w:val="auto"/>
              </w:rPr>
              <w:t>·· • ··</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4"/>
            <w:vMerge w:val="restart"/>
          </w:tcPr>
          <w:p>
            <w:pPr>
              <w:jc w:val="right"/>
              <w:spacing w:after="0"/>
              <w:rPr>
                <w:sz w:val="20"/>
                <w:szCs w:val="20"/>
                <w:color w:val="auto"/>
              </w:rPr>
            </w:pPr>
            <w:r>
              <w:rPr>
                <w:rFonts w:ascii="Times New Roman" w:cs="Times New Roman" w:eastAsia="Times New Roman" w:hAnsi="Times New Roman"/>
                <w:sz w:val="15"/>
                <w:szCs w:val="15"/>
                <w:color w:val="auto"/>
              </w:rPr>
              <w:t>(98, 115)</w:t>
            </w:r>
          </w:p>
        </w:tc>
        <w:tc>
          <w:tcPr>
            <w:tcW w:w="0" w:type="dxa"/>
            <w:vAlign w:val="bottom"/>
          </w:tcPr>
          <w:p>
            <w:pPr>
              <w:spacing w:after="0"/>
              <w:rPr>
                <w:sz w:val="1"/>
                <w:szCs w:val="1"/>
                <w:color w:val="auto"/>
              </w:rPr>
            </w:pPr>
          </w:p>
        </w:tc>
      </w:tr>
      <w:tr>
        <w:trPr>
          <w:trHeight w:val="82"/>
        </w:trPr>
        <w:tc>
          <w:tcPr>
            <w:tcW w:w="1740" w:type="dxa"/>
            <w:vAlign w:val="bottom"/>
            <w:gridSpan w:val="3"/>
            <w:vMerge w:val="continue"/>
          </w:tcPr>
          <w:p>
            <w:pPr>
              <w:ind w:left="1420"/>
              <w:spacing w:after="0" w:line="51" w:lineRule="exact"/>
              <w:rPr>
                <w:sz w:val="20"/>
                <w:szCs w:val="20"/>
                <w:color w:val="auto"/>
              </w:rPr>
            </w:pPr>
            <w:r>
              <w:rPr>
                <w:rFonts w:ascii="Arial" w:cs="Arial" w:eastAsia="Arial" w:hAnsi="Arial"/>
                <w:sz w:val="5"/>
                <w:szCs w:val="5"/>
                <w:color w:val="auto"/>
              </w:rPr>
              <w:t>. .</w:t>
            </w:r>
          </w:p>
        </w:tc>
        <w:tc>
          <w:tcPr>
            <w:tcW w:w="500" w:type="dxa"/>
            <w:vAlign w:val="bottom"/>
            <w:gridSpan w:val="2"/>
            <w:vMerge w:val="continue"/>
          </w:tcPr>
          <w:p>
            <w:pPr>
              <w:jc w:val="right"/>
              <w:spacing w:after="0" w:line="51" w:lineRule="exact"/>
              <w:rPr>
                <w:sz w:val="20"/>
                <w:szCs w:val="20"/>
                <w:color w:val="auto"/>
              </w:rPr>
            </w:pPr>
            <w:r>
              <w:rPr>
                <w:rFonts w:ascii="Arial" w:cs="Arial" w:eastAsia="Arial" w:hAnsi="Arial"/>
                <w:sz w:val="5"/>
                <w:szCs w:val="5"/>
                <w:color w:val="auto"/>
              </w:rPr>
              <w:t>. ..</w:t>
            </w:r>
          </w:p>
        </w:tc>
        <w:tc>
          <w:tcPr>
            <w:tcW w:w="7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7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1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Corporate Costs ....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(55.600)</w:t>
            </w:r>
          </w:p>
        </w:tc>
        <w:tc>
          <w:tcPr>
            <w:tcW w:w="0" w:type="dxa"/>
            <w:vAlign w:val="bottom"/>
          </w:tcPr>
          <w:p>
            <w:pPr>
              <w:spacing w:after="0"/>
              <w:rPr>
                <w:sz w:val="1"/>
                <w:szCs w:val="1"/>
                <w:color w:val="auto"/>
              </w:rPr>
            </w:pPr>
          </w:p>
        </w:tc>
      </w:tr>
      <w:tr>
        <w:trPr>
          <w:trHeight w:val="210"/>
        </w:trPr>
        <w:tc>
          <w:tcPr>
            <w:tcW w:w="2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xml:space="preserve">A mortization of Intangible Assets  </w:t>
            </w:r>
            <w:r>
              <w:rPr>
                <w:rFonts w:ascii="Arial" w:cs="Arial" w:eastAsia="Arial" w:hAnsi="Arial"/>
                <w:sz w:val="18"/>
                <w:szCs w:val="18"/>
                <w:color w:val="auto"/>
              </w:rPr>
              <w:t>. . .. . ..</w:t>
            </w:r>
          </w:p>
        </w:tc>
        <w:tc>
          <w:tcPr>
            <w:tcW w:w="140" w:type="dxa"/>
            <w:vAlign w:val="bottom"/>
          </w:tcPr>
          <w:p>
            <w:pPr>
              <w:spacing w:after="0"/>
              <w:rPr>
                <w:sz w:val="20"/>
                <w:szCs w:val="20"/>
                <w:color w:val="auto"/>
              </w:rPr>
            </w:pPr>
            <w:r>
              <w:rPr>
                <w:rFonts w:ascii="Arial" w:cs="Arial" w:eastAsia="Arial" w:hAnsi="Arial"/>
                <w:sz w:val="7"/>
                <w:szCs w:val="7"/>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(50,039)</w:t>
            </w:r>
          </w:p>
        </w:tc>
        <w:tc>
          <w:tcPr>
            <w:tcW w:w="0" w:type="dxa"/>
            <w:vAlign w:val="bottom"/>
          </w:tcPr>
          <w:p>
            <w:pPr>
              <w:spacing w:after="0"/>
              <w:rPr>
                <w:sz w:val="1"/>
                <w:szCs w:val="1"/>
                <w:color w:val="auto"/>
              </w:rPr>
            </w:pPr>
          </w:p>
        </w:tc>
      </w:tr>
      <w:tr>
        <w:trPr>
          <w:trHeight w:val="181"/>
        </w:trPr>
        <w:tc>
          <w:tcPr>
            <w:tcW w:w="2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impairment of Good will and Other Long-</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940" w:type="dxa"/>
            <w:vAlign w:val="bottom"/>
            <w:gridSpan w:val="6"/>
          </w:tcPr>
          <w:p>
            <w:pPr>
              <w:ind w:left="160"/>
              <w:spacing w:after="0"/>
              <w:rPr>
                <w:sz w:val="20"/>
                <w:szCs w:val="20"/>
                <w:color w:val="auto"/>
              </w:rPr>
            </w:pPr>
            <w:r>
              <w:rPr>
                <w:rFonts w:ascii="Times New Roman" w:cs="Times New Roman" w:eastAsia="Times New Roman" w:hAnsi="Times New Roman"/>
                <w:sz w:val="15"/>
                <w:szCs w:val="15"/>
                <w:color w:val="auto"/>
                <w:w w:val="87"/>
              </w:rPr>
              <w:t xml:space="preserve">LiYed Assets  </w:t>
            </w:r>
            <w:r>
              <w:rPr>
                <w:rFonts w:ascii="Arial" w:cs="Arial" w:eastAsia="Arial" w:hAnsi="Arial"/>
                <w:sz w:val="18"/>
                <w:szCs w:val="18"/>
                <w:color w:val="auto"/>
                <w:w w:val="87"/>
              </w:rPr>
              <w:t>. . . . . . . . . . . . . . . . . . . . .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(99.066)</w:t>
            </w:r>
          </w:p>
        </w:tc>
        <w:tc>
          <w:tcPr>
            <w:tcW w:w="0" w:type="dxa"/>
            <w:vAlign w:val="bottom"/>
          </w:tcPr>
          <w:p>
            <w:pPr>
              <w:spacing w:after="0"/>
              <w:rPr>
                <w:sz w:val="1"/>
                <w:szCs w:val="1"/>
                <w:color w:val="auto"/>
              </w:rPr>
            </w:pPr>
          </w:p>
        </w:tc>
      </w:tr>
      <w:tr>
        <w:trPr>
          <w:trHeight w:val="36"/>
        </w:trPr>
        <w:tc>
          <w:tcPr>
            <w:tcW w:w="1740" w:type="dxa"/>
            <w:vAlign w:val="bottom"/>
            <w:gridSpan w:val="3"/>
          </w:tcPr>
          <w:p>
            <w:pPr>
              <w:spacing w:after="0"/>
              <w:rPr>
                <w:sz w:val="3"/>
                <w:szCs w:val="3"/>
                <w:color w:val="auto"/>
              </w:rPr>
            </w:pPr>
          </w:p>
        </w:tc>
        <w:tc>
          <w:tcPr>
            <w:tcW w:w="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0" w:type="dxa"/>
            <w:vAlign w:val="bottom"/>
            <w:gridSpan w:val="3"/>
          </w:tcPr>
          <w:p>
            <w:pPr>
              <w:spacing w:after="0"/>
              <w:rPr>
                <w:sz w:val="3"/>
                <w:szCs w:val="3"/>
                <w:color w:val="auto"/>
              </w:rPr>
            </w:pPr>
          </w:p>
        </w:tc>
        <w:tc>
          <w:tcPr>
            <w:tcW w:w="60" w:type="dxa"/>
            <w:vAlign w:val="bottom"/>
            <w:tcBorders>
              <w:bottom w:val="single" w:sz="8" w:color="0C0C0C"/>
            </w:tcBorders>
          </w:tcPr>
          <w:p>
            <w:pPr>
              <w:spacing w:after="0"/>
              <w:rPr>
                <w:sz w:val="3"/>
                <w:szCs w:val="3"/>
                <w:color w:val="auto"/>
              </w:rPr>
            </w:pPr>
          </w:p>
        </w:tc>
        <w:tc>
          <w:tcPr>
            <w:tcW w:w="640" w:type="dxa"/>
            <w:vAlign w:val="bottom"/>
            <w:tcBorders>
              <w:bottom w:val="single" w:sz="8" w:color="0C0C0C"/>
            </w:tcBorders>
          </w:tcPr>
          <w:p>
            <w:pPr>
              <w:spacing w:after="0"/>
              <w:rPr>
                <w:sz w:val="3"/>
                <w:szCs w:val="3"/>
                <w:color w:val="auto"/>
              </w:rPr>
            </w:pPr>
          </w:p>
        </w:tc>
        <w:tc>
          <w:tcPr>
            <w:tcW w:w="20" w:type="dxa"/>
            <w:vAlign w:val="bottom"/>
            <w:tcBorders>
              <w:bottom w:val="single" w:sz="8" w:color="0C0C0C"/>
            </w:tcBorders>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19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Income from Operations ......</w:t>
            </w:r>
          </w:p>
        </w:tc>
        <w:tc>
          <w:tcPr>
            <w:tcW w:w="340" w:type="dxa"/>
            <w:vAlign w:val="bottom"/>
          </w:tcPr>
          <w:p>
            <w:pPr>
              <w:spacing w:after="0"/>
              <w:rPr>
                <w:sz w:val="19"/>
                <w:szCs w:val="19"/>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69,393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
        </w:trPr>
        <w:tc>
          <w:tcPr>
            <w:tcW w:w="2940" w:type="dxa"/>
            <w:vAlign w:val="bottom"/>
            <w:gridSpan w:val="6"/>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4C4C4C"/>
            </w:tcBorders>
          </w:tcPr>
          <w:p>
            <w:pPr>
              <w:spacing w:after="0"/>
              <w:rPr>
                <w:sz w:val="3"/>
                <w:szCs w:val="3"/>
                <w:color w:val="auto"/>
              </w:rPr>
            </w:pPr>
          </w:p>
        </w:tc>
        <w:tc>
          <w:tcPr>
            <w:tcW w:w="640" w:type="dxa"/>
            <w:vAlign w:val="bottom"/>
            <w:tcBorders>
              <w:bottom w:val="single" w:sz="8" w:color="4C4C4C"/>
            </w:tcBorders>
          </w:tcPr>
          <w:p>
            <w:pPr>
              <w:spacing w:after="0"/>
              <w:rPr>
                <w:sz w:val="3"/>
                <w:szCs w:val="3"/>
                <w:color w:val="auto"/>
              </w:rPr>
            </w:pPr>
          </w:p>
        </w:tc>
        <w:tc>
          <w:tcPr>
            <w:tcW w:w="60" w:type="dxa"/>
            <w:vAlign w:val="bottom"/>
            <w:gridSpan w:val="3"/>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 xml:space="preserve">Equity in Losses of Affiliates, Net  </w:t>
            </w:r>
            <w:r>
              <w:rPr>
                <w:rFonts w:ascii="Arial" w:cs="Arial" w:eastAsia="Arial" w:hAnsi="Arial"/>
                <w:sz w:val="18"/>
                <w:szCs w:val="18"/>
                <w:color w:val="auto"/>
              </w:rPr>
              <w:t>. . . . . . .</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0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(5. 183)</w:t>
            </w:r>
          </w:p>
        </w:tc>
        <w:tc>
          <w:tcPr>
            <w:tcW w:w="0" w:type="dxa"/>
            <w:vAlign w:val="bottom"/>
          </w:tcPr>
          <w:p>
            <w:pPr>
              <w:spacing w:after="0"/>
              <w:rPr>
                <w:sz w:val="1"/>
                <w:szCs w:val="1"/>
                <w:color w:val="auto"/>
              </w:rPr>
            </w:pPr>
          </w:p>
        </w:tc>
      </w:tr>
      <w:tr>
        <w:trPr>
          <w:trHeight w:val="192"/>
        </w:trPr>
        <w:tc>
          <w:tcPr>
            <w:tcW w:w="1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Interest Expense, Net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(56,179)</w:t>
            </w:r>
          </w:p>
        </w:tc>
        <w:tc>
          <w:tcPr>
            <w:tcW w:w="0" w:type="dxa"/>
            <w:vAlign w:val="bottom"/>
          </w:tcPr>
          <w:p>
            <w:pPr>
              <w:spacing w:after="0"/>
              <w:rPr>
                <w:sz w:val="1"/>
                <w:szCs w:val="1"/>
                <w:color w:val="auto"/>
              </w:rPr>
            </w:pPr>
          </w:p>
        </w:tc>
      </w:tr>
      <w:tr>
        <w:trPr>
          <w:trHeight w:val="200"/>
        </w:trPr>
        <w:tc>
          <w:tcPr>
            <w:tcW w:w="3260" w:type="dxa"/>
            <w:vAlign w:val="bottom"/>
            <w:gridSpan w:val="9"/>
          </w:tcPr>
          <w:p>
            <w:pPr>
              <w:spacing w:after="0"/>
              <w:rPr>
                <w:sz w:val="20"/>
                <w:szCs w:val="20"/>
                <w:color w:val="auto"/>
              </w:rPr>
            </w:pPr>
            <w:r>
              <w:rPr>
                <w:rFonts w:ascii="Times New Roman" w:cs="Times New Roman" w:eastAsia="Times New Roman" w:hAnsi="Times New Roman"/>
                <w:sz w:val="15"/>
                <w:szCs w:val="15"/>
                <w:color w:val="auto"/>
              </w:rPr>
              <w:t>Non-Opemting Pension and Postretirement</w:t>
            </w: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Benefit Income, Net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 . ..</w:t>
            </w: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133,812</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Gain on Marketable Equity Secur ities,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1900" w:type="dxa"/>
            <w:vAlign w:val="bottom"/>
            <w:gridSpan w:val="4"/>
          </w:tcPr>
          <w:p>
            <w:pPr>
              <w:ind w:left="160"/>
              <w:spacing w:after="0"/>
              <w:rPr>
                <w:sz w:val="20"/>
                <w:szCs w:val="20"/>
                <w:color w:val="auto"/>
              </w:rPr>
            </w:pPr>
            <w:r>
              <w:rPr>
                <w:rFonts w:ascii="Times New Roman" w:cs="Times New Roman" w:eastAsia="Times New Roman" w:hAnsi="Times New Roman"/>
                <w:sz w:val="15"/>
                <w:szCs w:val="15"/>
                <w:color w:val="auto"/>
              </w:rPr>
              <w:t>Net ...............................</w:t>
            </w:r>
          </w:p>
        </w:tc>
        <w:tc>
          <w:tcPr>
            <w:tcW w:w="3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5"/>
                <w:szCs w:val="15"/>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138,067</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1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Other I ncome, Net ..</w:t>
            </w:r>
          </w:p>
        </w:tc>
        <w:tc>
          <w:tcPr>
            <w:tcW w:w="160" w:type="dxa"/>
            <w:vAlign w:val="bottom"/>
          </w:tcPr>
          <w:p>
            <w:pPr>
              <w:spacing w:after="0"/>
              <w:rPr>
                <w:sz w:val="23"/>
                <w:szCs w:val="23"/>
                <w:color w:val="auto"/>
              </w:rPr>
            </w:pPr>
          </w:p>
        </w:tc>
        <w:tc>
          <w:tcPr>
            <w:tcW w:w="1040" w:type="dxa"/>
            <w:vAlign w:val="bottom"/>
            <w:gridSpan w:val="2"/>
          </w:tcPr>
          <w:p>
            <w:pPr>
              <w:jc w:val="right"/>
              <w:spacing w:after="0" w:line="263" w:lineRule="exact"/>
              <w:rPr>
                <w:sz w:val="20"/>
                <w:szCs w:val="20"/>
                <w:color w:val="auto"/>
              </w:rPr>
            </w:pPr>
            <w:r>
              <w:rPr>
                <w:rFonts w:ascii="Arial" w:cs="Arial" w:eastAsia="Arial" w:hAnsi="Arial"/>
                <w:sz w:val="23"/>
                <w:szCs w:val="23"/>
                <w:color w:val="auto"/>
              </w:rPr>
              <w:t>... ... ...</w:t>
            </w:r>
          </w:p>
        </w:tc>
        <w:tc>
          <w:tcPr>
            <w:tcW w:w="140" w:type="dxa"/>
            <w:vAlign w:val="bottom"/>
          </w:tcPr>
          <w:p>
            <w:pPr>
              <w:spacing w:after="0" w:line="263" w:lineRule="exact"/>
              <w:rPr>
                <w:sz w:val="20"/>
                <w:szCs w:val="20"/>
                <w:color w:val="auto"/>
              </w:rPr>
            </w:pPr>
            <w:r>
              <w:rPr>
                <w:rFonts w:ascii="Arial" w:cs="Arial" w:eastAsia="Arial" w:hAnsi="Arial"/>
                <w:sz w:val="23"/>
                <w:szCs w:val="23"/>
                <w:color w:val="auto"/>
              </w:rPr>
              <w:t>.</w:t>
            </w:r>
          </w:p>
        </w:tc>
        <w:tc>
          <w:tcPr>
            <w:tcW w:w="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Borders>
              <w:bottom w:val="single" w:sz="8" w:color="504C4C"/>
            </w:tcBorders>
          </w:tcPr>
          <w:p>
            <w:pPr>
              <w:spacing w:after="0"/>
              <w:rPr>
                <w:sz w:val="23"/>
                <w:szCs w:val="23"/>
                <w:color w:val="auto"/>
              </w:rPr>
            </w:pPr>
          </w:p>
        </w:tc>
        <w:tc>
          <w:tcPr>
            <w:tcW w:w="640" w:type="dxa"/>
            <w:vAlign w:val="bottom"/>
            <w:tcBorders>
              <w:bottom w:val="single" w:sz="8" w:color="504C4C"/>
            </w:tcBorders>
          </w:tcPr>
          <w:p>
            <w:pPr>
              <w:jc w:val="right"/>
              <w:spacing w:after="0"/>
              <w:rPr>
                <w:sz w:val="20"/>
                <w:szCs w:val="20"/>
                <w:color w:val="auto"/>
              </w:rPr>
            </w:pPr>
            <w:r>
              <w:rPr>
                <w:rFonts w:ascii="Times New Roman" w:cs="Times New Roman" w:eastAsia="Times New Roman" w:hAnsi="Times New Roman"/>
                <w:sz w:val="15"/>
                <w:szCs w:val="15"/>
                <w:color w:val="auto"/>
              </w:rPr>
              <w:t>19,094</w:t>
            </w:r>
          </w:p>
        </w:tc>
        <w:tc>
          <w:tcPr>
            <w:tcW w:w="20" w:type="dxa"/>
            <w:vAlign w:val="bottom"/>
            <w:tcBorders>
              <w:bottom w:val="single" w:sz="8" w:color="504C4C"/>
            </w:tcBorders>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5"/>
        </w:trPr>
        <w:tc>
          <w:tcPr>
            <w:tcW w:w="2240" w:type="dxa"/>
            <w:vAlign w:val="bottom"/>
            <w:gridSpan w:val="5"/>
          </w:tcPr>
          <w:p>
            <w:pPr>
              <w:spacing w:after="0"/>
              <w:rPr>
                <w:sz w:val="20"/>
                <w:szCs w:val="20"/>
                <w:color w:val="auto"/>
              </w:rPr>
            </w:pPr>
            <w:r>
              <w:rPr>
                <w:rFonts w:ascii="Times New Roman" w:cs="Times New Roman" w:eastAsia="Times New Roman" w:hAnsi="Times New Roman"/>
                <w:sz w:val="15"/>
                <w:szCs w:val="15"/>
                <w:color w:val="auto"/>
              </w:rPr>
              <w:t>Income Before Income Taxes</w:t>
            </w:r>
          </w:p>
        </w:tc>
        <w:tc>
          <w:tcPr>
            <w:tcW w:w="7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299,004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
        </w:trPr>
        <w:tc>
          <w:tcPr>
            <w:tcW w:w="1740" w:type="dxa"/>
            <w:vAlign w:val="bottom"/>
            <w:gridSpan w:val="3"/>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20" w:type="dxa"/>
            <w:vAlign w:val="bottom"/>
            <w:gridSpan w:val="3"/>
          </w:tcPr>
          <w:p>
            <w:pPr>
              <w:spacing w:after="0"/>
              <w:rPr>
                <w:sz w:val="4"/>
                <w:szCs w:val="4"/>
                <w:color w:val="auto"/>
              </w:rPr>
            </w:pPr>
          </w:p>
        </w:tc>
        <w:tc>
          <w:tcPr>
            <w:tcW w:w="740" w:type="dxa"/>
            <w:vAlign w:val="bottom"/>
            <w:gridSpan w:val="3"/>
          </w:tcPr>
          <w:p>
            <w:pPr>
              <w:spacing w:after="0"/>
              <w:rPr>
                <w:sz w:val="4"/>
                <w:szCs w:val="4"/>
                <w:color w:val="auto"/>
              </w:rPr>
            </w:pPr>
          </w:p>
        </w:tc>
        <w:tc>
          <w:tcPr>
            <w:tcW w:w="102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1200" w:type="dxa"/>
            <w:vAlign w:val="bottom"/>
            <w:gridSpan w:val="2"/>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gridSpan w:val="2"/>
          </w:tcPr>
          <w:p>
            <w:pPr>
              <w:spacing w:after="0"/>
              <w:rPr>
                <w:sz w:val="4"/>
                <w:szCs w:val="4"/>
                <w:color w:val="auto"/>
              </w:rPr>
            </w:pPr>
          </w:p>
        </w:tc>
        <w:tc>
          <w:tcPr>
            <w:tcW w:w="320" w:type="dxa"/>
            <w:vAlign w:val="bottom"/>
            <w:gridSpan w:val="4"/>
          </w:tcPr>
          <w:p>
            <w:pPr>
              <w:spacing w:after="0"/>
              <w:rPr>
                <w:sz w:val="4"/>
                <w:szCs w:val="4"/>
                <w:color w:val="auto"/>
              </w:rPr>
            </w:pPr>
          </w:p>
        </w:tc>
        <w:tc>
          <w:tcPr>
            <w:tcW w:w="640" w:type="dxa"/>
            <w:vAlign w:val="bottom"/>
            <w:gridSpan w:val="2"/>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Borders>
              <w:bottom w:val="single" w:sz="8" w:color="4C4C4C"/>
            </w:tcBorders>
            <w:gridSpan w:val="3"/>
          </w:tcPr>
          <w:p>
            <w:pPr>
              <w:spacing w:after="0"/>
              <w:rPr>
                <w:sz w:val="4"/>
                <w:szCs w:val="4"/>
                <w:color w:val="auto"/>
              </w:rPr>
            </w:pPr>
          </w:p>
        </w:tc>
        <w:tc>
          <w:tcPr>
            <w:tcW w:w="660" w:type="dxa"/>
            <w:vAlign w:val="bottom"/>
            <w:tcBorders>
              <w:bottom w:val="single" w:sz="8" w:color="504C4C"/>
            </w:tcBorders>
            <w:gridSpan w:val="2"/>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2"/>
        </w:trPr>
        <w:tc>
          <w:tcPr>
            <w:tcW w:w="174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Capital Expenditures . ..</w:t>
            </w: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70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32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3"/>
          </w:tcPr>
          <w:p>
            <w:pPr>
              <w:jc w:val="right"/>
              <w:ind w:right="100"/>
              <w:spacing w:after="0"/>
              <w:rPr>
                <w:sz w:val="20"/>
                <w:szCs w:val="20"/>
                <w:color w:val="auto"/>
              </w:rPr>
            </w:pPr>
            <w:r>
              <w:rPr>
                <w:rFonts w:ascii="Times New Roman" w:cs="Times New Roman" w:eastAsia="Times New Roman" w:hAnsi="Times New Roman"/>
                <w:sz w:val="15"/>
                <w:szCs w:val="15"/>
                <w:color w:val="auto"/>
              </w:rPr>
              <w:t>36,760</w:t>
            </w:r>
          </w:p>
        </w:tc>
        <w:tc>
          <w:tcPr>
            <w:tcW w:w="1020" w:type="dxa"/>
            <w:vAlign w:val="bottom"/>
            <w:gridSpan w:val="2"/>
          </w:tcPr>
          <w:p>
            <w:pPr>
              <w:jc w:val="right"/>
              <w:ind w:right="84"/>
              <w:spacing w:after="0"/>
              <w:rPr>
                <w:sz w:val="20"/>
                <w:szCs w:val="20"/>
                <w:color w:val="auto"/>
              </w:rPr>
            </w:pPr>
            <w:r>
              <w:rPr>
                <w:rFonts w:ascii="Times New Roman" w:cs="Times New Roman" w:eastAsia="Times New Roman" w:hAnsi="Times New Roman"/>
                <w:sz w:val="15"/>
                <w:szCs w:val="15"/>
                <w:color w:val="auto"/>
              </w:rPr>
              <w:t>$   9,220</w:t>
            </w:r>
          </w:p>
        </w:tc>
        <w:tc>
          <w:tcPr>
            <w:tcW w:w="40" w:type="dxa"/>
            <w:vAlign w:val="bottom"/>
          </w:tcPr>
          <w:p>
            <w:pPr>
              <w:spacing w:after="0"/>
              <w:rPr>
                <w:sz w:val="21"/>
                <w:szCs w:val="21"/>
                <w:color w:val="auto"/>
              </w:rPr>
            </w:pPr>
          </w:p>
        </w:tc>
        <w:tc>
          <w:tcPr>
            <w:tcW w:w="1200" w:type="dxa"/>
            <w:vAlign w:val="bottom"/>
            <w:gridSpan w:val="2"/>
          </w:tcPr>
          <w:p>
            <w:pPr>
              <w:jc w:val="right"/>
              <w:ind w:right="164"/>
              <w:spacing w:after="0"/>
              <w:rPr>
                <w:sz w:val="20"/>
                <w:szCs w:val="20"/>
                <w:color w:val="auto"/>
              </w:rPr>
            </w:pPr>
            <w:r>
              <w:rPr>
                <w:rFonts w:ascii="Times New Roman" w:cs="Times New Roman" w:eastAsia="Times New Roman" w:hAnsi="Times New Roman"/>
                <w:sz w:val="15"/>
                <w:szCs w:val="15"/>
                <w:color w:val="auto"/>
              </w:rPr>
              <w:t>$  23,089</w:t>
            </w:r>
          </w:p>
        </w:tc>
        <w:tc>
          <w:tcPr>
            <w:tcW w:w="100" w:type="dxa"/>
            <w:vAlign w:val="bottom"/>
          </w:tcPr>
          <w:p>
            <w:pPr>
              <w:spacing w:after="0"/>
              <w:rPr>
                <w:sz w:val="21"/>
                <w:szCs w:val="21"/>
                <w:color w:val="auto"/>
              </w:rPr>
            </w:pPr>
          </w:p>
        </w:tc>
        <w:tc>
          <w:tcPr>
            <w:tcW w:w="860" w:type="dxa"/>
            <w:vAlign w:val="bottom"/>
            <w:gridSpan w:val="2"/>
          </w:tcPr>
          <w:p>
            <w:pPr>
              <w:ind w:left="160"/>
              <w:spacing w:after="0"/>
              <w:rPr>
                <w:sz w:val="20"/>
                <w:szCs w:val="20"/>
                <w:color w:val="auto"/>
              </w:rPr>
            </w:pPr>
            <w:r>
              <w:rPr>
                <w:rFonts w:ascii="Times New Roman" w:cs="Times New Roman" w:eastAsia="Times New Roman" w:hAnsi="Times New Roman"/>
                <w:sz w:val="15"/>
                <w:szCs w:val="15"/>
                <w:color w:val="auto"/>
              </w:rPr>
              <w:t>$  12,992</w:t>
            </w:r>
          </w:p>
        </w:tc>
        <w:tc>
          <w:tcPr>
            <w:tcW w:w="320" w:type="dxa"/>
            <w:vAlign w:val="bottom"/>
            <w:gridSpan w:val="4"/>
          </w:tcPr>
          <w:p>
            <w:pPr>
              <w:jc w:val="right"/>
              <w:ind w:right="20"/>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10, 140</w:t>
            </w:r>
          </w:p>
        </w:tc>
        <w:tc>
          <w:tcPr>
            <w:tcW w:w="40" w:type="dxa"/>
            <w:vAlign w:val="bottom"/>
          </w:tcPr>
          <w:p>
            <w:pPr>
              <w:spacing w:after="0"/>
              <w:rPr>
                <w:sz w:val="21"/>
                <w:szCs w:val="21"/>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92,201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2940" w:type="dxa"/>
            <w:vAlign w:val="bottom"/>
            <w:gridSpan w:val="6"/>
          </w:tcPr>
          <w:p>
            <w:pPr>
              <w:spacing w:after="0"/>
              <w:rPr>
                <w:sz w:val="20"/>
                <w:szCs w:val="20"/>
                <w:color w:val="auto"/>
              </w:rPr>
            </w:pPr>
            <w:r>
              <w:rPr>
                <w:rFonts w:ascii="Times New Roman" w:cs="Times New Roman" w:eastAsia="Times New Roman" w:hAnsi="Times New Roman"/>
                <w:sz w:val="15"/>
                <w:szCs w:val="15"/>
                <w:i w:val="1"/>
                <w:iCs w:val="1"/>
                <w:color w:val="auto"/>
              </w:rPr>
              <w:t>Reconciliation of Capital Expenditures</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2940" w:type="dxa"/>
            <w:vAlign w:val="bottom"/>
            <w:gridSpan w:val="6"/>
          </w:tcPr>
          <w:p>
            <w:pPr>
              <w:spacing w:after="0"/>
              <w:rPr>
                <w:sz w:val="20"/>
                <w:szCs w:val="20"/>
                <w:color w:val="auto"/>
              </w:rPr>
            </w:pPr>
            <w:r>
              <w:rPr>
                <w:rFonts w:ascii="Times New Roman" w:cs="Times New Roman" w:eastAsia="Times New Roman" w:hAnsi="Times New Roman"/>
                <w:sz w:val="15"/>
                <w:szCs w:val="15"/>
                <w:color w:val="auto"/>
              </w:rPr>
              <w:t>Other Businesses and Corporate Office</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740" w:type="dxa"/>
            <w:vAlign w:val="bottom"/>
            <w:gridSpan w:val="3"/>
          </w:tcPr>
          <w:p>
            <w:pPr>
              <w:ind w:left="160"/>
              <w:spacing w:after="0"/>
              <w:rPr>
                <w:sz w:val="20"/>
                <w:szCs w:val="20"/>
                <w:color w:val="auto"/>
              </w:rPr>
            </w:pPr>
            <w:r>
              <w:rPr>
                <w:rFonts w:ascii="Times New Roman" w:cs="Times New Roman" w:eastAsia="Times New Roman" w:hAnsi="Times New Roman"/>
                <w:sz w:val="15"/>
                <w:szCs w:val="15"/>
                <w:color w:val="auto"/>
              </w:rPr>
              <w:t xml:space="preserve">Capital Expenditures </w:t>
            </w:r>
            <w:r>
              <w:rPr>
                <w:rFonts w:ascii="Times New Roman" w:cs="Times New Roman" w:eastAsia="Times New Roman" w:hAnsi="Times New Roman"/>
                <w:sz w:val="12"/>
                <w:szCs w:val="12"/>
                <w:color w:val="auto"/>
              </w:rPr>
              <w:t>&lt;SJ</w:t>
            </w:r>
          </w:p>
        </w:tc>
        <w:tc>
          <w:tcPr>
            <w:tcW w:w="152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 ••••• . •• . •• • •• •</w:t>
            </w: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15,085</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4"/>
        </w:trPr>
        <w:tc>
          <w:tcPr>
            <w:tcW w:w="1900" w:type="dxa"/>
            <w:vAlign w:val="bottom"/>
            <w:gridSpan w:val="4"/>
          </w:tcPr>
          <w:p>
            <w:pPr>
              <w:spacing w:after="0"/>
              <w:rPr>
                <w:sz w:val="4"/>
                <w:szCs w:val="4"/>
                <w:color w:val="auto"/>
              </w:rPr>
            </w:pPr>
          </w:p>
        </w:tc>
        <w:tc>
          <w:tcPr>
            <w:tcW w:w="340" w:type="dxa"/>
            <w:vAlign w:val="bottom"/>
          </w:tcPr>
          <w:p>
            <w:pPr>
              <w:spacing w:after="0"/>
              <w:rPr>
                <w:sz w:val="4"/>
                <w:szCs w:val="4"/>
                <w:color w:val="auto"/>
              </w:rPr>
            </w:pPr>
          </w:p>
        </w:tc>
        <w:tc>
          <w:tcPr>
            <w:tcW w:w="7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gridSpan w:val="3"/>
          </w:tcPr>
          <w:p>
            <w:pPr>
              <w:spacing w:after="0"/>
              <w:rPr>
                <w:sz w:val="4"/>
                <w:szCs w:val="4"/>
                <w:color w:val="auto"/>
              </w:rPr>
            </w:pPr>
          </w:p>
        </w:tc>
        <w:tc>
          <w:tcPr>
            <w:tcW w:w="60" w:type="dxa"/>
            <w:vAlign w:val="bottom"/>
            <w:tcBorders>
              <w:bottom w:val="single" w:sz="8" w:color="504C4C"/>
            </w:tcBorders>
          </w:tcPr>
          <w:p>
            <w:pPr>
              <w:spacing w:after="0"/>
              <w:rPr>
                <w:sz w:val="4"/>
                <w:szCs w:val="4"/>
                <w:color w:val="auto"/>
              </w:rPr>
            </w:pPr>
          </w:p>
        </w:tc>
        <w:tc>
          <w:tcPr>
            <w:tcW w:w="640" w:type="dxa"/>
            <w:vAlign w:val="bottom"/>
            <w:tcBorders>
              <w:bottom w:val="single" w:sz="8" w:color="504C4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900" w:type="dxa"/>
            <w:vAlign w:val="bottom"/>
            <w:gridSpan w:val="4"/>
          </w:tcPr>
          <w:p>
            <w:pPr>
              <w:spacing w:after="0"/>
              <w:rPr>
                <w:sz w:val="20"/>
                <w:szCs w:val="20"/>
                <w:color w:val="auto"/>
              </w:rPr>
            </w:pPr>
            <w:r>
              <w:rPr>
                <w:rFonts w:ascii="Times New Roman" w:cs="Times New Roman" w:eastAsia="Times New Roman" w:hAnsi="Times New Roman"/>
                <w:sz w:val="15"/>
                <w:szCs w:val="15"/>
                <w:color w:val="auto"/>
              </w:rPr>
              <w:t>Tota l Capital Expenditures</w:t>
            </w:r>
          </w:p>
        </w:tc>
        <w:tc>
          <w:tcPr>
            <w:tcW w:w="1180" w:type="dxa"/>
            <w:vAlign w:val="bottom"/>
            <w:gridSpan w:val="3"/>
          </w:tcPr>
          <w:p>
            <w:pPr>
              <w:jc w:val="right"/>
              <w:ind w:right="7"/>
              <w:spacing w:after="0" w:line="256" w:lineRule="exact"/>
              <w:rPr>
                <w:sz w:val="20"/>
                <w:szCs w:val="20"/>
                <w:color w:val="auto"/>
              </w:rPr>
            </w:pPr>
            <w:r>
              <w:rPr>
                <w:rFonts w:ascii="Arial" w:cs="Arial" w:eastAsia="Arial" w:hAnsi="Arial"/>
                <w:sz w:val="23"/>
                <w:szCs w:val="23"/>
                <w:color w:val="auto"/>
              </w:rPr>
              <w:t>... .... .... ..</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gridSpan w:val="4"/>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107,286</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2"/>
        </w:trPr>
        <w:tc>
          <w:tcPr>
            <w:tcW w:w="920" w:type="dxa"/>
            <w:vAlign w:val="bottom"/>
            <w:tcBorders>
              <w:bottom w:val="single" w:sz="8" w:color="0C0C0C"/>
            </w:tcBorders>
          </w:tcPr>
          <w:p>
            <w:pPr>
              <w:spacing w:after="0"/>
              <w:rPr>
                <w:sz w:val="12"/>
                <w:szCs w:val="12"/>
                <w:color w:val="auto"/>
              </w:rPr>
            </w:pPr>
          </w:p>
        </w:tc>
        <w:tc>
          <w:tcPr>
            <w:tcW w:w="40" w:type="dxa"/>
            <w:vAlign w:val="bottom"/>
            <w:tcBorders>
              <w:bottom w:val="single" w:sz="8" w:color="0C0C0C"/>
            </w:tcBorders>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top w:val="single" w:sz="8" w:color="504C4C"/>
            </w:tcBorders>
          </w:tcPr>
          <w:p>
            <w:pPr>
              <w:spacing w:after="0"/>
              <w:rPr>
                <w:sz w:val="12"/>
                <w:szCs w:val="12"/>
                <w:color w:val="auto"/>
              </w:rPr>
            </w:pPr>
          </w:p>
        </w:tc>
        <w:tc>
          <w:tcPr>
            <w:tcW w:w="60" w:type="dxa"/>
            <w:vAlign w:val="bottom"/>
            <w:tcBorders>
              <w:top w:val="single" w:sz="8" w:color="504C4C"/>
            </w:tcBorders>
          </w:tcPr>
          <w:p>
            <w:pPr>
              <w:spacing w:after="0"/>
              <w:rPr>
                <w:sz w:val="12"/>
                <w:szCs w:val="12"/>
                <w:color w:val="auto"/>
              </w:rPr>
            </w:pPr>
          </w:p>
        </w:tc>
        <w:tc>
          <w:tcPr>
            <w:tcW w:w="640" w:type="dxa"/>
            <w:vAlign w:val="bottom"/>
            <w:tcBorders>
              <w:top w:val="single" w:sz="8" w:color="504C4C"/>
            </w:tcBorders>
          </w:tcPr>
          <w:p>
            <w:pPr>
              <w:spacing w:after="0"/>
              <w:rPr>
                <w:sz w:val="12"/>
                <w:szCs w:val="12"/>
                <w:color w:val="auto"/>
              </w:rPr>
            </w:pPr>
          </w:p>
        </w:tc>
        <w:tc>
          <w:tcPr>
            <w:tcW w:w="20" w:type="dxa"/>
            <w:vAlign w:val="bottom"/>
            <w:tcBorders>
              <w:top w:val="single" w:sz="8" w:color="504C4C"/>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440" w:right="125" w:hanging="324"/>
        <w:spacing w:after="0" w:line="272" w:lineRule="auto"/>
        <w:tabs>
          <w:tab w:leader="none" w:pos="420" w:val="left"/>
        </w:tabs>
        <w:rPr>
          <w:sz w:val="20"/>
          <w:szCs w:val="20"/>
          <w:color w:val="auto"/>
        </w:rPr>
      </w:pPr>
      <w:r>
        <w:rPr>
          <w:rFonts w:ascii="Arial" w:cs="Arial" w:eastAsia="Arial" w:hAnsi="Arial"/>
          <w:sz w:val="14"/>
          <w:szCs w:val="14"/>
          <w:color w:val="auto"/>
        </w:rPr>
        <w:t>( I)</w:t>
      </w:r>
      <w:r>
        <w:rPr>
          <w:sz w:val="20"/>
          <w:szCs w:val="20"/>
          <w:color w:val="auto"/>
        </w:rPr>
        <w:tab/>
      </w:r>
      <w:r>
        <w:rPr>
          <w:rFonts w:ascii="Times New Roman" w:cs="Times New Roman" w:eastAsia="Times New Roman" w:hAnsi="Times New Roman"/>
          <w:sz w:val="15"/>
          <w:szCs w:val="15"/>
          <w:color w:val="auto"/>
        </w:rPr>
        <w:t>Revenue from segments below the quantitative thresholds is attributable to Other Businesses and the Corporate Office, as described above. None of these operating segments meet the quantitative thresholds for determining reportable segments.</w:t>
      </w:r>
    </w:p>
    <w:p>
      <w:pPr>
        <w:spacing w:after="0" w:line="15" w:lineRule="exact"/>
        <w:rPr>
          <w:sz w:val="20"/>
          <w:szCs w:val="20"/>
          <w:color w:val="auto"/>
        </w:rPr>
      </w:pPr>
    </w:p>
    <w:p>
      <w:pPr>
        <w:ind w:left="420" w:hanging="307"/>
        <w:spacing w:after="0"/>
        <w:tabs>
          <w:tab w:leader="none" w:pos="42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significant expense categories and amounts align with the segment-level information that is regularly provided to the CODM .</w:t>
      </w:r>
    </w:p>
    <w:p>
      <w:pPr>
        <w:spacing w:after="0" w:line="22" w:lineRule="exact"/>
        <w:rPr>
          <w:rFonts w:ascii="Times New Roman" w:cs="Times New Roman" w:eastAsia="Times New Roman" w:hAnsi="Times New Roman"/>
          <w:sz w:val="15"/>
          <w:szCs w:val="15"/>
          <w:color w:val="auto"/>
        </w:rPr>
      </w:pPr>
    </w:p>
    <w:p>
      <w:pPr>
        <w:jc w:val="both"/>
        <w:ind w:left="440" w:right="125" w:hanging="327"/>
        <w:spacing w:after="0" w:line="278" w:lineRule="auto"/>
        <w:tabs>
          <w:tab w:leader="none" w:pos="4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 renects the amounts repot1ed and provided to the CODM and does not necessarily reconcile to the Company's Consolidated Statement of Operations or al ign across reportable segments. Cost of revenue excludes charges related to depreciation, which is shown separately above.</w:t>
      </w:r>
    </w:p>
    <w:p>
      <w:pPr>
        <w:spacing w:after="0" w:line="1" w:lineRule="exact"/>
        <w:rPr>
          <w:rFonts w:ascii="Times New Roman" w:cs="Times New Roman" w:eastAsia="Times New Roman" w:hAnsi="Times New Roman"/>
          <w:sz w:val="15"/>
          <w:szCs w:val="15"/>
          <w:color w:val="auto"/>
        </w:rPr>
      </w:pPr>
    </w:p>
    <w:p>
      <w:pPr>
        <w:ind w:left="440" w:right="105" w:hanging="327"/>
        <w:spacing w:after="0" w:line="249" w:lineRule="auto"/>
        <w:tabs>
          <w:tab w:leader="none" w:pos="439"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pension service cost, which is shown separately above. Excludes any payroll and related benefits costs captured in cost of revenue.</w:t>
      </w:r>
    </w:p>
    <w:p>
      <w:pPr>
        <w:sectPr>
          <w:pgSz w:w="12240" w:h="15850" w:orient="portrait"/>
          <w:cols w:equalWidth="0" w:num="1">
            <w:col w:w="9365"/>
          </w:cols>
          <w:pgMar w:left="1440" w:top="1394"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148</w:t>
        <w:tab/>
        <w:t>2024 FORM 10-K</w:t>
      </w:r>
    </w:p>
    <w:p>
      <w:pPr>
        <w:sectPr>
          <w:pgSz w:w="12240" w:h="15850" w:orient="portrait"/>
          <w:cols w:equalWidth="0" w:num="1">
            <w:col w:w="9365"/>
          </w:cols>
          <w:pgMar w:left="1440" w:top="1394" w:right="1440" w:bottom="717" w:gutter="0" w:footer="0" w:header="0"/>
          <w:type w:val="continuous"/>
        </w:sectPr>
      </w:pPr>
    </w:p>
    <w:bookmarkStart w:id="164" w:name="page165"/>
    <w:bookmarkEnd w:id="164"/>
    <w:p>
      <w:pPr>
        <w:ind w:left="440" w:hanging="327"/>
        <w:spacing w:after="0"/>
        <w:tabs>
          <w:tab w:leader="none" w:pos="4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72">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Management and operati ng serv ices provided </w:t>
      </w:r>
      <w:r>
        <w:rPr>
          <w:rFonts w:ascii="Times New Roman" w:cs="Times New Roman" w:eastAsia="Times New Roman" w:hAnsi="Times New Roman"/>
          <w:sz w:val="17"/>
          <w:szCs w:val="17"/>
          <w:color w:val="auto"/>
        </w:rPr>
        <w:t>by</w:t>
      </w:r>
      <w:r>
        <w:rPr>
          <w:rFonts w:ascii="Times New Roman" w:cs="Times New Roman" w:eastAsia="Times New Roman" w:hAnsi="Times New Roman"/>
          <w:sz w:val="15"/>
          <w:szCs w:val="15"/>
          <w:color w:val="auto"/>
        </w:rPr>
        <w:t xml:space="preserve"> Christopher J. Ourisman and his team of industry professionals.</w:t>
      </w:r>
    </w:p>
    <w:p>
      <w:pPr>
        <w:spacing w:after="0" w:line="14"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segment items for each reportable seg1111ent include:</w:t>
      </w:r>
    </w:p>
    <w:p>
      <w:pPr>
        <w:spacing w:after="0" w:line="32" w:lineRule="exact"/>
        <w:rPr>
          <w:rFonts w:ascii="Times New Roman" w:cs="Times New Roman" w:eastAsia="Times New Roman" w:hAnsi="Times New Roman"/>
          <w:sz w:val="15"/>
          <w:szCs w:val="15"/>
          <w:color w:val="auto"/>
        </w:rPr>
      </w:pPr>
    </w:p>
    <w:p>
      <w:pPr>
        <w:jc w:val="both"/>
        <w:ind w:left="760" w:right="125" w:hanging="323"/>
        <w:spacing w:after="0" w:line="272" w:lineRule="auto"/>
        <w:tabs>
          <w:tab w:leader="none" w:pos="77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Education (includes Kaplan International, Kaplan Higher Education and Kaplan Supplemental Education)- training and employment expense, travel meals and e ntertainment expense, operating fees and other general and administrative (G&amp;A) expenses.</w:t>
      </w:r>
    </w:p>
    <w:p>
      <w:pPr>
        <w:spacing w:after="0" w:line="9" w:lineRule="exact"/>
        <w:rPr>
          <w:rFonts w:ascii="Times New Roman" w:cs="Times New Roman" w:eastAsia="Times New Roman" w:hAnsi="Times New Roman"/>
          <w:sz w:val="15"/>
          <w:szCs w:val="15"/>
          <w:color w:val="auto"/>
        </w:rPr>
      </w:pPr>
    </w:p>
    <w:p>
      <w:pPr>
        <w:ind w:left="760" w:right="125" w:hanging="323"/>
        <w:spacing w:after="0" w:line="272" w:lineRule="auto"/>
        <w:tabs>
          <w:tab w:leader="none" w:pos="751"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Television Broadcasting - other broadcast expenses, facilities expenses, third-party commission costs and other selling, general and adm inistrative expenses (SG&amp;A).</w:t>
      </w:r>
    </w:p>
    <w:p>
      <w:pPr>
        <w:spacing w:after="0" w:line="4"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payroll and fringe benefits expense (SG&amp;A) and other SG&amp;A expenses.</w:t>
      </w:r>
    </w:p>
    <w:p>
      <w:pPr>
        <w:spacing w:after="0" w:line="27" w:lineRule="exact"/>
        <w:rPr>
          <w:rFonts w:ascii="Times New Roman" w:cs="Times New Roman" w:eastAsia="Times New Roman" w:hAnsi="Times New Roman"/>
          <w:sz w:val="15"/>
          <w:szCs w:val="15"/>
          <w:color w:val="auto"/>
        </w:rPr>
      </w:pPr>
    </w:p>
    <w:p>
      <w:pPr>
        <w:ind w:left="760" w:hanging="323"/>
        <w:spacing w:after="0"/>
        <w:tabs>
          <w:tab w:leader="none" w:pos="76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Healthcarc - indirect costs (e.g. payroll and benefits expenses. general and administrative exiJ&lt;cnses) and other SG&amp;A expenses.</w:t>
      </w:r>
    </w:p>
    <w:p>
      <w:pPr>
        <w:spacing w:after="0" w:line="18" w:lineRule="exact"/>
        <w:rPr>
          <w:rFonts w:ascii="Times New Roman" w:cs="Times New Roman" w:eastAsia="Times New Roman" w:hAnsi="Times New Roman"/>
          <w:sz w:val="15"/>
          <w:szCs w:val="15"/>
          <w:color w:val="auto"/>
        </w:rPr>
      </w:pPr>
    </w:p>
    <w:p>
      <w:pPr>
        <w:ind w:left="760" w:hanging="323"/>
        <w:spacing w:after="0"/>
        <w:tabs>
          <w:tab w:leader="none" w:pos="760"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Automotive - advertising and marketing expense and other G&amp;A expenses.</w:t>
      </w:r>
    </w:p>
    <w:p>
      <w:pPr>
        <w:spacing w:after="0" w:line="32" w:lineRule="exact"/>
        <w:rPr>
          <w:rFonts w:ascii="Times New Roman" w:cs="Times New Roman" w:eastAsia="Times New Roman" w:hAnsi="Times New Roman"/>
          <w:sz w:val="15"/>
          <w:szCs w:val="15"/>
          <w:color w:val="auto"/>
        </w:rPr>
      </w:pPr>
    </w:p>
    <w:p>
      <w:pPr>
        <w:ind w:left="440" w:right="125" w:hanging="327"/>
        <w:spacing w:after="0" w:line="272" w:lineRule="auto"/>
        <w:tabs>
          <w:tab w:leader="none" w:pos="45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19" w:lineRule="exact"/>
        <w:rPr>
          <w:rFonts w:ascii="Times New Roman" w:cs="Times New Roman" w:eastAsia="Times New Roman" w:hAnsi="Times New Roman"/>
          <w:sz w:val="15"/>
          <w:szCs w:val="15"/>
          <w:color w:val="auto"/>
        </w:rPr>
      </w:pPr>
    </w:p>
    <w:p>
      <w:pPr>
        <w:ind w:left="440" w:right="125" w:hanging="327"/>
        <w:spacing w:after="0" w:line="272" w:lineRule="auto"/>
        <w:tabs>
          <w:tab w:leader="none" w:pos="44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 tal Expenditures from operating segments below the quantitative thresholds a re attributable to Other Businesses a nd the Corporate Office, as described above. None of these operating segments meet the quantitative thresholds for determining reportable segments.</w:t>
      </w:r>
    </w:p>
    <w:p>
      <w:pPr>
        <w:spacing w:after="0" w:line="24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education division comprises the following operating segments: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3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160" w:type="dxa"/>
            <w:vAlign w:val="bottom"/>
            <w:gridSpan w:val="6"/>
          </w:tcPr>
          <w:p>
            <w:pPr>
              <w:ind w:left="80"/>
              <w:spacing w:after="0"/>
              <w:rPr>
                <w:sz w:val="20"/>
                <w:szCs w:val="20"/>
                <w:color w:val="auto"/>
              </w:rPr>
            </w:pPr>
            <w:r>
              <w:rPr>
                <w:rFonts w:ascii="Times New Roman" w:cs="Times New Roman" w:eastAsia="Times New Roman" w:hAnsi="Times New Roman"/>
                <w:sz w:val="15"/>
                <w:szCs w:val="15"/>
                <w:color w:val="auto"/>
              </w:rPr>
              <w:t>Year E nded December 3 1, 2023</w:t>
            </w: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35"/>
        </w:trPr>
        <w:tc>
          <w:tcPr>
            <w:tcW w:w="3140" w:type="dxa"/>
            <w:vAlign w:val="bottom"/>
          </w:tcPr>
          <w:p>
            <w:pPr>
              <w:spacing w:after="0"/>
              <w:rPr>
                <w:sz w:val="3"/>
                <w:szCs w:val="3"/>
                <w:color w:val="auto"/>
              </w:rPr>
            </w:pPr>
          </w:p>
        </w:tc>
        <w:tc>
          <w:tcPr>
            <w:tcW w:w="920" w:type="dxa"/>
            <w:vAlign w:val="bottom"/>
            <w:tcBorders>
              <w:bottom w:val="single" w:sz="8" w:color="181414"/>
            </w:tcBorders>
          </w:tcPr>
          <w:p>
            <w:pPr>
              <w:spacing w:after="0"/>
              <w:rPr>
                <w:sz w:val="3"/>
                <w:szCs w:val="3"/>
                <w:color w:val="auto"/>
              </w:rPr>
            </w:pPr>
          </w:p>
        </w:tc>
        <w:tc>
          <w:tcPr>
            <w:tcW w:w="180" w:type="dxa"/>
            <w:vAlign w:val="bottom"/>
            <w:tcBorders>
              <w:bottom w:val="single" w:sz="8" w:color="181414"/>
            </w:tcBorders>
          </w:tcPr>
          <w:p>
            <w:pPr>
              <w:spacing w:after="0"/>
              <w:rPr>
                <w:sz w:val="3"/>
                <w:szCs w:val="3"/>
                <w:color w:val="auto"/>
              </w:rPr>
            </w:pPr>
          </w:p>
        </w:tc>
        <w:tc>
          <w:tcPr>
            <w:tcW w:w="720" w:type="dxa"/>
            <w:vAlign w:val="bottom"/>
            <w:tcBorders>
              <w:bottom w:val="single" w:sz="8" w:color="181414"/>
            </w:tcBorders>
          </w:tcPr>
          <w:p>
            <w:pPr>
              <w:spacing w:after="0"/>
              <w:rPr>
                <w:sz w:val="3"/>
                <w:szCs w:val="3"/>
                <w:color w:val="auto"/>
              </w:rPr>
            </w:pPr>
          </w:p>
        </w:tc>
        <w:tc>
          <w:tcPr>
            <w:tcW w:w="200" w:type="dxa"/>
            <w:vAlign w:val="bottom"/>
            <w:tcBorders>
              <w:bottom w:val="single" w:sz="8" w:color="181414"/>
            </w:tcBorders>
          </w:tcPr>
          <w:p>
            <w:pPr>
              <w:spacing w:after="0"/>
              <w:rPr>
                <w:sz w:val="3"/>
                <w:szCs w:val="3"/>
                <w:color w:val="auto"/>
              </w:rPr>
            </w:pPr>
          </w:p>
        </w:tc>
        <w:tc>
          <w:tcPr>
            <w:tcW w:w="940" w:type="dxa"/>
            <w:vAlign w:val="bottom"/>
            <w:tcBorders>
              <w:bottom w:val="single" w:sz="8" w:color="181414"/>
            </w:tcBorders>
          </w:tcPr>
          <w:p>
            <w:pPr>
              <w:spacing w:after="0"/>
              <w:rPr>
                <w:sz w:val="3"/>
                <w:szCs w:val="3"/>
                <w:color w:val="auto"/>
              </w:rPr>
            </w:pPr>
          </w:p>
        </w:tc>
        <w:tc>
          <w:tcPr>
            <w:tcW w:w="200" w:type="dxa"/>
            <w:vAlign w:val="bottom"/>
            <w:tcBorders>
              <w:bottom w:val="single" w:sz="8" w:color="181414"/>
            </w:tcBorders>
          </w:tcPr>
          <w:p>
            <w:pPr>
              <w:spacing w:after="0"/>
              <w:rPr>
                <w:sz w:val="3"/>
                <w:szCs w:val="3"/>
                <w:color w:val="auto"/>
              </w:rPr>
            </w:pPr>
          </w:p>
        </w:tc>
        <w:tc>
          <w:tcPr>
            <w:tcW w:w="720" w:type="dxa"/>
            <w:vAlign w:val="bottom"/>
            <w:tcBorders>
              <w:bottom w:val="single" w:sz="8" w:color="181414"/>
            </w:tcBorders>
          </w:tcPr>
          <w:p>
            <w:pPr>
              <w:spacing w:after="0"/>
              <w:rPr>
                <w:sz w:val="3"/>
                <w:szCs w:val="3"/>
                <w:color w:val="auto"/>
              </w:rPr>
            </w:pPr>
          </w:p>
        </w:tc>
        <w:tc>
          <w:tcPr>
            <w:tcW w:w="200" w:type="dxa"/>
            <w:vAlign w:val="bottom"/>
            <w:tcBorders>
              <w:bottom w:val="single" w:sz="8" w:color="181414"/>
            </w:tcBorders>
          </w:tcPr>
          <w:p>
            <w:pPr>
              <w:spacing w:after="0"/>
              <w:rPr>
                <w:sz w:val="3"/>
                <w:szCs w:val="3"/>
                <w:color w:val="auto"/>
              </w:rPr>
            </w:pPr>
          </w:p>
        </w:tc>
        <w:tc>
          <w:tcPr>
            <w:tcW w:w="900" w:type="dxa"/>
            <w:vAlign w:val="bottom"/>
            <w:tcBorders>
              <w:bottom w:val="single" w:sz="8" w:color="181414"/>
            </w:tcBorders>
          </w:tcPr>
          <w:p>
            <w:pPr>
              <w:spacing w:after="0"/>
              <w:rPr>
                <w:sz w:val="3"/>
                <w:szCs w:val="3"/>
                <w:color w:val="auto"/>
              </w:rPr>
            </w:pPr>
          </w:p>
        </w:tc>
        <w:tc>
          <w:tcPr>
            <w:tcW w:w="200" w:type="dxa"/>
            <w:vAlign w:val="bottom"/>
            <w:tcBorders>
              <w:bottom w:val="single" w:sz="8" w:color="181414"/>
            </w:tcBorders>
          </w:tcPr>
          <w:p>
            <w:pPr>
              <w:spacing w:after="0"/>
              <w:rPr>
                <w:sz w:val="3"/>
                <w:szCs w:val="3"/>
                <w:color w:val="auto"/>
              </w:rPr>
            </w:pPr>
          </w:p>
        </w:tc>
        <w:tc>
          <w:tcPr>
            <w:tcW w:w="800" w:type="dxa"/>
            <w:vAlign w:val="bottom"/>
            <w:tcBorders>
              <w:bottom w:val="single" w:sz="8" w:color="181414"/>
            </w:tcBorders>
          </w:tcPr>
          <w:p>
            <w:pPr>
              <w:spacing w:after="0"/>
              <w:rPr>
                <w:sz w:val="3"/>
                <w:szCs w:val="3"/>
                <w:color w:val="auto"/>
              </w:rPr>
            </w:pPr>
          </w:p>
        </w:tc>
      </w:tr>
      <w:tr>
        <w:trPr>
          <w:trHeight w:val="178"/>
        </w:trPr>
        <w:tc>
          <w:tcPr>
            <w:tcW w:w="3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Kaplan</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62"/>
        </w:trPr>
        <w:tc>
          <w:tcPr>
            <w:tcW w:w="3140" w:type="dxa"/>
            <w:vAlign w:val="bottom"/>
          </w:tcPr>
          <w:p>
            <w:pPr>
              <w:spacing w:after="0"/>
              <w:rPr>
                <w:sz w:val="14"/>
                <w:szCs w:val="14"/>
                <w:color w:val="auto"/>
              </w:rPr>
            </w:pPr>
          </w:p>
        </w:tc>
        <w:tc>
          <w:tcPr>
            <w:tcW w:w="9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Kaplan</w:t>
            </w:r>
          </w:p>
        </w:tc>
        <w:tc>
          <w:tcPr>
            <w:tcW w:w="180" w:type="dxa"/>
            <w:vAlign w:val="bottom"/>
          </w:tcPr>
          <w:p>
            <w:pPr>
              <w:spacing w:after="0"/>
              <w:rPr>
                <w:sz w:val="14"/>
                <w:szCs w:val="14"/>
                <w:color w:val="auto"/>
              </w:rPr>
            </w:pPr>
          </w:p>
        </w:tc>
        <w:tc>
          <w:tcPr>
            <w:tcW w:w="72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Higher</w:t>
            </w:r>
          </w:p>
        </w:tc>
        <w:tc>
          <w:tcPr>
            <w:tcW w:w="1140" w:type="dxa"/>
            <w:vAlign w:val="bottom"/>
            <w:gridSpan w:val="2"/>
          </w:tcPr>
          <w:p>
            <w:pPr>
              <w:jc w:val="center"/>
              <w:ind w:left="84"/>
              <w:spacing w:after="0" w:line="162" w:lineRule="exact"/>
              <w:rPr>
                <w:sz w:val="20"/>
                <w:szCs w:val="20"/>
                <w:color w:val="auto"/>
              </w:rPr>
            </w:pPr>
            <w:r>
              <w:rPr>
                <w:rFonts w:ascii="Times New Roman" w:cs="Times New Roman" w:eastAsia="Times New Roman" w:hAnsi="Times New Roman"/>
                <w:sz w:val="15"/>
                <w:szCs w:val="15"/>
                <w:color w:val="auto"/>
              </w:rPr>
              <w:t>S upplemental</w:t>
            </w:r>
          </w:p>
        </w:tc>
        <w:tc>
          <w:tcPr>
            <w:tcW w:w="920" w:type="dxa"/>
            <w:vAlign w:val="bottom"/>
            <w:gridSpan w:val="2"/>
          </w:tcPr>
          <w:p>
            <w:pPr>
              <w:jc w:val="center"/>
              <w:ind w:left="84"/>
              <w:spacing w:after="0" w:line="162" w:lineRule="exact"/>
              <w:rPr>
                <w:sz w:val="20"/>
                <w:szCs w:val="20"/>
                <w:color w:val="auto"/>
              </w:rPr>
            </w:pPr>
            <w:r>
              <w:rPr>
                <w:rFonts w:ascii="Times New Roman" w:cs="Times New Roman" w:eastAsia="Times New Roman" w:hAnsi="Times New Roman"/>
                <w:sz w:val="15"/>
                <w:szCs w:val="15"/>
                <w:color w:val="auto"/>
              </w:rPr>
              <w:t>Corporate</w:t>
            </w:r>
          </w:p>
        </w:tc>
        <w:tc>
          <w:tcPr>
            <w:tcW w:w="1100" w:type="dxa"/>
            <w:vAlign w:val="bottom"/>
            <w:gridSpan w:val="2"/>
          </w:tcPr>
          <w:p>
            <w:pPr>
              <w:jc w:val="center"/>
              <w:ind w:left="104"/>
              <w:spacing w:after="0" w:line="162" w:lineRule="exact"/>
              <w:rPr>
                <w:sz w:val="20"/>
                <w:szCs w:val="20"/>
                <w:color w:val="auto"/>
              </w:rPr>
            </w:pPr>
            <w:r>
              <w:rPr>
                <w:rFonts w:ascii="Times New Roman" w:cs="Times New Roman" w:eastAsia="Times New Roman" w:hAnsi="Times New Roman"/>
                <w:sz w:val="15"/>
                <w:szCs w:val="15"/>
                <w:color w:val="auto"/>
              </w:rPr>
              <w:t>Intersegme nt</w:t>
            </w:r>
          </w:p>
        </w:tc>
        <w:tc>
          <w:tcPr>
            <w:tcW w:w="200" w:type="dxa"/>
            <w:vAlign w:val="bottom"/>
          </w:tcPr>
          <w:p>
            <w:pPr>
              <w:spacing w:after="0"/>
              <w:rPr>
                <w:sz w:val="14"/>
                <w:szCs w:val="14"/>
                <w:color w:val="auto"/>
              </w:rPr>
            </w:pPr>
          </w:p>
        </w:tc>
        <w:tc>
          <w:tcPr>
            <w:tcW w:w="800" w:type="dxa"/>
            <w:vAlign w:val="bottom"/>
          </w:tcPr>
          <w:p>
            <w:pPr>
              <w:jc w:val="center"/>
              <w:spacing w:after="0" w:line="162" w:lineRule="exact"/>
              <w:rPr>
                <w:sz w:val="20"/>
                <w:szCs w:val="20"/>
                <w:color w:val="auto"/>
              </w:rPr>
            </w:pPr>
            <w:r>
              <w:rPr>
                <w:rFonts w:ascii="Times New Roman" w:cs="Times New Roman" w:eastAsia="Times New Roman" w:hAnsi="Times New Roman"/>
                <w:sz w:val="15"/>
                <w:szCs w:val="15"/>
                <w:color w:val="auto"/>
              </w:rPr>
              <w:t>Total</w:t>
            </w:r>
          </w:p>
        </w:tc>
      </w:tr>
      <w:tr>
        <w:trPr>
          <w:trHeight w:val="168"/>
        </w:trPr>
        <w:tc>
          <w:tcPr>
            <w:tcW w:w="3140" w:type="dxa"/>
            <w:vAlign w:val="bottom"/>
          </w:tcPr>
          <w:p>
            <w:pPr>
              <w:spacing w:after="0" w:line="168" w:lineRule="exact"/>
              <w:rPr>
                <w:sz w:val="20"/>
                <w:szCs w:val="20"/>
                <w:color w:val="auto"/>
              </w:rPr>
            </w:pPr>
            <w:r>
              <w:rPr>
                <w:rFonts w:ascii="Times New Roman" w:cs="Times New Roman" w:eastAsia="Times New Roman" w:hAnsi="Times New Roman"/>
                <w:sz w:val="15"/>
                <w:szCs w:val="15"/>
                <w:color w:val="auto"/>
              </w:rPr>
              <w:t>(in thousands)</w:t>
            </w:r>
          </w:p>
        </w:tc>
        <w:tc>
          <w:tcPr>
            <w:tcW w:w="92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International</w:t>
            </w:r>
          </w:p>
        </w:tc>
        <w:tc>
          <w:tcPr>
            <w:tcW w:w="180" w:type="dxa"/>
            <w:vAlign w:val="bottom"/>
          </w:tcPr>
          <w:p>
            <w:pPr>
              <w:spacing w:after="0"/>
              <w:rPr>
                <w:sz w:val="14"/>
                <w:szCs w:val="14"/>
                <w:color w:val="auto"/>
              </w:rPr>
            </w:pPr>
          </w:p>
        </w:tc>
        <w:tc>
          <w:tcPr>
            <w:tcW w:w="72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200" w:type="dxa"/>
            <w:vAlign w:val="bottom"/>
          </w:tcPr>
          <w:p>
            <w:pPr>
              <w:spacing w:after="0"/>
              <w:rPr>
                <w:sz w:val="14"/>
                <w:szCs w:val="14"/>
                <w:color w:val="auto"/>
              </w:rPr>
            </w:pPr>
          </w:p>
        </w:tc>
        <w:tc>
          <w:tcPr>
            <w:tcW w:w="94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Education</w:t>
            </w:r>
          </w:p>
        </w:tc>
        <w:tc>
          <w:tcPr>
            <w:tcW w:w="920" w:type="dxa"/>
            <w:vAlign w:val="bottom"/>
            <w:gridSpan w:val="2"/>
          </w:tcPr>
          <w:p>
            <w:pPr>
              <w:jc w:val="center"/>
              <w:ind w:left="64"/>
              <w:spacing w:after="0" w:line="168" w:lineRule="exact"/>
              <w:rPr>
                <w:sz w:val="20"/>
                <w:szCs w:val="20"/>
                <w:color w:val="auto"/>
              </w:rPr>
            </w:pPr>
            <w:r>
              <w:rPr>
                <w:rFonts w:ascii="Times New Roman" w:cs="Times New Roman" w:eastAsia="Times New Roman" w:hAnsi="Times New Roman"/>
                <w:sz w:val="15"/>
                <w:szCs w:val="15"/>
                <w:color w:val="auto"/>
              </w:rPr>
              <w:t>and Other</w:t>
            </w:r>
          </w:p>
        </w:tc>
        <w:tc>
          <w:tcPr>
            <w:tcW w:w="200" w:type="dxa"/>
            <w:vAlign w:val="bottom"/>
          </w:tcPr>
          <w:p>
            <w:pPr>
              <w:spacing w:after="0"/>
              <w:rPr>
                <w:sz w:val="14"/>
                <w:szCs w:val="14"/>
                <w:color w:val="auto"/>
              </w:rPr>
            </w:pPr>
          </w:p>
        </w:tc>
        <w:tc>
          <w:tcPr>
            <w:tcW w:w="90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Elimination</w:t>
            </w:r>
          </w:p>
        </w:tc>
        <w:tc>
          <w:tcPr>
            <w:tcW w:w="200" w:type="dxa"/>
            <w:vAlign w:val="bottom"/>
          </w:tcPr>
          <w:p>
            <w:pPr>
              <w:spacing w:after="0"/>
              <w:rPr>
                <w:sz w:val="14"/>
                <w:szCs w:val="14"/>
                <w:color w:val="auto"/>
              </w:rPr>
            </w:pPr>
          </w:p>
        </w:tc>
        <w:tc>
          <w:tcPr>
            <w:tcW w:w="800" w:type="dxa"/>
            <w:vAlign w:val="bottom"/>
          </w:tcPr>
          <w:p>
            <w:pPr>
              <w:jc w:val="center"/>
              <w:spacing w:after="0" w:line="168" w:lineRule="exact"/>
              <w:rPr>
                <w:sz w:val="20"/>
                <w:szCs w:val="20"/>
                <w:color w:val="auto"/>
              </w:rPr>
            </w:pPr>
            <w:r>
              <w:rPr>
                <w:rFonts w:ascii="Times New Roman" w:cs="Times New Roman" w:eastAsia="Times New Roman" w:hAnsi="Times New Roman"/>
                <w:sz w:val="15"/>
                <w:szCs w:val="15"/>
                <w:color w:val="auto"/>
              </w:rPr>
              <w:t>Ed ucation</w:t>
            </w:r>
          </w:p>
        </w:tc>
      </w:tr>
      <w:tr>
        <w:trPr>
          <w:trHeight w:val="35"/>
        </w:trPr>
        <w:tc>
          <w:tcPr>
            <w:tcW w:w="3140" w:type="dxa"/>
            <w:vAlign w:val="bottom"/>
          </w:tcPr>
          <w:p>
            <w:pPr>
              <w:spacing w:after="0"/>
              <w:rPr>
                <w:sz w:val="3"/>
                <w:szCs w:val="3"/>
                <w:color w:val="auto"/>
              </w:rPr>
            </w:pPr>
          </w:p>
        </w:tc>
        <w:tc>
          <w:tcPr>
            <w:tcW w:w="920" w:type="dxa"/>
            <w:vAlign w:val="bottom"/>
            <w:tcBorders>
              <w:bottom w:val="single" w:sz="8" w:color="181414"/>
            </w:tcBorders>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72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Borders>
              <w:bottom w:val="single" w:sz="8" w:color="181414"/>
            </w:tcBorders>
          </w:tcPr>
          <w:p>
            <w:pPr>
              <w:spacing w:after="0"/>
              <w:rPr>
                <w:sz w:val="3"/>
                <w:szCs w:val="3"/>
                <w:color w:val="auto"/>
              </w:rPr>
            </w:pPr>
          </w:p>
        </w:tc>
      </w:tr>
    </w:tbl>
    <w:p>
      <w:pPr>
        <w:spacing w:after="0" w:line="41"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Revenues . .. .... . . ..</w:t>
            </w: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rPr>
              <w:t>...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966,879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326,961</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292,776</w:t>
            </w:r>
          </w:p>
        </w:tc>
        <w:tc>
          <w:tcPr>
            <w:tcW w:w="180" w:type="dxa"/>
            <w:vAlign w:val="bottom"/>
          </w:tcPr>
          <w:p>
            <w:pPr>
              <w:spacing w:after="0"/>
              <w:rPr>
                <w:sz w:val="17"/>
                <w:szCs w:val="17"/>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11,012</w:t>
            </w:r>
          </w:p>
        </w:tc>
        <w:tc>
          <w:tcPr>
            <w:tcW w:w="200" w:type="dxa"/>
            <w:vAlign w:val="bottom"/>
          </w:tcPr>
          <w:p>
            <w:pPr>
              <w:spacing w:after="0"/>
              <w:rPr>
                <w:sz w:val="17"/>
                <w:szCs w:val="17"/>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(10,047)</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1,587,581</w:t>
            </w:r>
          </w:p>
        </w:tc>
        <w:tc>
          <w:tcPr>
            <w:tcW w:w="0" w:type="dxa"/>
            <w:vAlign w:val="bottom"/>
          </w:tcPr>
          <w:p>
            <w:pPr>
              <w:spacing w:after="0"/>
              <w:rPr>
                <w:sz w:val="1"/>
                <w:szCs w:val="1"/>
                <w:color w:val="auto"/>
              </w:rPr>
            </w:pPr>
          </w:p>
        </w:tc>
      </w:tr>
      <w:tr>
        <w:trPr>
          <w:trHeight w:val="217"/>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i w:val="1"/>
                <w:iCs w:val="1"/>
                <w:color w:val="auto"/>
              </w:rPr>
              <w:t xml:space="preserve">Less: Significant Expenses </w:t>
            </w:r>
            <w:r>
              <w:rPr>
                <w:rFonts w:ascii="Times New Roman" w:cs="Times New Roman" w:eastAsia="Times New Roman" w:hAnsi="Times New Roman"/>
                <w:sz w:val="11"/>
                <w:szCs w:val="11"/>
                <w:i w:val="1"/>
                <w:iCs w:val="1"/>
                <w:color w:val="auto"/>
              </w:rPr>
              <w:t>(I)</w:t>
            </w: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80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Cost </w:t>
            </w:r>
            <w:r>
              <w:rPr>
                <w:rFonts w:ascii="Times New Roman" w:cs="Times New Roman" w:eastAsia="Times New Roman" w:hAnsi="Times New Roman"/>
                <w:sz w:val="15"/>
                <w:szCs w:val="15"/>
                <w:color w:val="auto"/>
              </w:rPr>
              <w:t>of Reven ue</w:t>
            </w:r>
            <w:r>
              <w:rPr>
                <w:rFonts w:ascii="Times New Roman" w:cs="Times New Roman" w:eastAsia="Times New Roman" w:hAnsi="Times New Roman"/>
                <w:sz w:val="17"/>
                <w:szCs w:val="17"/>
                <w:color w:val="auto"/>
              </w:rPr>
              <w:t xml:space="preserve"> </w:t>
            </w:r>
            <w:r>
              <w:rPr>
                <w:rFonts w:ascii="Arial" w:cs="Arial" w:eastAsia="Arial" w:hAnsi="Arial"/>
                <w:sz w:val="16"/>
                <w:szCs w:val="16"/>
                <w:color w:val="auto"/>
              </w:rPr>
              <w:t>&lt;2&gt;</w:t>
            </w:r>
          </w:p>
        </w:tc>
        <w:tc>
          <w:tcPr>
            <w:tcW w:w="840" w:type="dxa"/>
            <w:vAlign w:val="bottom"/>
          </w:tcPr>
          <w:p>
            <w:pPr>
              <w:jc w:val="right"/>
              <w:spacing w:after="0"/>
              <w:rPr>
                <w:sz w:val="20"/>
                <w:szCs w:val="20"/>
                <w:color w:val="auto"/>
              </w:rPr>
            </w:pPr>
            <w:r>
              <w:rPr>
                <w:rFonts w:ascii="Arial" w:cs="Arial" w:eastAsia="Arial" w:hAnsi="Arial"/>
                <w:sz w:val="16"/>
                <w:szCs w:val="16"/>
                <w:color w:val="auto"/>
              </w:rPr>
              <w:t>.. . .. ....</w:t>
            </w:r>
          </w:p>
        </w:tc>
        <w:tc>
          <w:tcPr>
            <w:tcW w:w="460" w:type="dxa"/>
            <w:vAlign w:val="bottom"/>
          </w:tcPr>
          <w:p>
            <w:pPr>
              <w:jc w:val="right"/>
              <w:ind w:right="85"/>
              <w:spacing w:after="0"/>
              <w:rPr>
                <w:sz w:val="20"/>
                <w:szCs w:val="20"/>
                <w:color w:val="auto"/>
              </w:rPr>
            </w:pPr>
            <w:r>
              <w:rPr>
                <w:rFonts w:ascii="Arial" w:cs="Arial" w:eastAsia="Arial" w:hAnsi="Arial"/>
                <w:sz w:val="16"/>
                <w:szCs w:val="16"/>
                <w:color w:val="auto"/>
                <w:w w:val="89"/>
              </w:rPr>
              <w:t>. . .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4"/>
              </w:rPr>
              <w:t>320, 183</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254,378</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55, 162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(5,992)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623,731</w:t>
            </w:r>
          </w:p>
        </w:tc>
        <w:tc>
          <w:tcPr>
            <w:tcW w:w="0" w:type="dxa"/>
            <w:vAlign w:val="bottom"/>
          </w:tcPr>
          <w:p>
            <w:pPr>
              <w:spacing w:after="0"/>
              <w:rPr>
                <w:sz w:val="1"/>
                <w:szCs w:val="1"/>
                <w:color w:val="auto"/>
              </w:rPr>
            </w:pPr>
          </w:p>
        </w:tc>
      </w:tr>
      <w:tr>
        <w:trPr>
          <w:trHeight w:val="219"/>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Payroll and Fringe B enefits</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6"/>
        </w:trPr>
        <w:tc>
          <w:tcPr>
            <w:tcW w:w="1800" w:type="dxa"/>
            <w:vAlign w:val="bottom"/>
          </w:tcPr>
          <w:p>
            <w:pPr>
              <w:ind w:left="1240"/>
              <w:spacing w:after="0" w:line="136" w:lineRule="exact"/>
              <w:rPr>
                <w:sz w:val="20"/>
                <w:szCs w:val="20"/>
                <w:color w:val="auto"/>
              </w:rPr>
            </w:pPr>
            <w:r>
              <w:rPr>
                <w:rFonts w:ascii="Times New Roman" w:cs="Times New Roman" w:eastAsia="Times New Roman" w:hAnsi="Times New Roman"/>
                <w:sz w:val="12"/>
                <w:szCs w:val="12"/>
                <w:color w:val="auto"/>
              </w:rPr>
              <w:t>3</w:t>
            </w:r>
          </w:p>
        </w:tc>
        <w:tc>
          <w:tcPr>
            <w:tcW w:w="1300" w:type="dxa"/>
            <w:vAlign w:val="bottom"/>
            <w:gridSpan w:val="2"/>
            <w:vMerge w:val="restart"/>
          </w:tcPr>
          <w:p>
            <w:pPr>
              <w:jc w:val="right"/>
              <w:ind w:right="345"/>
              <w:spacing w:after="0"/>
              <w:rPr>
                <w:sz w:val="20"/>
                <w:szCs w:val="20"/>
                <w:color w:val="auto"/>
              </w:rPr>
            </w:pPr>
            <w:r>
              <w:rPr>
                <w:rFonts w:ascii="Arial" w:cs="Arial" w:eastAsia="Arial" w:hAnsi="Arial"/>
                <w:sz w:val="13"/>
                <w:szCs w:val="13"/>
                <w:color w:val="auto"/>
              </w:rPr>
              <w:t>•. ...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267,878</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17,334</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127,396</w:t>
            </w: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22,823</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(2,70 1)</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432,730</w:t>
            </w:r>
          </w:p>
        </w:tc>
        <w:tc>
          <w:tcPr>
            <w:tcW w:w="0" w:type="dxa"/>
            <w:vAlign w:val="bottom"/>
          </w:tcPr>
          <w:p>
            <w:pPr>
              <w:spacing w:after="0"/>
              <w:rPr>
                <w:sz w:val="1"/>
                <w:szCs w:val="1"/>
                <w:color w:val="auto"/>
              </w:rPr>
            </w:pPr>
          </w:p>
        </w:tc>
      </w:tr>
      <w:tr>
        <w:trPr>
          <w:trHeight w:val="107"/>
        </w:trPr>
        <w:tc>
          <w:tcPr>
            <w:tcW w:w="1800" w:type="dxa"/>
            <w:vAlign w:val="bottom"/>
          </w:tcPr>
          <w:p>
            <w:pPr>
              <w:ind w:left="540"/>
              <w:spacing w:after="0" w:line="107" w:lineRule="exact"/>
              <w:rPr>
                <w:sz w:val="20"/>
                <w:szCs w:val="20"/>
                <w:color w:val="auto"/>
              </w:rPr>
            </w:pPr>
            <w:r>
              <w:rPr>
                <w:rFonts w:ascii="Times New Roman" w:cs="Times New Roman" w:eastAsia="Times New Roman" w:hAnsi="Times New Roman"/>
                <w:sz w:val="11"/>
                <w:szCs w:val="11"/>
                <w:color w:val="auto"/>
              </w:rPr>
              <w:t xml:space="preserve">Expense </w:t>
            </w:r>
            <w:r>
              <w:rPr>
                <w:rFonts w:ascii="Arial" w:cs="Arial" w:eastAsia="Arial" w:hAnsi="Arial"/>
                <w:sz w:val="8"/>
                <w:szCs w:val="8"/>
                <w:color w:val="auto"/>
              </w:rPr>
              <w:t>&lt;</w:t>
            </w:r>
            <w:r>
              <w:rPr>
                <w:rFonts w:ascii="Times New Roman" w:cs="Times New Roman" w:eastAsia="Times New Roman" w:hAnsi="Times New Roman"/>
                <w:sz w:val="11"/>
                <w:szCs w:val="11"/>
                <w:color w:val="auto"/>
              </w:rPr>
              <w:t xml:space="preserve"> </w:t>
            </w:r>
            <w:r>
              <w:rPr>
                <w:rFonts w:ascii="Arial" w:cs="Arial" w:eastAsia="Arial" w:hAnsi="Arial"/>
                <w:sz w:val="9"/>
                <w:szCs w:val="9"/>
                <w:color w:val="auto"/>
              </w:rPr>
              <w:t>&gt;  . ...</w:t>
            </w:r>
          </w:p>
        </w:tc>
        <w:tc>
          <w:tcPr>
            <w:tcW w:w="840" w:type="dxa"/>
            <w:vAlign w:val="bottom"/>
            <w:vMerge w:val="continue"/>
          </w:tcPr>
          <w:p>
            <w:pPr>
              <w:spacing w:after="0"/>
              <w:rPr>
                <w:sz w:val="9"/>
                <w:szCs w:val="9"/>
                <w:color w:val="auto"/>
              </w:rPr>
            </w:pPr>
          </w:p>
        </w:tc>
        <w:tc>
          <w:tcPr>
            <w:tcW w:w="460" w:type="dxa"/>
            <w:vAlign w:val="bottom"/>
          </w:tcPr>
          <w:p>
            <w:pPr>
              <w:jc w:val="right"/>
              <w:ind w:right="85"/>
              <w:spacing w:after="0" w:line="107" w:lineRule="exact"/>
              <w:rPr>
                <w:sz w:val="20"/>
                <w:szCs w:val="20"/>
                <w:color w:val="auto"/>
              </w:rPr>
            </w:pPr>
            <w:r>
              <w:rPr>
                <w:rFonts w:ascii="Arial" w:cs="Arial" w:eastAsia="Arial" w:hAnsi="Arial"/>
                <w:sz w:val="12"/>
                <w:szCs w:val="12"/>
                <w:color w:val="auto"/>
              </w:rPr>
              <w:t>...</w:t>
            </w: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640" w:type="dxa"/>
            <w:vAlign w:val="bottom"/>
            <w:gridSpan w:val="2"/>
          </w:tcPr>
          <w:p>
            <w:pPr>
              <w:ind w:left="360"/>
              <w:spacing w:after="0" w:line="187" w:lineRule="exact"/>
              <w:rPr>
                <w:sz w:val="20"/>
                <w:szCs w:val="20"/>
                <w:color w:val="auto"/>
              </w:rPr>
            </w:pPr>
            <w:r>
              <w:rPr>
                <w:rFonts w:ascii="Times New Roman" w:cs="Times New Roman" w:eastAsia="Times New Roman" w:hAnsi="Times New Roman"/>
                <w:sz w:val="17"/>
                <w:szCs w:val="17"/>
                <w:color w:val="auto"/>
              </w:rPr>
              <w:t>Occupancy Expense  . . ... ...</w:t>
            </w:r>
          </w:p>
        </w:tc>
        <w:tc>
          <w:tcPr>
            <w:tcW w:w="460" w:type="dxa"/>
            <w:vAlign w:val="bottom"/>
          </w:tcPr>
          <w:p>
            <w:pPr>
              <w:jc w:val="right"/>
              <w:ind w:right="85"/>
              <w:spacing w:after="0" w:line="187" w:lineRule="exact"/>
              <w:rPr>
                <w:sz w:val="20"/>
                <w:szCs w:val="20"/>
                <w:color w:val="auto"/>
              </w:rPr>
            </w:pPr>
            <w:r>
              <w:rPr>
                <w:rFonts w:ascii="Times New Roman" w:cs="Times New Roman" w:eastAsia="Times New Roman" w:hAnsi="Times New Roman"/>
                <w:sz w:val="17"/>
                <w:szCs w:val="17"/>
                <w:color w:val="auto"/>
                <w:w w:val="93"/>
              </w:rPr>
              <w:t>. . . .</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96,636</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1,044</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1 1,035</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2"/>
          </w:tcPr>
          <w:p>
            <w:pPr>
              <w:jc w:val="right"/>
              <w:ind w:right="140"/>
              <w:spacing w:after="0" w:line="187" w:lineRule="exact"/>
              <w:rPr>
                <w:sz w:val="20"/>
                <w:szCs w:val="20"/>
                <w:color w:val="auto"/>
              </w:rPr>
            </w:pPr>
            <w:r>
              <w:rPr>
                <w:rFonts w:ascii="Times New Roman" w:cs="Times New Roman" w:eastAsia="Times New Roman" w:hAnsi="Times New Roman"/>
                <w:sz w:val="17"/>
                <w:szCs w:val="17"/>
                <w:color w:val="auto"/>
              </w:rPr>
              <w:t>(3 12)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rPr>
              <w:t>112,230</w:t>
            </w:r>
          </w:p>
        </w:tc>
        <w:tc>
          <w:tcPr>
            <w:tcW w:w="0" w:type="dxa"/>
            <w:vAlign w:val="bottom"/>
          </w:tcPr>
          <w:p>
            <w:pPr>
              <w:spacing w:after="0"/>
              <w:rPr>
                <w:sz w:val="1"/>
                <w:szCs w:val="1"/>
                <w:color w:val="auto"/>
              </w:rPr>
            </w:pPr>
          </w:p>
        </w:tc>
      </w:tr>
      <w:tr>
        <w:trPr>
          <w:trHeight w:val="219"/>
        </w:trPr>
        <w:tc>
          <w:tcPr>
            <w:tcW w:w="2640" w:type="dxa"/>
            <w:vAlign w:val="bottom"/>
            <w:gridSpan w:val="2"/>
          </w:tcPr>
          <w:p>
            <w:pPr>
              <w:ind w:left="36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gridSpan w:val="3"/>
          </w:tcPr>
          <w:p>
            <w:pPr>
              <w:ind w:left="540"/>
              <w:spacing w:after="0"/>
              <w:rPr>
                <w:sz w:val="20"/>
                <w:szCs w:val="20"/>
                <w:color w:val="auto"/>
              </w:rPr>
            </w:pPr>
            <w:r>
              <w:rPr>
                <w:rFonts w:ascii="Times New Roman" w:cs="Times New Roman" w:eastAsia="Times New Roman" w:hAnsi="Times New Roman"/>
                <w:sz w:val="17"/>
                <w:szCs w:val="17"/>
                <w:color w:val="auto"/>
              </w:rPr>
              <w:t>Expense  ... . . .. . . ......... .</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30,654</w:t>
            </w: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5, 123</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64,427</w:t>
            </w:r>
          </w:p>
        </w:tc>
        <w:tc>
          <w:tcPr>
            <w:tcW w:w="0" w:type="dxa"/>
            <w:vAlign w:val="bottom"/>
          </w:tcPr>
          <w:p>
            <w:pPr>
              <w:spacing w:after="0"/>
              <w:rPr>
                <w:sz w:val="1"/>
                <w:szCs w:val="1"/>
                <w:color w:val="auto"/>
              </w:rPr>
            </w:pPr>
          </w:p>
        </w:tc>
      </w:tr>
      <w:tr>
        <w:trPr>
          <w:trHeight w:val="136"/>
        </w:trPr>
        <w:tc>
          <w:tcPr>
            <w:tcW w:w="1800" w:type="dxa"/>
            <w:vAlign w:val="bottom"/>
          </w:tcPr>
          <w:p>
            <w:pPr>
              <w:spacing w:after="0"/>
              <w:rPr>
                <w:sz w:val="11"/>
                <w:szCs w:val="11"/>
                <w:color w:val="auto"/>
              </w:rPr>
            </w:pPr>
          </w:p>
        </w:tc>
        <w:tc>
          <w:tcPr>
            <w:tcW w:w="840" w:type="dxa"/>
            <w:vAlign w:val="bottom"/>
          </w:tcPr>
          <w:p>
            <w:pPr>
              <w:jc w:val="right"/>
              <w:ind w:right="541"/>
              <w:spacing w:after="0" w:line="136" w:lineRule="exact"/>
              <w:rPr>
                <w:sz w:val="20"/>
                <w:szCs w:val="20"/>
                <w:color w:val="auto"/>
              </w:rPr>
            </w:pPr>
            <w:r>
              <w:rPr>
                <w:rFonts w:ascii="Times New Roman" w:cs="Times New Roman" w:eastAsia="Times New Roman" w:hAnsi="Times New Roman"/>
                <w:sz w:val="12"/>
                <w:szCs w:val="12"/>
                <w:color w:val="auto"/>
              </w:rPr>
              <w:t>4</w:t>
            </w:r>
          </w:p>
        </w:tc>
        <w:tc>
          <w:tcPr>
            <w:tcW w:w="460" w:type="dxa"/>
            <w:vAlign w:val="bottom"/>
            <w:vMerge w:val="restart"/>
          </w:tcPr>
          <w:p>
            <w:pPr>
              <w:jc w:val="right"/>
              <w:ind w:right="265"/>
              <w:spacing w:after="0"/>
              <w:rPr>
                <w:sz w:val="20"/>
                <w:szCs w:val="20"/>
                <w:color w:val="auto"/>
              </w:rPr>
            </w:pPr>
            <w:r>
              <w:rPr>
                <w:rFonts w:ascii="Arial" w:cs="Arial" w:eastAsia="Arial" w:hAnsi="Arial"/>
                <w:sz w:val="14"/>
                <w:szCs w:val="14"/>
                <w:color w:val="auto"/>
                <w:w w:val="78"/>
              </w:rPr>
              <w:t>• .</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94"/>
              </w:rPr>
              <w:t>135, 172</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1,987</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auto"/>
              </w:rPr>
              <w:t>46,38 1</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5,8 18</w:t>
            </w: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7"/>
                <w:szCs w:val="17"/>
                <w:color w:val="auto"/>
              </w:rPr>
              <w:t>(1,0 13)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188,345</w:t>
            </w:r>
          </w:p>
        </w:tc>
        <w:tc>
          <w:tcPr>
            <w:tcW w:w="0" w:type="dxa"/>
            <w:vAlign w:val="bottom"/>
          </w:tcPr>
          <w:p>
            <w:pPr>
              <w:spacing w:after="0"/>
              <w:rPr>
                <w:sz w:val="1"/>
                <w:szCs w:val="1"/>
                <w:color w:val="auto"/>
              </w:rPr>
            </w:pPr>
          </w:p>
        </w:tc>
      </w:tr>
      <w:tr>
        <w:trPr>
          <w:trHeight w:val="124"/>
        </w:trPr>
        <w:tc>
          <w:tcPr>
            <w:tcW w:w="2640" w:type="dxa"/>
            <w:vAlign w:val="bottom"/>
            <w:gridSpan w:val="2"/>
          </w:tcPr>
          <w:p>
            <w:pPr>
              <w:ind w:left="360"/>
              <w:spacing w:after="0" w:line="124" w:lineRule="exact"/>
              <w:rPr>
                <w:sz w:val="20"/>
                <w:szCs w:val="20"/>
                <w:color w:val="auto"/>
              </w:rPr>
            </w:pPr>
            <w:r>
              <w:rPr>
                <w:rFonts w:ascii="Times New Roman" w:cs="Times New Roman" w:eastAsia="Times New Roman" w:hAnsi="Times New Roman"/>
                <w:sz w:val="14"/>
                <w:szCs w:val="14"/>
                <w:color w:val="auto"/>
              </w:rPr>
              <w:t xml:space="preserve">Other Segment Items </w:t>
            </w:r>
            <w:r>
              <w:rPr>
                <w:rFonts w:ascii="Times New Roman" w:cs="Times New Roman" w:eastAsia="Times New Roman" w:hAnsi="Times New Roman"/>
                <w:sz w:val="8"/>
                <w:szCs w:val="8"/>
                <w:color w:val="auto"/>
              </w:rPr>
              <w:t>&lt;</w:t>
            </w:r>
            <w:r>
              <w:rPr>
                <w:rFonts w:ascii="Times New Roman" w:cs="Times New Roman" w:eastAsia="Times New Roman" w:hAnsi="Times New Roman"/>
                <w:sz w:val="14"/>
                <w:szCs w:val="14"/>
                <w:color w:val="auto"/>
              </w:rPr>
              <w:t xml:space="preserve"> </w:t>
            </w:r>
            <w:r>
              <w:rPr>
                <w:rFonts w:ascii="Arial" w:cs="Arial" w:eastAsia="Arial" w:hAnsi="Arial"/>
                <w:sz w:val="11"/>
                <w:szCs w:val="11"/>
                <w:color w:val="auto"/>
              </w:rPr>
              <w:t>&gt; . . ...</w:t>
            </w:r>
          </w:p>
        </w:tc>
        <w:tc>
          <w:tcPr>
            <w:tcW w:w="460" w:type="dxa"/>
            <w:vAlign w:val="bottom"/>
            <w:vMerge w:val="continue"/>
          </w:tcPr>
          <w:p>
            <w:pPr>
              <w:jc w:val="right"/>
              <w:ind w:right="85"/>
              <w:spacing w:after="0" w:line="48" w:lineRule="exact"/>
              <w:rPr>
                <w:sz w:val="20"/>
                <w:szCs w:val="20"/>
                <w:color w:val="auto"/>
              </w:rPr>
            </w:pPr>
            <w:r>
              <w:rPr>
                <w:rFonts w:ascii="Arial" w:cs="Arial" w:eastAsia="Arial" w:hAnsi="Arial"/>
                <w:sz w:val="5"/>
                <w:szCs w:val="5"/>
                <w:color w:val="auto"/>
              </w:rPr>
              <w:t>..</w:t>
            </w:r>
          </w:p>
        </w:tc>
        <w:tc>
          <w:tcPr>
            <w:tcW w:w="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80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EBITDAP  . . .. ... . . ...</w:t>
            </w:r>
          </w:p>
        </w:tc>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2"/>
            <w:shd w:val="clear" w:color="auto" w:fill="504C4C"/>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504C4C"/>
          </w:tcPr>
          <w:p>
            <w:pPr>
              <w:spacing w:after="0" w:line="20" w:lineRule="exact"/>
              <w:rPr>
                <w:sz w:val="1"/>
                <w:szCs w:val="1"/>
                <w:color w:val="auto"/>
              </w:rPr>
            </w:pPr>
          </w:p>
        </w:tc>
        <w:tc>
          <w:tcPr>
            <w:tcW w:w="600" w:type="dxa"/>
            <w:vAlign w:val="bottom"/>
            <w:shd w:val="clear" w:color="auto" w:fill="504C4C"/>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504C4C"/>
          </w:tcPr>
          <w:p>
            <w:pPr>
              <w:spacing w:after="0" w:line="20" w:lineRule="exact"/>
              <w:rPr>
                <w:sz w:val="1"/>
                <w:szCs w:val="1"/>
                <w:color w:val="auto"/>
              </w:rPr>
            </w:pPr>
          </w:p>
        </w:tc>
        <w:tc>
          <w:tcPr>
            <w:tcW w:w="580" w:type="dxa"/>
            <w:vAlign w:val="bottom"/>
            <w:shd w:val="clear" w:color="auto" w:fill="504C4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504C4C"/>
          </w:tcPr>
          <w:p>
            <w:pPr>
              <w:spacing w:after="0" w:line="20" w:lineRule="exact"/>
              <w:rPr>
                <w:sz w:val="1"/>
                <w:szCs w:val="1"/>
                <w:color w:val="auto"/>
              </w:rPr>
            </w:pPr>
          </w:p>
        </w:tc>
        <w:tc>
          <w:tcPr>
            <w:tcW w:w="560" w:type="dxa"/>
            <w:vAlign w:val="bottom"/>
            <w:shd w:val="clear" w:color="auto" w:fill="504C4C"/>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504C4C"/>
          </w:tcPr>
          <w:p>
            <w:pPr>
              <w:spacing w:after="0" w:line="20" w:lineRule="exact"/>
              <w:rPr>
                <w:sz w:val="1"/>
                <w:szCs w:val="1"/>
                <w:color w:val="auto"/>
              </w:rPr>
            </w:pPr>
          </w:p>
        </w:tc>
        <w:tc>
          <w:tcPr>
            <w:tcW w:w="580" w:type="dxa"/>
            <w:vAlign w:val="bottom"/>
            <w:shd w:val="clear" w:color="auto" w:fill="504C4C"/>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504C4C"/>
          </w:tcPr>
          <w:p>
            <w:pPr>
              <w:spacing w:after="0" w:line="20" w:lineRule="exact"/>
              <w:rPr>
                <w:sz w:val="1"/>
                <w:szCs w:val="1"/>
                <w:color w:val="auto"/>
              </w:rPr>
            </w:pPr>
          </w:p>
        </w:tc>
        <w:tc>
          <w:tcPr>
            <w:tcW w:w="720" w:type="dxa"/>
            <w:vAlign w:val="bottom"/>
            <w:shd w:val="clear" w:color="auto" w:fill="504C4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800" w:type="dxa"/>
            <w:vAlign w:val="bottom"/>
            <w:vMerge w:val="continue"/>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 . . . .</w:t>
            </w: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9"/>
                <w:szCs w:val="19"/>
                <w:color w:val="auto"/>
                <w:w w:val="98"/>
              </w:rPr>
              <w:t>. .. .</w:t>
            </w:r>
          </w:p>
        </w:tc>
        <w:tc>
          <w:tcPr>
            <w:tcW w:w="160" w:type="dxa"/>
            <w:vAlign w:val="bottom"/>
          </w:tcPr>
          <w:p>
            <w:pPr>
              <w:spacing w:after="0"/>
              <w:rPr>
                <w:sz w:val="21"/>
                <w:szCs w:val="21"/>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6"/>
              </w:rPr>
              <w:t>$1 16,356</w:t>
            </w:r>
          </w:p>
        </w:tc>
        <w:tc>
          <w:tcPr>
            <w:tcW w:w="32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47,095</w:t>
            </w:r>
          </w:p>
        </w:tc>
        <w:tc>
          <w:tcPr>
            <w:tcW w:w="4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3 1,784</w:t>
            </w:r>
          </w:p>
        </w:tc>
        <w:tc>
          <w:tcPr>
            <w:tcW w:w="180" w:type="dxa"/>
            <w:vAlign w:val="bottom"/>
          </w:tcPr>
          <w:p>
            <w:pPr>
              <w:spacing w:after="0"/>
              <w:rPr>
                <w:sz w:val="21"/>
                <w:szCs w:val="21"/>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(29,088)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166, 11 8</w:t>
            </w:r>
          </w:p>
        </w:tc>
        <w:tc>
          <w:tcPr>
            <w:tcW w:w="0" w:type="dxa"/>
            <w:vAlign w:val="bottom"/>
          </w:tcPr>
          <w:p>
            <w:pPr>
              <w:spacing w:after="0"/>
              <w:rPr>
                <w:sz w:val="1"/>
                <w:szCs w:val="1"/>
                <w:color w:val="auto"/>
              </w:rPr>
            </w:pPr>
          </w:p>
        </w:tc>
      </w:tr>
      <w:tr>
        <w:trPr>
          <w:trHeight w:val="38"/>
        </w:trPr>
        <w:tc>
          <w:tcPr>
            <w:tcW w:w="1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600" w:type="dxa"/>
            <w:vAlign w:val="bottom"/>
            <w:tcBorders>
              <w:bottom w:val="single" w:sz="8" w:color="0C0808"/>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60" w:type="dxa"/>
            <w:vAlign w:val="bottom"/>
            <w:tcBorders>
              <w:bottom w:val="single" w:sz="8" w:color="0C080C"/>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1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Pensio n Service Cost  .... . .. .. ..... .</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4, 147</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698</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8,907</w:t>
            </w:r>
          </w:p>
        </w:tc>
        <w:tc>
          <w:tcPr>
            <w:tcW w:w="0" w:type="dxa"/>
            <w:vAlign w:val="bottom"/>
          </w:tcPr>
          <w:p>
            <w:pPr>
              <w:spacing w:after="0"/>
              <w:rPr>
                <w:sz w:val="1"/>
                <w:szCs w:val="1"/>
                <w:color w:val="auto"/>
              </w:rPr>
            </w:pPr>
          </w:p>
        </w:tc>
      </w:tr>
      <w:tr>
        <w:trPr>
          <w:trHeight w:val="210"/>
        </w:trPr>
        <w:tc>
          <w:tcPr>
            <w:tcW w:w="1800" w:type="dxa"/>
            <w:vAlign w:val="bottom"/>
          </w:tcPr>
          <w:p>
            <w:pPr>
              <w:spacing w:after="0"/>
              <w:rPr>
                <w:sz w:val="20"/>
                <w:szCs w:val="20"/>
                <w:color w:val="auto"/>
              </w:rPr>
            </w:pPr>
            <w:r>
              <w:rPr>
                <w:rFonts w:ascii="Times New Roman" w:cs="Times New Roman" w:eastAsia="Times New Roman" w:hAnsi="Times New Roman"/>
                <w:sz w:val="17"/>
                <w:szCs w:val="17"/>
                <w:color w:val="auto"/>
              </w:rPr>
              <w:t>Depreciation Expense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 . .... ..</w:t>
            </w: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7"/>
                <w:szCs w:val="17"/>
                <w:color w:val="auto"/>
              </w:rPr>
              <w:t>...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28,501</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4,416</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5,165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38,187</w:t>
            </w:r>
          </w:p>
        </w:tc>
        <w:tc>
          <w:tcPr>
            <w:tcW w:w="0" w:type="dxa"/>
            <w:vAlign w:val="bottom"/>
          </w:tcPr>
          <w:p>
            <w:pPr>
              <w:spacing w:after="0"/>
              <w:rPr>
                <w:sz w:val="1"/>
                <w:szCs w:val="1"/>
                <w:color w:val="auto"/>
              </w:rPr>
            </w:pPr>
          </w:p>
        </w:tc>
      </w:tr>
      <w:tr>
        <w:trPr>
          <w:trHeight w:val="40"/>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4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600" w:type="dxa"/>
            <w:vAlign w:val="bottom"/>
            <w:tcBorders>
              <w:bottom w:val="single" w:sz="8" w:color="0C0808"/>
            </w:tcBorders>
          </w:tcPr>
          <w:p>
            <w:pPr>
              <w:spacing w:after="0"/>
              <w:rPr>
                <w:sz w:val="3"/>
                <w:szCs w:val="3"/>
                <w:color w:val="auto"/>
              </w:rPr>
            </w:pPr>
          </w:p>
        </w:tc>
        <w:tc>
          <w:tcPr>
            <w:tcW w:w="36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60" w:type="dxa"/>
            <w:vAlign w:val="bottom"/>
            <w:tcBorders>
              <w:bottom w:val="single" w:sz="8" w:color="0C080C"/>
            </w:tcBorders>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640" w:type="dxa"/>
            <w:vAlign w:val="bottom"/>
            <w:gridSpan w:val="2"/>
            <w:vMerge w:val="continue"/>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before Amortization of Intangible</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10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 and Impairment of Long-</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Lived Assets . . .. . . .. . . .. . . ..</w:t>
            </w:r>
          </w:p>
        </w:tc>
        <w:tc>
          <w:tcPr>
            <w:tcW w:w="460" w:type="dxa"/>
            <w:vAlign w:val="bottom"/>
          </w:tcPr>
          <w:p>
            <w:pPr>
              <w:jc w:val="right"/>
              <w:ind w:right="85"/>
              <w:spacing w:after="0"/>
              <w:rPr>
                <w:sz w:val="20"/>
                <w:szCs w:val="20"/>
                <w:color w:val="auto"/>
              </w:rPr>
            </w:pPr>
            <w:r>
              <w:rPr>
                <w:rFonts w:ascii="Times New Roman" w:cs="Times New Roman" w:eastAsia="Times New Roman" w:hAnsi="Times New Roman"/>
                <w:sz w:val="18"/>
                <w:szCs w:val="18"/>
                <w:color w:val="auto"/>
                <w:w w:val="88"/>
              </w:rPr>
              <w:t>. . . .</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87,530</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38,942</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22,472</w:t>
            </w:r>
          </w:p>
        </w:tc>
        <w:tc>
          <w:tcPr>
            <w:tcW w:w="18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(29,891)</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(29)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119,024</w:t>
            </w:r>
          </w:p>
        </w:tc>
        <w:tc>
          <w:tcPr>
            <w:tcW w:w="0" w:type="dxa"/>
            <w:vAlign w:val="bottom"/>
          </w:tcPr>
          <w:p>
            <w:pPr>
              <w:spacing w:after="0"/>
              <w:rPr>
                <w:sz w:val="1"/>
                <w:szCs w:val="1"/>
                <w:color w:val="auto"/>
              </w:rPr>
            </w:pPr>
          </w:p>
        </w:tc>
      </w:tr>
      <w:tr>
        <w:trPr>
          <w:trHeight w:val="38"/>
        </w:trPr>
        <w:tc>
          <w:tcPr>
            <w:tcW w:w="2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Capital Expenditures  ..</w:t>
            </w:r>
          </w:p>
        </w:tc>
        <w:tc>
          <w:tcPr>
            <w:tcW w:w="460" w:type="dxa"/>
            <w:vAlign w:val="bottom"/>
          </w:tcPr>
          <w:p>
            <w:pPr>
              <w:spacing w:after="0"/>
              <w:rPr>
                <w:sz w:val="3"/>
                <w:szCs w:val="3"/>
                <w:color w:val="auto"/>
              </w:rPr>
            </w:pP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31,1 II</w:t>
            </w:r>
          </w:p>
        </w:tc>
        <w:tc>
          <w:tcPr>
            <w:tcW w:w="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2,394</w:t>
            </w:r>
          </w:p>
        </w:tc>
        <w:tc>
          <w:tcPr>
            <w:tcW w:w="4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3,209</w:t>
            </w:r>
          </w:p>
        </w:tc>
        <w:tc>
          <w:tcPr>
            <w:tcW w:w="180" w:type="dxa"/>
            <w:vAlign w:val="bottom"/>
          </w:tcPr>
          <w:p>
            <w:pPr>
              <w:spacing w:after="0"/>
              <w:rPr>
                <w:sz w:val="3"/>
                <w:szCs w:val="3"/>
                <w:color w:val="auto"/>
              </w:rPr>
            </w:pPr>
          </w:p>
        </w:tc>
        <w:tc>
          <w:tcPr>
            <w:tcW w:w="2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36,760</w:t>
            </w:r>
          </w:p>
        </w:tc>
        <w:tc>
          <w:tcPr>
            <w:tcW w:w="0" w:type="dxa"/>
            <w:vAlign w:val="bottom"/>
          </w:tcPr>
          <w:p>
            <w:pPr>
              <w:spacing w:after="0"/>
              <w:rPr>
                <w:sz w:val="1"/>
                <w:szCs w:val="1"/>
                <w:color w:val="auto"/>
              </w:rPr>
            </w:pPr>
          </w:p>
        </w:tc>
      </w:tr>
      <w:tr>
        <w:trPr>
          <w:trHeight w:val="237"/>
        </w:trPr>
        <w:tc>
          <w:tcPr>
            <w:tcW w:w="1800" w:type="dxa"/>
            <w:vAlign w:val="bottom"/>
            <w:vMerge w:val="continue"/>
          </w:tcPr>
          <w:p>
            <w:pPr>
              <w:spacing w:after="0"/>
              <w:rPr>
                <w:sz w:val="20"/>
                <w:szCs w:val="20"/>
                <w:color w:val="auto"/>
              </w:rPr>
            </w:pPr>
          </w:p>
        </w:tc>
        <w:tc>
          <w:tcPr>
            <w:tcW w:w="1300" w:type="dxa"/>
            <w:vAlign w:val="bottom"/>
            <w:gridSpan w:val="2"/>
          </w:tcPr>
          <w:p>
            <w:pPr>
              <w:jc w:val="right"/>
              <w:ind w:right="85"/>
              <w:spacing w:after="0"/>
              <w:rPr>
                <w:sz w:val="20"/>
                <w:szCs w:val="20"/>
                <w:color w:val="auto"/>
              </w:rPr>
            </w:pPr>
            <w:r>
              <w:rPr>
                <w:rFonts w:ascii="Times New Roman" w:cs="Times New Roman" w:eastAsia="Times New Roman" w:hAnsi="Times New Roman"/>
                <w:sz w:val="18"/>
                <w:szCs w:val="18"/>
                <w:color w:val="auto"/>
              </w:rPr>
              <w:t>. . ....... . . .</w:t>
            </w:r>
          </w:p>
        </w:tc>
        <w:tc>
          <w:tcPr>
            <w:tcW w:w="26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400" w:type="dxa"/>
            <w:vAlign w:val="bottom"/>
            <w:gridSpan w:val="2"/>
            <w:vMerge w:val="continue"/>
          </w:tcPr>
          <w:p>
            <w:pPr>
              <w:spacing w:after="0"/>
              <w:rPr>
                <w:sz w:val="20"/>
                <w:szCs w:val="20"/>
                <w:color w:val="auto"/>
              </w:rPr>
            </w:pPr>
          </w:p>
        </w:tc>
        <w:tc>
          <w:tcPr>
            <w:tcW w:w="600" w:type="dxa"/>
            <w:vAlign w:val="bottom"/>
            <w:vMerge w:val="continue"/>
          </w:tcPr>
          <w:p>
            <w:pPr>
              <w:spacing w:after="0"/>
              <w:rPr>
                <w:sz w:val="20"/>
                <w:szCs w:val="20"/>
                <w:color w:val="auto"/>
              </w:rPr>
            </w:pPr>
          </w:p>
        </w:tc>
        <w:tc>
          <w:tcPr>
            <w:tcW w:w="440" w:type="dxa"/>
            <w:vAlign w:val="bottom"/>
            <w:gridSpan w:val="2"/>
            <w:vMerge w:val="continue"/>
          </w:tcPr>
          <w:p>
            <w:pPr>
              <w:spacing w:after="0"/>
              <w:rPr>
                <w:sz w:val="20"/>
                <w:szCs w:val="20"/>
                <w:color w:val="auto"/>
              </w:rPr>
            </w:pPr>
          </w:p>
        </w:tc>
        <w:tc>
          <w:tcPr>
            <w:tcW w:w="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gridSpan w:val="2"/>
            <w:vMerge w:val="continue"/>
          </w:tcPr>
          <w:p>
            <w:pPr>
              <w:spacing w:after="0"/>
              <w:rPr>
                <w:sz w:val="20"/>
                <w:szCs w:val="20"/>
                <w:color w:val="auto"/>
              </w:rPr>
            </w:pPr>
          </w:p>
        </w:tc>
        <w:tc>
          <w:tcPr>
            <w:tcW w:w="5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gridSpan w:val="2"/>
            <w:vMerge w:val="continue"/>
          </w:tcPr>
          <w:p>
            <w:pPr>
              <w:spacing w:after="0"/>
              <w:rPr>
                <w:sz w:val="20"/>
                <w:szCs w:val="20"/>
                <w:color w:val="auto"/>
              </w:rPr>
            </w:pPr>
          </w:p>
        </w:tc>
        <w:tc>
          <w:tcPr>
            <w:tcW w:w="7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left="120"/>
        <w:spacing w:after="0"/>
        <w:tabs>
          <w:tab w:leader="none" w:pos="400" w:val="left"/>
        </w:tabs>
        <w:rPr>
          <w:sz w:val="20"/>
          <w:szCs w:val="20"/>
          <w:color w:val="auto"/>
        </w:rPr>
      </w:pPr>
      <w:r>
        <w:rPr>
          <w:rFonts w:ascii="Times New Roman" w:cs="Times New Roman" w:eastAsia="Times New Roman" w:hAnsi="Times New Roman"/>
          <w:sz w:val="15"/>
          <w:szCs w:val="15"/>
          <w:color w:val="auto"/>
        </w:rPr>
        <w:t>( I)</w:t>
        <w:tab/>
        <w:t>The significant expense categories and amounts align with the segment-level information that is regularly provided to the CODM .</w:t>
      </w:r>
    </w:p>
    <w:p>
      <w:pPr>
        <w:spacing w:after="0" w:line="23" w:lineRule="exact"/>
        <w:rPr>
          <w:sz w:val="20"/>
          <w:szCs w:val="20"/>
          <w:color w:val="auto"/>
        </w:rPr>
      </w:pPr>
    </w:p>
    <w:p>
      <w:pPr>
        <w:jc w:val="both"/>
        <w:ind w:left="440" w:right="125" w:hanging="327"/>
        <w:spacing w:after="0" w:line="278" w:lineRule="auto"/>
        <w:tabs>
          <w:tab w:leader="none" w:pos="4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 renects the amounts rep011cd and provided to the CODM and does not necessarily reconcile to the Company's Consolidated Statement of Operations or a) ign across reportable segments. Cost of revenue exdudes charges related to depreciation, which is shown separately above.</w:t>
      </w:r>
    </w:p>
    <w:p>
      <w:pPr>
        <w:spacing w:after="0" w:line="1" w:lineRule="exact"/>
        <w:rPr>
          <w:rFonts w:ascii="Times New Roman" w:cs="Times New Roman" w:eastAsia="Times New Roman" w:hAnsi="Times New Roman"/>
          <w:sz w:val="15"/>
          <w:szCs w:val="15"/>
          <w:color w:val="auto"/>
        </w:rPr>
      </w:pPr>
    </w:p>
    <w:p>
      <w:pPr>
        <w:ind w:left="440" w:right="105" w:hanging="327"/>
        <w:spacing w:after="0" w:line="256" w:lineRule="auto"/>
        <w:tabs>
          <w:tab w:leader="none" w:pos="439"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pension service cost, wh ich is shown separately above. Excludes any payroll and related benefits costs captured in cost of revenue.</w:t>
      </w:r>
    </w:p>
    <w:p>
      <w:pPr>
        <w:spacing w:after="0" w:line="211"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segment items for each reportable seg1111ent include :</w:t>
      </w:r>
    </w:p>
    <w:p>
      <w:pPr>
        <w:spacing w:after="0" w:line="32" w:lineRule="exact"/>
        <w:rPr>
          <w:rFonts w:ascii="Times New Roman" w:cs="Times New Roman" w:eastAsia="Times New Roman" w:hAnsi="Times New Roman"/>
          <w:sz w:val="15"/>
          <w:szCs w:val="15"/>
          <w:color w:val="auto"/>
        </w:rPr>
      </w:pPr>
    </w:p>
    <w:p>
      <w:pPr>
        <w:ind w:left="760" w:right="125" w:hanging="323"/>
        <w:spacing w:after="0" w:line="256" w:lineRule="auto"/>
        <w:tabs>
          <w:tab w:leader="none" w:pos="770" w:val="left"/>
        </w:tabs>
        <w:numPr>
          <w:ilvl w:val="1"/>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Kaplan international - travel meals and ente11ainment expense, training and employment expense, operating fees and other G&amp;A expenses.</w:t>
      </w:r>
    </w:p>
    <w:p>
      <w:pPr>
        <w:spacing w:after="0" w:line="221"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5"/>
          <w:szCs w:val="15"/>
          <w:color w:val="auto"/>
        </w:rPr>
        <w:t>{b)</w:t>
        <w:tab/>
        <w:t>Higher education - training and employment expense, operating fees and other G&amp;A expenses.</w:t>
      </w:r>
    </w:p>
    <w:p>
      <w:pPr>
        <w:spacing w:after="0" w:line="28" w:lineRule="exact"/>
        <w:rPr>
          <w:sz w:val="20"/>
          <w:szCs w:val="20"/>
          <w:color w:val="auto"/>
        </w:rPr>
      </w:pPr>
    </w:p>
    <w:p>
      <w:pPr>
        <w:ind w:left="440"/>
        <w:spacing w:after="0"/>
        <w:tabs>
          <w:tab w:leader="none" w:pos="740" w:val="left"/>
        </w:tabs>
        <w:rPr>
          <w:sz w:val="20"/>
          <w:szCs w:val="20"/>
          <w:color w:val="auto"/>
        </w:rPr>
      </w:pPr>
      <w:r>
        <w:rPr>
          <w:rFonts w:ascii="Times New Roman" w:cs="Times New Roman" w:eastAsia="Times New Roman" w:hAnsi="Times New Roman"/>
          <w:sz w:val="15"/>
          <w:szCs w:val="15"/>
          <w:color w:val="auto"/>
        </w:rPr>
        <w:t>(c)</w:t>
        <w:tab/>
        <w:t>Supplemental education - training and employment expense, operating fees and other G&amp;A expenses.</w:t>
      </w:r>
    </w:p>
    <w:p>
      <w:pPr>
        <w:sectPr>
          <w:pgSz w:w="12240" w:h="15850" w:orient="portrait"/>
          <w:cols w:equalWidth="0" w:num="1">
            <w:col w:w="9365"/>
          </w:cols>
          <w:pgMar w:left="1440" w:top="1366"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7"/>
          <w:szCs w:val="17"/>
          <w:color w:val="auto"/>
        </w:rPr>
        <w:t>149</w:t>
      </w:r>
    </w:p>
    <w:p>
      <w:pPr>
        <w:sectPr>
          <w:pgSz w:w="12240" w:h="15850" w:orient="portrait"/>
          <w:cols w:equalWidth="0" w:num="1">
            <w:col w:w="9365"/>
          </w:cols>
          <w:pgMar w:left="1440" w:top="1366" w:right="1440" w:bottom="721" w:gutter="0" w:footer="0" w:header="0"/>
          <w:type w:val="continuous"/>
        </w:sectPr>
      </w:pPr>
    </w:p>
    <w:bookmarkStart w:id="165" w:name="page166"/>
    <w:bookmarkEnd w:id="165"/>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73">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Company information broken down by operating segment and education division:</w:t>
      </w:r>
    </w:p>
    <w:p>
      <w:pPr>
        <w:sectPr>
          <w:pgSz w:w="12240" w:h="15850" w:orient="portrait"/>
          <w:cols w:equalWidth="0" w:num="1">
            <w:col w:w="9365"/>
          </w:cols>
          <w:pgMar w:left="1440" w:top="1394"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in thousands)</w:t>
      </w:r>
    </w:p>
    <w:p>
      <w:pPr>
        <w:spacing w:after="0" w:line="79" w:lineRule="exact"/>
        <w:rPr>
          <w:sz w:val="20"/>
          <w:szCs w:val="20"/>
          <w:color w:val="auto"/>
        </w:rPr>
      </w:pPr>
    </w:p>
    <w:p>
      <w:pPr>
        <w:ind w:left="120"/>
        <w:spacing w:after="0"/>
        <w:tabs>
          <w:tab w:leader="none" w:pos="1600" w:val="left"/>
        </w:tabs>
        <w:rPr>
          <w:sz w:val="20"/>
          <w:szCs w:val="20"/>
          <w:color w:val="auto"/>
        </w:rPr>
      </w:pPr>
      <w:r>
        <w:rPr>
          <w:rFonts w:ascii="Times New Roman" w:cs="Times New Roman" w:eastAsia="Times New Roman" w:hAnsi="Times New Roman"/>
          <w:sz w:val="15"/>
          <w:szCs w:val="15"/>
          <w:color w:val="auto"/>
        </w:rPr>
        <w:t>Operating ReYenues</w:t>
      </w:r>
      <w:r>
        <w:rPr>
          <w:sz w:val="20"/>
          <w:szCs w:val="20"/>
          <w:color w:val="auto"/>
        </w:rPr>
        <w:tab/>
      </w:r>
      <w:r>
        <w:rPr>
          <w:rFonts w:ascii="Arial" w:cs="Arial" w:eastAsia="Arial" w:hAnsi="Arial"/>
          <w:sz w:val="18"/>
          <w:szCs w:val="18"/>
          <w:color w:val="auto"/>
        </w:rPr>
        <w:t xml:space="preserve">. .. . ..... . .. . ..... </w:t>
      </w:r>
      <w:r>
        <w:rPr>
          <w:rFonts w:ascii="Arial" w:cs="Arial" w:eastAsia="Arial" w:hAnsi="Arial"/>
          <w:sz w:val="7"/>
          <w:szCs w:val="7"/>
          <w:color w:val="auto"/>
        </w:rPr>
        <w:t>'</w:t>
      </w:r>
    </w:p>
    <w:p>
      <w:pPr>
        <w:spacing w:after="0" w:line="1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Reconciliation ofRevenue</w:t>
      </w:r>
    </w:p>
    <w:p>
      <w:pPr>
        <w:ind w:left="440"/>
        <w:spacing w:after="0"/>
        <w:tabs>
          <w:tab w:leader="none" w:pos="2400" w:val="left"/>
        </w:tabs>
        <w:rPr>
          <w:sz w:val="20"/>
          <w:szCs w:val="20"/>
          <w:color w:val="auto"/>
        </w:rPr>
      </w:pPr>
      <w:r>
        <w:rPr>
          <w:rFonts w:ascii="Times New Roman" w:cs="Times New Roman" w:eastAsia="Times New Roman" w:hAnsi="Times New Roman"/>
          <w:sz w:val="15"/>
          <w:szCs w:val="15"/>
          <w:color w:val="auto"/>
        </w:rPr>
        <w:t xml:space="preserve">Other Bus inesses revenues </w:t>
      </w:r>
      <w:r>
        <w:rPr>
          <w:rFonts w:ascii="Arial" w:cs="Arial" w:eastAsia="Arial" w:hAnsi="Arial"/>
          <w:sz w:val="11"/>
          <w:szCs w:val="11"/>
          <w:color w:val="auto"/>
        </w:rPr>
        <w:t>&lt;</w:t>
      </w:r>
      <w:r>
        <w:rPr>
          <w:rFonts w:ascii="Times New Roman" w:cs="Times New Roman" w:eastAsia="Times New Roman" w:hAnsi="Times New Roman"/>
          <w:sz w:val="19"/>
          <w:szCs w:val="19"/>
          <w:color w:val="auto"/>
          <w:vertAlign w:val="superscript"/>
        </w:rPr>
        <w:t>1</w:t>
      </w:r>
      <w:r>
        <w:rPr>
          <w:rFonts w:ascii="Times New Roman" w:cs="Times New Roman" w:eastAsia="Times New Roman" w:hAnsi="Times New Roman"/>
          <w:sz w:val="12"/>
          <w:szCs w:val="12"/>
          <w:color w:val="auto"/>
        </w:rPr>
        <w:t>!</w:t>
      </w:r>
      <w:r>
        <w:rPr>
          <w:sz w:val="20"/>
          <w:szCs w:val="20"/>
          <w:color w:val="auto"/>
        </w:rPr>
        <w:tab/>
      </w:r>
      <w:r>
        <w:rPr>
          <w:rFonts w:ascii="Arial" w:cs="Arial" w:eastAsia="Arial" w:hAnsi="Arial"/>
          <w:sz w:val="14"/>
          <w:szCs w:val="14"/>
          <w:color w:val="auto"/>
        </w:rPr>
        <w:t xml:space="preserve">. . . . . . . . </w:t>
      </w:r>
      <w:r>
        <w:rPr>
          <w:rFonts w:ascii="Arial" w:cs="Arial" w:eastAsia="Arial" w:hAnsi="Arial"/>
          <w:sz w:val="17"/>
          <w:szCs w:val="17"/>
          <w:color w:val="auto"/>
        </w:rPr>
        <w:t>.</w:t>
      </w:r>
    </w:p>
    <w:p>
      <w:pPr>
        <w:ind w:left="440"/>
        <w:spacing w:after="0"/>
        <w:tabs>
          <w:tab w:leader="none" w:pos="2160" w:val="left"/>
        </w:tabs>
        <w:rPr>
          <w:sz w:val="20"/>
          <w:szCs w:val="20"/>
          <w:color w:val="auto"/>
        </w:rPr>
      </w:pPr>
      <w:r>
        <w:rPr>
          <w:rFonts w:ascii="Times New Roman" w:cs="Times New Roman" w:eastAsia="Times New Roman" w:hAnsi="Times New Roman"/>
          <w:sz w:val="15"/>
          <w:szCs w:val="15"/>
          <w:color w:val="auto"/>
        </w:rPr>
        <w:t>lnttcrscgment Elimination</w:t>
      </w:r>
      <w:r>
        <w:rPr>
          <w:sz w:val="20"/>
          <w:szCs w:val="20"/>
          <w:color w:val="auto"/>
        </w:rPr>
        <w:tab/>
      </w:r>
      <w:r>
        <w:rPr>
          <w:rFonts w:ascii="Arial" w:cs="Arial" w:eastAsia="Arial" w:hAnsi="Arial"/>
          <w:sz w:val="14"/>
          <w:szCs w:val="14"/>
          <w:color w:val="auto"/>
        </w:rPr>
        <w:t xml:space="preserve">. . . . . . . . . . . </w:t>
      </w:r>
      <w:r>
        <w:rPr>
          <w:rFonts w:ascii="Arial" w:cs="Arial" w:eastAsia="Arial" w:hAnsi="Arial"/>
          <w:sz w:val="17"/>
          <w:szCs w:val="17"/>
          <w:color w:val="auto"/>
        </w:rPr>
        <w:t>.</w:t>
      </w:r>
    </w:p>
    <w:p>
      <w:pPr>
        <w:spacing w:after="0" w:line="1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Tota l Consolida ted Revenues .. . </w:t>
      </w:r>
      <w:r>
        <w:rPr>
          <w:rFonts w:ascii="Arial" w:cs="Arial" w:eastAsia="Arial" w:hAnsi="Arial"/>
          <w:sz w:val="13"/>
          <w:szCs w:val="13"/>
          <w:color w:val="auto"/>
        </w:rPr>
        <w:t>··• ··. .. .</w:t>
      </w:r>
    </w:p>
    <w:p>
      <w:pPr>
        <w:spacing w:after="0" w:line="1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Less: Signijicalll Expenses m</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jc w:val="center"/>
        <w:ind w:right="105"/>
        <w:spacing w:after="0"/>
        <w:rPr>
          <w:sz w:val="20"/>
          <w:szCs w:val="20"/>
          <w:color w:val="auto"/>
        </w:rPr>
      </w:pPr>
      <w:r>
        <w:rPr>
          <w:rFonts w:ascii="Times New Roman" w:cs="Times New Roman" w:eastAsia="Times New Roman" w:hAnsi="Times New Roman"/>
          <w:sz w:val="15"/>
          <w:szCs w:val="15"/>
          <w:color w:val="auto"/>
        </w:rPr>
        <w:t xml:space="preserve">Vear </w:t>
      </w:r>
      <w:r>
        <w:rPr>
          <w:rFonts w:ascii="Arial" w:cs="Arial" w:eastAsia="Arial" w:hAnsi="Arial"/>
          <w:sz w:val="10"/>
          <w:szCs w:val="10"/>
          <w:color w:val="auto"/>
        </w:rPr>
        <w:t>~~nderl</w:t>
      </w:r>
      <w:r>
        <w:rPr>
          <w:rFonts w:ascii="Times New Roman" w:cs="Times New Roman" w:eastAsia="Times New Roman" w:hAnsi="Times New Roman"/>
          <w:sz w:val="15"/>
          <w:szCs w:val="15"/>
          <w:color w:val="auto"/>
        </w:rPr>
        <w:t xml:space="preserve"> Oecember 3 1,2022</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7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TeleYision</w:t>
            </w: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Total</w:t>
            </w:r>
          </w:p>
        </w:tc>
      </w:tr>
      <w:tr>
        <w:trPr>
          <w:trHeight w:val="177"/>
        </w:trPr>
        <w:tc>
          <w:tcPr>
            <w:tcW w:w="6000" w:type="dxa"/>
            <w:vAlign w:val="bottom"/>
            <w:gridSpan w:val="12"/>
          </w:tcPr>
          <w:p>
            <w:pPr>
              <w:jc w:val="right"/>
              <w:ind w:right="100"/>
              <w:spacing w:after="0" w:line="168" w:lineRule="exact"/>
              <w:rPr>
                <w:sz w:val="20"/>
                <w:szCs w:val="20"/>
                <w:color w:val="auto"/>
              </w:rPr>
            </w:pPr>
            <w:r>
              <w:rPr>
                <w:rFonts w:ascii="Times New Roman" w:cs="Times New Roman" w:eastAsia="Times New Roman" w:hAnsi="Times New Roman"/>
                <w:sz w:val="15"/>
                <w:szCs w:val="15"/>
                <w:color w:val="auto"/>
              </w:rPr>
              <w:t>EducationBroadcastingManufacturingHealthcare    AutomotiYeSegments</w:t>
            </w:r>
          </w:p>
        </w:tc>
      </w:tr>
      <w:tr>
        <w:trPr>
          <w:trHeight w:val="34"/>
        </w:trPr>
        <w:tc>
          <w:tcPr>
            <w:tcW w:w="72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Borders>
              <w:bottom w:val="single" w:sz="8" w:color="403C3C"/>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Borders>
              <w:bottom w:val="single" w:sz="8" w:color="403C3C"/>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Borders>
              <w:bottom w:val="single" w:sz="8" w:color="403C3C"/>
            </w:tcBorders>
          </w:tcPr>
          <w:p>
            <w:pPr>
              <w:spacing w:after="0"/>
              <w:rPr>
                <w:sz w:val="2"/>
                <w:szCs w:val="2"/>
                <w:color w:val="auto"/>
              </w:rPr>
            </w:pPr>
          </w:p>
        </w:tc>
        <w:tc>
          <w:tcPr>
            <w:tcW w:w="60" w:type="dxa"/>
            <w:vAlign w:val="bottom"/>
          </w:tcPr>
          <w:p>
            <w:pPr>
              <w:spacing w:after="0"/>
              <w:rPr>
                <w:sz w:val="2"/>
                <w:szCs w:val="2"/>
                <w:color w:val="auto"/>
              </w:rPr>
            </w:pPr>
          </w:p>
        </w:tc>
      </w:tr>
      <w:tr>
        <w:trPr>
          <w:trHeight w:val="223"/>
        </w:trPr>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$1,427,915</w:t>
            </w:r>
          </w:p>
        </w:tc>
        <w:tc>
          <w:tcPr>
            <w:tcW w:w="1120" w:type="dxa"/>
            <w:vAlign w:val="bottom"/>
            <w:gridSpan w:val="2"/>
          </w:tcPr>
          <w:p>
            <w:pPr>
              <w:jc w:val="right"/>
              <w:ind w:right="104"/>
              <w:spacing w:after="0"/>
              <w:rPr>
                <w:sz w:val="20"/>
                <w:szCs w:val="20"/>
                <w:color w:val="auto"/>
              </w:rPr>
            </w:pPr>
            <w:r>
              <w:rPr>
                <w:rFonts w:ascii="Times New Roman" w:cs="Times New Roman" w:eastAsia="Times New Roman" w:hAnsi="Times New Roman"/>
                <w:sz w:val="15"/>
                <w:szCs w:val="15"/>
                <w:color w:val="auto"/>
              </w:rPr>
              <w:t>$535,651</w:t>
            </w: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5"/>
                <w:szCs w:val="15"/>
                <w:color w:val="auto"/>
              </w:rPr>
              <w:t>$486,643</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5"/>
                <w:szCs w:val="15"/>
                <w:color w:val="auto"/>
              </w:rPr>
              <w:t>$326,000</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5"/>
                <w:szCs w:val="15"/>
                <w:color w:val="auto"/>
              </w:rPr>
              <w:t>$734, 185</w:t>
            </w: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$3,510,394</w:t>
            </w:r>
          </w:p>
        </w:tc>
      </w:tr>
      <w:tr>
        <w:trPr>
          <w:trHeight w:val="391"/>
        </w:trPr>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60" w:type="dxa"/>
            <w:vAlign w:val="bottom"/>
            <w:gridSpan w:val="3"/>
          </w:tcPr>
          <w:p>
            <w:pPr>
              <w:jc w:val="right"/>
              <w:ind w:right="60"/>
              <w:spacing w:after="0"/>
              <w:rPr>
                <w:sz w:val="20"/>
                <w:szCs w:val="20"/>
                <w:color w:val="auto"/>
              </w:rPr>
            </w:pPr>
            <w:r>
              <w:rPr>
                <w:rFonts w:ascii="Times New Roman" w:cs="Times New Roman" w:eastAsia="Times New Roman" w:hAnsi="Times New Roman"/>
                <w:sz w:val="15"/>
                <w:szCs w:val="15"/>
                <w:color w:val="auto"/>
              </w:rPr>
              <w:t>4 16,0!;4</w:t>
            </w:r>
          </w:p>
        </w:tc>
      </w:tr>
      <w:tr>
        <w:trPr>
          <w:trHeight w:val="200"/>
        </w:trPr>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5"/>
                <w:szCs w:val="15"/>
                <w:color w:val="auto"/>
              </w:rPr>
              <w:t>( 1,985)</w:t>
            </w:r>
          </w:p>
        </w:tc>
      </w:tr>
      <w:tr>
        <w:trPr>
          <w:trHeight w:val="44"/>
        </w:trPr>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60" w:type="dxa"/>
            <w:vAlign w:val="bottom"/>
          </w:tcPr>
          <w:p>
            <w:pPr>
              <w:spacing w:after="0"/>
              <w:rPr>
                <w:sz w:val="3"/>
                <w:szCs w:val="3"/>
                <w:color w:val="auto"/>
              </w:rPr>
            </w:pPr>
          </w:p>
        </w:tc>
      </w:tr>
      <w:tr>
        <w:trPr>
          <w:trHeight w:val="212"/>
        </w:trPr>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$3,924,493</w:t>
            </w:r>
          </w:p>
        </w:tc>
        <w:tc>
          <w:tcPr>
            <w:tcW w:w="60" w:type="dxa"/>
            <w:vAlign w:val="bottom"/>
          </w:tcPr>
          <w:p>
            <w:pPr>
              <w:spacing w:after="0"/>
              <w:rPr>
                <w:sz w:val="18"/>
                <w:szCs w:val="18"/>
                <w:color w:val="auto"/>
              </w:rPr>
            </w:pPr>
          </w:p>
        </w:tc>
      </w:tr>
      <w:tr>
        <w:trPr>
          <w:trHeight w:val="44"/>
        </w:trPr>
        <w:tc>
          <w:tcPr>
            <w:tcW w:w="72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60" w:type="dxa"/>
            <w:vAlign w:val="bottom"/>
          </w:tcPr>
          <w:p>
            <w:pPr>
              <w:spacing w:after="0"/>
              <w:rPr>
                <w:sz w:val="3"/>
                <w:szCs w:val="3"/>
                <w:color w:val="auto"/>
              </w:rPr>
            </w:pPr>
          </w:p>
        </w:tc>
      </w:tr>
    </w:tbl>
    <w:p>
      <w:pPr>
        <w:spacing w:after="0" w:line="223" w:lineRule="exact"/>
        <w:rPr>
          <w:sz w:val="20"/>
          <w:szCs w:val="20"/>
          <w:color w:val="auto"/>
        </w:rPr>
      </w:pPr>
    </w:p>
    <w:p>
      <w:pPr>
        <w:sectPr>
          <w:pgSz w:w="12240" w:h="15850" w:orient="portrait"/>
          <w:cols w:equalWidth="0" w:num="2">
            <w:col w:w="3120" w:space="180"/>
            <w:col w:w="6065"/>
          </w:cols>
          <w:pgMar w:left="1440" w:top="1394" w:right="1440" w:bottom="717" w:gutter="0" w:footer="0" w:header="0"/>
          <w:type w:val="continuous"/>
        </w:sectPr>
      </w:pPr>
    </w:p>
    <w:p>
      <w:pPr>
        <w:ind w:left="440"/>
        <w:spacing w:after="0"/>
        <w:tabs>
          <w:tab w:leader="none" w:pos="1760" w:val="left"/>
        </w:tabs>
        <w:rPr>
          <w:sz w:val="20"/>
          <w:szCs w:val="20"/>
          <w:color w:val="auto"/>
        </w:rPr>
      </w:pPr>
      <w:r>
        <w:rPr>
          <w:rFonts w:ascii="Times New Roman" w:cs="Times New Roman" w:eastAsia="Times New Roman" w:hAnsi="Times New Roman"/>
          <w:sz w:val="15"/>
          <w:szCs w:val="15"/>
          <w:color w:val="auto"/>
        </w:rPr>
        <w:t xml:space="preserve">Cost of Revenue </w:t>
      </w:r>
      <w:r>
        <w:rPr>
          <w:rFonts w:ascii="Arial" w:cs="Arial" w:eastAsia="Arial" w:hAnsi="Arial"/>
          <w:sz w:val="9"/>
          <w:szCs w:val="9"/>
          <w:color w:val="auto"/>
        </w:rPr>
        <w:t>(3)</w:t>
      </w:r>
      <w:r>
        <w:rPr>
          <w:sz w:val="20"/>
          <w:szCs w:val="20"/>
          <w:color w:val="auto"/>
        </w:rPr>
        <w:tab/>
      </w:r>
      <w:r>
        <w:rPr>
          <w:rFonts w:ascii="Arial" w:cs="Arial" w:eastAsia="Arial" w:hAnsi="Arial"/>
          <w:sz w:val="16"/>
          <w:szCs w:val="16"/>
          <w:color w:val="auto"/>
        </w:rPr>
        <w:t>. . .. . .. . .. . .. . .. .</w:t>
      </w:r>
    </w:p>
    <w:p>
      <w:pPr>
        <w:spacing w:after="0" w:line="4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Payroll and Fringe Benefits</w:t>
      </w:r>
    </w:p>
    <w:p>
      <w:pPr>
        <w:ind w:left="600"/>
        <w:spacing w:after="0" w:line="196" w:lineRule="auto"/>
        <w:rPr>
          <w:sz w:val="20"/>
          <w:szCs w:val="20"/>
          <w:color w:val="auto"/>
        </w:rPr>
      </w:pPr>
      <w:r>
        <w:rPr>
          <w:rFonts w:ascii="Times New Roman" w:cs="Times New Roman" w:eastAsia="Times New Roman" w:hAnsi="Times New Roman"/>
          <w:sz w:val="8"/>
          <w:szCs w:val="8"/>
          <w:color w:val="auto"/>
        </w:rPr>
        <w:t xml:space="preserve">Expense </w:t>
      </w:r>
      <w:r>
        <w:rPr>
          <w:rFonts w:ascii="Times New Roman" w:cs="Times New Roman" w:eastAsia="Times New Roman" w:hAnsi="Times New Roman"/>
          <w:sz w:val="9"/>
          <w:szCs w:val="9"/>
          <w:color w:val="auto"/>
          <w:vertAlign w:val="superscript"/>
        </w:rPr>
        <w:t>4</w:t>
      </w:r>
    </w:p>
    <w:p>
      <w:pPr>
        <w:ind w:left="1180"/>
        <w:spacing w:after="0" w:line="190" w:lineRule="auto"/>
        <w:rPr>
          <w:sz w:val="20"/>
          <w:szCs w:val="20"/>
          <w:color w:val="auto"/>
        </w:rPr>
      </w:pPr>
      <w:r>
        <w:rPr>
          <w:rFonts w:ascii="Arial" w:cs="Arial" w:eastAsia="Arial" w:hAnsi="Arial"/>
          <w:sz w:val="12"/>
          <w:szCs w:val="12"/>
          <w:color w:val="auto"/>
        </w:rPr>
        <w:t xml:space="preserve">&lt; </w:t>
      </w:r>
      <w:r>
        <w:rPr>
          <w:rFonts w:ascii="Times New Roman" w:cs="Times New Roman" w:eastAsia="Times New Roman" w:hAnsi="Times New Roman"/>
          <w:sz w:val="12"/>
          <w:szCs w:val="12"/>
          <w:color w:val="auto"/>
        </w:rPr>
        <w:t>!  . .. . .. . .. . .. . .. . .. . .. .</w:t>
      </w:r>
    </w:p>
    <w:p>
      <w:pPr>
        <w:spacing w:after="0" w:line="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Occupancy Expense . . .. . .. . .. . .. . .. .</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AdYertis ing and Marketing Expense . .. .</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Networking and Programming</w:t>
      </w:r>
    </w:p>
    <w:p>
      <w:pPr>
        <w:spacing w:after="0" w:line="28"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5"/>
          <w:szCs w:val="15"/>
          <w:color w:val="auto"/>
        </w:rPr>
        <w:t>Expense  ..... . .. . .. . .. . .. . .. . .. .</w:t>
      </w:r>
    </w:p>
    <w:p>
      <w:pPr>
        <w:spacing w:after="0" w:line="2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Management ScrYiccs </w:t>
      </w:r>
      <w:r>
        <w:rPr>
          <w:rFonts w:ascii="Times New Roman" w:cs="Times New Roman" w:eastAsia="Times New Roman" w:hAnsi="Times New Roman"/>
          <w:sz w:val="10"/>
          <w:szCs w:val="10"/>
          <w:color w:val="auto"/>
        </w:rPr>
        <w:t>(S)  .  ..  . .. • .. .  .. •</w:t>
      </w:r>
    </w:p>
    <w:p>
      <w:pPr>
        <w:spacing w:after="0" w:line="1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auto"/>
        </w:rPr>
        <w:t xml:space="preserve">Other Segment Items </w:t>
      </w:r>
      <w:r>
        <w:rPr>
          <w:rFonts w:ascii="Arial" w:cs="Arial" w:eastAsia="Arial" w:hAnsi="Arial"/>
          <w:sz w:val="9"/>
          <w:szCs w:val="9"/>
          <w:color w:val="auto"/>
        </w:rPr>
        <w:t>(6)  • •  ••  . ••  •  ••  •  ••  .</w:t>
      </w:r>
    </w:p>
    <w:p>
      <w:pPr>
        <w:spacing w:after="0" w:line="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EBIT OAP .... ... .. . </w:t>
      </w:r>
      <w:r>
        <w:rPr>
          <w:rFonts w:ascii="Arial" w:cs="Arial" w:eastAsia="Arial" w:hAnsi="Arial"/>
          <w:sz w:val="18"/>
          <w:szCs w:val="18"/>
          <w:color w:val="auto"/>
        </w:rPr>
        <w:t>. . . ..... . .. . .. .</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2"/>
          <w:szCs w:val="12"/>
          <w:color w:val="auto"/>
        </w:rPr>
        <w:t>·-</w:t>
      </w:r>
    </w:p>
    <w:p>
      <w:pPr>
        <w:ind w:left="120"/>
        <w:spacing w:after="0" w:line="182" w:lineRule="auto"/>
        <w:rPr>
          <w:sz w:val="20"/>
          <w:szCs w:val="20"/>
          <w:color w:val="auto"/>
        </w:rPr>
      </w:pPr>
      <w:r>
        <w:rPr>
          <w:rFonts w:ascii="Times New Roman" w:cs="Times New Roman" w:eastAsia="Times New Roman" w:hAnsi="Times New Roman"/>
          <w:sz w:val="13"/>
          <w:szCs w:val="13"/>
          <w:color w:val="auto"/>
        </w:rPr>
        <w:t xml:space="preserve">Pension Serv ice Cost . . </w:t>
      </w:r>
      <w:r>
        <w:rPr>
          <w:rFonts w:ascii="Arial" w:cs="Arial" w:eastAsia="Arial" w:hAnsi="Arial"/>
          <w:sz w:val="35"/>
          <w:szCs w:val="35"/>
          <w:color w:val="auto"/>
          <w:vertAlign w:val="subscript"/>
        </w:rPr>
        <w:t>···-·······</w:t>
      </w:r>
      <w:r>
        <w:rPr>
          <w:rFonts w:ascii="Arial" w:cs="Arial" w:eastAsia="Arial" w:hAnsi="Arial"/>
          <w:sz w:val="28"/>
          <w:szCs w:val="28"/>
          <w:color w:val="auto"/>
          <w:vertAlign w:val="subscript"/>
        </w:rPr>
        <w:t>.. .</w:t>
      </w:r>
    </w:p>
    <w:p>
      <w:pPr>
        <w:ind w:left="120"/>
        <w:spacing w:after="0" w:line="212" w:lineRule="auto"/>
        <w:tabs>
          <w:tab w:leader="none" w:pos="1600" w:val="left"/>
        </w:tabs>
        <w:rPr>
          <w:sz w:val="20"/>
          <w:szCs w:val="20"/>
          <w:color w:val="auto"/>
        </w:rPr>
      </w:pPr>
      <w:r>
        <w:rPr>
          <w:rFonts w:ascii="Times New Roman" w:cs="Times New Roman" w:eastAsia="Times New Roman" w:hAnsi="Times New Roman"/>
          <w:sz w:val="15"/>
          <w:szCs w:val="15"/>
          <w:color w:val="auto"/>
        </w:rPr>
        <w:t>Depreciation Expense</w:t>
      </w:r>
      <w:r>
        <w:rPr>
          <w:sz w:val="20"/>
          <w:szCs w:val="20"/>
          <w:color w:val="auto"/>
        </w:rPr>
        <w:tab/>
      </w:r>
      <w:r>
        <w:rPr>
          <w:rFonts w:ascii="Arial" w:cs="Arial" w:eastAsia="Arial" w:hAnsi="Arial"/>
          <w:sz w:val="17"/>
          <w:szCs w:val="17"/>
          <w:color w:val="auto"/>
        </w:rPr>
        <w:t>. .. . .. . .. . .. . .. . .. .</w:t>
      </w:r>
    </w:p>
    <w:p>
      <w:pPr>
        <w:spacing w:after="0" w:line="101" w:lineRule="exact"/>
        <w:rPr>
          <w:sz w:val="20"/>
          <w:szCs w:val="20"/>
          <w:color w:val="auto"/>
        </w:rPr>
      </w:pPr>
    </w:p>
    <w:p>
      <w:pPr>
        <w:ind w:left="280" w:right="240" w:hanging="152"/>
        <w:spacing w:after="0" w:line="275" w:lineRule="auto"/>
        <w:rPr>
          <w:sz w:val="20"/>
          <w:szCs w:val="20"/>
          <w:color w:val="auto"/>
        </w:rPr>
      </w:pPr>
      <w:r>
        <w:rPr>
          <w:rFonts w:ascii="Times New Roman" w:cs="Times New Roman" w:eastAsia="Times New Roman" w:hAnsi="Times New Roman"/>
          <w:sz w:val="15"/>
          <w:szCs w:val="15"/>
          <w:color w:val="auto"/>
        </w:rPr>
        <w:t>Income from Operations before Am()rtization of I n tangib le Assets and I mpair ment of Goodwill and Other</w:t>
      </w:r>
    </w:p>
    <w:p>
      <w:pPr>
        <w:spacing w:after="0" w:line="3" w:lineRule="exact"/>
        <w:rPr>
          <w:sz w:val="20"/>
          <w:szCs w:val="20"/>
          <w:color w:val="auto"/>
        </w:rPr>
      </w:pPr>
    </w:p>
    <w:p>
      <w:pPr>
        <w:ind w:left="280"/>
        <w:spacing w:after="0"/>
        <w:tabs>
          <w:tab w:leader="none" w:pos="2080" w:val="left"/>
        </w:tabs>
        <w:rPr>
          <w:sz w:val="20"/>
          <w:szCs w:val="20"/>
          <w:color w:val="auto"/>
        </w:rPr>
      </w:pPr>
      <w:r>
        <w:rPr>
          <w:rFonts w:ascii="Times New Roman" w:cs="Times New Roman" w:eastAsia="Times New Roman" w:hAnsi="Times New Roman"/>
          <w:sz w:val="15"/>
          <w:szCs w:val="15"/>
          <w:color w:val="auto"/>
        </w:rPr>
        <w:t xml:space="preserve">Long-LiYed </w:t>
      </w:r>
      <w:r>
        <w:rPr>
          <w:rFonts w:ascii="Arial" w:cs="Arial" w:eastAsia="Arial" w:hAnsi="Arial"/>
          <w:sz w:val="11"/>
          <w:szCs w:val="11"/>
          <w:color w:val="auto"/>
        </w:rPr>
        <w:t>Asset~</w:t>
      </w:r>
      <w:r>
        <w:rPr>
          <w:sz w:val="20"/>
          <w:szCs w:val="20"/>
          <w:color w:val="auto"/>
        </w:rPr>
        <w:tab/>
      </w:r>
      <w:r>
        <w:rPr>
          <w:rFonts w:ascii="Arial" w:cs="Arial" w:eastAsia="Arial" w:hAnsi="Arial"/>
          <w:sz w:val="9"/>
          <w:szCs w:val="9"/>
          <w:color w:val="auto"/>
        </w:rPr>
        <w:t xml:space="preserve">.  </w:t>
      </w:r>
      <w:r>
        <w:rPr>
          <w:rFonts w:ascii="Times New Roman" w:cs="Times New Roman" w:eastAsia="Times New Roman" w:hAnsi="Times New Roman"/>
          <w:sz w:val="12"/>
          <w:szCs w:val="12"/>
          <w:color w:val="auto"/>
        </w:rPr>
        <w:t>-- . -- . --</w:t>
      </w:r>
      <w:r>
        <w:rPr>
          <w:rFonts w:ascii="Arial" w:cs="Arial" w:eastAsia="Arial" w:hAnsi="Arial"/>
          <w:sz w:val="9"/>
          <w:szCs w:val="9"/>
          <w:color w:val="auto"/>
        </w:rPr>
        <w:t xml:space="preserve"> </w:t>
      </w:r>
      <w:r>
        <w:rPr>
          <w:rFonts w:ascii="Arial" w:cs="Arial" w:eastAsia="Arial" w:hAnsi="Arial"/>
          <w:sz w:val="13"/>
          <w:szCs w:val="13"/>
          <w:color w:val="auto"/>
        </w:rPr>
        <w:t>. . . .</w:t>
      </w:r>
    </w:p>
    <w:p>
      <w:pPr>
        <w:spacing w:after="0" w:line="79" w:lineRule="exact"/>
        <w:rPr>
          <w:sz w:val="20"/>
          <w:szCs w:val="20"/>
          <w:color w:val="auto"/>
        </w:rPr>
      </w:pPr>
    </w:p>
    <w:p>
      <w:pPr>
        <w:ind w:left="120"/>
        <w:spacing w:after="0"/>
        <w:tabs>
          <w:tab w:leader="none" w:pos="1520" w:val="left"/>
        </w:tabs>
        <w:rPr>
          <w:sz w:val="20"/>
          <w:szCs w:val="20"/>
          <w:color w:val="auto"/>
        </w:rPr>
      </w:pPr>
      <w:r>
        <w:rPr>
          <w:rFonts w:ascii="Times New Roman" w:cs="Times New Roman" w:eastAsia="Times New Roman" w:hAnsi="Times New Roman"/>
          <w:sz w:val="15"/>
          <w:szCs w:val="15"/>
          <w:color w:val="auto"/>
        </w:rPr>
        <w:t xml:space="preserve">Other Businesses </w:t>
      </w:r>
      <w:r>
        <w:rPr>
          <w:rFonts w:ascii="Times New Roman" w:cs="Times New Roman" w:eastAsia="Times New Roman" w:hAnsi="Times New Roman"/>
          <w:sz w:val="9"/>
          <w:szCs w:val="9"/>
          <w:color w:val="auto"/>
        </w:rPr>
        <w:t>(7)</w:t>
      </w:r>
      <w:r>
        <w:rPr>
          <w:sz w:val="20"/>
          <w:szCs w:val="20"/>
          <w:color w:val="auto"/>
        </w:rPr>
        <w:tab/>
      </w:r>
      <w:r>
        <w:rPr>
          <w:rFonts w:ascii="Arial" w:cs="Arial" w:eastAsia="Arial" w:hAnsi="Arial"/>
          <w:sz w:val="17"/>
          <w:szCs w:val="17"/>
          <w:color w:val="auto"/>
        </w:rPr>
        <w:t>. . .. . .. . .. . .. . .. . .. .</w:t>
      </w:r>
    </w:p>
    <w:p>
      <w:pPr>
        <w:spacing w:after="0" w:line="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Corpor.ate Costs . . .. . ..... . .. . .. . .. . .. .</w:t>
      </w:r>
    </w:p>
    <w:p>
      <w:pPr>
        <w:spacing w:after="0" w:line="8" w:lineRule="exact"/>
        <w:rPr>
          <w:sz w:val="20"/>
          <w:szCs w:val="20"/>
          <w:color w:val="auto"/>
        </w:rPr>
      </w:pPr>
    </w:p>
    <w:p>
      <w:pPr>
        <w:ind w:left="120" w:hanging="8"/>
        <w:spacing w:after="0" w:line="254" w:lineRule="auto"/>
        <w:rPr>
          <w:sz w:val="20"/>
          <w:szCs w:val="20"/>
          <w:color w:val="auto"/>
        </w:rPr>
      </w:pPr>
      <w:r>
        <w:rPr>
          <w:rFonts w:ascii="Times New Roman" w:cs="Times New Roman" w:eastAsia="Times New Roman" w:hAnsi="Times New Roman"/>
          <w:sz w:val="15"/>
          <w:szCs w:val="15"/>
          <w:color w:val="auto"/>
        </w:rPr>
        <w:t>Amorti zation of I ntangible Assets</w:t>
      </w:r>
      <w:r>
        <w:rPr>
          <w:sz w:val="20"/>
          <w:szCs w:val="20"/>
          <w:color w:val="auto"/>
        </w:rPr>
        <w:t xml:space="preserve"> </w:t>
      </w:r>
      <w:r>
        <w:rPr>
          <w:rFonts w:ascii="Arial" w:cs="Arial" w:eastAsia="Arial" w:hAnsi="Arial"/>
          <w:sz w:val="18"/>
          <w:szCs w:val="18"/>
          <w:color w:val="auto"/>
        </w:rPr>
        <w:t xml:space="preserve">. . .. </w:t>
      </w:r>
      <w:r>
        <w:rPr>
          <w:rFonts w:ascii="Arial" w:cs="Arial" w:eastAsia="Arial" w:hAnsi="Arial"/>
          <w:sz w:val="7"/>
          <w:szCs w:val="7"/>
          <w:color w:val="auto"/>
        </w:rPr>
        <w:t>'</w:t>
      </w:r>
      <w:r>
        <w:rPr>
          <w:rFonts w:ascii="Arial" w:cs="Arial" w:eastAsia="Arial" w:hAnsi="Arial"/>
          <w:sz w:val="18"/>
          <w:szCs w:val="18"/>
          <w:color w:val="auto"/>
        </w:rPr>
        <w:t xml:space="preserve"> .. . </w:t>
      </w:r>
      <w:r>
        <w:rPr>
          <w:rFonts w:ascii="Times New Roman" w:cs="Times New Roman" w:eastAsia="Times New Roman" w:hAnsi="Times New Roman"/>
          <w:sz w:val="15"/>
          <w:szCs w:val="15"/>
          <w:color w:val="auto"/>
        </w:rPr>
        <w:t>Impairm ent of Good will and Other Long-</w:t>
      </w:r>
    </w:p>
    <w:p>
      <w:pPr>
        <w:ind w:left="280"/>
        <w:spacing w:after="0" w:line="230" w:lineRule="auto"/>
        <w:rPr>
          <w:sz w:val="20"/>
          <w:szCs w:val="20"/>
          <w:color w:val="auto"/>
        </w:rPr>
      </w:pPr>
      <w:r>
        <w:rPr>
          <w:rFonts w:ascii="Times New Roman" w:cs="Times New Roman" w:eastAsia="Times New Roman" w:hAnsi="Times New Roman"/>
          <w:sz w:val="15"/>
          <w:szCs w:val="15"/>
          <w:color w:val="auto"/>
        </w:rPr>
        <w:t xml:space="preserve">LiYed Assets  </w:t>
      </w:r>
      <w:r>
        <w:rPr>
          <w:rFonts w:ascii="Arial" w:cs="Arial" w:eastAsia="Arial" w:hAnsi="Arial"/>
          <w:sz w:val="18"/>
          <w:szCs w:val="18"/>
          <w:color w:val="auto"/>
        </w:rPr>
        <w:t>..... . .. . .. . .. . .. . .. . ..</w:t>
      </w:r>
      <w:r>
        <w:rPr>
          <w:rFonts w:ascii="Times New Roman" w:cs="Times New Roman" w:eastAsia="Times New Roman" w:hAnsi="Times New Roman"/>
          <w:sz w:val="15"/>
          <w:szCs w:val="15"/>
          <w:color w:val="auto"/>
        </w:rPr>
        <w:t xml:space="preserve"> </w:t>
      </w:r>
      <w:r>
        <w:rPr>
          <w:rFonts w:ascii="Arial" w:cs="Arial" w:eastAsia="Arial" w:hAnsi="Arial"/>
          <w:sz w:val="7"/>
          <w:szCs w:val="7"/>
          <w:color w:val="auto"/>
        </w:rPr>
        <w:t>'</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 xml:space="preserve">Income from Operations . .. </w:t>
      </w:r>
      <w:r>
        <w:rPr>
          <w:rFonts w:ascii="Times New Roman" w:cs="Times New Roman" w:eastAsia="Times New Roman" w:hAnsi="Times New Roman"/>
          <w:sz w:val="12"/>
          <w:szCs w:val="12"/>
          <w:color w:val="auto"/>
        </w:rPr>
        <w:t>--- - -- -</w:t>
      </w:r>
      <w:r>
        <w:rPr>
          <w:rFonts w:ascii="Times New Roman" w:cs="Times New Roman" w:eastAsia="Times New Roman" w:hAnsi="Times New Roman"/>
          <w:sz w:val="15"/>
          <w:szCs w:val="15"/>
          <w:color w:val="auto"/>
        </w:rPr>
        <w:t xml:space="preserve"> </w:t>
      </w:r>
      <w:r>
        <w:rPr>
          <w:rFonts w:ascii="Arial" w:cs="Arial" w:eastAsia="Arial" w:hAnsi="Arial"/>
          <w:sz w:val="18"/>
          <w:szCs w:val="18"/>
          <w:color w:val="auto"/>
        </w:rPr>
        <w:t>..... .</w:t>
      </w:r>
    </w:p>
    <w:p>
      <w:pPr>
        <w:spacing w:after="0" w:line="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Equity in Losses of Affiliates, Net</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Interest Expense, Net . .. . .. . .. . .. . .. . .. .</w:t>
      </w:r>
    </w:p>
    <w:p>
      <w:pPr>
        <w:spacing w:after="0" w:line="33" w:lineRule="exact"/>
        <w:rPr>
          <w:sz w:val="20"/>
          <w:szCs w:val="20"/>
          <w:color w:val="auto"/>
        </w:rPr>
      </w:pPr>
    </w:p>
    <w:p>
      <w:pPr>
        <w:jc w:val="right"/>
        <w:ind w:left="120" w:right="20"/>
        <w:spacing w:after="0" w:line="272" w:lineRule="auto"/>
        <w:rPr>
          <w:sz w:val="20"/>
          <w:szCs w:val="20"/>
          <w:color w:val="auto"/>
        </w:rPr>
      </w:pPr>
      <w:r>
        <w:rPr>
          <w:rFonts w:ascii="Times New Roman" w:cs="Times New Roman" w:eastAsia="Times New Roman" w:hAnsi="Times New Roman"/>
          <w:sz w:val="15"/>
          <w:szCs w:val="15"/>
          <w:color w:val="auto"/>
        </w:rPr>
        <w:t>Non-Opemting Pension and Postretiremen t Benefit I ncome, Net .. . ..... . .. . ..... .</w:t>
      </w:r>
    </w:p>
    <w:p>
      <w:pPr>
        <w:spacing w:after="0" w:line="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Loss on Marketable Equit y Securities,</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Net ............................... .</w:t>
      </w:r>
    </w:p>
    <w:p>
      <w:pPr>
        <w:spacing w:after="0" w:line="2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Other I ncome, Net .. . .. . ..... . .. . .. . .. .</w:t>
      </w:r>
    </w:p>
    <w:p>
      <w:pPr>
        <w:spacing w:after="0" w:line="1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Income Before Income Taxes  .. . .. . ... .. .</w:t>
      </w:r>
    </w:p>
    <w:p>
      <w:pPr>
        <w:spacing w:after="0" w:line="14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color w:val="auto"/>
        </w:rPr>
        <w:t>Capita l Expendit u res . .. . .. . .. . .. . .. . .. .</w:t>
      </w:r>
    </w:p>
    <w:p>
      <w:pPr>
        <w:spacing w:after="0" w:line="3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5"/>
          <w:szCs w:val="15"/>
          <w:i w:val="1"/>
          <w:iCs w:val="1"/>
          <w:color w:val="auto"/>
        </w:rPr>
        <w:t>Reconciliation of Capital Expendirures</w:t>
      </w:r>
    </w:p>
    <w:p>
      <w:pPr>
        <w:spacing w:after="0" w:line="32" w:lineRule="exact"/>
        <w:rPr>
          <w:sz w:val="20"/>
          <w:szCs w:val="20"/>
          <w:color w:val="auto"/>
        </w:rPr>
      </w:pPr>
    </w:p>
    <w:p>
      <w:pPr>
        <w:ind w:left="280" w:right="20" w:hanging="161"/>
        <w:spacing w:after="0" w:line="249" w:lineRule="auto"/>
        <w:rPr>
          <w:sz w:val="20"/>
          <w:szCs w:val="20"/>
          <w:color w:val="auto"/>
        </w:rPr>
      </w:pPr>
      <w:r>
        <w:rPr>
          <w:rFonts w:ascii="Times New Roman" w:cs="Times New Roman" w:eastAsia="Times New Roman" w:hAnsi="Times New Roman"/>
          <w:sz w:val="15"/>
          <w:szCs w:val="15"/>
          <w:color w:val="auto"/>
        </w:rPr>
        <w:t xml:space="preserve">Other Businesses and Corporate Office Capital Expenditures </w:t>
      </w:r>
      <w:r>
        <w:rPr>
          <w:rFonts w:ascii="Times New Roman" w:cs="Times New Roman" w:eastAsia="Times New Roman" w:hAnsi="Times New Roman"/>
          <w:sz w:val="9"/>
          <w:szCs w:val="9"/>
          <w:color w:val="auto"/>
        </w:rPr>
        <w:t>(S) . • •••• . •• . •• • •• •</w:t>
      </w:r>
    </w:p>
    <w:p>
      <w:pPr>
        <w:ind w:left="120"/>
        <w:spacing w:after="0"/>
        <w:tabs>
          <w:tab w:leader="none" w:pos="2080" w:val="left"/>
        </w:tabs>
        <w:rPr>
          <w:sz w:val="20"/>
          <w:szCs w:val="20"/>
          <w:color w:val="auto"/>
        </w:rPr>
      </w:pPr>
      <w:r>
        <w:rPr>
          <w:rFonts w:ascii="Times New Roman" w:cs="Times New Roman" w:eastAsia="Times New Roman" w:hAnsi="Times New Roman"/>
          <w:sz w:val="15"/>
          <w:szCs w:val="15"/>
          <w:color w:val="auto"/>
        </w:rPr>
        <w:t>Total Capita l Expenditures</w:t>
      </w:r>
      <w:r>
        <w:rPr>
          <w:sz w:val="20"/>
          <w:szCs w:val="20"/>
          <w:color w:val="auto"/>
        </w:rPr>
        <w:tab/>
      </w:r>
      <w:r>
        <w:rPr>
          <w:rFonts w:ascii="Times New Roman" w:cs="Times New Roman" w:eastAsia="Times New Roman" w:hAnsi="Times New Roman"/>
          <w:sz w:val="24"/>
          <w:szCs w:val="24"/>
          <w:color w:val="auto"/>
          <w:vertAlign w:val="subscript"/>
        </w:rPr>
        <w:t xml:space="preserve">--- - </w:t>
      </w:r>
      <w:r>
        <w:rPr>
          <w:rFonts w:ascii="Times New Roman" w:cs="Times New Roman" w:eastAsia="Times New Roman" w:hAnsi="Times New Roman"/>
          <w:sz w:val="26"/>
          <w:szCs w:val="26"/>
          <w:color w:val="auto"/>
          <w:vertAlign w:val="subscript"/>
        </w:rPr>
        <w:t>-- · -- .</w:t>
      </w:r>
      <w:r>
        <w:rPr>
          <w:rFonts w:ascii="Times New Roman" w:cs="Times New Roman" w:eastAsia="Times New Roman" w:hAnsi="Times New Roman"/>
          <w:sz w:val="24"/>
          <w:szCs w:val="24"/>
          <w:color w:val="auto"/>
          <w:vertAlign w:val="subscript"/>
        </w:rPr>
        <w:t xml:space="preserve"> </w:t>
      </w:r>
      <w:r>
        <w:rPr>
          <w:rFonts w:ascii="Times New Roman" w:cs="Times New Roman" w:eastAsia="Times New Roman" w:hAnsi="Times New Roman"/>
          <w:sz w:val="17"/>
          <w:szCs w:val="17"/>
          <w:color w:val="auto"/>
        </w:rPr>
        <w:t>-- ·</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565,637</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363,782</w:t>
            </w:r>
          </w:p>
        </w:tc>
        <w:tc>
          <w:tcPr>
            <w:tcW w:w="1040" w:type="dxa"/>
            <w:vAlign w:val="bottom"/>
          </w:tcPr>
          <w:p>
            <w:pPr>
              <w:jc w:val="right"/>
              <w:ind w:right="119"/>
              <w:spacing w:after="0"/>
              <w:rPr>
                <w:sz w:val="20"/>
                <w:szCs w:val="20"/>
                <w:color w:val="auto"/>
              </w:rPr>
            </w:pPr>
            <w:r>
              <w:rPr>
                <w:rFonts w:ascii="Times New Roman" w:cs="Times New Roman" w:eastAsia="Times New Roman" w:hAnsi="Times New Roman"/>
                <w:sz w:val="15"/>
                <w:szCs w:val="15"/>
                <w:color w:val="auto"/>
              </w:rPr>
              <w:t>169,208</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603, 125</w:t>
            </w:r>
          </w:p>
        </w:tc>
        <w:tc>
          <w:tcPr>
            <w:tcW w:w="0" w:type="dxa"/>
            <w:vAlign w:val="bottom"/>
          </w:tcPr>
          <w:p>
            <w:pPr>
              <w:spacing w:after="0"/>
              <w:rPr>
                <w:sz w:val="1"/>
                <w:szCs w:val="1"/>
                <w:color w:val="auto"/>
              </w:rPr>
            </w:pPr>
          </w:p>
        </w:tc>
      </w:tr>
      <w:tr>
        <w:trPr>
          <w:trHeight w:val="400"/>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394,972</w:t>
            </w: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119, 140</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56,520</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106,433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6, 116</w:t>
            </w: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58,026</w:t>
            </w: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1"/>
        </w:trPr>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125.749</w:t>
            </w: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5,737</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gridSpan w:val="2"/>
          </w:tcPr>
          <w:p>
            <w:pPr>
              <w:jc w:val="right"/>
              <w:ind w:right="100"/>
              <w:spacing w:after="0" w:line="169" w:lineRule="exact"/>
              <w:rPr>
                <w:sz w:val="20"/>
                <w:szCs w:val="20"/>
                <w:color w:val="auto"/>
              </w:rPr>
            </w:pPr>
            <w:r>
              <w:rPr>
                <w:rFonts w:ascii="Times New Roman" w:cs="Times New Roman" w:eastAsia="Times New Roman" w:hAnsi="Times New Roman"/>
                <w:sz w:val="15"/>
                <w:szCs w:val="15"/>
                <w:color w:val="auto"/>
              </w:rPr>
              <w:t>160,696</w:t>
            </w:r>
          </w:p>
        </w:tc>
        <w:tc>
          <w:tcPr>
            <w:tcW w:w="1140" w:type="dxa"/>
            <w:vAlign w:val="bottom"/>
          </w:tcPr>
          <w:p>
            <w:pPr>
              <w:jc w:val="right"/>
              <w:ind w:right="205"/>
              <w:spacing w:after="0" w:line="169" w:lineRule="exact"/>
              <w:rPr>
                <w:sz w:val="20"/>
                <w:szCs w:val="20"/>
                <w:color w:val="auto"/>
              </w:rPr>
            </w:pPr>
            <w:r>
              <w:rPr>
                <w:rFonts w:ascii="Times New Roman" w:cs="Times New Roman" w:eastAsia="Times New Roman" w:hAnsi="Times New Roman"/>
                <w:sz w:val="15"/>
                <w:szCs w:val="15"/>
                <w:color w:val="auto"/>
              </w:rPr>
              <w:t>67,595</w:t>
            </w:r>
          </w:p>
        </w:tc>
        <w:tc>
          <w:tcPr>
            <w:tcW w:w="1140" w:type="dxa"/>
            <w:vAlign w:val="bottom"/>
          </w:tcPr>
          <w:p>
            <w:pPr>
              <w:jc w:val="right"/>
              <w:ind w:right="186"/>
              <w:spacing w:after="0" w:line="169" w:lineRule="exact"/>
              <w:rPr>
                <w:sz w:val="20"/>
                <w:szCs w:val="20"/>
                <w:color w:val="auto"/>
              </w:rPr>
            </w:pPr>
            <w:r>
              <w:rPr>
                <w:rFonts w:ascii="Times New Roman" w:cs="Times New Roman" w:eastAsia="Times New Roman" w:hAnsi="Times New Roman"/>
                <w:sz w:val="15"/>
                <w:szCs w:val="15"/>
                <w:color w:val="auto"/>
              </w:rPr>
              <w:t>58,279</w:t>
            </w:r>
          </w:p>
        </w:tc>
        <w:tc>
          <w:tcPr>
            <w:tcW w:w="1040" w:type="dxa"/>
            <w:vAlign w:val="bottom"/>
          </w:tcPr>
          <w:p>
            <w:pPr>
              <w:jc w:val="right"/>
              <w:ind w:right="119"/>
              <w:spacing w:after="0" w:line="169" w:lineRule="exact"/>
              <w:rPr>
                <w:sz w:val="20"/>
                <w:szCs w:val="20"/>
                <w:color w:val="auto"/>
              </w:rPr>
            </w:pPr>
            <w:r>
              <w:rPr>
                <w:rFonts w:ascii="Times New Roman" w:cs="Times New Roman" w:eastAsia="Times New Roman" w:hAnsi="Times New Roman"/>
                <w:sz w:val="15"/>
                <w:szCs w:val="15"/>
                <w:color w:val="auto"/>
              </w:rPr>
              <w:t>122,962</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24,323</w:t>
            </w:r>
          </w:p>
        </w:tc>
        <w:tc>
          <w:tcPr>
            <w:tcW w:w="0" w:type="dxa"/>
            <w:vAlign w:val="bottom"/>
          </w:tcPr>
          <w:p>
            <w:pPr>
              <w:spacing w:after="0"/>
              <w:rPr>
                <w:sz w:val="1"/>
                <w:szCs w:val="1"/>
                <w:color w:val="auto"/>
              </w:rPr>
            </w:pPr>
          </w:p>
        </w:tc>
      </w:tr>
      <w:tr>
        <w:trPr>
          <w:trHeight w:val="34"/>
        </w:trPr>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4A0A4"/>
            </w:tcBorders>
          </w:tcPr>
          <w:p>
            <w:pPr>
              <w:spacing w:after="0"/>
              <w:rPr>
                <w:sz w:val="2"/>
                <w:szCs w:val="2"/>
                <w:color w:val="auto"/>
              </w:rPr>
            </w:pPr>
          </w:p>
        </w:tc>
        <w:tc>
          <w:tcPr>
            <w:tcW w:w="100" w:type="dxa"/>
            <w:vAlign w:val="bottom"/>
            <w:tcBorders>
              <w:bottom w:val="single" w:sz="8" w:color="A4A0A4"/>
            </w:tcBorders>
          </w:tcPr>
          <w:p>
            <w:pPr>
              <w:spacing w:after="0"/>
              <w:rPr>
                <w:sz w:val="2"/>
                <w:szCs w:val="2"/>
                <w:color w:val="auto"/>
              </w:rPr>
            </w:pPr>
          </w:p>
        </w:tc>
        <w:tc>
          <w:tcPr>
            <w:tcW w:w="1140" w:type="dxa"/>
            <w:vAlign w:val="bottom"/>
            <w:vMerge w:val="restart"/>
          </w:tcPr>
          <w:p>
            <w:pPr>
              <w:jc w:val="right"/>
              <w:ind w:right="205"/>
              <w:spacing w:after="0" w:line="114"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vMerge w:val="restart"/>
          </w:tcPr>
          <w:p>
            <w:pPr>
              <w:jc w:val="right"/>
              <w:ind w:right="166"/>
              <w:spacing w:after="0" w:line="114" w:lineRule="exact"/>
              <w:rPr>
                <w:sz w:val="20"/>
                <w:szCs w:val="20"/>
                <w:color w:val="auto"/>
              </w:rPr>
            </w:pPr>
            <w:r>
              <w:rPr>
                <w:rFonts w:ascii="Times New Roman" w:cs="Times New Roman" w:eastAsia="Times New Roman" w:hAnsi="Times New Roman"/>
                <w:sz w:val="13"/>
                <w:szCs w:val="13"/>
                <w:color w:val="auto"/>
              </w:rPr>
              <w:t>---</w:t>
            </w:r>
          </w:p>
        </w:tc>
        <w:tc>
          <w:tcPr>
            <w:tcW w:w="1040" w:type="dxa"/>
            <w:vAlign w:val="bottom"/>
            <w:vMerge w:val="restart"/>
          </w:tcPr>
          <w:p>
            <w:pPr>
              <w:jc w:val="right"/>
              <w:ind w:right="99"/>
              <w:spacing w:after="0" w:line="114"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vMerge w:val="restart"/>
          </w:tcPr>
          <w:p>
            <w:pPr>
              <w:jc w:val="right"/>
              <w:spacing w:after="0" w:line="114"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61"/>
        </w:trPr>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140" w:type="dxa"/>
            <w:vAlign w:val="bottom"/>
            <w:vMerge w:val="continue"/>
          </w:tcPr>
          <w:p>
            <w:pPr>
              <w:spacing w:after="0"/>
              <w:rPr>
                <w:sz w:val="5"/>
                <w:szCs w:val="5"/>
                <w:color w:val="auto"/>
              </w:rPr>
            </w:pPr>
          </w:p>
        </w:tc>
        <w:tc>
          <w:tcPr>
            <w:tcW w:w="104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142, 151</w:t>
            </w:r>
          </w:p>
        </w:tc>
        <w:tc>
          <w:tcPr>
            <w:tcW w:w="100" w:type="dxa"/>
            <w:vAlign w:val="bottom"/>
          </w:tcPr>
          <w:p>
            <w:pPr>
              <w:spacing w:after="0"/>
              <w:rPr>
                <w:sz w:val="14"/>
                <w:szCs w:val="14"/>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$223, 167</w:t>
            </w:r>
          </w:p>
        </w:tc>
        <w:tc>
          <w:tcPr>
            <w:tcW w:w="1140" w:type="dxa"/>
            <w:vAlign w:val="bottom"/>
          </w:tcPr>
          <w:p>
            <w:pPr>
              <w:jc w:val="right"/>
              <w:ind w:right="186"/>
              <w:spacing w:after="0"/>
              <w:rPr>
                <w:sz w:val="20"/>
                <w:szCs w:val="20"/>
                <w:color w:val="auto"/>
              </w:rPr>
            </w:pPr>
            <w:r>
              <w:rPr>
                <w:rFonts w:ascii="Times New Roman" w:cs="Times New Roman" w:eastAsia="Times New Roman" w:hAnsi="Times New Roman"/>
                <w:sz w:val="15"/>
                <w:szCs w:val="15"/>
                <w:color w:val="auto"/>
              </w:rPr>
              <w:t>$  64,582</w:t>
            </w:r>
          </w:p>
        </w:tc>
        <w:tc>
          <w:tcPr>
            <w:tcW w:w="1040" w:type="dxa"/>
            <w:vAlign w:val="bottom"/>
          </w:tcPr>
          <w:p>
            <w:pPr>
              <w:jc w:val="right"/>
              <w:ind w:right="99"/>
              <w:spacing w:after="0" w:line="172" w:lineRule="exact"/>
              <w:rPr>
                <w:sz w:val="20"/>
                <w:szCs w:val="20"/>
                <w:color w:val="auto"/>
              </w:rPr>
            </w:pP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2"/>
                <w:szCs w:val="12"/>
                <w:color w:val="auto"/>
              </w:rPr>
              <w:t>33,830</w:t>
            </w:r>
          </w:p>
        </w:tc>
        <w:tc>
          <w:tcPr>
            <w:tcW w:w="800" w:type="dxa"/>
            <w:vAlign w:val="bottom"/>
          </w:tcPr>
          <w:p>
            <w:pPr>
              <w:jc w:val="right"/>
              <w:spacing w:after="0" w:line="172" w:lineRule="exact"/>
              <w:rPr>
                <w:sz w:val="20"/>
                <w:szCs w:val="20"/>
                <w:color w:val="auto"/>
              </w:rPr>
            </w:pPr>
            <w:r>
              <w:rPr>
                <w:rFonts w:ascii="Times New Roman" w:cs="Times New Roman" w:eastAsia="Times New Roman" w:hAnsi="Times New Roman"/>
                <w:sz w:val="19"/>
                <w:szCs w:val="19"/>
                <w:color w:val="auto"/>
              </w:rPr>
              <w:t xml:space="preserve">s </w:t>
            </w:r>
            <w:r>
              <w:rPr>
                <w:rFonts w:ascii="Times New Roman" w:cs="Times New Roman" w:eastAsia="Times New Roman" w:hAnsi="Times New Roman"/>
                <w:sz w:val="12"/>
                <w:szCs w:val="12"/>
                <w:color w:val="auto"/>
              </w:rPr>
              <w:t>38,364</w:t>
            </w:r>
          </w:p>
        </w:tc>
        <w:tc>
          <w:tcPr>
            <w:tcW w:w="0" w:type="dxa"/>
            <w:vAlign w:val="bottom"/>
          </w:tcPr>
          <w:p>
            <w:pPr>
              <w:spacing w:after="0"/>
              <w:rPr>
                <w:sz w:val="1"/>
                <w:szCs w:val="1"/>
                <w:color w:val="auto"/>
              </w:rPr>
            </w:pPr>
          </w:p>
        </w:tc>
      </w:tr>
      <w:tr>
        <w:trPr>
          <w:trHeight w:val="67"/>
        </w:trPr>
        <w:tc>
          <w:tcPr>
            <w:tcW w:w="100" w:type="dxa"/>
            <w:vAlign w:val="bottom"/>
          </w:tcPr>
          <w:p>
            <w:pPr>
              <w:spacing w:after="0"/>
              <w:rPr>
                <w:sz w:val="5"/>
                <w:szCs w:val="5"/>
                <w:color w:val="auto"/>
              </w:rPr>
            </w:pPr>
          </w:p>
        </w:tc>
        <w:tc>
          <w:tcPr>
            <w:tcW w:w="140" w:type="dxa"/>
            <w:vAlign w:val="bottom"/>
            <w:tcBorders>
              <w:bottom w:val="single" w:sz="8" w:color="504C4C"/>
            </w:tcBorders>
          </w:tcPr>
          <w:p>
            <w:pPr>
              <w:spacing w:after="0"/>
              <w:rPr>
                <w:sz w:val="5"/>
                <w:szCs w:val="5"/>
                <w:color w:val="auto"/>
              </w:rPr>
            </w:pPr>
          </w:p>
        </w:tc>
        <w:tc>
          <w:tcPr>
            <w:tcW w:w="580" w:type="dxa"/>
            <w:vAlign w:val="bottom"/>
            <w:tcBorders>
              <w:bottom w:val="single" w:sz="8" w:color="504C4C"/>
            </w:tcBorders>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40" w:type="dxa"/>
            <w:vAlign w:val="bottom"/>
            <w:vMerge w:val="restart"/>
          </w:tcPr>
          <w:p>
            <w:pPr>
              <w:jc w:val="right"/>
              <w:ind w:right="99"/>
              <w:spacing w:after="0" w:line="131" w:lineRule="exact"/>
              <w:rPr>
                <w:sz w:val="20"/>
                <w:szCs w:val="20"/>
                <w:color w:val="auto"/>
              </w:rPr>
            </w:pPr>
            <w:r>
              <w:rPr>
                <w:rFonts w:ascii="Arial" w:cs="Arial" w:eastAsia="Arial" w:hAnsi="Arial"/>
                <w:sz w:val="15"/>
                <w:szCs w:val="15"/>
                <w:color w:val="auto"/>
              </w:rPr>
              <w:t>---</w:t>
            </w:r>
          </w:p>
        </w:tc>
        <w:tc>
          <w:tcPr>
            <w:tcW w:w="800" w:type="dxa"/>
            <w:vAlign w:val="bottom"/>
            <w:vMerge w:val="restart"/>
          </w:tcPr>
          <w:p>
            <w:pPr>
              <w:jc w:val="right"/>
              <w:spacing w:after="0" w:line="131" w:lineRule="exact"/>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44"/>
        </w:trPr>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5"/>
                <w:szCs w:val="15"/>
                <w:color w:val="auto"/>
              </w:rPr>
              <w:t>8,934</w:t>
            </w: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3,554</w:t>
            </w:r>
          </w:p>
        </w:tc>
        <w:tc>
          <w:tcPr>
            <w:tcW w:w="1140" w:type="dxa"/>
            <w:vAlign w:val="bottom"/>
          </w:tcPr>
          <w:p>
            <w:pPr>
              <w:jc w:val="right"/>
              <w:ind w:right="186"/>
              <w:spacing w:after="0" w:line="168" w:lineRule="exact"/>
              <w:rPr>
                <w:sz w:val="20"/>
                <w:szCs w:val="20"/>
                <w:color w:val="auto"/>
              </w:rPr>
            </w:pPr>
            <w:r>
              <w:rPr>
                <w:rFonts w:ascii="Times New Roman" w:cs="Times New Roman" w:eastAsia="Times New Roman" w:hAnsi="Times New Roman"/>
                <w:sz w:val="15"/>
                <w:szCs w:val="15"/>
                <w:color w:val="auto"/>
              </w:rPr>
              <w:t>1, 104</w:t>
            </w:r>
          </w:p>
        </w:tc>
        <w:tc>
          <w:tcPr>
            <w:tcW w:w="1040" w:type="dxa"/>
            <w:vAlign w:val="bottom"/>
          </w:tcPr>
          <w:p>
            <w:pPr>
              <w:jc w:val="right"/>
              <w:ind w:right="99"/>
              <w:spacing w:after="0"/>
              <w:rPr>
                <w:sz w:val="20"/>
                <w:szCs w:val="20"/>
                <w:color w:val="auto"/>
              </w:rPr>
            </w:pPr>
            <w:r>
              <w:rPr>
                <w:rFonts w:ascii="Times New Roman" w:cs="Times New Roman" w:eastAsia="Times New Roman" w:hAnsi="Times New Roman"/>
                <w:sz w:val="15"/>
                <w:szCs w:val="15"/>
                <w:color w:val="auto"/>
              </w:rPr>
              <w:t>11 ,008</w:t>
            </w:r>
          </w:p>
        </w:tc>
        <w:tc>
          <w:tcPr>
            <w:tcW w:w="800" w:type="dxa"/>
            <w:vAlign w:val="bottom"/>
          </w:tcPr>
          <w:p>
            <w:pPr>
              <w:jc w:val="right"/>
              <w:spacing w:after="0" w:line="168" w:lineRule="exact"/>
              <w:rPr>
                <w:sz w:val="20"/>
                <w:szCs w:val="20"/>
                <w:color w:val="auto"/>
              </w:rPr>
            </w:pPr>
            <w:r>
              <w:rPr>
                <w:rFonts w:ascii="Times New Roman" w:cs="Times New Roman" w:eastAsia="Times New Roman" w:hAnsi="Times New Roman"/>
                <w:sz w:val="15"/>
                <w:szCs w:val="15"/>
                <w:color w:val="auto"/>
              </w:rPr>
              <w:t>22</w:t>
            </w:r>
          </w:p>
        </w:tc>
        <w:tc>
          <w:tcPr>
            <w:tcW w:w="0" w:type="dxa"/>
            <w:vAlign w:val="bottom"/>
          </w:tcPr>
          <w:p>
            <w:pPr>
              <w:spacing w:after="0"/>
              <w:rPr>
                <w:sz w:val="1"/>
                <w:szCs w:val="1"/>
                <w:color w:val="auto"/>
              </w:rPr>
            </w:pPr>
          </w:p>
        </w:tc>
      </w:tr>
      <w:tr>
        <w:trPr>
          <w:trHeight w:val="168"/>
        </w:trPr>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34,114</w:t>
            </w:r>
          </w:p>
        </w:tc>
        <w:tc>
          <w:tcPr>
            <w:tcW w:w="100" w:type="dxa"/>
            <w:vAlign w:val="bottom"/>
          </w:tcPr>
          <w:p>
            <w:pPr>
              <w:spacing w:after="0"/>
              <w:rPr>
                <w:sz w:val="14"/>
                <w:szCs w:val="14"/>
                <w:color w:val="auto"/>
              </w:rPr>
            </w:pPr>
          </w:p>
        </w:tc>
        <w:tc>
          <w:tcPr>
            <w:tcW w:w="1140" w:type="dxa"/>
            <w:vAlign w:val="bottom"/>
          </w:tcPr>
          <w:p>
            <w:pPr>
              <w:jc w:val="right"/>
              <w:ind w:right="205"/>
              <w:spacing w:after="0" w:line="169" w:lineRule="exact"/>
              <w:rPr>
                <w:sz w:val="20"/>
                <w:szCs w:val="20"/>
                <w:color w:val="auto"/>
              </w:rPr>
            </w:pPr>
            <w:r>
              <w:rPr>
                <w:rFonts w:ascii="Times New Roman" w:cs="Times New Roman" w:eastAsia="Times New Roman" w:hAnsi="Times New Roman"/>
                <w:sz w:val="15"/>
                <w:szCs w:val="15"/>
                <w:color w:val="auto"/>
              </w:rPr>
              <w:t>12,294</w:t>
            </w:r>
          </w:p>
        </w:tc>
        <w:tc>
          <w:tcPr>
            <w:tcW w:w="1140" w:type="dxa"/>
            <w:vAlign w:val="bottom"/>
          </w:tcPr>
          <w:p>
            <w:pPr>
              <w:jc w:val="right"/>
              <w:ind w:right="186"/>
              <w:spacing w:after="0" w:line="169" w:lineRule="exact"/>
              <w:rPr>
                <w:sz w:val="20"/>
                <w:szCs w:val="20"/>
                <w:color w:val="auto"/>
              </w:rPr>
            </w:pPr>
            <w:r>
              <w:rPr>
                <w:rFonts w:ascii="Times New Roman" w:cs="Times New Roman" w:eastAsia="Times New Roman" w:hAnsi="Times New Roman"/>
                <w:sz w:val="15"/>
                <w:szCs w:val="15"/>
                <w:color w:val="auto"/>
              </w:rPr>
              <w:t>9,399</w:t>
            </w:r>
          </w:p>
        </w:tc>
        <w:tc>
          <w:tcPr>
            <w:tcW w:w="1040" w:type="dxa"/>
            <w:vAlign w:val="bottom"/>
          </w:tcPr>
          <w:p>
            <w:pPr>
              <w:jc w:val="right"/>
              <w:ind w:right="99"/>
              <w:spacing w:after="0" w:line="169" w:lineRule="exact"/>
              <w:rPr>
                <w:sz w:val="20"/>
                <w:szCs w:val="20"/>
                <w:color w:val="auto"/>
              </w:rPr>
            </w:pPr>
            <w:r>
              <w:rPr>
                <w:rFonts w:ascii="Times New Roman" w:cs="Times New Roman" w:eastAsia="Times New Roman" w:hAnsi="Times New Roman"/>
                <w:sz w:val="15"/>
                <w:szCs w:val="15"/>
                <w:color w:val="auto"/>
              </w:rPr>
              <w:t>3,78 1</w:t>
            </w:r>
          </w:p>
        </w:tc>
        <w:tc>
          <w:tcPr>
            <w:tcW w:w="800" w:type="dxa"/>
            <w:vAlign w:val="bottom"/>
          </w:tcPr>
          <w:p>
            <w:pPr>
              <w:jc w:val="right"/>
              <w:spacing w:after="0" w:line="169" w:lineRule="exact"/>
              <w:rPr>
                <w:sz w:val="20"/>
                <w:szCs w:val="20"/>
                <w:color w:val="auto"/>
              </w:rPr>
            </w:pPr>
            <w:r>
              <w:rPr>
                <w:rFonts w:ascii="Times New Roman" w:cs="Times New Roman" w:eastAsia="Times New Roman" w:hAnsi="Times New Roman"/>
                <w:sz w:val="15"/>
                <w:szCs w:val="15"/>
                <w:color w:val="auto"/>
              </w:rPr>
              <w:t>3,709</w:t>
            </w:r>
          </w:p>
        </w:tc>
        <w:tc>
          <w:tcPr>
            <w:tcW w:w="0" w:type="dxa"/>
            <w:vAlign w:val="bottom"/>
          </w:tcPr>
          <w:p>
            <w:pPr>
              <w:spacing w:after="0"/>
              <w:rPr>
                <w:sz w:val="1"/>
                <w:szCs w:val="1"/>
                <w:color w:val="auto"/>
              </w:rPr>
            </w:pPr>
          </w:p>
        </w:tc>
      </w:tr>
      <w:tr>
        <w:trPr>
          <w:trHeight w:val="33"/>
        </w:trPr>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4A0A4"/>
            </w:tcBorders>
          </w:tcPr>
          <w:p>
            <w:pPr>
              <w:spacing w:after="0"/>
              <w:rPr>
                <w:sz w:val="2"/>
                <w:szCs w:val="2"/>
                <w:color w:val="auto"/>
              </w:rPr>
            </w:pPr>
          </w:p>
        </w:tc>
        <w:tc>
          <w:tcPr>
            <w:tcW w:w="100" w:type="dxa"/>
            <w:vAlign w:val="bottom"/>
            <w:tcBorders>
              <w:bottom w:val="single" w:sz="8" w:color="A4A0A4"/>
            </w:tcBorders>
          </w:tcPr>
          <w:p>
            <w:pPr>
              <w:spacing w:after="0"/>
              <w:rPr>
                <w:sz w:val="2"/>
                <w:szCs w:val="2"/>
                <w:color w:val="auto"/>
              </w:rPr>
            </w:pPr>
          </w:p>
        </w:tc>
        <w:tc>
          <w:tcPr>
            <w:tcW w:w="1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40" w:type="dxa"/>
            <w:vAlign w:val="bottom"/>
            <w:vMerge w:val="restart"/>
          </w:tcPr>
          <w:p>
            <w:pPr>
              <w:jc w:val="right"/>
              <w:ind w:right="99"/>
              <w:spacing w:after="0" w:line="204" w:lineRule="exact"/>
              <w:rPr>
                <w:sz w:val="20"/>
                <w:szCs w:val="20"/>
                <w:color w:val="auto"/>
              </w:rPr>
            </w:pPr>
            <w:r>
              <w:rPr>
                <w:rFonts w:ascii="Times New Roman" w:cs="Times New Roman" w:eastAsia="Times New Roman" w:hAnsi="Times New Roman"/>
                <w:sz w:val="18"/>
                <w:szCs w:val="18"/>
                <w:color w:val="auto"/>
              </w:rPr>
              <w:t>---</w:t>
            </w:r>
          </w:p>
        </w:tc>
        <w:tc>
          <w:tcPr>
            <w:tcW w:w="800" w:type="dxa"/>
            <w:vAlign w:val="bottom"/>
            <w:vMerge w:val="restart"/>
          </w:tcPr>
          <w:p>
            <w:pPr>
              <w:jc w:val="right"/>
              <w:spacing w:after="0" w:line="20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0"/>
        </w:trPr>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4"/>
        </w:trPr>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5"/>
                <w:szCs w:val="15"/>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99, 103</w:t>
            </w:r>
          </w:p>
        </w:tc>
        <w:tc>
          <w:tcPr>
            <w:tcW w:w="100" w:type="dxa"/>
            <w:vAlign w:val="bottom"/>
          </w:tcPr>
          <w:p>
            <w:pPr>
              <w:spacing w:after="0"/>
              <w:rPr>
                <w:sz w:val="24"/>
                <w:szCs w:val="24"/>
                <w:color w:val="auto"/>
              </w:rPr>
            </w:pPr>
          </w:p>
        </w:tc>
        <w:tc>
          <w:tcPr>
            <w:tcW w:w="1140" w:type="dxa"/>
            <w:vAlign w:val="bottom"/>
          </w:tcPr>
          <w:p>
            <w:pPr>
              <w:jc w:val="right"/>
              <w:ind w:right="205"/>
              <w:spacing w:after="0"/>
              <w:rPr>
                <w:sz w:val="20"/>
                <w:szCs w:val="20"/>
                <w:color w:val="auto"/>
              </w:rPr>
            </w:pPr>
            <w:r>
              <w:rPr>
                <w:rFonts w:ascii="Times New Roman" w:cs="Times New Roman" w:eastAsia="Times New Roman" w:hAnsi="Times New Roman"/>
                <w:sz w:val="15"/>
                <w:szCs w:val="15"/>
                <w:color w:val="auto"/>
              </w:rPr>
              <w:t>$207,3 19</w:t>
            </w:r>
          </w:p>
        </w:tc>
        <w:tc>
          <w:tcPr>
            <w:tcW w:w="1140" w:type="dxa"/>
            <w:vAlign w:val="bottom"/>
          </w:tcPr>
          <w:p>
            <w:pPr>
              <w:jc w:val="right"/>
              <w:ind w:right="186"/>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54,079</w:t>
            </w:r>
          </w:p>
        </w:tc>
        <w:tc>
          <w:tcPr>
            <w:tcW w:w="1040" w:type="dxa"/>
            <w:vAlign w:val="bottom"/>
          </w:tcPr>
          <w:p>
            <w:pPr>
              <w:jc w:val="right"/>
              <w:ind w:right="79"/>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5"/>
                <w:szCs w:val="15"/>
                <w:color w:val="auto"/>
              </w:rPr>
              <w:t>19,04 1</w:t>
            </w:r>
          </w:p>
        </w:tc>
        <w:tc>
          <w:tcPr>
            <w:tcW w:w="8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34,633</w:t>
            </w:r>
          </w:p>
        </w:tc>
        <w:tc>
          <w:tcPr>
            <w:tcW w:w="0" w:type="dxa"/>
            <w:vAlign w:val="bottom"/>
          </w:tcPr>
          <w:p>
            <w:pPr>
              <w:spacing w:after="0"/>
              <w:rPr>
                <w:sz w:val="1"/>
                <w:szCs w:val="1"/>
                <w:color w:val="auto"/>
              </w:rPr>
            </w:pPr>
          </w:p>
        </w:tc>
      </w:tr>
      <w:tr>
        <w:trPr>
          <w:trHeight w:val="76"/>
        </w:trPr>
        <w:tc>
          <w:tcPr>
            <w:tcW w:w="100" w:type="dxa"/>
            <w:vAlign w:val="bottom"/>
          </w:tcPr>
          <w:p>
            <w:pPr>
              <w:spacing w:after="0"/>
              <w:rPr>
                <w:sz w:val="6"/>
                <w:szCs w:val="6"/>
                <w:color w:val="auto"/>
              </w:rPr>
            </w:pPr>
          </w:p>
        </w:tc>
        <w:tc>
          <w:tcPr>
            <w:tcW w:w="140" w:type="dxa"/>
            <w:vAlign w:val="bottom"/>
            <w:tcBorders>
              <w:bottom w:val="single" w:sz="8" w:color="504C4C"/>
            </w:tcBorders>
          </w:tcPr>
          <w:p>
            <w:pPr>
              <w:spacing w:after="0"/>
              <w:rPr>
                <w:sz w:val="6"/>
                <w:szCs w:val="6"/>
                <w:color w:val="auto"/>
              </w:rPr>
            </w:pPr>
          </w:p>
        </w:tc>
        <w:tc>
          <w:tcPr>
            <w:tcW w:w="580" w:type="dxa"/>
            <w:vAlign w:val="bottom"/>
            <w:tcBorders>
              <w:bottom w:val="single" w:sz="8" w:color="504C4C"/>
            </w:tcBorders>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40" w:type="dxa"/>
            <w:vAlign w:val="bottom"/>
            <w:vMerge w:val="restart"/>
          </w:tcPr>
          <w:p>
            <w:pPr>
              <w:jc w:val="right"/>
              <w:ind w:right="99"/>
              <w:spacing w:after="0" w:line="236" w:lineRule="exact"/>
              <w:rPr>
                <w:sz w:val="20"/>
                <w:szCs w:val="20"/>
                <w:color w:val="auto"/>
              </w:rPr>
            </w:pPr>
            <w:r>
              <w:rPr>
                <w:rFonts w:ascii="Arial" w:cs="Arial" w:eastAsia="Arial" w:hAnsi="Arial"/>
                <w:sz w:val="21"/>
                <w:szCs w:val="21"/>
                <w:color w:val="auto"/>
              </w:rPr>
              <w:t>---</w:t>
            </w:r>
          </w:p>
        </w:tc>
        <w:tc>
          <w:tcPr>
            <w:tcW w:w="800" w:type="dxa"/>
            <w:vAlign w:val="bottom"/>
            <w:vMerge w:val="restart"/>
          </w:tcPr>
          <w:p>
            <w:pPr>
              <w:jc w:val="right"/>
              <w:spacing w:after="0" w:line="236" w:lineRule="exact"/>
              <w:rPr>
                <w:sz w:val="20"/>
                <w:szCs w:val="20"/>
                <w:color w:val="auto"/>
              </w:rPr>
            </w:pPr>
            <w:r>
              <w:rPr>
                <w:rFonts w:ascii="Arial" w:cs="Arial" w:eastAsia="Arial" w:hAnsi="Arial"/>
                <w:sz w:val="21"/>
                <w:szCs w:val="21"/>
                <w:color w:val="auto"/>
              </w:rPr>
              <w:t>---</w:t>
            </w:r>
          </w:p>
        </w:tc>
        <w:tc>
          <w:tcPr>
            <w:tcW w:w="0" w:type="dxa"/>
            <w:vAlign w:val="bottom"/>
          </w:tcPr>
          <w:p>
            <w:pPr>
              <w:spacing w:after="0"/>
              <w:rPr>
                <w:sz w:val="1"/>
                <w:szCs w:val="1"/>
                <w:color w:val="auto"/>
              </w:rPr>
            </w:pPr>
          </w:p>
        </w:tc>
      </w:tr>
      <w:tr>
        <w:trPr>
          <w:trHeight w:val="140"/>
        </w:trPr>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
        <w:spacing w:after="0"/>
        <w:tabs>
          <w:tab w:leader="none" w:pos="360" w:val="left"/>
          <w:tab w:leader="none" w:pos="1140" w:val="left"/>
          <w:tab w:leader="none" w:pos="1400" w:val="left"/>
          <w:tab w:leader="none" w:pos="2320" w:val="left"/>
          <w:tab w:leader="none" w:pos="2560" w:val="left"/>
          <w:tab w:leader="none" w:pos="3420" w:val="left"/>
          <w:tab w:leader="none" w:pos="3660" w:val="left"/>
          <w:tab w:leader="none" w:pos="4400" w:val="left"/>
          <w:tab w:leader="none" w:pos="464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46,878</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5,832</w:t>
      </w:r>
      <w:r>
        <w:rPr>
          <w:sz w:val="20"/>
          <w:szCs w:val="20"/>
          <w:color w:val="auto"/>
        </w:rPr>
        <w:tab/>
      </w:r>
      <w:r>
        <w:rPr>
          <w:rFonts w:ascii="Times New Roman" w:cs="Times New Roman" w:eastAsia="Times New Roman" w:hAnsi="Times New Roman"/>
          <w:sz w:val="15"/>
          <w:szCs w:val="15"/>
          <w:color w:val="auto"/>
        </w:rPr>
        <w:t>$</w:t>
        <w:tab/>
        <w:t>7,968</w:t>
      </w:r>
      <w:r>
        <w:rPr>
          <w:sz w:val="20"/>
          <w:szCs w:val="20"/>
          <w:color w:val="auto"/>
        </w:rPr>
        <w:tab/>
      </w:r>
      <w:r>
        <w:rPr>
          <w:rFonts w:ascii="Times New Roman" w:cs="Times New Roman" w:eastAsia="Times New Roman" w:hAnsi="Times New Roman"/>
          <w:sz w:val="15"/>
          <w:szCs w:val="15"/>
          <w:color w:val="auto"/>
        </w:rPr>
        <w:t>$.</w:t>
        <w:tab/>
        <w:t>2,745</w:t>
      </w:r>
      <w:r>
        <w:rPr>
          <w:sz w:val="20"/>
          <w:szCs w:val="20"/>
          <w:color w:val="auto"/>
        </w:rPr>
        <w:tab/>
      </w: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3,606</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5"/>
          <w:szCs w:val="15"/>
          <w:color w:val="auto"/>
        </w:rPr>
        <w:t>1,701 ,752</w:t>
      </w:r>
    </w:p>
    <w:p>
      <w:pPr>
        <w:spacing w:after="0" w:line="228" w:lineRule="exact"/>
        <w:rPr>
          <w:sz w:val="20"/>
          <w:szCs w:val="20"/>
          <w:color w:val="auto"/>
        </w:rPr>
      </w:pPr>
    </w:p>
    <w:p>
      <w:pPr>
        <w:jc w:val="right"/>
        <w:ind w:right="125"/>
        <w:spacing w:after="0"/>
        <w:rPr>
          <w:sz w:val="20"/>
          <w:szCs w:val="20"/>
          <w:color w:val="auto"/>
        </w:rPr>
      </w:pPr>
      <w:r>
        <w:rPr>
          <w:rFonts w:ascii="Times New Roman" w:cs="Times New Roman" w:eastAsia="Times New Roman" w:hAnsi="Times New Roman"/>
          <w:sz w:val="15"/>
          <w:szCs w:val="15"/>
          <w:color w:val="auto"/>
        </w:rPr>
        <w:t>570,632</w:t>
      </w:r>
    </w:p>
    <w:p>
      <w:pPr>
        <w:spacing w:after="0" w:line="28" w:lineRule="exact"/>
        <w:rPr>
          <w:sz w:val="20"/>
          <w:szCs w:val="20"/>
          <w:color w:val="auto"/>
        </w:rPr>
      </w:pPr>
    </w:p>
    <w:p>
      <w:pPr>
        <w:jc w:val="right"/>
        <w:ind w:right="125"/>
        <w:spacing w:after="0"/>
        <w:rPr>
          <w:sz w:val="20"/>
          <w:szCs w:val="20"/>
          <w:color w:val="auto"/>
        </w:rPr>
      </w:pPr>
      <w:r>
        <w:rPr>
          <w:rFonts w:ascii="Times New Roman" w:cs="Times New Roman" w:eastAsia="Times New Roman" w:hAnsi="Times New Roman"/>
          <w:sz w:val="15"/>
          <w:szCs w:val="15"/>
          <w:color w:val="auto"/>
        </w:rPr>
        <w:t>112,549</w:t>
      </w:r>
    </w:p>
    <w:p>
      <w:pPr>
        <w:spacing w:after="0" w:line="28" w:lineRule="exact"/>
        <w:rPr>
          <w:sz w:val="20"/>
          <w:szCs w:val="20"/>
          <w:color w:val="auto"/>
        </w:rPr>
      </w:pPr>
    </w:p>
    <w:p>
      <w:pPr>
        <w:jc w:val="right"/>
        <w:ind w:right="125"/>
        <w:spacing w:after="0"/>
        <w:rPr>
          <w:sz w:val="20"/>
          <w:szCs w:val="20"/>
          <w:color w:val="auto"/>
        </w:rPr>
      </w:pPr>
      <w:r>
        <w:rPr>
          <w:rFonts w:ascii="Times New Roman" w:cs="Times New Roman" w:eastAsia="Times New Roman" w:hAnsi="Times New Roman"/>
          <w:sz w:val="15"/>
          <w:szCs w:val="15"/>
          <w:color w:val="auto"/>
        </w:rPr>
        <w:t>58,026</w:t>
      </w:r>
    </w:p>
    <w:p>
      <w:pPr>
        <w:spacing w:after="0" w:line="228" w:lineRule="exact"/>
        <w:rPr>
          <w:sz w:val="20"/>
          <w:szCs w:val="20"/>
          <w:color w:val="auto"/>
        </w:rPr>
      </w:pPr>
    </w:p>
    <w:p>
      <w:pPr>
        <w:jc w:val="right"/>
        <w:ind w:right="125"/>
        <w:spacing w:after="0"/>
        <w:rPr>
          <w:sz w:val="20"/>
          <w:szCs w:val="20"/>
          <w:color w:val="auto"/>
        </w:rPr>
      </w:pPr>
      <w:r>
        <w:rPr>
          <w:rFonts w:ascii="Times New Roman" w:cs="Times New Roman" w:eastAsia="Times New Roman" w:hAnsi="Times New Roman"/>
          <w:sz w:val="15"/>
          <w:szCs w:val="15"/>
          <w:color w:val="auto"/>
        </w:rPr>
        <w:t>125.749</w:t>
      </w:r>
    </w:p>
    <w:p>
      <w:pPr>
        <w:spacing w:after="0" w:line="28" w:lineRule="exact"/>
        <w:rPr>
          <w:sz w:val="20"/>
          <w:szCs w:val="20"/>
          <w:color w:val="auto"/>
        </w:rPr>
      </w:pPr>
    </w:p>
    <w:p>
      <w:pPr>
        <w:jc w:val="right"/>
        <w:ind w:right="125"/>
        <w:spacing w:after="0"/>
        <w:rPr>
          <w:sz w:val="20"/>
          <w:szCs w:val="20"/>
          <w:color w:val="auto"/>
        </w:rPr>
      </w:pPr>
      <w:r>
        <w:rPr>
          <w:rFonts w:ascii="Times New Roman" w:cs="Times New Roman" w:eastAsia="Times New Roman" w:hAnsi="Times New Roman"/>
          <w:sz w:val="15"/>
          <w:szCs w:val="15"/>
          <w:color w:val="auto"/>
        </w:rPr>
        <w:t>5,737</w:t>
      </w:r>
    </w:p>
    <w:p>
      <w:pPr>
        <w:spacing w:after="0" w:line="28" w:lineRule="exact"/>
        <w:rPr>
          <w:sz w:val="20"/>
          <w:szCs w:val="20"/>
          <w:color w:val="auto"/>
        </w:rPr>
      </w:pPr>
    </w:p>
    <w:p>
      <w:pPr>
        <w:jc w:val="right"/>
        <w:ind w:right="125"/>
        <w:spacing w:after="0"/>
        <w:rPr>
          <w:sz w:val="20"/>
          <w:szCs w:val="20"/>
          <w:color w:val="auto"/>
        </w:rPr>
      </w:pPr>
      <w:r>
        <w:rPr>
          <w:rFonts w:ascii="Times New Roman" w:cs="Times New Roman" w:eastAsia="Times New Roman" w:hAnsi="Times New Roman"/>
          <w:sz w:val="15"/>
          <w:szCs w:val="15"/>
          <w:color w:val="auto"/>
        </w:rPr>
        <w:t>433,855</w:t>
      </w:r>
    </w:p>
    <w:p>
      <w:pPr>
        <w:spacing w:after="0" w:line="114"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5"/>
          <w:szCs w:val="15"/>
          <w:color w:val="auto"/>
        </w:rPr>
        <w:t>$</w:t>
        <w:tab/>
        <w:t>502,094</w:t>
      </w:r>
    </w:p>
    <w:p>
      <w:pPr>
        <w:spacing w:after="0" w:line="99" w:lineRule="exact"/>
        <w:rPr>
          <w:sz w:val="20"/>
          <w:szCs w:val="20"/>
          <w:color w:val="auto"/>
        </w:rPr>
      </w:pPr>
    </w:p>
    <w:p>
      <w:pPr>
        <w:ind w:right="125"/>
        <w:spacing w:after="0" w:line="285" w:lineRule="auto"/>
        <w:rPr>
          <w:sz w:val="20"/>
          <w:szCs w:val="20"/>
          <w:color w:val="auto"/>
        </w:rPr>
      </w:pPr>
      <w:r>
        <w:rPr>
          <w:rFonts w:ascii="Times New Roman" w:cs="Times New Roman" w:eastAsia="Times New Roman" w:hAnsi="Times New Roman"/>
          <w:sz w:val="15"/>
          <w:szCs w:val="15"/>
          <w:color w:val="auto"/>
        </w:rPr>
        <w:t>$ 24,622 $ 63,297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5"/>
          <w:szCs w:val="15"/>
          <w:color w:val="auto"/>
        </w:rPr>
        <w:t>$</w:t>
        <w:tab/>
        <w:t>4 14, 175</w:t>
      </w:r>
    </w:p>
    <w:p>
      <w:pPr>
        <w:spacing w:after="0" w:line="1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(86,270)</w:t>
      </w:r>
    </w:p>
    <w:p>
      <w:pPr>
        <w:spacing w:after="0" w:line="1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(56,166)</w:t>
      </w:r>
    </w:p>
    <w:p>
      <w:pPr>
        <w:spacing w:after="0" w:line="3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5"/>
          <w:szCs w:val="15"/>
          <w:color w:val="auto"/>
        </w:rPr>
        <w:t>(58,851)</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3"/>
          <w:szCs w:val="13"/>
          <w:color w:val="auto"/>
        </w:rPr>
        <w:t>( l 2!l,l)\IO)</w:t>
      </w:r>
    </w:p>
    <w:p>
      <w:pPr>
        <w:spacing w:after="0" w:line="118"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83,898</w:t>
      </w:r>
    </w:p>
    <w:p>
      <w:pPr>
        <w:spacing w:after="0" w:line="11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(2,837)</w:t>
      </w:r>
    </w:p>
    <w:p>
      <w:pPr>
        <w:spacing w:after="0" w:line="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4"/>
          <w:szCs w:val="14"/>
          <w:color w:val="auto"/>
        </w:rPr>
        <w:t>(5 1,177)</w:t>
      </w:r>
    </w:p>
    <w:p>
      <w:pPr>
        <w:spacing w:after="0" w:line="24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5"/>
          <w:szCs w:val="15"/>
          <w:color w:val="auto"/>
        </w:rPr>
        <w:t>197,939</w:t>
      </w:r>
    </w:p>
    <w:p>
      <w:pPr>
        <w:spacing w:after="0" w:line="228" w:lineRule="exact"/>
        <w:rPr>
          <w:sz w:val="20"/>
          <w:szCs w:val="20"/>
          <w:color w:val="auto"/>
        </w:rPr>
      </w:pPr>
    </w:p>
    <w:p>
      <w:pPr>
        <w:jc w:val="right"/>
        <w:ind w:right="65"/>
        <w:spacing w:after="0"/>
        <w:rPr>
          <w:sz w:val="20"/>
          <w:szCs w:val="20"/>
          <w:color w:val="auto"/>
        </w:rPr>
      </w:pPr>
      <w:r>
        <w:rPr>
          <w:rFonts w:ascii="Times New Roman" w:cs="Times New Roman" w:eastAsia="Times New Roman" w:hAnsi="Times New Roman"/>
          <w:sz w:val="15"/>
          <w:szCs w:val="15"/>
          <w:color w:val="auto"/>
        </w:rPr>
        <w:t>(139.589)</w:t>
      </w:r>
    </w:p>
    <w:p>
      <w:pPr>
        <w:spacing w:after="0" w:line="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33,500</w:t>
      </w:r>
    </w:p>
    <w:p>
      <w:pPr>
        <w:spacing w:after="0" w:line="10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5"/>
          <w:szCs w:val="15"/>
          <w:color w:val="auto"/>
        </w:rPr>
        <w:t>$</w:t>
        <w:tab/>
        <w:t>121 ,734</w:t>
      </w:r>
    </w:p>
    <w:p>
      <w:pPr>
        <w:spacing w:after="0" w:line="142"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67,029</w:t>
      </w:r>
    </w:p>
    <w:p>
      <w:pPr>
        <w:spacing w:after="0" w:line="200" w:lineRule="exact"/>
        <w:rPr>
          <w:sz w:val="20"/>
          <w:szCs w:val="20"/>
          <w:color w:val="auto"/>
        </w:rPr>
      </w:pP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5"/>
          <w:szCs w:val="15"/>
          <w:color w:val="auto"/>
        </w:rPr>
        <w:t>15,373</w:t>
      </w:r>
    </w:p>
    <w:p>
      <w:pPr>
        <w:spacing w:after="0" w:line="11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5"/>
          <w:szCs w:val="15"/>
          <w:color w:val="auto"/>
        </w:rPr>
        <w:t>$</w:t>
      </w:r>
      <w:r>
        <w:rPr>
          <w:sz w:val="20"/>
          <w:szCs w:val="20"/>
          <w:color w:val="auto"/>
        </w:rPr>
        <w:tab/>
      </w:r>
      <w:r>
        <w:rPr>
          <w:rFonts w:ascii="Times New Roman" w:cs="Times New Roman" w:eastAsia="Times New Roman" w:hAnsi="Times New Roman"/>
          <w:sz w:val="15"/>
          <w:szCs w:val="15"/>
          <w:color w:val="auto"/>
        </w:rPr>
        <w:t>82,402</w:t>
      </w:r>
    </w:p>
    <w:p>
      <w:pPr>
        <w:spacing w:after="0" w:line="203" w:lineRule="exact"/>
        <w:rPr>
          <w:sz w:val="20"/>
          <w:szCs w:val="20"/>
          <w:color w:val="auto"/>
        </w:rPr>
      </w:pPr>
    </w:p>
    <w:p>
      <w:pPr>
        <w:sectPr>
          <w:pgSz w:w="12240" w:h="15850" w:orient="portrait"/>
          <w:cols w:equalWidth="0" w:num="3">
            <w:col w:w="3120" w:space="80"/>
            <w:col w:w="5040" w:space="280"/>
            <w:col w:w="845"/>
          </w:cols>
          <w:pgMar w:left="1440" w:top="1394" w:right="1440" w:bottom="717" w:gutter="0" w:footer="0" w:header="0"/>
          <w:type w:val="continuous"/>
        </w:sectPr>
      </w:pPr>
    </w:p>
    <w:p>
      <w:pPr>
        <w:spacing w:after="0" w:line="58" w:lineRule="exact"/>
        <w:rPr>
          <w:sz w:val="20"/>
          <w:szCs w:val="20"/>
          <w:color w:val="auto"/>
        </w:rPr>
      </w:pPr>
    </w:p>
    <w:p>
      <w:pPr>
        <w:ind w:left="440" w:right="125" w:hanging="324"/>
        <w:spacing w:after="0" w:line="278" w:lineRule="auto"/>
        <w:tabs>
          <w:tab w:leader="none" w:pos="420" w:val="left"/>
        </w:tabs>
        <w:rPr>
          <w:sz w:val="20"/>
          <w:szCs w:val="20"/>
          <w:color w:val="auto"/>
        </w:rPr>
      </w:pPr>
      <w:r>
        <w:rPr>
          <w:rFonts w:ascii="Arial" w:cs="Arial" w:eastAsia="Arial" w:hAnsi="Arial"/>
          <w:sz w:val="14"/>
          <w:szCs w:val="14"/>
          <w:color w:val="auto"/>
        </w:rPr>
        <w:t>( I)</w:t>
      </w:r>
      <w:r>
        <w:rPr>
          <w:sz w:val="20"/>
          <w:szCs w:val="20"/>
          <w:color w:val="auto"/>
        </w:rPr>
        <w:tab/>
      </w:r>
      <w:r>
        <w:rPr>
          <w:rFonts w:ascii="Times New Roman" w:cs="Times New Roman" w:eastAsia="Times New Roman" w:hAnsi="Times New Roman"/>
          <w:sz w:val="15"/>
          <w:szCs w:val="15"/>
          <w:color w:val="auto"/>
        </w:rPr>
        <w:t>Revenue from segmenls below the quantitative thresholds is attributable to Other Businesses, as described above. None of lhese operating segments meet the quantitative thresholds for determining reportable segments.</w:t>
      </w:r>
    </w:p>
    <w:p>
      <w:pPr>
        <w:ind w:left="420" w:hanging="307"/>
        <w:spacing w:after="0" w:line="234" w:lineRule="auto"/>
        <w:tabs>
          <w:tab w:leader="none" w:pos="42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significant expense categories and amou nts align with the segment-level information that is regularly provided to the CODM .</w:t>
      </w:r>
    </w:p>
    <w:p>
      <w:pPr>
        <w:spacing w:after="0" w:line="28"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  reflects  the amounts  repo11ed  and  provided  to  the  CODM and  does  not  necessarily  reconcile to  the  Company's</w:t>
      </w:r>
    </w:p>
    <w:p>
      <w:pPr>
        <w:spacing w:after="0" w:line="41" w:lineRule="exact"/>
        <w:rPr>
          <w:rFonts w:ascii="Times New Roman" w:cs="Times New Roman" w:eastAsia="Times New Roman" w:hAnsi="Times New Roman"/>
          <w:sz w:val="15"/>
          <w:szCs w:val="15"/>
          <w:color w:val="auto"/>
        </w:rPr>
      </w:pPr>
    </w:p>
    <w:p>
      <w:pPr>
        <w:ind w:left="440" w:right="125" w:hanging="1"/>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Consolidated Statement of Operations or a! ign across reportable segments. Cost of t-eYenue cxdudes charges related to depreciation, which is shown separately above.</w:t>
      </w:r>
    </w:p>
    <w:p>
      <w:pPr>
        <w:spacing w:after="0" w:line="28" w:lineRule="exact"/>
        <w:rPr>
          <w:rFonts w:ascii="Times New Roman" w:cs="Times New Roman" w:eastAsia="Times New Roman" w:hAnsi="Times New Roman"/>
          <w:sz w:val="15"/>
          <w:szCs w:val="15"/>
          <w:color w:val="auto"/>
        </w:rPr>
      </w:pPr>
    </w:p>
    <w:p>
      <w:pPr>
        <w:ind w:left="440" w:right="105" w:hanging="327"/>
        <w:spacing w:after="0" w:line="249" w:lineRule="auto"/>
        <w:tabs>
          <w:tab w:leader="none" w:pos="439"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pension service cost, wh ich is shown separately above. Excludes any payroll and related benefits costs captured in cost of revenue.</w:t>
      </w:r>
    </w:p>
    <w:p>
      <w:pPr>
        <w:spacing w:after="0" w:line="197"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Management and operating scrYic.cs provided by Christopher J. Ourisman and his team of industry professionals.</w:t>
      </w:r>
    </w:p>
    <w:p>
      <w:pPr>
        <w:sectPr>
          <w:pgSz w:w="12240" w:h="15850" w:orient="portrait"/>
          <w:cols w:equalWidth="0" w:num="1">
            <w:col w:w="9365"/>
          </w:cols>
          <w:pgMar w:left="1440" w:top="1394" w:right="1440" w:bottom="717"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150</w:t>
        <w:tab/>
        <w:t>2024 FORM 10-K</w:t>
      </w:r>
    </w:p>
    <w:p>
      <w:pPr>
        <w:sectPr>
          <w:pgSz w:w="12240" w:h="15850" w:orient="portrait"/>
          <w:cols w:equalWidth="0" w:num="1">
            <w:col w:w="9365"/>
          </w:cols>
          <w:pgMar w:left="1440" w:top="1394" w:right="1440" w:bottom="717" w:gutter="0" w:footer="0" w:header="0"/>
          <w:type w:val="continuous"/>
        </w:sectPr>
      </w:pPr>
    </w:p>
    <w:bookmarkStart w:id="166" w:name="page167"/>
    <w:bookmarkEnd w:id="166"/>
    <w:p>
      <w:pPr>
        <w:ind w:left="440" w:hanging="327"/>
        <w:spacing w:after="0"/>
        <w:tabs>
          <w:tab w:leader="none" w:pos="4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74">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Other segment items for each reportable segment include:</w:t>
      </w:r>
    </w:p>
    <w:p>
      <w:pPr>
        <w:spacing w:after="0" w:line="21" w:lineRule="exact"/>
        <w:rPr>
          <w:rFonts w:ascii="Times New Roman" w:cs="Times New Roman" w:eastAsia="Times New Roman" w:hAnsi="Times New Roman"/>
          <w:sz w:val="15"/>
          <w:szCs w:val="15"/>
          <w:color w:val="auto"/>
        </w:rPr>
      </w:pPr>
    </w:p>
    <w:p>
      <w:pPr>
        <w:jc w:val="both"/>
        <w:ind w:left="760" w:right="125" w:hanging="323"/>
        <w:spacing w:after="0" w:line="273" w:lineRule="auto"/>
        <w:tabs>
          <w:tab w:leader="none" w:pos="77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Education (includes Kaplan Lnternational, Kaplan Higher Education and Kaplan Supplemental Education) - trammg and employment expense, travel meals and entertainment expense, operating fees and other general and administrative (G&amp;A) expenses.</w:t>
      </w:r>
    </w:p>
    <w:p>
      <w:pPr>
        <w:spacing w:after="0" w:line="7" w:lineRule="exact"/>
        <w:rPr>
          <w:rFonts w:ascii="Times New Roman" w:cs="Times New Roman" w:eastAsia="Times New Roman" w:hAnsi="Times New Roman"/>
          <w:sz w:val="15"/>
          <w:szCs w:val="15"/>
          <w:color w:val="auto"/>
        </w:rPr>
      </w:pPr>
    </w:p>
    <w:p>
      <w:pPr>
        <w:ind w:left="760" w:right="125" w:hanging="323"/>
        <w:spacing w:after="0" w:line="274" w:lineRule="auto"/>
        <w:tabs>
          <w:tab w:leader="none" w:pos="751"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Television Broadcasting- other broadcast expenses, facilities expenses, third-party commission costs and other selling, general and adm inistrative expenses (SG&amp;A).</w:t>
      </w:r>
    </w:p>
    <w:p>
      <w:pPr>
        <w:spacing w:after="0" w:line="3"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Manufacturing- payroll and fringe benefits expense (SG&amp;A) and other SG&amp;A expenses.</w:t>
      </w:r>
    </w:p>
    <w:p>
      <w:pPr>
        <w:spacing w:after="0" w:line="27"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Healthcare- indirect costs (e.g. payroll and benefits expenses, general and administrative ex!)enses) and other SG&amp;A expenses.</w:t>
      </w:r>
    </w:p>
    <w:p>
      <w:pPr>
        <w:spacing w:after="0" w:line="27" w:lineRule="exact"/>
        <w:rPr>
          <w:rFonts w:ascii="Times New Roman" w:cs="Times New Roman" w:eastAsia="Times New Roman" w:hAnsi="Times New Roman"/>
          <w:sz w:val="15"/>
          <w:szCs w:val="15"/>
          <w:color w:val="auto"/>
        </w:rPr>
      </w:pPr>
    </w:p>
    <w:p>
      <w:pPr>
        <w:ind w:left="760" w:hanging="323"/>
        <w:spacing w:after="0"/>
        <w:tabs>
          <w:tab w:leader="none" w:pos="760" w:val="left"/>
        </w:tabs>
        <w:numPr>
          <w:ilvl w:val="1"/>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Automotive- advettising and marketing expense and other G&amp;A expenses.</w:t>
      </w:r>
    </w:p>
    <w:p>
      <w:pPr>
        <w:spacing w:after="0" w:line="21" w:lineRule="exact"/>
        <w:rPr>
          <w:rFonts w:ascii="Times New Roman" w:cs="Times New Roman" w:eastAsia="Times New Roman" w:hAnsi="Times New Roman"/>
          <w:sz w:val="15"/>
          <w:szCs w:val="15"/>
          <w:color w:val="auto"/>
        </w:rPr>
      </w:pPr>
    </w:p>
    <w:p>
      <w:pPr>
        <w:ind w:left="440" w:right="125" w:hanging="327"/>
        <w:spacing w:after="0" w:line="274" w:lineRule="auto"/>
        <w:tabs>
          <w:tab w:leader="none" w:pos="441"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Profit or loss from operating segments below the quantitative thresholds attributable to Other Businesses as described above. These operating segments did not meet any of the quantitative thresholds for determining reportable segments.</w:t>
      </w:r>
    </w:p>
    <w:p>
      <w:pPr>
        <w:spacing w:after="0" w:line="6" w:lineRule="exact"/>
        <w:rPr>
          <w:rFonts w:ascii="Times New Roman" w:cs="Times New Roman" w:eastAsia="Times New Roman" w:hAnsi="Times New Roman"/>
          <w:sz w:val="15"/>
          <w:szCs w:val="15"/>
          <w:color w:val="auto"/>
        </w:rPr>
      </w:pPr>
    </w:p>
    <w:p>
      <w:pPr>
        <w:ind w:left="440" w:right="125" w:hanging="327"/>
        <w:spacing w:after="0" w:line="287" w:lineRule="auto"/>
        <w:tabs>
          <w:tab w:leader="none" w:pos="440"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Capital Expenditures from operating segments below the quantitative thresholds a re attributable to Other Businesses and the Corporate Office, as described above. None of these operating segments meet the quantitative thresholds for determining reportable segments.</w:t>
      </w:r>
    </w:p>
    <w:p>
      <w:pPr>
        <w:spacing w:after="0" w:line="23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The Company's education division comprises the following operating segments:</w:t>
      </w:r>
    </w:p>
    <w:p>
      <w:pPr>
        <w:spacing w:after="0" w:line="220"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60" w:type="dxa"/>
            <w:vAlign w:val="bottom"/>
            <w:gridSpan w:val="14"/>
          </w:tcPr>
          <w:p>
            <w:pPr>
              <w:jc w:val="right"/>
              <w:ind w:right="200"/>
              <w:spacing w:after="0"/>
              <w:rPr>
                <w:sz w:val="20"/>
                <w:szCs w:val="20"/>
                <w:color w:val="auto"/>
              </w:rPr>
            </w:pPr>
            <w:r>
              <w:rPr>
                <w:rFonts w:ascii="Times New Roman" w:cs="Times New Roman" w:eastAsia="Times New Roman" w:hAnsi="Times New Roman"/>
                <w:sz w:val="15"/>
                <w:szCs w:val="15"/>
                <w:color w:val="auto"/>
              </w:rPr>
              <w:t>Year E nded Decembet- 31, 2022</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580" w:type="dxa"/>
            <w:vAlign w:val="bottom"/>
            <w:tcBorders>
              <w:bottom w:val="single" w:sz="8" w:color="141414"/>
            </w:tcBorders>
          </w:tcPr>
          <w:p>
            <w:pPr>
              <w:spacing w:after="0"/>
              <w:rPr>
                <w:sz w:val="3"/>
                <w:szCs w:val="3"/>
                <w:color w:val="auto"/>
              </w:rPr>
            </w:pPr>
          </w:p>
        </w:tc>
        <w:tc>
          <w:tcPr>
            <w:tcW w:w="120" w:type="dxa"/>
            <w:vAlign w:val="bottom"/>
            <w:tcBorders>
              <w:bottom w:val="single" w:sz="8" w:color="141414"/>
            </w:tcBorders>
          </w:tcPr>
          <w:p>
            <w:pPr>
              <w:spacing w:after="0"/>
              <w:rPr>
                <w:sz w:val="3"/>
                <w:szCs w:val="3"/>
                <w:color w:val="auto"/>
              </w:rPr>
            </w:pPr>
          </w:p>
        </w:tc>
        <w:tc>
          <w:tcPr>
            <w:tcW w:w="18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58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200" w:type="dxa"/>
            <w:vAlign w:val="bottom"/>
            <w:tcBorders>
              <w:bottom w:val="single" w:sz="8" w:color="141414"/>
            </w:tcBorders>
          </w:tcPr>
          <w:p>
            <w:pPr>
              <w:spacing w:after="0"/>
              <w:rPr>
                <w:sz w:val="3"/>
                <w:szCs w:val="3"/>
                <w:color w:val="auto"/>
              </w:rPr>
            </w:pPr>
          </w:p>
        </w:tc>
        <w:tc>
          <w:tcPr>
            <w:tcW w:w="140" w:type="dxa"/>
            <w:vAlign w:val="bottom"/>
            <w:tcBorders>
              <w:bottom w:val="single" w:sz="8" w:color="141414"/>
            </w:tcBorders>
          </w:tcPr>
          <w:p>
            <w:pPr>
              <w:spacing w:after="0"/>
              <w:rPr>
                <w:sz w:val="3"/>
                <w:szCs w:val="3"/>
                <w:color w:val="auto"/>
              </w:rPr>
            </w:pPr>
          </w:p>
        </w:tc>
        <w:tc>
          <w:tcPr>
            <w:tcW w:w="80" w:type="dxa"/>
            <w:vAlign w:val="bottom"/>
            <w:tcBorders>
              <w:bottom w:val="single" w:sz="8" w:color="141414"/>
            </w:tcBorders>
          </w:tcPr>
          <w:p>
            <w:pPr>
              <w:spacing w:after="0"/>
              <w:rPr>
                <w:sz w:val="3"/>
                <w:szCs w:val="3"/>
                <w:color w:val="auto"/>
              </w:rPr>
            </w:pPr>
          </w:p>
        </w:tc>
        <w:tc>
          <w:tcPr>
            <w:tcW w:w="580" w:type="dxa"/>
            <w:vAlign w:val="bottom"/>
            <w:tcBorders>
              <w:bottom w:val="single" w:sz="8" w:color="141414"/>
            </w:tcBorders>
          </w:tcPr>
          <w:p>
            <w:pPr>
              <w:spacing w:after="0"/>
              <w:rPr>
                <w:sz w:val="3"/>
                <w:szCs w:val="3"/>
                <w:color w:val="auto"/>
              </w:rPr>
            </w:pPr>
          </w:p>
        </w:tc>
        <w:tc>
          <w:tcPr>
            <w:tcW w:w="140" w:type="dxa"/>
            <w:vAlign w:val="bottom"/>
            <w:tcBorders>
              <w:bottom w:val="single" w:sz="8" w:color="141414"/>
            </w:tcBorders>
          </w:tcPr>
          <w:p>
            <w:pPr>
              <w:spacing w:after="0"/>
              <w:rPr>
                <w:sz w:val="3"/>
                <w:szCs w:val="3"/>
                <w:color w:val="auto"/>
              </w:rPr>
            </w:pPr>
          </w:p>
        </w:tc>
        <w:tc>
          <w:tcPr>
            <w:tcW w:w="200" w:type="dxa"/>
            <w:vAlign w:val="bottom"/>
            <w:tcBorders>
              <w:bottom w:val="single" w:sz="8" w:color="141414"/>
            </w:tcBorders>
          </w:tcPr>
          <w:p>
            <w:pPr>
              <w:spacing w:after="0"/>
              <w:rPr>
                <w:sz w:val="3"/>
                <w:szCs w:val="3"/>
                <w:color w:val="auto"/>
              </w:rPr>
            </w:pPr>
          </w:p>
        </w:tc>
        <w:tc>
          <w:tcPr>
            <w:tcW w:w="20" w:type="dxa"/>
            <w:vAlign w:val="bottom"/>
            <w:tcBorders>
              <w:bottom w:val="single" w:sz="8" w:color="141414"/>
            </w:tcBorders>
          </w:tcPr>
          <w:p>
            <w:pPr>
              <w:spacing w:after="0"/>
              <w:rPr>
                <w:sz w:val="3"/>
                <w:szCs w:val="3"/>
                <w:color w:val="auto"/>
              </w:rPr>
            </w:pPr>
          </w:p>
        </w:tc>
        <w:tc>
          <w:tcPr>
            <w:tcW w:w="700" w:type="dxa"/>
            <w:vAlign w:val="bottom"/>
            <w:tcBorders>
              <w:bottom w:val="single" w:sz="8" w:color="141414"/>
            </w:tcBorders>
            <w:gridSpan w:val="3"/>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120" w:type="dxa"/>
            <w:vAlign w:val="bottom"/>
            <w:tcBorders>
              <w:bottom w:val="single" w:sz="8" w:color="141414"/>
            </w:tcBorders>
          </w:tcPr>
          <w:p>
            <w:pPr>
              <w:spacing w:after="0"/>
              <w:rPr>
                <w:sz w:val="3"/>
                <w:szCs w:val="3"/>
                <w:color w:val="auto"/>
              </w:rPr>
            </w:pPr>
          </w:p>
        </w:tc>
        <w:tc>
          <w:tcPr>
            <w:tcW w:w="80" w:type="dxa"/>
            <w:vAlign w:val="bottom"/>
            <w:tcBorders>
              <w:bottom w:val="single" w:sz="8" w:color="141414"/>
            </w:tcBorders>
          </w:tcPr>
          <w:p>
            <w:pPr>
              <w:spacing w:after="0"/>
              <w:rPr>
                <w:sz w:val="3"/>
                <w:szCs w:val="3"/>
                <w:color w:val="auto"/>
              </w:rPr>
            </w:pPr>
          </w:p>
        </w:tc>
        <w:tc>
          <w:tcPr>
            <w:tcW w:w="580" w:type="dxa"/>
            <w:vAlign w:val="bottom"/>
            <w:tcBorders>
              <w:bottom w:val="single" w:sz="8" w:color="141414"/>
            </w:tcBorders>
          </w:tcPr>
          <w:p>
            <w:pPr>
              <w:spacing w:after="0"/>
              <w:rPr>
                <w:sz w:val="3"/>
                <w:szCs w:val="3"/>
                <w:color w:val="auto"/>
              </w:rPr>
            </w:pPr>
          </w:p>
        </w:tc>
        <w:tc>
          <w:tcPr>
            <w:tcW w:w="12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100" w:type="dxa"/>
            <w:vAlign w:val="bottom"/>
            <w:tcBorders>
              <w:bottom w:val="single" w:sz="8" w:color="141414"/>
            </w:tcBorders>
          </w:tcPr>
          <w:p>
            <w:pPr>
              <w:spacing w:after="0"/>
              <w:rPr>
                <w:sz w:val="3"/>
                <w:szCs w:val="3"/>
                <w:color w:val="auto"/>
              </w:rPr>
            </w:pPr>
          </w:p>
        </w:tc>
        <w:tc>
          <w:tcPr>
            <w:tcW w:w="80" w:type="dxa"/>
            <w:vAlign w:val="bottom"/>
            <w:tcBorders>
              <w:bottom w:val="single" w:sz="8" w:color="141414"/>
            </w:tcBorders>
          </w:tcPr>
          <w:p>
            <w:pPr>
              <w:spacing w:after="0"/>
              <w:rPr>
                <w:sz w:val="3"/>
                <w:szCs w:val="3"/>
                <w:color w:val="auto"/>
              </w:rPr>
            </w:pPr>
          </w:p>
        </w:tc>
        <w:tc>
          <w:tcPr>
            <w:tcW w:w="720" w:type="dxa"/>
            <w:vAlign w:val="bottom"/>
            <w:tcBorders>
              <w:bottom w:val="single" w:sz="8" w:color="141414"/>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4"/>
          </w:tcPr>
          <w:p>
            <w:pPr>
              <w:jc w:val="center"/>
              <w:ind w:right="140"/>
              <w:spacing w:after="0"/>
              <w:rPr>
                <w:sz w:val="20"/>
                <w:szCs w:val="20"/>
                <w:color w:val="auto"/>
              </w:rPr>
            </w:pPr>
            <w:r>
              <w:rPr>
                <w:rFonts w:ascii="Times New Roman" w:cs="Times New Roman" w:eastAsia="Times New Roman" w:hAnsi="Times New Roman"/>
                <w:sz w:val="15"/>
                <w:szCs w:val="15"/>
                <w:color w:val="auto"/>
              </w:rPr>
              <w:t>Kaplan</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5"/>
                <w:szCs w:val="15"/>
                <w:color w:val="auto"/>
              </w:rPr>
              <w:t>Kaplan</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33"/>
              <w:spacing w:after="0" w:line="162" w:lineRule="exact"/>
              <w:rPr>
                <w:sz w:val="20"/>
                <w:szCs w:val="20"/>
                <w:color w:val="auto"/>
              </w:rPr>
            </w:pPr>
            <w:r>
              <w:rPr>
                <w:rFonts w:ascii="Times New Roman" w:cs="Times New Roman" w:eastAsia="Times New Roman" w:hAnsi="Times New Roman"/>
                <w:sz w:val="15"/>
                <w:szCs w:val="15"/>
                <w:color w:val="auto"/>
              </w:rPr>
              <w:t>Higher</w:t>
            </w:r>
          </w:p>
        </w:tc>
        <w:tc>
          <w:tcPr>
            <w:tcW w:w="20" w:type="dxa"/>
            <w:vAlign w:val="bottom"/>
          </w:tcPr>
          <w:p>
            <w:pPr>
              <w:spacing w:after="0"/>
              <w:rPr>
                <w:sz w:val="14"/>
                <w:szCs w:val="14"/>
                <w:color w:val="auto"/>
              </w:rPr>
            </w:pPr>
          </w:p>
        </w:tc>
        <w:tc>
          <w:tcPr>
            <w:tcW w:w="1140" w:type="dxa"/>
            <w:vAlign w:val="bottom"/>
            <w:gridSpan w:val="5"/>
          </w:tcPr>
          <w:p>
            <w:pPr>
              <w:ind w:left="180"/>
              <w:spacing w:after="0" w:line="162" w:lineRule="exact"/>
              <w:rPr>
                <w:sz w:val="20"/>
                <w:szCs w:val="20"/>
                <w:color w:val="auto"/>
              </w:rPr>
            </w:pPr>
            <w:r>
              <w:rPr>
                <w:rFonts w:ascii="Times New Roman" w:cs="Times New Roman" w:eastAsia="Times New Roman" w:hAnsi="Times New Roman"/>
                <w:sz w:val="15"/>
                <w:szCs w:val="15"/>
                <w:color w:val="auto"/>
              </w:rPr>
              <w:t>S upplemental</w:t>
            </w:r>
          </w:p>
        </w:tc>
        <w:tc>
          <w:tcPr>
            <w:tcW w:w="1020" w:type="dxa"/>
            <w:vAlign w:val="bottom"/>
            <w:gridSpan w:val="6"/>
          </w:tcPr>
          <w:p>
            <w:pPr>
              <w:jc w:val="center"/>
              <w:spacing w:after="0" w:line="162" w:lineRule="exact"/>
              <w:rPr>
                <w:sz w:val="20"/>
                <w:szCs w:val="20"/>
                <w:color w:val="auto"/>
              </w:rPr>
            </w:pPr>
            <w:r>
              <w:rPr>
                <w:rFonts w:ascii="Times New Roman" w:cs="Times New Roman" w:eastAsia="Times New Roman" w:hAnsi="Times New Roman"/>
                <w:sz w:val="15"/>
                <w:szCs w:val="15"/>
                <w:color w:val="auto"/>
              </w:rPr>
              <w:t>Corporate</w:t>
            </w:r>
          </w:p>
        </w:tc>
        <w:tc>
          <w:tcPr>
            <w:tcW w:w="1100" w:type="dxa"/>
            <w:vAlign w:val="bottom"/>
            <w:gridSpan w:val="6"/>
          </w:tcPr>
          <w:p>
            <w:pPr>
              <w:jc w:val="center"/>
              <w:spacing w:after="0" w:line="162" w:lineRule="exact"/>
              <w:rPr>
                <w:sz w:val="20"/>
                <w:szCs w:val="20"/>
                <w:color w:val="auto"/>
              </w:rPr>
            </w:pPr>
            <w:r>
              <w:rPr>
                <w:rFonts w:ascii="Times New Roman" w:cs="Times New Roman" w:eastAsia="Times New Roman" w:hAnsi="Times New Roman"/>
                <w:sz w:val="15"/>
                <w:szCs w:val="15"/>
                <w:color w:val="auto"/>
              </w:rPr>
              <w:t>Intcrsegme 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33"/>
              <w:spacing w:after="0" w:line="162" w:lineRule="exact"/>
              <w:rPr>
                <w:sz w:val="20"/>
                <w:szCs w:val="20"/>
                <w:color w:val="auto"/>
              </w:rPr>
            </w:pPr>
            <w:r>
              <w:rPr>
                <w:rFonts w:ascii="Times New Roman" w:cs="Times New Roman" w:eastAsia="Times New Roman" w:hAnsi="Times New Roman"/>
                <w:sz w:val="15"/>
                <w:szCs w:val="15"/>
                <w:color w:val="auto"/>
              </w:rPr>
              <w:t>Total</w:t>
            </w:r>
          </w:p>
        </w:tc>
        <w:tc>
          <w:tcPr>
            <w:tcW w:w="0" w:type="dxa"/>
            <w:vAlign w:val="bottom"/>
          </w:tcPr>
          <w:p>
            <w:pPr>
              <w:spacing w:after="0"/>
              <w:rPr>
                <w:sz w:val="1"/>
                <w:szCs w:val="1"/>
                <w:color w:val="auto"/>
              </w:rPr>
            </w:pPr>
          </w:p>
        </w:tc>
      </w:tr>
      <w:tr>
        <w:trPr>
          <w:trHeight w:val="169"/>
        </w:trPr>
        <w:tc>
          <w:tcPr>
            <w:tcW w:w="1820" w:type="dxa"/>
            <w:vAlign w:val="bottom"/>
          </w:tcPr>
          <w:p>
            <w:pPr>
              <w:spacing w:after="0" w:line="169" w:lineRule="exact"/>
              <w:rPr>
                <w:sz w:val="20"/>
                <w:szCs w:val="20"/>
                <w:color w:val="auto"/>
              </w:rPr>
            </w:pPr>
            <w:r>
              <w:rPr>
                <w:rFonts w:ascii="Times New Roman" w:cs="Times New Roman" w:eastAsia="Times New Roman" w:hAnsi="Times New Roman"/>
                <w:sz w:val="15"/>
                <w:szCs w:val="15"/>
                <w:color w:val="auto"/>
              </w:rPr>
              <w:t>(in thousands)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20" w:type="dxa"/>
            <w:vAlign w:val="bottom"/>
            <w:gridSpan w:val="5"/>
          </w:tcPr>
          <w:p>
            <w:pPr>
              <w:jc w:val="center"/>
              <w:ind w:left="15"/>
              <w:spacing w:after="0" w:line="169" w:lineRule="exact"/>
              <w:rPr>
                <w:sz w:val="20"/>
                <w:szCs w:val="20"/>
                <w:color w:val="auto"/>
              </w:rPr>
            </w:pPr>
            <w:r>
              <w:rPr>
                <w:rFonts w:ascii="Times New Roman" w:cs="Times New Roman" w:eastAsia="Times New Roman" w:hAnsi="Times New Roman"/>
                <w:sz w:val="15"/>
                <w:szCs w:val="15"/>
                <w:color w:val="auto"/>
              </w:rPr>
              <w:t>International</w:t>
            </w:r>
          </w:p>
        </w:tc>
        <w:tc>
          <w:tcPr>
            <w:tcW w:w="180" w:type="dxa"/>
            <w:vAlign w:val="bottom"/>
          </w:tcPr>
          <w:p>
            <w:pPr>
              <w:spacing w:after="0"/>
              <w:rPr>
                <w:sz w:val="14"/>
                <w:szCs w:val="14"/>
                <w:color w:val="auto"/>
              </w:rPr>
            </w:pPr>
          </w:p>
        </w:tc>
        <w:tc>
          <w:tcPr>
            <w:tcW w:w="70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5"/>
                <w:szCs w:val="15"/>
                <w:color w:val="auto"/>
              </w:rPr>
              <w:t>Education</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4"/>
          </w:tcPr>
          <w:p>
            <w:pPr>
              <w:ind w:left="120"/>
              <w:spacing w:after="0" w:line="169" w:lineRule="exact"/>
              <w:rPr>
                <w:sz w:val="20"/>
                <w:szCs w:val="20"/>
                <w:color w:val="auto"/>
              </w:rPr>
            </w:pPr>
            <w:r>
              <w:rPr>
                <w:rFonts w:ascii="Times New Roman" w:cs="Times New Roman" w:eastAsia="Times New Roman" w:hAnsi="Times New Roman"/>
                <w:sz w:val="15"/>
                <w:szCs w:val="15"/>
                <w:color w:val="auto"/>
              </w:rPr>
              <w:t>Education</w:t>
            </w:r>
          </w:p>
        </w:tc>
        <w:tc>
          <w:tcPr>
            <w:tcW w:w="1020" w:type="dxa"/>
            <w:vAlign w:val="bottom"/>
            <w:gridSpan w:val="6"/>
          </w:tcPr>
          <w:p>
            <w:pPr>
              <w:jc w:val="center"/>
              <w:spacing w:after="0" w:line="169" w:lineRule="exact"/>
              <w:rPr>
                <w:sz w:val="20"/>
                <w:szCs w:val="20"/>
                <w:color w:val="auto"/>
              </w:rPr>
            </w:pPr>
            <w:r>
              <w:rPr>
                <w:rFonts w:ascii="Times New Roman" w:cs="Times New Roman" w:eastAsia="Times New Roman" w:hAnsi="Times New Roman"/>
                <w:sz w:val="15"/>
                <w:szCs w:val="15"/>
                <w:color w:val="auto"/>
              </w:rPr>
              <w:t>and Other</w:t>
            </w:r>
          </w:p>
        </w:tc>
        <w:tc>
          <w:tcPr>
            <w:tcW w:w="100" w:type="dxa"/>
            <w:vAlign w:val="bottom"/>
          </w:tcPr>
          <w:p>
            <w:pPr>
              <w:spacing w:after="0"/>
              <w:rPr>
                <w:sz w:val="14"/>
                <w:szCs w:val="14"/>
                <w:color w:val="auto"/>
              </w:rPr>
            </w:pPr>
          </w:p>
        </w:tc>
        <w:tc>
          <w:tcPr>
            <w:tcW w:w="1000" w:type="dxa"/>
            <w:vAlign w:val="bottom"/>
            <w:gridSpan w:val="5"/>
          </w:tcPr>
          <w:p>
            <w:pPr>
              <w:jc w:val="center"/>
              <w:ind w:right="120"/>
              <w:spacing w:after="0" w:line="169" w:lineRule="exact"/>
              <w:rPr>
                <w:sz w:val="20"/>
                <w:szCs w:val="20"/>
                <w:color w:val="auto"/>
              </w:rPr>
            </w:pPr>
            <w:r>
              <w:rPr>
                <w:rFonts w:ascii="Times New Roman" w:cs="Times New Roman" w:eastAsia="Times New Roman" w:hAnsi="Times New Roman"/>
                <w:sz w:val="15"/>
                <w:szCs w:val="15"/>
                <w:color w:val="auto"/>
              </w:rPr>
              <w:t>Elimination</w:t>
            </w:r>
          </w:p>
        </w:tc>
        <w:tc>
          <w:tcPr>
            <w:tcW w:w="100" w:type="dxa"/>
            <w:vAlign w:val="bottom"/>
          </w:tcPr>
          <w:p>
            <w:pPr>
              <w:spacing w:after="0"/>
              <w:rPr>
                <w:sz w:val="14"/>
                <w:szCs w:val="14"/>
                <w:color w:val="auto"/>
              </w:rPr>
            </w:pPr>
          </w:p>
        </w:tc>
        <w:tc>
          <w:tcPr>
            <w:tcW w:w="800" w:type="dxa"/>
            <w:vAlign w:val="bottom"/>
            <w:gridSpan w:val="2"/>
          </w:tcPr>
          <w:p>
            <w:pPr>
              <w:jc w:val="right"/>
              <w:spacing w:after="0" w:line="169" w:lineRule="exact"/>
              <w:rPr>
                <w:sz w:val="20"/>
                <w:szCs w:val="20"/>
                <w:color w:val="auto"/>
              </w:rPr>
            </w:pPr>
            <w:r>
              <w:rPr>
                <w:rFonts w:ascii="Times New Roman" w:cs="Times New Roman" w:eastAsia="Times New Roman" w:hAnsi="Times New Roman"/>
                <w:sz w:val="15"/>
                <w:szCs w:val="15"/>
                <w:color w:val="auto"/>
              </w:rPr>
              <w:t>Education</w:t>
            </w:r>
          </w:p>
        </w:tc>
        <w:tc>
          <w:tcPr>
            <w:tcW w:w="0" w:type="dxa"/>
            <w:vAlign w:val="bottom"/>
          </w:tcPr>
          <w:p>
            <w:pPr>
              <w:spacing w:after="0"/>
              <w:rPr>
                <w:sz w:val="1"/>
                <w:szCs w:val="1"/>
                <w:color w:val="auto"/>
              </w:rPr>
            </w:pPr>
          </w:p>
        </w:tc>
      </w:tr>
      <w:tr>
        <w:trPr>
          <w:trHeight w:val="35"/>
        </w:trPr>
        <w:tc>
          <w:tcPr>
            <w:tcW w:w="1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181414"/>
            </w:tcBorders>
            <w:gridSpan w:val="2"/>
          </w:tcPr>
          <w:p>
            <w:pPr>
              <w:spacing w:after="0"/>
              <w:rPr>
                <w:sz w:val="3"/>
                <w:szCs w:val="3"/>
                <w:color w:val="auto"/>
              </w:rPr>
            </w:pPr>
          </w:p>
        </w:tc>
        <w:tc>
          <w:tcPr>
            <w:tcW w:w="580" w:type="dxa"/>
            <w:vAlign w:val="bottom"/>
            <w:tcBorders>
              <w:bottom w:val="single" w:sz="8" w:color="181414"/>
            </w:tcBorders>
          </w:tcPr>
          <w:p>
            <w:pPr>
              <w:spacing w:after="0"/>
              <w:rPr>
                <w:sz w:val="3"/>
                <w:szCs w:val="3"/>
                <w:color w:val="auto"/>
              </w:rPr>
            </w:pPr>
          </w:p>
        </w:tc>
        <w:tc>
          <w:tcPr>
            <w:tcW w:w="120" w:type="dxa"/>
            <w:vAlign w:val="bottom"/>
            <w:tcBorders>
              <w:bottom w:val="single" w:sz="8" w:color="181414"/>
            </w:tcBorders>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Borders>
              <w:bottom w:val="single" w:sz="8" w:color="181414"/>
            </w:tcBorders>
            <w:gridSpan w:val="2"/>
          </w:tcPr>
          <w:p>
            <w:pPr>
              <w:spacing w:after="0"/>
              <w:rPr>
                <w:sz w:val="3"/>
                <w:szCs w:val="3"/>
                <w:color w:val="auto"/>
              </w:rPr>
            </w:pPr>
          </w:p>
        </w:tc>
        <w:tc>
          <w:tcPr>
            <w:tcW w:w="580" w:type="dxa"/>
            <w:vAlign w:val="bottom"/>
            <w:tcBorders>
              <w:bottom w:val="single" w:sz="8" w:color="181414"/>
            </w:tcBorders>
          </w:tcPr>
          <w:p>
            <w:pPr>
              <w:spacing w:after="0"/>
              <w:rPr>
                <w:sz w:val="3"/>
                <w:szCs w:val="3"/>
                <w:color w:val="auto"/>
              </w:rPr>
            </w:pPr>
          </w:p>
        </w:tc>
        <w:tc>
          <w:tcPr>
            <w:tcW w:w="2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220" w:type="dxa"/>
            <w:vAlign w:val="bottom"/>
            <w:tcBorders>
              <w:bottom w:val="single" w:sz="8" w:color="181414"/>
            </w:tcBorders>
            <w:gridSpan w:val="2"/>
          </w:tcPr>
          <w:p>
            <w:pPr>
              <w:spacing w:after="0"/>
              <w:rPr>
                <w:sz w:val="3"/>
                <w:szCs w:val="3"/>
                <w:color w:val="auto"/>
              </w:rPr>
            </w:pPr>
          </w:p>
        </w:tc>
        <w:tc>
          <w:tcPr>
            <w:tcW w:w="580" w:type="dxa"/>
            <w:vAlign w:val="bottom"/>
            <w:tcBorders>
              <w:bottom w:val="single" w:sz="8" w:color="181414"/>
            </w:tcBorders>
          </w:tcPr>
          <w:p>
            <w:pPr>
              <w:spacing w:after="0"/>
              <w:rPr>
                <w:sz w:val="3"/>
                <w:szCs w:val="3"/>
                <w:color w:val="auto"/>
              </w:rPr>
            </w:pPr>
          </w:p>
        </w:tc>
        <w:tc>
          <w:tcPr>
            <w:tcW w:w="140" w:type="dxa"/>
            <w:vAlign w:val="bottom"/>
            <w:tcBorders>
              <w:bottom w:val="single" w:sz="8" w:color="181414"/>
            </w:tcBorders>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Borders>
              <w:bottom w:val="single" w:sz="8" w:color="181414"/>
            </w:tcBorders>
            <w:gridSpan w:val="2"/>
          </w:tcPr>
          <w:p>
            <w:pPr>
              <w:spacing w:after="0"/>
              <w:rPr>
                <w:sz w:val="3"/>
                <w:szCs w:val="3"/>
                <w:color w:val="auto"/>
              </w:rPr>
            </w:pPr>
          </w:p>
        </w:tc>
        <w:tc>
          <w:tcPr>
            <w:tcW w:w="560" w:type="dxa"/>
            <w:vAlign w:val="bottom"/>
            <w:tcBorders>
              <w:bottom w:val="single" w:sz="8" w:color="181414"/>
            </w:tcBorders>
          </w:tcPr>
          <w:p>
            <w:pPr>
              <w:spacing w:after="0"/>
              <w:rPr>
                <w:sz w:val="3"/>
                <w:szCs w:val="3"/>
                <w:color w:val="auto"/>
              </w:rPr>
            </w:pPr>
          </w:p>
        </w:tc>
        <w:tc>
          <w:tcPr>
            <w:tcW w:w="40" w:type="dxa"/>
            <w:vAlign w:val="bottom"/>
            <w:tcBorders>
              <w:bottom w:val="single" w:sz="8" w:color="181414"/>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Borders>
              <w:bottom w:val="single" w:sz="8" w:color="181414"/>
            </w:tcBorders>
            <w:gridSpan w:val="2"/>
          </w:tcPr>
          <w:p>
            <w:pPr>
              <w:spacing w:after="0"/>
              <w:rPr>
                <w:sz w:val="3"/>
                <w:szCs w:val="3"/>
                <w:color w:val="auto"/>
              </w:rPr>
            </w:pPr>
          </w:p>
        </w:tc>
        <w:tc>
          <w:tcPr>
            <w:tcW w:w="700" w:type="dxa"/>
            <w:vAlign w:val="bottom"/>
            <w:tcBorders>
              <w:bottom w:val="single" w:sz="8" w:color="181414"/>
            </w:tcBorders>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181414"/>
            </w:tcBorders>
          </w:tcPr>
          <w:p>
            <w:pPr>
              <w:spacing w:after="0"/>
              <w:rPr>
                <w:sz w:val="3"/>
                <w:szCs w:val="3"/>
                <w:color w:val="auto"/>
              </w:rPr>
            </w:pPr>
          </w:p>
        </w:tc>
        <w:tc>
          <w:tcPr>
            <w:tcW w:w="720" w:type="dxa"/>
            <w:vAlign w:val="bottom"/>
            <w:tcBorders>
              <w:bottom w:val="single" w:sz="8" w:color="181414"/>
            </w:tcBorders>
          </w:tcPr>
          <w:p>
            <w:pPr>
              <w:spacing w:after="0"/>
              <w:rPr>
                <w:sz w:val="3"/>
                <w:szCs w:val="3"/>
                <w:color w:val="auto"/>
              </w:rPr>
            </w:pPr>
          </w:p>
        </w:tc>
        <w:tc>
          <w:tcPr>
            <w:tcW w:w="0" w:type="dxa"/>
            <w:vAlign w:val="bottom"/>
          </w:tcPr>
          <w:p>
            <w:pPr>
              <w:spacing w:after="0"/>
              <w:rPr>
                <w:sz w:val="1"/>
                <w:szCs w:val="1"/>
                <w:color w:val="auto"/>
              </w:rPr>
            </w:pPr>
          </w:p>
        </w:tc>
      </w:tr>
      <w:tr>
        <w:trPr>
          <w:trHeight w:val="247"/>
        </w:trPr>
        <w:tc>
          <w:tcPr>
            <w:tcW w:w="1820" w:type="dxa"/>
            <w:vAlign w:val="bottom"/>
          </w:tcPr>
          <w:p>
            <w:pPr>
              <w:spacing w:after="0"/>
              <w:rPr>
                <w:sz w:val="20"/>
                <w:szCs w:val="20"/>
                <w:color w:val="auto"/>
              </w:rPr>
            </w:pPr>
            <w:r>
              <w:rPr>
                <w:rFonts w:ascii="Times New Roman" w:cs="Times New Roman" w:eastAsia="Times New Roman" w:hAnsi="Times New Roman"/>
                <w:sz w:val="18"/>
                <w:szCs w:val="18"/>
                <w:color w:val="auto"/>
              </w:rPr>
              <w:t>Operating Revenues ..</w:t>
            </w:r>
          </w:p>
        </w:tc>
        <w:tc>
          <w:tcPr>
            <w:tcW w:w="1220" w:type="dxa"/>
            <w:vAlign w:val="bottom"/>
            <w:gridSpan w:val="2"/>
          </w:tcPr>
          <w:p>
            <w:pPr>
              <w:jc w:val="right"/>
              <w:ind w:right="37"/>
              <w:spacing w:after="0"/>
              <w:rPr>
                <w:sz w:val="20"/>
                <w:szCs w:val="20"/>
                <w:color w:val="auto"/>
              </w:rPr>
            </w:pPr>
            <w:r>
              <w:rPr>
                <w:rFonts w:ascii="Times New Roman" w:cs="Times New Roman" w:eastAsia="Times New Roman" w:hAnsi="Times New Roman"/>
                <w:sz w:val="18"/>
                <w:szCs w:val="18"/>
                <w:color w:val="auto"/>
              </w:rPr>
              <w:t>_ ...........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816,239</w:t>
            </w:r>
          </w:p>
        </w:tc>
        <w:tc>
          <w:tcPr>
            <w:tcW w:w="120" w:type="dxa"/>
            <w:vAlign w:val="bottom"/>
          </w:tcPr>
          <w:p>
            <w:pPr>
              <w:spacing w:after="0"/>
              <w:rPr>
                <w:sz w:val="21"/>
                <w:szCs w:val="21"/>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310,407</w:t>
            </w:r>
          </w:p>
        </w:tc>
        <w:tc>
          <w:tcPr>
            <w:tcW w:w="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301,625</w:t>
            </w:r>
          </w:p>
        </w:tc>
        <w:tc>
          <w:tcPr>
            <w:tcW w:w="1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9,853</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7"/>
              </w:rPr>
              <w:t>(10,209)</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1,427,915</w:t>
            </w:r>
          </w:p>
        </w:tc>
        <w:tc>
          <w:tcPr>
            <w:tcW w:w="0" w:type="dxa"/>
            <w:vAlign w:val="bottom"/>
          </w:tcPr>
          <w:p>
            <w:pPr>
              <w:spacing w:after="0"/>
              <w:rPr>
                <w:sz w:val="1"/>
                <w:szCs w:val="1"/>
                <w:color w:val="auto"/>
              </w:rPr>
            </w:pPr>
          </w:p>
        </w:tc>
      </w:tr>
      <w:tr>
        <w:trPr>
          <w:trHeight w:val="212"/>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i w:val="1"/>
                <w:iCs w:val="1"/>
                <w:color w:val="auto"/>
              </w:rPr>
              <w:t xml:space="preserve">Less: Significant Expenses </w:t>
            </w:r>
            <w:r>
              <w:rPr>
                <w:rFonts w:ascii="Arial" w:cs="Arial" w:eastAsia="Arial" w:hAnsi="Arial"/>
                <w:sz w:val="18"/>
                <w:szCs w:val="18"/>
                <w:color w:val="auto"/>
              </w:rPr>
              <w:t>rn</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820" w:type="dxa"/>
            <w:vAlign w:val="bottom"/>
          </w:tcPr>
          <w:p>
            <w:pPr>
              <w:ind w:left="360"/>
              <w:spacing w:after="0"/>
              <w:rPr>
                <w:sz w:val="20"/>
                <w:szCs w:val="20"/>
                <w:color w:val="auto"/>
              </w:rPr>
            </w:pPr>
            <w:r>
              <w:rPr>
                <w:rFonts w:ascii="Times New Roman" w:cs="Times New Roman" w:eastAsia="Times New Roman" w:hAnsi="Times New Roman"/>
                <w:sz w:val="17"/>
                <w:szCs w:val="17"/>
                <w:color w:val="auto"/>
              </w:rPr>
              <w:t xml:space="preserve">Cost of Revenue </w:t>
            </w:r>
            <w:r>
              <w:rPr>
                <w:rFonts w:ascii="Times New Roman" w:cs="Times New Roman" w:eastAsia="Times New Roman" w:hAnsi="Times New Roman"/>
                <w:sz w:val="11"/>
                <w:szCs w:val="11"/>
                <w:color w:val="auto"/>
              </w:rPr>
              <w:t>(2)</w:t>
            </w: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  .</w:t>
            </w:r>
          </w:p>
        </w:tc>
        <w:tc>
          <w:tcPr>
            <w:tcW w:w="1000" w:type="dxa"/>
            <w:vAlign w:val="bottom"/>
          </w:tcPr>
          <w:p>
            <w:pPr>
              <w:jc w:val="right"/>
              <w:ind w:right="57"/>
              <w:spacing w:after="0"/>
              <w:rPr>
                <w:sz w:val="20"/>
                <w:szCs w:val="20"/>
                <w:color w:val="auto"/>
              </w:rPr>
            </w:pPr>
            <w:r>
              <w:rPr>
                <w:rFonts w:ascii="Times New Roman" w:cs="Times New Roman" w:eastAsia="Times New Roman" w:hAnsi="Times New Roman"/>
                <w:sz w:val="11"/>
                <w:szCs w:val="11"/>
                <w:color w:val="auto"/>
              </w:rPr>
              <w:t>..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262,579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248,447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58,517</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(3,906)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565,637</w:t>
            </w:r>
          </w:p>
        </w:tc>
        <w:tc>
          <w:tcPr>
            <w:tcW w:w="0" w:type="dxa"/>
            <w:vAlign w:val="bottom"/>
          </w:tcPr>
          <w:p>
            <w:pPr>
              <w:spacing w:after="0"/>
              <w:rPr>
                <w:sz w:val="1"/>
                <w:szCs w:val="1"/>
                <w:color w:val="auto"/>
              </w:rPr>
            </w:pPr>
          </w:p>
        </w:tc>
      </w:tr>
      <w:tr>
        <w:trPr>
          <w:trHeight w:val="208"/>
        </w:trPr>
        <w:tc>
          <w:tcPr>
            <w:tcW w:w="3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Payroll and Fringe Benefits</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 xml:space="preserve">Expense </w:t>
            </w:r>
            <w:r>
              <w:rPr>
                <w:rFonts w:ascii="Times New Roman" w:cs="Times New Roman" w:eastAsia="Times New Roman" w:hAnsi="Times New Roman"/>
                <w:sz w:val="11"/>
                <w:szCs w:val="11"/>
                <w:color w:val="auto"/>
              </w:rPr>
              <w:t>(3)   .  . .. •• ...</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1"/>
                <w:szCs w:val="11"/>
                <w:color w:val="auto"/>
              </w:rPr>
              <w:t>.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234,602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2 1,254</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131,243</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394,972</w:t>
            </w:r>
          </w:p>
        </w:tc>
        <w:tc>
          <w:tcPr>
            <w:tcW w:w="0" w:type="dxa"/>
            <w:vAlign w:val="bottom"/>
          </w:tcPr>
          <w:p>
            <w:pPr>
              <w:spacing w:after="0"/>
              <w:rPr>
                <w:sz w:val="1"/>
                <w:szCs w:val="1"/>
                <w:color w:val="auto"/>
              </w:rPr>
            </w:pPr>
          </w:p>
        </w:tc>
      </w:tr>
      <w:tr>
        <w:trPr>
          <w:trHeight w:val="219"/>
        </w:trPr>
        <w:tc>
          <w:tcPr>
            <w:tcW w:w="3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Occupancy Expense  ...........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1, 137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10,521</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(2 19)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106,433</w:t>
            </w:r>
          </w:p>
        </w:tc>
        <w:tc>
          <w:tcPr>
            <w:tcW w:w="0" w:type="dxa"/>
            <w:vAlign w:val="bottom"/>
          </w:tcPr>
          <w:p>
            <w:pPr>
              <w:spacing w:after="0"/>
              <w:rPr>
                <w:sz w:val="1"/>
                <w:szCs w:val="1"/>
                <w:color w:val="auto"/>
              </w:rPr>
            </w:pPr>
          </w:p>
        </w:tc>
      </w:tr>
      <w:tr>
        <w:trPr>
          <w:trHeight w:val="217"/>
        </w:trPr>
        <w:tc>
          <w:tcPr>
            <w:tcW w:w="30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auto"/>
              </w:rPr>
              <w:t>Advertising and Marketing</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Expense  . .. . .......</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 ......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26,910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58,026</w:t>
            </w:r>
          </w:p>
        </w:tc>
        <w:tc>
          <w:tcPr>
            <w:tcW w:w="0" w:type="dxa"/>
            <w:vAlign w:val="bottom"/>
          </w:tcPr>
          <w:p>
            <w:pPr>
              <w:spacing w:after="0"/>
              <w:rPr>
                <w:sz w:val="1"/>
                <w:szCs w:val="1"/>
                <w:color w:val="auto"/>
              </w:rPr>
            </w:pPr>
          </w:p>
        </w:tc>
      </w:tr>
      <w:tr>
        <w:trPr>
          <w:trHeight w:val="134"/>
        </w:trPr>
        <w:tc>
          <w:tcPr>
            <w:tcW w:w="1820" w:type="dxa"/>
            <w:vAlign w:val="bottom"/>
          </w:tcPr>
          <w:p>
            <w:pPr>
              <w:spacing w:after="0"/>
              <w:rPr>
                <w:sz w:val="11"/>
                <w:szCs w:val="11"/>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1000" w:type="dxa"/>
            <w:vAlign w:val="bottom"/>
            <w:vMerge w:val="restart"/>
          </w:tcPr>
          <w:p>
            <w:pPr>
              <w:jc w:val="right"/>
              <w:ind w:right="117"/>
              <w:spacing w:after="0"/>
              <w:rPr>
                <w:sz w:val="20"/>
                <w:szCs w:val="20"/>
                <w:color w:val="auto"/>
              </w:rPr>
            </w:pPr>
            <w:r>
              <w:rPr>
                <w:rFonts w:ascii="Arial" w:cs="Arial" w:eastAsia="Arial" w:hAnsi="Arial"/>
                <w:sz w:val="13"/>
                <w:szCs w:val="13"/>
                <w:color w:val="auto"/>
              </w:rPr>
              <w:t>&gt; ........</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106,218</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2,878</w:t>
            </w: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48,953</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3,977</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gridSpan w:val="3"/>
            <w:vMerge w:val="restart"/>
          </w:tcPr>
          <w:p>
            <w:pPr>
              <w:ind w:left="100"/>
              <w:spacing w:after="0"/>
              <w:rPr>
                <w:sz w:val="20"/>
                <w:szCs w:val="20"/>
                <w:color w:val="auto"/>
              </w:rPr>
            </w:pPr>
            <w:r>
              <w:rPr>
                <w:rFonts w:ascii="Arial" w:cs="Arial" w:eastAsia="Arial" w:hAnsi="Arial"/>
                <w:sz w:val="16"/>
                <w:szCs w:val="16"/>
                <w:color w:val="auto"/>
              </w:rPr>
              <w:t xml:space="preserve">(I </w:t>
            </w:r>
            <w:r>
              <w:rPr>
                <w:rFonts w:ascii="Times New Roman" w:cs="Times New Roman" w:eastAsia="Times New Roman" w:hAnsi="Times New Roman"/>
                <w:sz w:val="17"/>
                <w:szCs w:val="17"/>
                <w:color w:val="auto"/>
              </w:rPr>
              <w:t>,330)</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160,696</w:t>
            </w:r>
          </w:p>
        </w:tc>
        <w:tc>
          <w:tcPr>
            <w:tcW w:w="0" w:type="dxa"/>
            <w:vAlign w:val="bottom"/>
          </w:tcPr>
          <w:p>
            <w:pPr>
              <w:spacing w:after="0"/>
              <w:rPr>
                <w:sz w:val="1"/>
                <w:szCs w:val="1"/>
                <w:color w:val="auto"/>
              </w:rPr>
            </w:pPr>
          </w:p>
        </w:tc>
      </w:tr>
      <w:tr>
        <w:trPr>
          <w:trHeight w:val="114"/>
        </w:trPr>
        <w:tc>
          <w:tcPr>
            <w:tcW w:w="2040" w:type="dxa"/>
            <w:vAlign w:val="bottom"/>
            <w:gridSpan w:val="2"/>
          </w:tcPr>
          <w:p>
            <w:pPr>
              <w:ind w:left="360"/>
              <w:spacing w:after="0" w:line="114" w:lineRule="exact"/>
              <w:rPr>
                <w:sz w:val="20"/>
                <w:szCs w:val="20"/>
                <w:color w:val="auto"/>
              </w:rPr>
            </w:pPr>
            <w:r>
              <w:rPr>
                <w:rFonts w:ascii="Times New Roman" w:cs="Times New Roman" w:eastAsia="Times New Roman" w:hAnsi="Times New Roman"/>
                <w:sz w:val="13"/>
                <w:szCs w:val="13"/>
                <w:color w:val="auto"/>
              </w:rPr>
              <w:t xml:space="preserve">Other Segment Items </w:t>
            </w:r>
            <w:r>
              <w:rPr>
                <w:rFonts w:ascii="Arial" w:cs="Arial" w:eastAsia="Arial" w:hAnsi="Arial"/>
                <w:sz w:val="9"/>
                <w:szCs w:val="9"/>
                <w:color w:val="auto"/>
              </w:rPr>
              <w:t>&lt;</w:t>
            </w:r>
          </w:p>
        </w:tc>
        <w:tc>
          <w:tcPr>
            <w:tcW w:w="1000" w:type="dxa"/>
            <w:vAlign w:val="bottom"/>
            <w:vMerge w:val="continue"/>
          </w:tcPr>
          <w:p>
            <w:pPr>
              <w:jc w:val="right"/>
              <w:ind w:right="37"/>
              <w:spacing w:after="0"/>
              <w:rPr>
                <w:sz w:val="20"/>
                <w:szCs w:val="20"/>
                <w:color w:val="auto"/>
              </w:rPr>
            </w:pPr>
            <w:r>
              <w:rPr>
                <w:rFonts w:ascii="Arial" w:cs="Arial" w:eastAsia="Arial" w:hAnsi="Arial"/>
                <w:sz w:val="4"/>
                <w:szCs w:val="4"/>
                <w:color w:val="auto"/>
              </w:rPr>
              <w:t>.</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9"/>
        </w:trPr>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shd w:val="clear" w:color="auto" w:fill="504C4C"/>
          </w:tcPr>
          <w:p>
            <w:pPr>
              <w:spacing w:after="0"/>
              <w:rPr>
                <w:sz w:val="2"/>
                <w:szCs w:val="2"/>
                <w:color w:val="auto"/>
              </w:rPr>
            </w:pPr>
          </w:p>
        </w:tc>
        <w:tc>
          <w:tcPr>
            <w:tcW w:w="580" w:type="dxa"/>
            <w:vAlign w:val="bottom"/>
            <w:shd w:val="clear" w:color="auto" w:fill="504C4C"/>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00" w:type="dxa"/>
            <w:vAlign w:val="bottom"/>
            <w:shd w:val="clear" w:color="auto" w:fill="504C4C"/>
          </w:tcPr>
          <w:p>
            <w:pPr>
              <w:spacing w:after="0"/>
              <w:rPr>
                <w:sz w:val="2"/>
                <w:szCs w:val="2"/>
                <w:color w:val="auto"/>
              </w:rPr>
            </w:pPr>
          </w:p>
        </w:tc>
        <w:tc>
          <w:tcPr>
            <w:tcW w:w="580" w:type="dxa"/>
            <w:vAlign w:val="bottom"/>
            <w:shd w:val="clear" w:color="auto" w:fill="504C4C"/>
          </w:tcPr>
          <w:p>
            <w:pPr>
              <w:spacing w:after="0"/>
              <w:rPr>
                <w:sz w:val="2"/>
                <w:szCs w:val="2"/>
                <w:color w:val="auto"/>
              </w:rPr>
            </w:pPr>
          </w:p>
        </w:tc>
        <w:tc>
          <w:tcPr>
            <w:tcW w:w="360" w:type="dxa"/>
            <w:vAlign w:val="bottom"/>
            <w:gridSpan w:val="3"/>
          </w:tcPr>
          <w:p>
            <w:pPr>
              <w:spacing w:after="0"/>
              <w:rPr>
                <w:sz w:val="2"/>
                <w:szCs w:val="2"/>
                <w:color w:val="auto"/>
              </w:rPr>
            </w:pPr>
          </w:p>
        </w:tc>
        <w:tc>
          <w:tcPr>
            <w:tcW w:w="80" w:type="dxa"/>
            <w:vAlign w:val="bottom"/>
            <w:shd w:val="clear" w:color="auto" w:fill="504C4C"/>
          </w:tcPr>
          <w:p>
            <w:pPr>
              <w:spacing w:after="0"/>
              <w:rPr>
                <w:sz w:val="2"/>
                <w:szCs w:val="2"/>
                <w:color w:val="auto"/>
              </w:rPr>
            </w:pPr>
          </w:p>
        </w:tc>
        <w:tc>
          <w:tcPr>
            <w:tcW w:w="580" w:type="dxa"/>
            <w:vAlign w:val="bottom"/>
            <w:shd w:val="clear" w:color="auto" w:fill="504C4C"/>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gridSpan w:val="2"/>
          </w:tcPr>
          <w:p>
            <w:pPr>
              <w:spacing w:after="0"/>
              <w:rPr>
                <w:sz w:val="2"/>
                <w:szCs w:val="2"/>
                <w:color w:val="auto"/>
              </w:rPr>
            </w:pPr>
          </w:p>
        </w:tc>
        <w:tc>
          <w:tcPr>
            <w:tcW w:w="100" w:type="dxa"/>
            <w:vAlign w:val="bottom"/>
            <w:shd w:val="clear" w:color="auto" w:fill="504C4C"/>
          </w:tcPr>
          <w:p>
            <w:pPr>
              <w:spacing w:after="0"/>
              <w:rPr>
                <w:sz w:val="2"/>
                <w:szCs w:val="2"/>
                <w:color w:val="auto"/>
              </w:rPr>
            </w:pPr>
          </w:p>
        </w:tc>
        <w:tc>
          <w:tcPr>
            <w:tcW w:w="560" w:type="dxa"/>
            <w:vAlign w:val="bottom"/>
            <w:shd w:val="clear" w:color="auto" w:fill="504C4C"/>
          </w:tcPr>
          <w:p>
            <w:pPr>
              <w:spacing w:after="0"/>
              <w:rPr>
                <w:sz w:val="2"/>
                <w:szCs w:val="2"/>
                <w:color w:val="auto"/>
              </w:rPr>
            </w:pPr>
          </w:p>
        </w:tc>
        <w:tc>
          <w:tcPr>
            <w:tcW w:w="140" w:type="dxa"/>
            <w:vAlign w:val="bottom"/>
            <w:gridSpan w:val="2"/>
          </w:tcPr>
          <w:p>
            <w:pPr>
              <w:spacing w:after="0"/>
              <w:rPr>
                <w:sz w:val="2"/>
                <w:szCs w:val="2"/>
                <w:color w:val="auto"/>
              </w:rPr>
            </w:pPr>
          </w:p>
        </w:tc>
        <w:tc>
          <w:tcPr>
            <w:tcW w:w="220" w:type="dxa"/>
            <w:vAlign w:val="bottom"/>
            <w:gridSpan w:val="2"/>
          </w:tcPr>
          <w:p>
            <w:pPr>
              <w:spacing w:after="0"/>
              <w:rPr>
                <w:sz w:val="2"/>
                <w:szCs w:val="2"/>
                <w:color w:val="auto"/>
              </w:rPr>
            </w:pPr>
          </w:p>
        </w:tc>
        <w:tc>
          <w:tcPr>
            <w:tcW w:w="80" w:type="dxa"/>
            <w:vAlign w:val="bottom"/>
            <w:shd w:val="clear" w:color="auto" w:fill="504C4C"/>
          </w:tcPr>
          <w:p>
            <w:pPr>
              <w:spacing w:after="0"/>
              <w:rPr>
                <w:sz w:val="2"/>
                <w:szCs w:val="2"/>
                <w:color w:val="auto"/>
              </w:rPr>
            </w:pPr>
          </w:p>
        </w:tc>
        <w:tc>
          <w:tcPr>
            <w:tcW w:w="580" w:type="dxa"/>
            <w:vAlign w:val="bottom"/>
            <w:shd w:val="clear" w:color="auto" w:fill="504C4C"/>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504C4C"/>
          </w:tcPr>
          <w:p>
            <w:pPr>
              <w:spacing w:after="0"/>
              <w:rPr>
                <w:sz w:val="2"/>
                <w:szCs w:val="2"/>
                <w:color w:val="auto"/>
              </w:rPr>
            </w:pPr>
          </w:p>
        </w:tc>
        <w:tc>
          <w:tcPr>
            <w:tcW w:w="720" w:type="dxa"/>
            <w:vAlign w:val="bottom"/>
            <w:shd w:val="clear" w:color="auto" w:fill="504C4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8"/>
        </w:trPr>
        <w:tc>
          <w:tcPr>
            <w:tcW w:w="20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EBITDAP  . .. . . .................</w:t>
            </w:r>
          </w:p>
        </w:tc>
        <w:tc>
          <w:tcPr>
            <w:tcW w:w="10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95,606</w:t>
            </w:r>
          </w:p>
        </w:tc>
        <w:tc>
          <w:tcPr>
            <w:tcW w:w="120" w:type="dxa"/>
            <w:vAlign w:val="bottom"/>
          </w:tcPr>
          <w:p>
            <w:pPr>
              <w:spacing w:after="0"/>
              <w:rPr>
                <w:sz w:val="21"/>
                <w:szCs w:val="21"/>
                <w:color w:val="auto"/>
              </w:rPr>
            </w:pPr>
          </w:p>
        </w:tc>
        <w:tc>
          <w:tcPr>
            <w:tcW w:w="200" w:type="dxa"/>
            <w:vAlign w:val="bottom"/>
            <w:gridSpan w:val="2"/>
          </w:tcPr>
          <w:p>
            <w:pPr>
              <w:spacing w:after="0"/>
              <w:rPr>
                <w:sz w:val="21"/>
                <w:szCs w:val="21"/>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33,034</w:t>
            </w:r>
          </w:p>
        </w:tc>
        <w:tc>
          <w:tcPr>
            <w:tcW w:w="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31,527</w:t>
            </w:r>
          </w:p>
        </w:tc>
        <w:tc>
          <w:tcPr>
            <w:tcW w:w="140" w:type="dxa"/>
            <w:vAlign w:val="bottom"/>
          </w:tcPr>
          <w:p>
            <w:pPr>
              <w:spacing w:after="0"/>
              <w:rPr>
                <w:sz w:val="21"/>
                <w:szCs w:val="21"/>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0"/>
              </w:rPr>
              <w:t>( 17,971)</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142,151</w:t>
            </w:r>
          </w:p>
        </w:tc>
        <w:tc>
          <w:tcPr>
            <w:tcW w:w="0" w:type="dxa"/>
            <w:vAlign w:val="bottom"/>
          </w:tcPr>
          <w:p>
            <w:pPr>
              <w:spacing w:after="0"/>
              <w:rPr>
                <w:sz w:val="1"/>
                <w:szCs w:val="1"/>
                <w:color w:val="auto"/>
              </w:rPr>
            </w:pPr>
          </w:p>
        </w:tc>
      </w:tr>
      <w:tr>
        <w:trPr>
          <w:trHeight w:val="38"/>
        </w:trPr>
        <w:tc>
          <w:tcPr>
            <w:tcW w:w="18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580" w:type="dxa"/>
            <w:vAlign w:val="bottom"/>
            <w:tcBorders>
              <w:bottom w:val="single" w:sz="8" w:color="0C0808"/>
            </w:tcBorders>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C080C"/>
            </w:tcBorders>
          </w:tcPr>
          <w:p>
            <w:pPr>
              <w:spacing w:after="0"/>
              <w:rPr>
                <w:sz w:val="3"/>
                <w:szCs w:val="3"/>
                <w:color w:val="auto"/>
              </w:rPr>
            </w:pPr>
          </w:p>
        </w:tc>
        <w:tc>
          <w:tcPr>
            <w:tcW w:w="560" w:type="dxa"/>
            <w:vAlign w:val="bottom"/>
            <w:tcBorders>
              <w:bottom w:val="single" w:sz="8" w:color="0C080C"/>
            </w:tcBorders>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0C080C"/>
            </w:tcBorders>
          </w:tcPr>
          <w:p>
            <w:pPr>
              <w:spacing w:after="0"/>
              <w:rPr>
                <w:sz w:val="3"/>
                <w:szCs w:val="3"/>
                <w:color w:val="auto"/>
              </w:rPr>
            </w:pPr>
          </w:p>
        </w:tc>
        <w:tc>
          <w:tcPr>
            <w:tcW w:w="580" w:type="dxa"/>
            <w:vAlign w:val="bottom"/>
            <w:tcBorders>
              <w:bottom w:val="single" w:sz="8" w:color="0C080C"/>
            </w:tcBorders>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0C0808"/>
            </w:tcBorders>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Pension Service Cost  . ... ..... ... . . .</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4, 114</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8,934</w:t>
            </w:r>
          </w:p>
        </w:tc>
        <w:tc>
          <w:tcPr>
            <w:tcW w:w="0" w:type="dxa"/>
            <w:vAlign w:val="bottom"/>
          </w:tcPr>
          <w:p>
            <w:pPr>
              <w:spacing w:after="0"/>
              <w:rPr>
                <w:sz w:val="1"/>
                <w:szCs w:val="1"/>
                <w:color w:val="auto"/>
              </w:rPr>
            </w:pPr>
          </w:p>
        </w:tc>
      </w:tr>
      <w:tr>
        <w:trPr>
          <w:trHeight w:val="229"/>
        </w:trPr>
        <w:tc>
          <w:tcPr>
            <w:tcW w:w="30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Depreciation Expense .... . ... . . . . . . .</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23,270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34,114</w:t>
            </w:r>
          </w:p>
        </w:tc>
        <w:tc>
          <w:tcPr>
            <w:tcW w:w="0" w:type="dxa"/>
            <w:vAlign w:val="bottom"/>
          </w:tcPr>
          <w:p>
            <w:pPr>
              <w:spacing w:after="0"/>
              <w:rPr>
                <w:sz w:val="1"/>
                <w:szCs w:val="1"/>
                <w:color w:val="auto"/>
              </w:rPr>
            </w:pPr>
          </w:p>
        </w:tc>
      </w:tr>
      <w:tr>
        <w:trPr>
          <w:trHeight w:val="29"/>
        </w:trPr>
        <w:tc>
          <w:tcPr>
            <w:tcW w:w="30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504C4C"/>
            </w:tcBorders>
          </w:tcPr>
          <w:p>
            <w:pPr>
              <w:spacing w:after="0"/>
              <w:rPr>
                <w:sz w:val="2"/>
                <w:szCs w:val="2"/>
                <w:color w:val="auto"/>
              </w:rPr>
            </w:pPr>
          </w:p>
        </w:tc>
        <w:tc>
          <w:tcPr>
            <w:tcW w:w="560" w:type="dxa"/>
            <w:vAlign w:val="bottom"/>
            <w:tcBorders>
              <w:bottom w:val="single" w:sz="8" w:color="504C4C"/>
            </w:tcBorders>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580" w:type="dxa"/>
            <w:vAlign w:val="bottom"/>
            <w:tcBorders>
              <w:bottom w:val="single" w:sz="8" w:color="504C4C"/>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504C4C"/>
            </w:tcBorders>
          </w:tcPr>
          <w:p>
            <w:pPr>
              <w:spacing w:after="0"/>
              <w:rPr>
                <w:sz w:val="2"/>
                <w:szCs w:val="2"/>
                <w:color w:val="auto"/>
              </w:rPr>
            </w:pPr>
          </w:p>
        </w:tc>
        <w:tc>
          <w:tcPr>
            <w:tcW w:w="720" w:type="dxa"/>
            <w:vAlign w:val="bottom"/>
            <w:tcBorders>
              <w:bottom w:val="single" w:sz="8" w:color="504C4C"/>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gridSpan w:val="3"/>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befo re Amortization of Intangible</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Assets a nd Impairment of Long-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Lived Assets .... ... . .. .. ..... .. .</w:t>
            </w: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72,066</w:t>
            </w:r>
          </w:p>
        </w:tc>
        <w:tc>
          <w:tcPr>
            <w:tcW w:w="120" w:type="dxa"/>
            <w:vAlign w:val="bottom"/>
          </w:tcPr>
          <w:p>
            <w:pPr>
              <w:spacing w:after="0"/>
              <w:rPr>
                <w:sz w:val="19"/>
                <w:szCs w:val="19"/>
                <w:color w:val="auto"/>
              </w:rPr>
            </w:pPr>
          </w:p>
        </w:tc>
        <w:tc>
          <w:tcPr>
            <w:tcW w:w="30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24,819</w:t>
            </w:r>
          </w:p>
        </w:tc>
        <w:tc>
          <w:tcPr>
            <w:tcW w:w="440" w:type="dxa"/>
            <w:vAlign w:val="bottom"/>
            <w:gridSpan w:val="4"/>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21,069</w:t>
            </w:r>
          </w:p>
        </w:tc>
        <w:tc>
          <w:tcPr>
            <w:tcW w:w="140" w:type="dxa"/>
            <w:vAlign w:val="bottom"/>
          </w:tcPr>
          <w:p>
            <w:pPr>
              <w:spacing w:after="0"/>
              <w:rPr>
                <w:sz w:val="19"/>
                <w:szCs w:val="19"/>
                <w:color w:val="auto"/>
              </w:rPr>
            </w:pPr>
          </w:p>
        </w:tc>
        <w:tc>
          <w:tcPr>
            <w:tcW w:w="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w w:val="90"/>
              </w:rPr>
              <w:t>( 18,806)</w:t>
            </w: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99,103</w:t>
            </w:r>
          </w:p>
        </w:tc>
        <w:tc>
          <w:tcPr>
            <w:tcW w:w="0" w:type="dxa"/>
            <w:vAlign w:val="bottom"/>
          </w:tcPr>
          <w:p>
            <w:pPr>
              <w:spacing w:after="0"/>
              <w:rPr>
                <w:sz w:val="1"/>
                <w:szCs w:val="1"/>
                <w:color w:val="auto"/>
              </w:rPr>
            </w:pPr>
          </w:p>
        </w:tc>
      </w:tr>
      <w:tr>
        <w:trPr>
          <w:trHeight w:val="29"/>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Capita l Expenditures</w:t>
            </w: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39,206</w:t>
            </w:r>
          </w:p>
        </w:tc>
        <w:tc>
          <w:tcPr>
            <w:tcW w:w="120" w:type="dxa"/>
            <w:vAlign w:val="bottom"/>
          </w:tcPr>
          <w:p>
            <w:pPr>
              <w:spacing w:after="0"/>
              <w:rPr>
                <w:sz w:val="2"/>
                <w:szCs w:val="2"/>
                <w:color w:val="auto"/>
              </w:rPr>
            </w:pPr>
          </w:p>
        </w:tc>
        <w:tc>
          <w:tcPr>
            <w:tcW w:w="300" w:type="dxa"/>
            <w:vAlign w:val="bottom"/>
            <w:gridSpan w:val="3"/>
            <w:vMerge w:val="restart"/>
          </w:tcPr>
          <w:p>
            <w:pPr>
              <w:ind w:left="20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1,398</w:t>
            </w:r>
          </w:p>
        </w:tc>
        <w:tc>
          <w:tcPr>
            <w:tcW w:w="440" w:type="dxa"/>
            <w:vAlign w:val="bottom"/>
            <w:gridSpan w:val="4"/>
            <w:vMerge w:val="restart"/>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4,749</w:t>
            </w:r>
          </w:p>
        </w:tc>
        <w:tc>
          <w:tcPr>
            <w:tcW w:w="140" w:type="dxa"/>
            <w:vAlign w:val="bottom"/>
          </w:tcPr>
          <w:p>
            <w:pPr>
              <w:spacing w:after="0"/>
              <w:rPr>
                <w:sz w:val="2"/>
                <w:szCs w:val="2"/>
                <w:color w:val="auto"/>
              </w:rPr>
            </w:pPr>
          </w:p>
        </w:tc>
        <w:tc>
          <w:tcPr>
            <w:tcW w:w="3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1,525</w:t>
            </w: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4C4C4C"/>
            </w:tcBorders>
          </w:tcPr>
          <w:p>
            <w:pPr>
              <w:spacing w:after="0"/>
              <w:rPr>
                <w:sz w:val="2"/>
                <w:szCs w:val="2"/>
                <w:color w:val="auto"/>
              </w:rPr>
            </w:pPr>
          </w:p>
        </w:tc>
        <w:tc>
          <w:tcPr>
            <w:tcW w:w="580" w:type="dxa"/>
            <w:vAlign w:val="bottom"/>
            <w:tcBorders>
              <w:bottom w:val="single" w:sz="8" w:color="4C4C4C"/>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46,878</w:t>
            </w:r>
          </w:p>
        </w:tc>
        <w:tc>
          <w:tcPr>
            <w:tcW w:w="0" w:type="dxa"/>
            <w:vAlign w:val="bottom"/>
          </w:tcPr>
          <w:p>
            <w:pPr>
              <w:spacing w:after="0"/>
              <w:rPr>
                <w:sz w:val="1"/>
                <w:szCs w:val="1"/>
                <w:color w:val="auto"/>
              </w:rPr>
            </w:pPr>
          </w:p>
        </w:tc>
      </w:tr>
      <w:tr>
        <w:trPr>
          <w:trHeight w:val="247"/>
        </w:trPr>
        <w:tc>
          <w:tcPr>
            <w:tcW w:w="3040" w:type="dxa"/>
            <w:vAlign w:val="bottom"/>
            <w:gridSpan w:val="3"/>
            <w:vMerge w:val="continue"/>
          </w:tcPr>
          <w:p>
            <w:pPr>
              <w:jc w:val="right"/>
              <w:ind w:right="37"/>
              <w:spacing w:after="0"/>
              <w:rPr>
                <w:sz w:val="20"/>
                <w:szCs w:val="20"/>
                <w:color w:val="auto"/>
              </w:rPr>
            </w:pPr>
            <w:r>
              <w:rPr>
                <w:rFonts w:ascii="Times New Roman" w:cs="Times New Roman" w:eastAsia="Times New Roman" w:hAnsi="Times New Roman"/>
                <w:sz w:val="18"/>
                <w:szCs w:val="18"/>
                <w:color w:val="auto"/>
              </w:rPr>
              <w:t>.. . . ......... .</w:t>
            </w:r>
          </w:p>
        </w:tc>
        <w:tc>
          <w:tcPr>
            <w:tcW w:w="320" w:type="dxa"/>
            <w:vAlign w:val="bottom"/>
            <w:gridSpan w:val="3"/>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gridSpan w:val="3"/>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440" w:type="dxa"/>
            <w:vAlign w:val="bottom"/>
            <w:gridSpan w:val="4"/>
            <w:vMerge w:val="continue"/>
          </w:tcPr>
          <w:p>
            <w:pPr>
              <w:spacing w:after="0"/>
              <w:rPr>
                <w:sz w:val="21"/>
                <w:szCs w:val="21"/>
                <w:color w:val="auto"/>
              </w:rPr>
            </w:pPr>
          </w:p>
        </w:tc>
        <w:tc>
          <w:tcPr>
            <w:tcW w:w="58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320" w:type="dxa"/>
            <w:vAlign w:val="bottom"/>
            <w:gridSpan w:val="3"/>
            <w:vMerge w:val="continue"/>
          </w:tcPr>
          <w:p>
            <w:pPr>
              <w:spacing w:after="0"/>
              <w:rPr>
                <w:sz w:val="21"/>
                <w:szCs w:val="21"/>
                <w:color w:val="auto"/>
              </w:rPr>
            </w:pPr>
          </w:p>
        </w:tc>
        <w:tc>
          <w:tcPr>
            <w:tcW w:w="560" w:type="dxa"/>
            <w:vAlign w:val="bottom"/>
            <w:vMerge w:val="continue"/>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gridSpan w:val="2"/>
            <w:vMerge w:val="continue"/>
          </w:tcPr>
          <w:p>
            <w:pPr>
              <w:spacing w:after="0"/>
              <w:rPr>
                <w:sz w:val="21"/>
                <w:szCs w:val="21"/>
                <w:color w:val="auto"/>
              </w:rPr>
            </w:pPr>
          </w:p>
        </w:tc>
        <w:tc>
          <w:tcPr>
            <w:tcW w:w="7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174" w:lineRule="exact"/>
        <w:rPr>
          <w:sz w:val="20"/>
          <w:szCs w:val="20"/>
          <w:color w:val="auto"/>
        </w:rPr>
      </w:pPr>
    </w:p>
    <w:p>
      <w:pPr>
        <w:ind w:left="120"/>
        <w:spacing w:after="0"/>
        <w:tabs>
          <w:tab w:leader="none" w:pos="400" w:val="left"/>
        </w:tabs>
        <w:rPr>
          <w:sz w:val="20"/>
          <w:szCs w:val="20"/>
          <w:color w:val="auto"/>
        </w:rPr>
      </w:pPr>
      <w:r>
        <w:rPr>
          <w:rFonts w:ascii="Arial" w:cs="Arial" w:eastAsia="Arial" w:hAnsi="Arial"/>
          <w:sz w:val="14"/>
          <w:szCs w:val="14"/>
          <w:color w:val="auto"/>
        </w:rPr>
        <w:t>( I)</w:t>
      </w:r>
      <w:r>
        <w:rPr>
          <w:sz w:val="20"/>
          <w:szCs w:val="20"/>
          <w:color w:val="auto"/>
        </w:rPr>
        <w:tab/>
      </w:r>
      <w:r>
        <w:rPr>
          <w:rFonts w:ascii="Times New Roman" w:cs="Times New Roman" w:eastAsia="Times New Roman" w:hAnsi="Times New Roman"/>
          <w:sz w:val="15"/>
          <w:szCs w:val="15"/>
          <w:color w:val="auto"/>
        </w:rPr>
        <w:t>The significant expense categories and amounts align with the segment-level information that is regularly provided to the CODM .</w:t>
      </w:r>
    </w:p>
    <w:p>
      <w:pPr>
        <w:spacing w:after="0" w:line="31" w:lineRule="exact"/>
        <w:rPr>
          <w:sz w:val="20"/>
          <w:szCs w:val="20"/>
          <w:color w:val="auto"/>
        </w:rPr>
      </w:pPr>
    </w:p>
    <w:p>
      <w:pPr>
        <w:jc w:val="both"/>
        <w:ind w:left="440" w:right="125" w:hanging="327"/>
        <w:spacing w:after="0" w:line="283" w:lineRule="auto"/>
        <w:tabs>
          <w:tab w:leader="none" w:pos="4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Cost of revenue reflects the amounts repotted and provided to the CODM and does not necessarily reconcile to the Company's Consolidated Statement of Operations or al ign across rcponable segments. Cost of revenue excludes charges related to depreciation, which is shown separately above.</w:t>
      </w:r>
    </w:p>
    <w:p>
      <w:pPr>
        <w:ind w:left="440" w:right="105" w:hanging="328"/>
        <w:spacing w:after="0" w:line="250" w:lineRule="auto"/>
        <w:tabs>
          <w:tab w:leader="none" w:pos="439"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Excludes pension service cost, wh ich is shown separately above. Excludes any payroll and related benefits costs captured in cost of revenue.</w:t>
      </w:r>
    </w:p>
    <w:p>
      <w:pPr>
        <w:spacing w:after="0" w:line="208" w:lineRule="exact"/>
        <w:rPr>
          <w:rFonts w:ascii="Times New Roman" w:cs="Times New Roman" w:eastAsia="Times New Roman" w:hAnsi="Times New Roman"/>
          <w:sz w:val="15"/>
          <w:szCs w:val="15"/>
          <w:color w:val="auto"/>
        </w:rPr>
      </w:pPr>
    </w:p>
    <w:p>
      <w:pPr>
        <w:ind w:left="440" w:hanging="327"/>
        <w:spacing w:after="0"/>
        <w:tabs>
          <w:tab w:leader="none" w:pos="440"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 segment items for each reportable segment include:</w:t>
      </w:r>
    </w:p>
    <w:p>
      <w:pPr>
        <w:spacing w:after="0" w:line="31" w:lineRule="exact"/>
        <w:rPr>
          <w:rFonts w:ascii="Times New Roman" w:cs="Times New Roman" w:eastAsia="Times New Roman" w:hAnsi="Times New Roman"/>
          <w:sz w:val="15"/>
          <w:szCs w:val="15"/>
          <w:color w:val="auto"/>
        </w:rPr>
      </w:pPr>
    </w:p>
    <w:p>
      <w:pPr>
        <w:ind w:left="760" w:right="125" w:hanging="323"/>
        <w:spacing w:after="0" w:line="263" w:lineRule="auto"/>
        <w:tabs>
          <w:tab w:leader="none" w:pos="77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Kaplan internatiOtlal - travel meals and entertainment expense, training and employment expense, operating fees and other G&amp;A expenses.</w:t>
      </w:r>
    </w:p>
    <w:p>
      <w:pPr>
        <w:spacing w:after="0" w:line="208" w:lineRule="exact"/>
        <w:rPr>
          <w:rFonts w:ascii="Times New Roman" w:cs="Times New Roman" w:eastAsia="Times New Roman" w:hAnsi="Times New Roman"/>
          <w:sz w:val="15"/>
          <w:szCs w:val="15"/>
          <w:color w:val="auto"/>
        </w:rPr>
      </w:pPr>
    </w:p>
    <w:p>
      <w:pPr>
        <w:ind w:left="780" w:hanging="343"/>
        <w:spacing w:after="0"/>
        <w:tabs>
          <w:tab w:leader="none" w:pos="78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Higher education - training and employment expense, operating fees and other G&amp;A expenses.</w:t>
      </w:r>
    </w:p>
    <w:p>
      <w:pPr>
        <w:spacing w:after="0" w:line="37" w:lineRule="exact"/>
        <w:rPr>
          <w:rFonts w:ascii="Times New Roman" w:cs="Times New Roman" w:eastAsia="Times New Roman" w:hAnsi="Times New Roman"/>
          <w:sz w:val="15"/>
          <w:szCs w:val="15"/>
          <w:color w:val="auto"/>
        </w:rPr>
      </w:pPr>
    </w:p>
    <w:p>
      <w:pPr>
        <w:ind w:left="760" w:hanging="323"/>
        <w:spacing w:after="0"/>
        <w:tabs>
          <w:tab w:leader="none" w:pos="760" w:val="left"/>
        </w:tabs>
        <w:numPr>
          <w:ilvl w:val="1"/>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Supplemental education - training and employment expense, operating fees and other G&amp;A expenses.</w:t>
      </w:r>
    </w:p>
    <w:p>
      <w:pPr>
        <w:sectPr>
          <w:pgSz w:w="12240" w:h="15850" w:orient="portrait"/>
          <w:cols w:equalWidth="0" w:num="1">
            <w:col w:w="9365"/>
          </w:cols>
          <w:pgMar w:left="1440" w:top="1385" w:right="1440" w:bottom="7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740"/>
        <w:spacing w:after="0"/>
        <w:tabs>
          <w:tab w:leader="none" w:pos="8940" w:val="left"/>
        </w:tabs>
        <w:rPr>
          <w:sz w:val="20"/>
          <w:szCs w:val="20"/>
          <w:color w:val="auto"/>
        </w:rPr>
      </w:pPr>
      <w:r>
        <w:rPr>
          <w:rFonts w:ascii="Times New Roman" w:cs="Times New Roman" w:eastAsia="Times New Roman" w:hAnsi="Times New Roman"/>
          <w:sz w:val="19"/>
          <w:szCs w:val="19"/>
          <w:color w:val="auto"/>
        </w:rPr>
        <w:t>GRAHAM HOLDINGS COMPANY</w:t>
      </w:r>
      <w:r>
        <w:rPr>
          <w:sz w:val="20"/>
          <w:szCs w:val="20"/>
          <w:color w:val="auto"/>
        </w:rPr>
        <w:tab/>
      </w:r>
      <w:r>
        <w:rPr>
          <w:rFonts w:ascii="Times New Roman" w:cs="Times New Roman" w:eastAsia="Times New Roman" w:hAnsi="Times New Roman"/>
          <w:sz w:val="15"/>
          <w:szCs w:val="15"/>
          <w:color w:val="auto"/>
        </w:rPr>
        <w:t>15 1</w:t>
      </w:r>
    </w:p>
    <w:p>
      <w:pPr>
        <w:sectPr>
          <w:pgSz w:w="12240" w:h="15850" w:orient="portrait"/>
          <w:cols w:equalWidth="0" w:num="1">
            <w:col w:w="9365"/>
          </w:cols>
          <w:pgMar w:left="1440" w:top="1385" w:right="1440" w:bottom="721" w:gutter="0" w:footer="0" w:header="0"/>
          <w:type w:val="continuous"/>
        </w:sectPr>
      </w:pPr>
    </w:p>
    <w:bookmarkStart w:id="167" w:name="page168"/>
    <w:bookmarkEnd w:id="167"/>
    <w:p>
      <w:pPr>
        <w:ind w:left="120"/>
        <w:spacing w:after="0"/>
        <w:rPr>
          <w:sz w:val="20"/>
          <w:szCs w:val="20"/>
          <w:color w:val="auto"/>
        </w:rPr>
      </w:pPr>
      <w:r>
        <w:rPr>
          <w:rFonts w:ascii="Times New Roman" w:cs="Times New Roman" w:eastAsia="Times New Roman" w:hAnsi="Times New Roman"/>
          <w:sz w:val="19"/>
          <w:szCs w:val="19"/>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Asset information for the Company's business segments is as follows:</w:t>
      </w:r>
    </w:p>
    <w:p>
      <w:pPr>
        <w:spacing w:after="0" w:line="201"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2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740" w:type="dxa"/>
            <w:vAlign w:val="bottom"/>
            <w:gridSpan w:val="3"/>
          </w:tcPr>
          <w:p>
            <w:pPr>
              <w:jc w:val="right"/>
              <w:ind w:right="145"/>
              <w:spacing w:after="0"/>
              <w:rPr>
                <w:sz w:val="20"/>
                <w:szCs w:val="20"/>
                <w:color w:val="auto"/>
              </w:rPr>
            </w:pPr>
            <w:r>
              <w:rPr>
                <w:rFonts w:ascii="Times New Roman" w:cs="Times New Roman" w:eastAsia="Times New Roman" w:hAnsi="Times New Roman"/>
                <w:sz w:val="15"/>
                <w:szCs w:val="15"/>
                <w:color w:val="auto"/>
              </w:rPr>
              <w:t>As of Oecember 3 1</w:t>
            </w:r>
          </w:p>
        </w:tc>
        <w:tc>
          <w:tcPr>
            <w:tcW w:w="0" w:type="dxa"/>
            <w:vAlign w:val="bottom"/>
          </w:tcPr>
          <w:p>
            <w:pPr>
              <w:spacing w:after="0"/>
              <w:rPr>
                <w:sz w:val="1"/>
                <w:szCs w:val="1"/>
                <w:color w:val="auto"/>
              </w:rPr>
            </w:pPr>
          </w:p>
        </w:tc>
      </w:tr>
      <w:tr>
        <w:trPr>
          <w:trHeight w:val="53"/>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Borders>
              <w:bottom w:val="single" w:sz="8" w:color="403C3C"/>
            </w:tcBorders>
          </w:tcPr>
          <w:p>
            <w:pPr>
              <w:spacing w:after="0"/>
              <w:rPr>
                <w:sz w:val="4"/>
                <w:szCs w:val="4"/>
                <w:color w:val="auto"/>
              </w:rPr>
            </w:pPr>
          </w:p>
        </w:tc>
        <w:tc>
          <w:tcPr>
            <w:tcW w:w="300" w:type="dxa"/>
            <w:vAlign w:val="bottom"/>
            <w:tcBorders>
              <w:bottom w:val="single" w:sz="8" w:color="403C3C"/>
            </w:tcBorders>
          </w:tcPr>
          <w:p>
            <w:pPr>
              <w:spacing w:after="0"/>
              <w:rPr>
                <w:sz w:val="4"/>
                <w:szCs w:val="4"/>
                <w:color w:val="auto"/>
              </w:rPr>
            </w:pPr>
          </w:p>
        </w:tc>
        <w:tc>
          <w:tcPr>
            <w:tcW w:w="720" w:type="dxa"/>
            <w:vAlign w:val="bottom"/>
            <w:tcBorders>
              <w:bottom w:val="single" w:sz="8" w:color="403C3C"/>
            </w:tcBorders>
          </w:tcPr>
          <w:p>
            <w:pPr>
              <w:spacing w:after="0"/>
              <w:rPr>
                <w:sz w:val="4"/>
                <w:szCs w:val="4"/>
                <w:color w:val="auto"/>
              </w:rPr>
            </w:pPr>
          </w:p>
        </w:tc>
        <w:tc>
          <w:tcPr>
            <w:tcW w:w="0" w:type="dxa"/>
            <w:vAlign w:val="bottom"/>
          </w:tcPr>
          <w:p>
            <w:pPr>
              <w:spacing w:after="0"/>
              <w:rPr>
                <w:sz w:val="1"/>
                <w:szCs w:val="1"/>
                <w:color w:val="auto"/>
              </w:rPr>
            </w:pPr>
          </w:p>
        </w:tc>
      </w:tr>
      <w:tr>
        <w:trPr>
          <w:trHeight w:val="184"/>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(in t housands)</w:t>
            </w:r>
          </w:p>
        </w:tc>
        <w:tc>
          <w:tcPr>
            <w:tcW w:w="7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2024</w:t>
            </w:r>
          </w:p>
        </w:tc>
        <w:tc>
          <w:tcPr>
            <w:tcW w:w="300" w:type="dxa"/>
            <w:vAlign w:val="bottom"/>
          </w:tcPr>
          <w:p>
            <w:pPr>
              <w:spacing w:after="0"/>
              <w:rPr>
                <w:sz w:val="16"/>
                <w:szCs w:val="16"/>
                <w:color w:val="auto"/>
              </w:rPr>
            </w:pPr>
          </w:p>
        </w:tc>
        <w:tc>
          <w:tcPr>
            <w:tcW w:w="720" w:type="dxa"/>
            <w:vAlign w:val="bottom"/>
          </w:tcPr>
          <w:p>
            <w:pPr>
              <w:jc w:val="right"/>
              <w:ind w:right="125"/>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34"/>
        </w:trPr>
        <w:tc>
          <w:tcPr>
            <w:tcW w:w="25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Identifiable Assets</w:t>
            </w: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720" w:type="dxa"/>
            <w:vAlign w:val="bottom"/>
            <w:tcBorders>
              <w:bottom w:val="single" w:sz="8" w:color="403C3C"/>
            </w:tcBorders>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Borders>
              <w:bottom w:val="single" w:sz="8" w:color="403C3C"/>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500" w:type="dxa"/>
            <w:vAlign w:val="bottom"/>
            <w:vMerge w:val="continue"/>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200" w:type="dxa"/>
            <w:vAlign w:val="bottom"/>
            <w:gridSpan w:val="2"/>
          </w:tcPr>
          <w:p>
            <w:pPr>
              <w:ind w:left="320"/>
              <w:spacing w:after="0"/>
              <w:rPr>
                <w:sz w:val="20"/>
                <w:szCs w:val="20"/>
                <w:color w:val="auto"/>
              </w:rPr>
            </w:pPr>
            <w:r>
              <w:rPr>
                <w:rFonts w:ascii="Times New Roman" w:cs="Times New Roman" w:eastAsia="Times New Roman" w:hAnsi="Times New Roman"/>
                <w:sz w:val="15"/>
                <w:szCs w:val="15"/>
                <w:color w:val="auto"/>
              </w:rPr>
              <w:t>Education  .. . .. .. .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$1,963,878</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$2,021,471</w:t>
            </w:r>
          </w:p>
        </w:tc>
        <w:tc>
          <w:tcPr>
            <w:tcW w:w="0" w:type="dxa"/>
            <w:vAlign w:val="bottom"/>
          </w:tcPr>
          <w:p>
            <w:pPr>
              <w:spacing w:after="0"/>
              <w:rPr>
                <w:sz w:val="1"/>
                <w:szCs w:val="1"/>
                <w:color w:val="auto"/>
              </w:rPr>
            </w:pPr>
          </w:p>
        </w:tc>
      </w:tr>
      <w:tr>
        <w:trPr>
          <w:trHeight w:val="200"/>
        </w:trPr>
        <w:tc>
          <w:tcPr>
            <w:tcW w:w="25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Television broadcasting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 .</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402,200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4 19,557</w:t>
            </w:r>
          </w:p>
        </w:tc>
        <w:tc>
          <w:tcPr>
            <w:tcW w:w="0" w:type="dxa"/>
            <w:vAlign w:val="bottom"/>
          </w:tcPr>
          <w:p>
            <w:pPr>
              <w:spacing w:after="0"/>
              <w:rPr>
                <w:sz w:val="1"/>
                <w:szCs w:val="1"/>
                <w:color w:val="auto"/>
              </w:rPr>
            </w:pPr>
          </w:p>
        </w:tc>
      </w:tr>
      <w:tr>
        <w:trPr>
          <w:trHeight w:val="200"/>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Manufacturing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5"/>
              </w:rPr>
              <w:t>. . . • • . . .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jc w:val="right"/>
              <w:ind w:right="525"/>
              <w:spacing w:after="0"/>
              <w:rPr>
                <w:sz w:val="20"/>
                <w:szCs w:val="20"/>
                <w:color w:val="auto"/>
              </w:rPr>
            </w:pPr>
            <w:r>
              <w:rPr>
                <w:rFonts w:ascii="Times New Roman" w:cs="Times New Roman" w:eastAsia="Times New Roman" w:hAnsi="Times New Roman"/>
                <w:sz w:val="15"/>
                <w:szCs w:val="15"/>
                <w:color w:val="auto"/>
              </w:rPr>
              <w:t>•• .</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411,137</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431,712</w:t>
            </w:r>
          </w:p>
        </w:tc>
        <w:tc>
          <w:tcPr>
            <w:tcW w:w="0" w:type="dxa"/>
            <w:vAlign w:val="bottom"/>
          </w:tcPr>
          <w:p>
            <w:pPr>
              <w:spacing w:after="0"/>
              <w:rPr>
                <w:sz w:val="1"/>
                <w:szCs w:val="1"/>
                <w:color w:val="auto"/>
              </w:rPr>
            </w:pPr>
          </w:p>
        </w:tc>
      </w:tr>
      <w:tr>
        <w:trPr>
          <w:trHeight w:val="191"/>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Healthcarc  . . .. . .. . .. . . . . . .. ..</w:t>
            </w:r>
          </w:p>
        </w:tc>
        <w:tc>
          <w:tcPr>
            <w:tcW w:w="70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308,591</w:t>
            </w:r>
          </w:p>
        </w:tc>
        <w:tc>
          <w:tcPr>
            <w:tcW w:w="3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265,150</w:t>
            </w:r>
          </w:p>
        </w:tc>
        <w:tc>
          <w:tcPr>
            <w:tcW w:w="0" w:type="dxa"/>
            <w:vAlign w:val="bottom"/>
          </w:tcPr>
          <w:p>
            <w:pPr>
              <w:spacing w:after="0"/>
              <w:rPr>
                <w:sz w:val="1"/>
                <w:szCs w:val="1"/>
                <w:color w:val="auto"/>
              </w:rPr>
            </w:pPr>
          </w:p>
        </w:tc>
      </w:tr>
      <w:tr>
        <w:trPr>
          <w:trHeight w:val="200"/>
        </w:trPr>
        <w:tc>
          <w:tcPr>
            <w:tcW w:w="25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Automotive  . . • .</w:t>
            </w: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582,105</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597,267</w:t>
            </w: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28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504C4C"/>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Tota l Segments . . . . . . . . . . . . . .</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80" w:type="dxa"/>
            <w:vAlign w:val="bottom"/>
            <w:gridSpan w:val="2"/>
          </w:tcPr>
          <w:p>
            <w:pPr>
              <w:jc w:val="right"/>
              <w:ind w:right="525"/>
              <w:spacing w:after="0"/>
              <w:rPr>
                <w:sz w:val="20"/>
                <w:szCs w:val="20"/>
                <w:color w:val="auto"/>
              </w:rPr>
            </w:pPr>
            <w:r>
              <w:rPr>
                <w:rFonts w:ascii="Times New Roman" w:cs="Times New Roman" w:eastAsia="Times New Roman" w:hAnsi="Times New Roman"/>
                <w:sz w:val="15"/>
                <w:szCs w:val="15"/>
                <w:color w:val="auto"/>
              </w:rPr>
              <w:t>. ..... •• .</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3,667,911</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3,735, 157</w:t>
            </w:r>
          </w:p>
        </w:tc>
        <w:tc>
          <w:tcPr>
            <w:tcW w:w="0" w:type="dxa"/>
            <w:vAlign w:val="bottom"/>
          </w:tcPr>
          <w:p>
            <w:pPr>
              <w:spacing w:after="0"/>
              <w:rPr>
                <w:sz w:val="1"/>
                <w:szCs w:val="1"/>
                <w:color w:val="auto"/>
              </w:rPr>
            </w:pPr>
          </w:p>
        </w:tc>
      </w:tr>
      <w:tr>
        <w:trPr>
          <w:trHeight w:val="200"/>
        </w:trPr>
        <w:tc>
          <w:tcPr>
            <w:tcW w:w="3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Other businesses . .. . .. ..... . . . .. .. .... .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 .</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338,089</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368,542</w:t>
            </w:r>
          </w:p>
        </w:tc>
        <w:tc>
          <w:tcPr>
            <w:tcW w:w="0" w:type="dxa"/>
            <w:vAlign w:val="bottom"/>
          </w:tcPr>
          <w:p>
            <w:pPr>
              <w:spacing w:after="0"/>
              <w:rPr>
                <w:sz w:val="1"/>
                <w:szCs w:val="1"/>
                <w:color w:val="auto"/>
              </w:rPr>
            </w:pPr>
          </w:p>
        </w:tc>
      </w:tr>
      <w:tr>
        <w:trPr>
          <w:trHeight w:val="200"/>
        </w:trPr>
        <w:tc>
          <w:tcPr>
            <w:tcW w:w="3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Corporat·e office  . .. . . .. .. . .. . .. . .. . ..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 .</w:t>
            </w:r>
          </w:p>
        </w:tc>
        <w:tc>
          <w:tcPr>
            <w:tcW w:w="1040" w:type="dxa"/>
            <w:vAlign w:val="bottom"/>
            <w:gridSpan w:val="3"/>
          </w:tcPr>
          <w:p>
            <w:pPr>
              <w:ind w:left="220"/>
              <w:spacing w:after="0"/>
              <w:rPr>
                <w:sz w:val="20"/>
                <w:szCs w:val="20"/>
                <w:color w:val="auto"/>
              </w:rPr>
            </w:pPr>
            <w:r>
              <w:rPr>
                <w:rFonts w:ascii="Times New Roman" w:cs="Times New Roman" w:eastAsia="Times New Roman" w:hAnsi="Times New Roman"/>
                <w:sz w:val="15"/>
                <w:szCs w:val="15"/>
                <w:color w:val="auto"/>
              </w:rPr>
              <w:t>139,126</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93,760</w:t>
            </w:r>
          </w:p>
        </w:tc>
        <w:tc>
          <w:tcPr>
            <w:tcW w:w="0" w:type="dxa"/>
            <w:vAlign w:val="bottom"/>
          </w:tcPr>
          <w:p>
            <w:pPr>
              <w:spacing w:after="0"/>
              <w:rPr>
                <w:sz w:val="1"/>
                <w:szCs w:val="1"/>
                <w:color w:val="auto"/>
              </w:rPr>
            </w:pPr>
          </w:p>
        </w:tc>
      </w:tr>
      <w:tr>
        <w:trPr>
          <w:trHeight w:val="200"/>
        </w:trPr>
        <w:tc>
          <w:tcPr>
            <w:tcW w:w="3200" w:type="dxa"/>
            <w:vAlign w:val="bottom"/>
            <w:gridSpan w:val="2"/>
          </w:tcPr>
          <w:p>
            <w:pPr>
              <w:spacing w:after="0"/>
              <w:rPr>
                <w:sz w:val="20"/>
                <w:szCs w:val="20"/>
                <w:color w:val="auto"/>
              </w:rPr>
            </w:pPr>
            <w:r>
              <w:rPr>
                <w:rFonts w:ascii="Arial" w:cs="Arial" w:eastAsia="Arial" w:hAnsi="Arial"/>
                <w:sz w:val="12"/>
                <w:szCs w:val="12"/>
                <w:color w:val="auto"/>
              </w:rPr>
              <w:t xml:space="preserve">Inve.~tments </w:t>
            </w:r>
            <w:r>
              <w:rPr>
                <w:rFonts w:ascii="Times New Roman" w:cs="Times New Roman" w:eastAsia="Times New Roman" w:hAnsi="Times New Roman"/>
                <w:sz w:val="15"/>
                <w:szCs w:val="15"/>
                <w:color w:val="auto"/>
              </w:rPr>
              <w:t>in Marketable Equity Securities .</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852,434</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690, 153</w:t>
            </w:r>
          </w:p>
        </w:tc>
        <w:tc>
          <w:tcPr>
            <w:tcW w:w="0" w:type="dxa"/>
            <w:vAlign w:val="bottom"/>
          </w:tcPr>
          <w:p>
            <w:pPr>
              <w:spacing w:after="0"/>
              <w:rPr>
                <w:sz w:val="1"/>
                <w:szCs w:val="1"/>
                <w:color w:val="auto"/>
              </w:rPr>
            </w:pPr>
          </w:p>
        </w:tc>
      </w:tr>
      <w:tr>
        <w:trPr>
          <w:trHeight w:val="200"/>
        </w:trPr>
        <w:tc>
          <w:tcPr>
            <w:tcW w:w="32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I n vestments in Affiliates  .. . .. . .. . .. . .. . . ..</w:t>
            </w:r>
          </w:p>
        </w:tc>
        <w:tc>
          <w:tcPr>
            <w:tcW w:w="480" w:type="dxa"/>
            <w:vAlign w:val="bottom"/>
          </w:tcPr>
          <w:p>
            <w:pPr>
              <w:spacing w:after="0"/>
              <w:rPr>
                <w:sz w:val="20"/>
                <w:szCs w:val="20"/>
                <w:color w:val="auto"/>
              </w:rPr>
            </w:pPr>
            <w:r>
              <w:rPr>
                <w:rFonts w:ascii="Times New Roman" w:cs="Times New Roman" w:eastAsia="Times New Roman" w:hAnsi="Times New Roman"/>
                <w:sz w:val="15"/>
                <w:szCs w:val="15"/>
                <w:color w:val="auto"/>
              </w:rPr>
              <w:t>..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 .. .</w:t>
            </w:r>
          </w:p>
        </w:tc>
        <w:tc>
          <w:tcPr>
            <w:tcW w:w="740" w:type="dxa"/>
            <w:vAlign w:val="bottom"/>
            <w:gridSpan w:val="2"/>
          </w:tcPr>
          <w:p>
            <w:pPr>
              <w:ind w:left="220"/>
              <w:spacing w:after="0"/>
              <w:rPr>
                <w:sz w:val="20"/>
                <w:szCs w:val="20"/>
                <w:color w:val="auto"/>
              </w:rPr>
            </w:pPr>
            <w:r>
              <w:rPr>
                <w:rFonts w:ascii="Times New Roman" w:cs="Times New Roman" w:eastAsia="Times New Roman" w:hAnsi="Times New Roman"/>
                <w:sz w:val="15"/>
                <w:szCs w:val="15"/>
                <w:color w:val="auto"/>
              </w:rPr>
              <w:t>169,125</w:t>
            </w:r>
          </w:p>
        </w:tc>
        <w:tc>
          <w:tcPr>
            <w:tcW w:w="3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186,480</w:t>
            </w:r>
          </w:p>
        </w:tc>
        <w:tc>
          <w:tcPr>
            <w:tcW w:w="0" w:type="dxa"/>
            <w:vAlign w:val="bottom"/>
          </w:tcPr>
          <w:p>
            <w:pPr>
              <w:spacing w:after="0"/>
              <w:rPr>
                <w:sz w:val="1"/>
                <w:szCs w:val="1"/>
                <w:color w:val="auto"/>
              </w:rPr>
            </w:pPr>
          </w:p>
        </w:tc>
      </w:tr>
      <w:tr>
        <w:trPr>
          <w:trHeight w:val="200"/>
        </w:trPr>
        <w:tc>
          <w:tcPr>
            <w:tcW w:w="3680" w:type="dxa"/>
            <w:vAlign w:val="bottom"/>
            <w:gridSpan w:val="3"/>
          </w:tcPr>
          <w:p>
            <w:pPr>
              <w:spacing w:after="0"/>
              <w:rPr>
                <w:sz w:val="20"/>
                <w:szCs w:val="20"/>
                <w:color w:val="auto"/>
              </w:rPr>
            </w:pPr>
            <w:r>
              <w:rPr>
                <w:rFonts w:ascii="Times New Roman" w:cs="Times New Roman" w:eastAsia="Times New Roman" w:hAnsi="Times New Roman"/>
                <w:sz w:val="15"/>
                <w:szCs w:val="15"/>
                <w:color w:val="auto"/>
              </w:rPr>
              <w:t>Prepaid Pension Cost . .. .. . . . . . .. .. . .. ....... .. .</w:t>
            </w:r>
          </w:p>
        </w:tc>
        <w:tc>
          <w:tcPr>
            <w:tcW w:w="4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 ... . .</w:t>
            </w:r>
          </w:p>
        </w:tc>
        <w:tc>
          <w:tcPr>
            <w:tcW w:w="8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 . . .. .</w:t>
            </w:r>
          </w:p>
        </w:tc>
        <w:tc>
          <w:tcPr>
            <w:tcW w:w="1040" w:type="dxa"/>
            <w:vAlign w:val="bottom"/>
            <w:gridSpan w:val="3"/>
          </w:tcPr>
          <w:p>
            <w:pPr>
              <w:jc w:val="right"/>
              <w:ind w:right="280"/>
              <w:spacing w:after="0"/>
              <w:rPr>
                <w:sz w:val="20"/>
                <w:szCs w:val="20"/>
                <w:color w:val="auto"/>
              </w:rPr>
            </w:pPr>
            <w:r>
              <w:rPr>
                <w:rFonts w:ascii="Times New Roman" w:cs="Times New Roman" w:eastAsia="Times New Roman" w:hAnsi="Times New Roman"/>
                <w:sz w:val="15"/>
                <w:szCs w:val="15"/>
                <w:color w:val="auto"/>
              </w:rPr>
              <w:t>2,510,520</w:t>
            </w: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2, 11 3,638</w:t>
            </w:r>
          </w:p>
        </w:tc>
        <w:tc>
          <w:tcPr>
            <w:tcW w:w="0" w:type="dxa"/>
            <w:vAlign w:val="bottom"/>
          </w:tcPr>
          <w:p>
            <w:pPr>
              <w:spacing w:after="0"/>
              <w:rPr>
                <w:sz w:val="1"/>
                <w:szCs w:val="1"/>
                <w:color w:val="auto"/>
              </w:rPr>
            </w:pPr>
          </w:p>
        </w:tc>
      </w:tr>
      <w:tr>
        <w:trPr>
          <w:trHeight w:val="44"/>
        </w:trPr>
        <w:tc>
          <w:tcPr>
            <w:tcW w:w="2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tcBorders>
              <w:bottom w:val="single" w:sz="8" w:color="0C0808"/>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2500" w:type="dxa"/>
            <w:vAlign w:val="bottom"/>
          </w:tcPr>
          <w:p>
            <w:pPr>
              <w:spacing w:after="0"/>
              <w:rPr>
                <w:sz w:val="20"/>
                <w:szCs w:val="20"/>
                <w:color w:val="auto"/>
              </w:rPr>
            </w:pPr>
            <w:r>
              <w:rPr>
                <w:rFonts w:ascii="Times New Roman" w:cs="Times New Roman" w:eastAsia="Times New Roman" w:hAnsi="Times New Roman"/>
                <w:sz w:val="15"/>
                <w:szCs w:val="15"/>
                <w:color w:val="auto"/>
              </w:rPr>
              <w:t>Tota l Assets .. .</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$7,677,205</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5"/>
                <w:szCs w:val="15"/>
                <w:color w:val="auto"/>
                <w:w w:val="98"/>
              </w:rPr>
              <w:t>$7, 187,730</w:t>
            </w:r>
          </w:p>
        </w:tc>
        <w:tc>
          <w:tcPr>
            <w:tcW w:w="0" w:type="dxa"/>
            <w:vAlign w:val="bottom"/>
          </w:tcPr>
          <w:p>
            <w:pPr>
              <w:spacing w:after="0"/>
              <w:rPr>
                <w:sz w:val="1"/>
                <w:szCs w:val="1"/>
                <w:color w:val="auto"/>
              </w:rPr>
            </w:pPr>
          </w:p>
        </w:tc>
      </w:tr>
      <w:tr>
        <w:trPr>
          <w:trHeight w:val="48"/>
        </w:trPr>
        <w:tc>
          <w:tcPr>
            <w:tcW w:w="2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Borders>
              <w:bottom w:val="single" w:sz="8" w:color="504C4C"/>
            </w:tcBorders>
          </w:tcPr>
          <w:p>
            <w:pPr>
              <w:spacing w:after="0"/>
              <w:rPr>
                <w:sz w:val="4"/>
                <w:szCs w:val="4"/>
                <w:color w:val="auto"/>
              </w:rPr>
            </w:pPr>
          </w:p>
        </w:tc>
        <w:tc>
          <w:tcPr>
            <w:tcW w:w="720" w:type="dxa"/>
            <w:vAlign w:val="bottom"/>
            <w:tcBorders>
              <w:bottom w:val="single" w:sz="8" w:color="504C4C"/>
            </w:tcBorders>
          </w:tcPr>
          <w:p>
            <w:pPr>
              <w:spacing w:after="0"/>
              <w:rPr>
                <w:sz w:val="4"/>
                <w:szCs w:val="4"/>
                <w:color w:val="auto"/>
              </w:rPr>
            </w:pPr>
          </w:p>
        </w:tc>
        <w:tc>
          <w:tcPr>
            <w:tcW w:w="300" w:type="dxa"/>
            <w:vAlign w:val="bottom"/>
          </w:tcPr>
          <w:p>
            <w:pPr>
              <w:spacing w:after="0"/>
              <w:rPr>
                <w:sz w:val="4"/>
                <w:szCs w:val="4"/>
                <w:color w:val="auto"/>
              </w:rPr>
            </w:pPr>
          </w:p>
        </w:tc>
        <w:tc>
          <w:tcPr>
            <w:tcW w:w="720" w:type="dxa"/>
            <w:vAlign w:val="bottom"/>
            <w:tcBorders>
              <w:bottom w:val="single" w:sz="8" w:color="504C4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9"/>
          <w:szCs w:val="19"/>
          <w:color w:val="auto"/>
        </w:rPr>
        <w:t>Asset information for the Company's education division is as follows :</w:t>
      </w:r>
    </w:p>
    <w:p>
      <w:pPr>
        <w:spacing w:after="0" w:line="220" w:lineRule="exact"/>
        <w:rPr>
          <w:sz w:val="20"/>
          <w:szCs w:val="20"/>
          <w:color w:val="auto"/>
        </w:rPr>
      </w:pPr>
    </w:p>
    <w:tbl>
      <w:tblPr>
        <w:tblLayout w:type="fixed"/>
        <w:tblInd w:w="1320" w:type="dxa"/>
        <w:tblCellMar>
          <w:top w:w="0" w:type="dxa"/>
          <w:left w:w="0" w:type="dxa"/>
          <w:bottom w:w="0" w:type="dxa"/>
          <w:right w:w="0" w:type="dxa"/>
        </w:tblCellMar>
      </w:tblPr>
      <w:tr>
        <w:trPr>
          <w:trHeight w:val="172"/>
        </w:trPr>
        <w:tc>
          <w:tcPr>
            <w:tcW w:w="27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40" w:type="dxa"/>
            <w:vAlign w:val="bottom"/>
            <w:gridSpan w:val="4"/>
          </w:tcPr>
          <w:p>
            <w:pPr>
              <w:jc w:val="right"/>
              <w:ind w:right="240"/>
              <w:spacing w:after="0"/>
              <w:rPr>
                <w:sz w:val="20"/>
                <w:szCs w:val="20"/>
                <w:color w:val="auto"/>
              </w:rPr>
            </w:pPr>
            <w:r>
              <w:rPr>
                <w:rFonts w:ascii="Times New Roman" w:cs="Times New Roman" w:eastAsia="Times New Roman" w:hAnsi="Times New Roman"/>
                <w:sz w:val="15"/>
                <w:szCs w:val="15"/>
                <w:color w:val="auto"/>
              </w:rPr>
              <w:t>As of December 31</w:t>
            </w:r>
          </w:p>
        </w:tc>
        <w:tc>
          <w:tcPr>
            <w:tcW w:w="0" w:type="dxa"/>
            <w:vAlign w:val="bottom"/>
          </w:tcPr>
          <w:p>
            <w:pPr>
              <w:spacing w:after="0"/>
              <w:rPr>
                <w:sz w:val="1"/>
                <w:szCs w:val="1"/>
                <w:color w:val="auto"/>
              </w:rPr>
            </w:pPr>
          </w:p>
        </w:tc>
      </w:tr>
      <w:tr>
        <w:trPr>
          <w:trHeight w:val="35"/>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bottom w:val="single" w:sz="8" w:color="141414"/>
            </w:tcBorders>
          </w:tcPr>
          <w:p>
            <w:pPr>
              <w:spacing w:after="0"/>
              <w:rPr>
                <w:sz w:val="3"/>
                <w:szCs w:val="3"/>
                <w:color w:val="auto"/>
              </w:rPr>
            </w:pPr>
          </w:p>
        </w:tc>
        <w:tc>
          <w:tcPr>
            <w:tcW w:w="160" w:type="dxa"/>
            <w:vAlign w:val="bottom"/>
            <w:tcBorders>
              <w:bottom w:val="single" w:sz="8" w:color="141414"/>
            </w:tcBorders>
          </w:tcPr>
          <w:p>
            <w:pPr>
              <w:spacing w:after="0"/>
              <w:rPr>
                <w:sz w:val="3"/>
                <w:szCs w:val="3"/>
                <w:color w:val="auto"/>
              </w:rPr>
            </w:pPr>
          </w:p>
        </w:tc>
        <w:tc>
          <w:tcPr>
            <w:tcW w:w="140" w:type="dxa"/>
            <w:vAlign w:val="bottom"/>
            <w:tcBorders>
              <w:bottom w:val="single" w:sz="8" w:color="141414"/>
            </w:tcBorders>
          </w:tcPr>
          <w:p>
            <w:pPr>
              <w:spacing w:after="0"/>
              <w:rPr>
                <w:sz w:val="3"/>
                <w:szCs w:val="3"/>
                <w:color w:val="auto"/>
              </w:rPr>
            </w:pPr>
          </w:p>
        </w:tc>
        <w:tc>
          <w:tcPr>
            <w:tcW w:w="720" w:type="dxa"/>
            <w:vAlign w:val="bottom"/>
            <w:tcBorders>
              <w:bottom w:val="single" w:sz="8" w:color="141414"/>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2700" w:type="dxa"/>
            <w:vAlign w:val="bottom"/>
          </w:tcPr>
          <w:p>
            <w:pPr>
              <w:spacing w:after="0"/>
              <w:rPr>
                <w:sz w:val="20"/>
                <w:szCs w:val="20"/>
                <w:color w:val="auto"/>
              </w:rPr>
            </w:pPr>
            <w:r>
              <w:rPr>
                <w:rFonts w:ascii="Times New Roman" w:cs="Times New Roman" w:eastAsia="Times New Roman" w:hAnsi="Times New Roman"/>
                <w:sz w:val="15"/>
                <w:szCs w:val="15"/>
                <w:color w:val="auto"/>
              </w:rPr>
              <w:t>(in t housands)</w:t>
            </w:r>
          </w:p>
        </w:tc>
        <w:tc>
          <w:tcPr>
            <w:tcW w:w="1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gridSpan w:val="2"/>
          </w:tcPr>
          <w:p>
            <w:pPr>
              <w:jc w:val="right"/>
              <w:ind w:right="125"/>
              <w:spacing w:after="0"/>
              <w:rPr>
                <w:sz w:val="20"/>
                <w:szCs w:val="20"/>
                <w:color w:val="auto"/>
              </w:rPr>
            </w:pPr>
            <w:r>
              <w:rPr>
                <w:rFonts w:ascii="Times New Roman" w:cs="Times New Roman" w:eastAsia="Times New Roman" w:hAnsi="Times New Roman"/>
                <w:sz w:val="15"/>
                <w:szCs w:val="15"/>
                <w:color w:val="auto"/>
              </w:rPr>
              <w:t>2024</w:t>
            </w:r>
          </w:p>
        </w:tc>
        <w:tc>
          <w:tcPr>
            <w:tcW w:w="160" w:type="dxa"/>
            <w:vAlign w:val="bottom"/>
          </w:tcPr>
          <w:p>
            <w:pPr>
              <w:spacing w:after="0"/>
              <w:rPr>
                <w:sz w:val="15"/>
                <w:szCs w:val="15"/>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5"/>
                <w:szCs w:val="15"/>
                <w:color w:val="auto"/>
              </w:rPr>
              <w:t>2023</w:t>
            </w:r>
          </w:p>
        </w:tc>
        <w:tc>
          <w:tcPr>
            <w:tcW w:w="0" w:type="dxa"/>
            <w:vAlign w:val="bottom"/>
          </w:tcPr>
          <w:p>
            <w:pPr>
              <w:spacing w:after="0"/>
              <w:rPr>
                <w:sz w:val="1"/>
                <w:szCs w:val="1"/>
                <w:color w:val="auto"/>
              </w:rPr>
            </w:pPr>
          </w:p>
        </w:tc>
      </w:tr>
      <w:tr>
        <w:trPr>
          <w:trHeight w:val="43"/>
        </w:trPr>
        <w:tc>
          <w:tcPr>
            <w:tcW w:w="2700" w:type="dxa"/>
            <w:vAlign w:val="bottom"/>
            <w:vMerge w:val="restart"/>
          </w:tcPr>
          <w:p>
            <w:pPr>
              <w:spacing w:after="0"/>
              <w:rPr>
                <w:sz w:val="20"/>
                <w:szCs w:val="20"/>
                <w:color w:val="auto"/>
              </w:rPr>
            </w:pPr>
            <w:r>
              <w:rPr>
                <w:rFonts w:ascii="Times New Roman" w:cs="Times New Roman" w:eastAsia="Times New Roman" w:hAnsi="Times New Roman"/>
                <w:sz w:val="15"/>
                <w:szCs w:val="15"/>
                <w:color w:val="auto"/>
              </w:rPr>
              <w:t>Identifiable Assets</w:t>
            </w:r>
          </w:p>
        </w:tc>
        <w:tc>
          <w:tcPr>
            <w:tcW w:w="1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Borders>
              <w:bottom w:val="single" w:sz="8" w:color="403C3C"/>
            </w:tcBorders>
          </w:tcPr>
          <w:p>
            <w:pPr>
              <w:spacing w:after="0"/>
              <w:rPr>
                <w:sz w:val="3"/>
                <w:szCs w:val="3"/>
                <w:color w:val="auto"/>
              </w:rPr>
            </w:pPr>
          </w:p>
        </w:tc>
        <w:tc>
          <w:tcPr>
            <w:tcW w:w="16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bottom w:val="single" w:sz="8" w:color="403C3C"/>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70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27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Kaplan internat ional . .</w:t>
            </w:r>
          </w:p>
        </w:tc>
        <w:tc>
          <w:tcPr>
            <w:tcW w:w="16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$ 1,500,846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$1,537,989</w:t>
            </w:r>
          </w:p>
        </w:tc>
        <w:tc>
          <w:tcPr>
            <w:tcW w:w="0" w:type="dxa"/>
            <w:vAlign w:val="bottom"/>
          </w:tcPr>
          <w:p>
            <w:pPr>
              <w:spacing w:after="0"/>
              <w:rPr>
                <w:sz w:val="1"/>
                <w:szCs w:val="1"/>
                <w:color w:val="auto"/>
              </w:rPr>
            </w:pPr>
          </w:p>
        </w:tc>
      </w:tr>
      <w:tr>
        <w:trPr>
          <w:trHeight w:val="200"/>
        </w:trPr>
        <w:tc>
          <w:tcPr>
            <w:tcW w:w="27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Higher education  .. . .. . ..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7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 .. . . .. .. . .. . . ..</w:t>
            </w:r>
          </w:p>
        </w:tc>
        <w:tc>
          <w:tcPr>
            <w:tcW w:w="200" w:type="dxa"/>
            <w:vAlign w:val="bottom"/>
          </w:tcPr>
          <w:p>
            <w:pPr>
              <w:jc w:val="right"/>
              <w:ind w:right="86"/>
              <w:spacing w:after="0"/>
              <w:rPr>
                <w:sz w:val="20"/>
                <w:szCs w:val="20"/>
                <w:color w:val="auto"/>
              </w:rPr>
            </w:pPr>
            <w:r>
              <w:rPr>
                <w:rFonts w:ascii="Times New Roman" w:cs="Times New Roman" w:eastAsia="Times New Roman" w:hAnsi="Times New Roman"/>
                <w:sz w:val="15"/>
                <w:szCs w:val="15"/>
                <w:color w:val="auto"/>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182,442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187,972</w:t>
            </w:r>
          </w:p>
        </w:tc>
        <w:tc>
          <w:tcPr>
            <w:tcW w:w="0" w:type="dxa"/>
            <w:vAlign w:val="bottom"/>
          </w:tcPr>
          <w:p>
            <w:pPr>
              <w:spacing w:after="0"/>
              <w:rPr>
                <w:sz w:val="1"/>
                <w:szCs w:val="1"/>
                <w:color w:val="auto"/>
              </w:rPr>
            </w:pPr>
          </w:p>
        </w:tc>
      </w:tr>
      <w:tr>
        <w:trPr>
          <w:trHeight w:val="200"/>
        </w:trPr>
        <w:tc>
          <w:tcPr>
            <w:tcW w:w="2700" w:type="dxa"/>
            <w:vAlign w:val="bottom"/>
          </w:tcPr>
          <w:p>
            <w:pPr>
              <w:ind w:left="320"/>
              <w:spacing w:after="0"/>
              <w:rPr>
                <w:sz w:val="20"/>
                <w:szCs w:val="20"/>
                <w:color w:val="auto"/>
              </w:rPr>
            </w:pPr>
            <w:r>
              <w:rPr>
                <w:rFonts w:ascii="Times New Roman" w:cs="Times New Roman" w:eastAsia="Times New Roman" w:hAnsi="Times New Roman"/>
                <w:sz w:val="15"/>
                <w:szCs w:val="15"/>
                <w:color w:val="auto"/>
              </w:rPr>
              <w:t>Supplemental education . .. . .. . .. .</w:t>
            </w:r>
          </w:p>
        </w:tc>
        <w:tc>
          <w:tcPr>
            <w:tcW w:w="16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w:t>
            </w:r>
          </w:p>
        </w:tc>
        <w:tc>
          <w:tcPr>
            <w:tcW w:w="1960" w:type="dxa"/>
            <w:vAlign w:val="bottom"/>
            <w:gridSpan w:val="2"/>
          </w:tcPr>
          <w:p>
            <w:pPr>
              <w:ind w:left="20"/>
              <w:spacing w:after="0"/>
              <w:rPr>
                <w:sz w:val="20"/>
                <w:szCs w:val="20"/>
                <w:color w:val="auto"/>
              </w:rPr>
            </w:pPr>
            <w:r>
              <w:rPr>
                <w:rFonts w:ascii="Times New Roman" w:cs="Times New Roman" w:eastAsia="Times New Roman" w:hAnsi="Times New Roman"/>
                <w:sz w:val="15"/>
                <w:szCs w:val="15"/>
                <w:color w:val="auto"/>
              </w:rPr>
              <w:t>. .. . .. . .. . .. .. . . . .. . ...</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238,836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249,519</w:t>
            </w:r>
          </w:p>
        </w:tc>
        <w:tc>
          <w:tcPr>
            <w:tcW w:w="0" w:type="dxa"/>
            <w:vAlign w:val="bottom"/>
          </w:tcPr>
          <w:p>
            <w:pPr>
              <w:spacing w:after="0"/>
              <w:rPr>
                <w:sz w:val="1"/>
                <w:szCs w:val="1"/>
                <w:color w:val="auto"/>
              </w:rPr>
            </w:pPr>
          </w:p>
        </w:tc>
      </w:tr>
      <w:tr>
        <w:trPr>
          <w:trHeight w:val="204"/>
        </w:trPr>
        <w:tc>
          <w:tcPr>
            <w:tcW w:w="2700" w:type="dxa"/>
            <w:vAlign w:val="bottom"/>
          </w:tcPr>
          <w:p>
            <w:pPr>
              <w:ind w:left="320"/>
              <w:spacing w:after="0"/>
              <w:rPr>
                <w:sz w:val="20"/>
                <w:szCs w:val="20"/>
                <w:color w:val="auto"/>
              </w:rPr>
            </w:pPr>
            <w:r>
              <w:rPr>
                <w:rFonts w:ascii="Arial" w:cs="Arial" w:eastAsia="Arial" w:hAnsi="Arial"/>
                <w:sz w:val="15"/>
                <w:szCs w:val="15"/>
                <w:color w:val="auto"/>
              </w:rPr>
              <w:t>Kaplan cot·poratcand other . . .. .. .</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1760" w:type="dxa"/>
            <w:vAlign w:val="bottom"/>
          </w:tcPr>
          <w:p>
            <w:pPr>
              <w:ind w:left="20"/>
              <w:spacing w:after="0"/>
              <w:rPr>
                <w:sz w:val="20"/>
                <w:szCs w:val="20"/>
                <w:color w:val="auto"/>
              </w:rPr>
            </w:pPr>
            <w:r>
              <w:rPr>
                <w:rFonts w:ascii="Arial" w:cs="Arial" w:eastAsia="Arial" w:hAnsi="Arial"/>
                <w:sz w:val="15"/>
                <w:szCs w:val="15"/>
                <w:color w:val="auto"/>
              </w:rPr>
              <w:t>.... •. . .. . . ... . . .. . . ..</w:t>
            </w:r>
          </w:p>
        </w:tc>
        <w:tc>
          <w:tcPr>
            <w:tcW w:w="200" w:type="dxa"/>
            <w:vAlign w:val="bottom"/>
          </w:tcPr>
          <w:p>
            <w:pPr>
              <w:jc w:val="right"/>
              <w:ind w:right="106"/>
              <w:spacing w:after="0"/>
              <w:rPr>
                <w:sz w:val="20"/>
                <w:szCs w:val="20"/>
                <w:color w:val="auto"/>
              </w:rPr>
            </w:pPr>
            <w:r>
              <w:rPr>
                <w:rFonts w:ascii="Arial" w:cs="Arial" w:eastAsia="Arial" w:hAnsi="Arial"/>
                <w:sz w:val="7"/>
                <w:szCs w:val="7"/>
                <w:color w:val="auto"/>
                <w:w w:val="79"/>
              </w:rPr>
              <w:t>•</w:t>
            </w: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7"/>
                <w:szCs w:val="17"/>
                <w:color w:val="auto"/>
              </w:rPr>
              <w:t>41,754</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45,991</w:t>
            </w:r>
          </w:p>
        </w:tc>
        <w:tc>
          <w:tcPr>
            <w:tcW w:w="0" w:type="dxa"/>
            <w:vAlign w:val="bottom"/>
          </w:tcPr>
          <w:p>
            <w:pPr>
              <w:spacing w:after="0"/>
              <w:rPr>
                <w:sz w:val="1"/>
                <w:szCs w:val="1"/>
                <w:color w:val="auto"/>
              </w:rPr>
            </w:pPr>
          </w:p>
        </w:tc>
      </w:tr>
      <w:tr>
        <w:trPr>
          <w:trHeight w:val="273"/>
        </w:trPr>
        <w:tc>
          <w:tcPr>
            <w:tcW w:w="27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gridSpan w:val="3"/>
          </w:tcPr>
          <w:p>
            <w:pPr>
              <w:jc w:val="right"/>
              <w:ind w:right="140"/>
              <w:spacing w:after="0"/>
              <w:rPr>
                <w:sz w:val="20"/>
                <w:szCs w:val="20"/>
                <w:color w:val="auto"/>
              </w:rPr>
            </w:pPr>
            <w:r>
              <w:rPr>
                <w:rFonts w:ascii="Times New Roman" w:cs="Times New Roman" w:eastAsia="Times New Roman" w:hAnsi="Times New Roman"/>
                <w:sz w:val="15"/>
                <w:szCs w:val="15"/>
                <w:color w:val="auto"/>
              </w:rPr>
              <w:t>$1,963,878</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$2,021 ,471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850" w:orient="portrait"/>
          <w:cols w:equalWidth="0" w:num="1">
            <w:col w:w="9365"/>
          </w:cols>
          <w:pgMar w:left="1440" w:top="1385" w:right="1440" w:bottom="7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40"/>
        <w:spacing w:after="0"/>
        <w:tabs>
          <w:tab w:leader="none" w:pos="600" w:val="left"/>
        </w:tabs>
        <w:rPr>
          <w:sz w:val="20"/>
          <w:szCs w:val="20"/>
          <w:color w:val="auto"/>
        </w:rPr>
      </w:pPr>
      <w:r>
        <w:rPr>
          <w:rFonts w:ascii="Times New Roman" w:cs="Times New Roman" w:eastAsia="Times New Roman" w:hAnsi="Times New Roman"/>
          <w:sz w:val="20"/>
          <w:szCs w:val="20"/>
          <w:color w:val="auto"/>
        </w:rPr>
        <w:t>152</w:t>
        <w:tab/>
        <w:t>2024 FORM 10-K</w:t>
      </w:r>
    </w:p>
    <w:p>
      <w:pPr>
        <w:sectPr>
          <w:pgSz w:w="12240" w:h="15850" w:orient="portrait"/>
          <w:cols w:equalWidth="0" w:num="1">
            <w:col w:w="9365"/>
          </w:cols>
          <w:pgMar w:left="1440" w:top="1385" w:right="1440" w:bottom="717" w:gutter="0" w:footer="0" w:header="0"/>
          <w:type w:val="continuous"/>
        </w:sectPr>
      </w:pPr>
    </w:p>
    <w:bookmarkStart w:id="168" w:name="page169"/>
    <w:bookmarkEnd w:id="16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76">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9"/>
          <w:szCs w:val="19"/>
          <w:color w:val="auto"/>
        </w:rPr>
        <w:t>[THlS PAGE INTENTIONALLY LEFT BLANK]</w:t>
      </w:r>
    </w:p>
    <w:p>
      <w:pPr>
        <w:sectPr>
          <w:pgSz w:w="12240" w:h="15850" w:orient="portrait"/>
          <w:cols w:equalWidth="0" w:num="1">
            <w:col w:w="9365"/>
          </w:cols>
          <w:pgMar w:left="1440" w:top="1440" w:right="1440" w:bottom="1440" w:gutter="0" w:footer="0" w:header="0"/>
        </w:sectPr>
      </w:pPr>
    </w:p>
    <w:bookmarkStart w:id="169" w:name="page170"/>
    <w:bookmarkEnd w:id="169"/>
    <w:p>
      <w:pPr>
        <w:spacing w:after="0"/>
        <w:rPr>
          <w:sz w:val="20"/>
          <w:szCs w:val="20"/>
          <w:color w:val="auto"/>
        </w:rPr>
      </w:pPr>
      <w:r>
        <w:rPr>
          <w:rFonts w:ascii="Arial" w:cs="Arial" w:eastAsia="Arial" w:hAnsi="Arial"/>
          <w:sz w:val="66"/>
          <w:szCs w:val="66"/>
          <w:b w:val="1"/>
          <w:bCs w:val="1"/>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1006475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77">
                      <a:clrChange>
                        <a:clrFrom>
                          <a:srgbClr val="FFFFFF"/>
                        </a:clrFrom>
                        <a:clrTo>
                          <a:srgbClr val="FFFFFF">
                            <a:alpha val="0"/>
                          </a:srgbClr>
                        </a:clrTo>
                      </a:clrChange>
                      <a:extLst>
                        <a:ext uri="{28A0092B-C50C-407E-A947-70E740481C1C}"/>
                      </a:extLst>
                    </a:blip>
                    <a:srcRect/>
                    <a:stretch>
                      <a:fillRect/>
                    </a:stretch>
                  </pic:blipFill>
                  <pic:spPr bwMode="auto">
                    <a:xfrm>
                      <a:off x="0" y="0"/>
                      <a:ext cx="7775575" cy="10064750"/>
                    </a:xfrm>
                    <a:prstGeom prst="rect">
                      <a:avLst/>
                    </a:prstGeom>
                    <a:noFill/>
                  </pic:spPr>
                </pic:pic>
              </a:graphicData>
            </a:graphic>
          </wp:anchor>
        </w:drawing>
        <w:t xml:space="preserve">I </w:t>
      </w:r>
      <w:r>
        <w:rPr>
          <w:rFonts w:ascii="Arial" w:cs="Arial" w:eastAsia="Arial" w:hAnsi="Arial"/>
          <w:sz w:val="31"/>
          <w:szCs w:val="31"/>
          <w:b w:val="1"/>
          <w:bCs w:val="1"/>
          <w:color w:val="auto"/>
        </w:rPr>
        <w:t>GRAHAM HOLDINGS COMPANY IN BRIEF</w:t>
      </w:r>
    </w:p>
    <w:p>
      <w:pPr>
        <w:spacing w:after="0" w:line="220" w:lineRule="exact"/>
        <w:rPr>
          <w:sz w:val="20"/>
          <w:szCs w:val="20"/>
          <w:color w:val="auto"/>
        </w:rPr>
      </w:pPr>
    </w:p>
    <w:p>
      <w:pPr>
        <w:jc w:val="both"/>
        <w:ind w:left="40" w:right="5" w:firstLine="1"/>
        <w:spacing w:after="0" w:line="334" w:lineRule="auto"/>
        <w:rPr>
          <w:sz w:val="20"/>
          <w:szCs w:val="20"/>
          <w:color w:val="auto"/>
        </w:rPr>
      </w:pPr>
      <w:r>
        <w:rPr>
          <w:rFonts w:ascii="Arial" w:cs="Arial" w:eastAsia="Arial" w:hAnsi="Arial"/>
          <w:sz w:val="20"/>
          <w:szCs w:val="20"/>
          <w:color w:val="auto"/>
        </w:rPr>
        <w:t>Graham Holdings Company (the Company) is a diversified holding company whose operations include: education; television broadcasting- online, podcast. print and local TV news; home health, hospice care. and other healthcare operations; aut omotive dealerships; manufacturing; and other businesses including consumer internet companies; restaurants; a custom framing company; a marketing solutions p rovider; a customer data and analy tics software company; website and print magazines; and a daily local news podcast and newslet ter company.</w:t>
      </w:r>
    </w:p>
    <w:p>
      <w:pPr>
        <w:sectPr>
          <w:pgSz w:w="12240" w:h="15850" w:orient="portrait"/>
          <w:cols w:equalWidth="0" w:num="1">
            <w:col w:w="9405"/>
          </w:cols>
          <w:pgMar w:left="1400" w:top="10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GRAHAM HOLDINGS COMPANY</w:t>
      </w:r>
    </w:p>
    <w:p>
      <w:pPr>
        <w:spacing w:after="0" w:line="3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EDUCATION</w:t>
      </w:r>
    </w:p>
    <w:p>
      <w:pPr>
        <w:spacing w:after="0" w:line="7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Kaplan</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Kaplan North America</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Kaplan International</w:t>
      </w:r>
    </w:p>
    <w:p>
      <w:pPr>
        <w:spacing w:after="0" w:line="332" w:lineRule="exact"/>
        <w:rPr>
          <w:sz w:val="20"/>
          <w:szCs w:val="20"/>
          <w:color w:val="auto"/>
        </w:rPr>
      </w:pPr>
    </w:p>
    <w:p>
      <w:pPr>
        <w:ind w:left="40" w:right="1340" w:firstLine="1"/>
        <w:spacing w:after="0" w:line="313" w:lineRule="auto"/>
        <w:rPr>
          <w:sz w:val="20"/>
          <w:szCs w:val="20"/>
          <w:color w:val="auto"/>
        </w:rPr>
      </w:pPr>
      <w:r>
        <w:rPr>
          <w:rFonts w:ascii="Arial" w:cs="Arial" w:eastAsia="Arial" w:hAnsi="Arial"/>
          <w:sz w:val="18"/>
          <w:szCs w:val="18"/>
          <w:b w:val="1"/>
          <w:bCs w:val="1"/>
          <w:color w:val="auto"/>
        </w:rPr>
        <w:t>TELEVISION BROADCASTING Graham Media Group</w:t>
      </w:r>
    </w:p>
    <w:p>
      <w:pPr>
        <w:spacing w:after="0" w:line="2" w:lineRule="exact"/>
        <w:rPr>
          <w:sz w:val="20"/>
          <w:szCs w:val="20"/>
          <w:color w:val="auto"/>
        </w:rPr>
      </w:pPr>
    </w:p>
    <w:p>
      <w:pPr>
        <w:ind w:left="40" w:right="1200" w:firstLine="8"/>
        <w:spacing w:after="0" w:line="279" w:lineRule="auto"/>
        <w:rPr>
          <w:sz w:val="20"/>
          <w:szCs w:val="20"/>
          <w:color w:val="auto"/>
        </w:rPr>
      </w:pPr>
      <w:r>
        <w:rPr>
          <w:rFonts w:ascii="Arial" w:cs="Arial" w:eastAsia="Arial" w:hAnsi="Arial"/>
          <w:sz w:val="18"/>
          <w:szCs w:val="18"/>
          <w:color w:val="auto"/>
        </w:rPr>
        <w:t>KPRC-Houston (NBC affiliate) WDIV- Detroit (NBC affiliate) WKMG- Orlando (CBS affiliate) KSAT-San Antonio (ABC affiliate) WJXT-Jacksonville (Independent) WCWJ - Jacksonv ille (CW affiliate) WSLS- Roanoke (NBC affiliate) Graham Digital</w:t>
      </w:r>
    </w:p>
    <w:p>
      <w:pPr>
        <w:ind w:left="40"/>
        <w:spacing w:after="0" w:line="237" w:lineRule="auto"/>
        <w:rPr>
          <w:sz w:val="20"/>
          <w:szCs w:val="20"/>
          <w:color w:val="auto"/>
        </w:rPr>
      </w:pPr>
      <w:r>
        <w:rPr>
          <w:rFonts w:ascii="Arial" w:cs="Arial" w:eastAsia="Arial" w:hAnsi="Arial"/>
          <w:sz w:val="18"/>
          <w:szCs w:val="18"/>
          <w:color w:val="auto"/>
        </w:rPr>
        <w:t>Social News Desk</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HEALTHCARE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Graham Healthcare Group</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Residential Home Health and Hospice</w:t>
      </w:r>
    </w:p>
    <w:p>
      <w:pPr>
        <w:spacing w:after="0" w:line="8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Graham Healthcare Capital</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Clarus</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CSI Pharmacy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Impact Medical</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Skin Clique</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Surpass Behavioral Health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AUTOMOTIVE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Graham Ourisman Automotive Group</w:t>
      </w:r>
    </w:p>
    <w:p>
      <w:pPr>
        <w:spacing w:after="0" w:line="58" w:lineRule="exact"/>
        <w:rPr>
          <w:sz w:val="20"/>
          <w:szCs w:val="20"/>
          <w:color w:val="auto"/>
        </w:rPr>
      </w:pPr>
    </w:p>
    <w:p>
      <w:pPr>
        <w:ind w:right="1345"/>
        <w:spacing w:after="0" w:line="261" w:lineRule="auto"/>
        <w:rPr>
          <w:sz w:val="20"/>
          <w:szCs w:val="20"/>
          <w:color w:val="auto"/>
        </w:rPr>
      </w:pPr>
      <w:r>
        <w:rPr>
          <w:rFonts w:ascii="Arial" w:cs="Arial" w:eastAsia="Arial" w:hAnsi="Arial"/>
          <w:sz w:val="18"/>
          <w:szCs w:val="18"/>
          <w:color w:val="auto"/>
        </w:rPr>
        <w:t>Ourisman Ford of Manassas Ourisman Honda of Tysons Corner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Ourisman Jeep of Bethesda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Ourisman Kia of Bethesda</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Ourisman Lexus of Rockville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Ourisman Toyota of Richmond</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Ourisman Chrysler Dodge Jeep Ram of Woodbridge</w:t>
      </w:r>
    </w:p>
    <w:p>
      <w:pPr>
        <w:spacing w:after="0" w:line="41" w:lineRule="exact"/>
        <w:rPr>
          <w:sz w:val="20"/>
          <w:szCs w:val="20"/>
          <w:color w:val="auto"/>
        </w:rPr>
      </w:pPr>
    </w:p>
    <w:p>
      <w:pPr>
        <w:spacing w:after="0"/>
        <w:rPr>
          <w:sz w:val="20"/>
          <w:szCs w:val="20"/>
          <w:color w:val="auto"/>
        </w:rPr>
      </w:pPr>
      <w:r>
        <w:rPr>
          <w:rFonts w:ascii="Arial" w:cs="Arial" w:eastAsia="Arial" w:hAnsi="Arial"/>
          <w:sz w:val="18"/>
          <w:szCs w:val="18"/>
          <w:color w:val="auto"/>
        </w:rPr>
        <w:t>Toyota of Woodbridge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Rod a</w:t>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Hoover Treated Wood Products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Dekko</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Joyce/Dayton Corp.</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Forney Corporation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Clyde'sRestaurant Group</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Society6</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Saatchi Art</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World of Good Brands</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Framebridge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Code3</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Decile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Slate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Policy</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City Cast</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Supporting Cast</w:t>
      </w:r>
    </w:p>
    <w:p>
      <w:pPr>
        <w:sectPr>
          <w:pgSz w:w="12240" w:h="15850" w:orient="portrait"/>
          <w:cols w:equalWidth="0" w:num="2">
            <w:col w:w="4260" w:space="720"/>
            <w:col w:w="4425"/>
          </w:cols>
          <w:pgMar w:left="1400" w:top="1020" w:right="1440" w:bottom="1440" w:gutter="0" w:footer="0" w:header="0"/>
          <w:type w:val="continuous"/>
        </w:sectPr>
      </w:pPr>
    </w:p>
    <w:bookmarkStart w:id="170" w:name="page171"/>
    <w:bookmarkEnd w:id="170"/>
    <w:tbl>
      <w:tblPr>
        <w:tblLayout w:type="fixed"/>
        <w:tblInd w:w="0" w:type="dxa"/>
        <w:tblCellMar>
          <w:top w:w="0" w:type="dxa"/>
          <w:left w:w="0" w:type="dxa"/>
          <w:bottom w:w="0" w:type="dxa"/>
          <w:right w:w="0" w:type="dxa"/>
        </w:tblCellMar>
      </w:tblPr>
      <w:tr>
        <w:trPr>
          <w:trHeight w:val="250"/>
        </w:trPr>
        <w:tc>
          <w:tcPr>
            <w:tcW w:w="680" w:type="dxa"/>
            <w:vAlign w:val="bottom"/>
          </w:tcPr>
          <w:p>
            <w:pPr>
              <w:jc w:val="right"/>
              <w:ind w:right="35"/>
              <w:spacing w:after="0"/>
              <w:rPr>
                <w:sz w:val="20"/>
                <w:szCs w:val="20"/>
                <w:color w:val="auto"/>
              </w:rPr>
            </w:pPr>
            <w:r>
              <w:rPr>
                <w:rFonts w:ascii="Times New Roman" w:cs="Times New Roman" w:eastAsia="Times New Roman" w:hAnsi="Times New Roman"/>
                <w:sz w:val="15"/>
                <w:szCs w:val="15"/>
                <w:color w:val="auto"/>
              </w:rPr>
              <w:t>IUU</w:t>
            </w:r>
          </w:p>
        </w:tc>
        <w:tc>
          <w:tcPr>
            <w:tcW w:w="6280" w:type="dxa"/>
            <w:vAlign w:val="bottom"/>
            <w:gridSpan w:val="4"/>
          </w:tcPr>
          <w:p>
            <w:pPr>
              <w:jc w:val="center"/>
              <w:ind w:right="1865"/>
              <w:spacing w:after="0"/>
              <w:rPr>
                <w:sz w:val="20"/>
                <w:szCs w:val="20"/>
                <w:color w:val="auto"/>
              </w:rPr>
            </w:pPr>
            <w:r>
              <w:rPr>
                <w:rFonts w:ascii="Arial" w:cs="Arial" w:eastAsia="Arial" w:hAnsi="Arial"/>
                <w:sz w:val="20"/>
                <w:szCs w:val="20"/>
                <w:color w:val="auto"/>
              </w:rPr>
              <w:t xml:space="preserve">·~l_l&lt;_t </w:t>
            </w:r>
            <w:r>
              <w:rPr>
                <w:rFonts w:ascii="Arial" w:cs="Arial" w:eastAsia="Arial" w:hAnsi="Arial"/>
                <w:sz w:val="13"/>
                <w:szCs w:val="13"/>
                <w:color w:val="auto"/>
              </w:rPr>
              <w:t>ll t_t_lli l  ;  l :t ; t l l 'lll Itt</w:t>
            </w:r>
            <w:r>
              <w:rPr>
                <w:rFonts w:ascii="Arial" w:cs="Arial" w:eastAsia="Arial" w:hAnsi="Arial"/>
                <w:sz w:val="20"/>
                <w:szCs w:val="20"/>
                <w:color w:val="auto"/>
              </w:rPr>
              <w:t xml:space="preserve"> </w:t>
            </w:r>
            <w:r>
              <w:rPr>
                <w:rFonts w:ascii="Times New Roman" w:cs="Times New Roman" w:eastAsia="Times New Roman" w:hAnsi="Times New Roman"/>
                <w:sz w:val="15"/>
                <w:szCs w:val="15"/>
                <w:b w:val="1"/>
                <w:bCs w:val="1"/>
                <w:color w:val="auto"/>
              </w:rPr>
              <w:t>t</w:t>
            </w:r>
            <w:r>
              <w:rPr>
                <w:rFonts w:ascii="Arial" w:cs="Arial" w:eastAsia="Arial" w:hAnsi="Arial"/>
                <w:sz w:val="20"/>
                <w:szCs w:val="20"/>
                <w:color w:val="auto"/>
              </w:rPr>
              <w:t xml:space="preserve">  </w:t>
            </w:r>
            <w:r>
              <w:rPr>
                <w:rFonts w:ascii="Times New Roman" w:cs="Times New Roman" w:eastAsia="Times New Roman" w:hAnsi="Times New Roman"/>
                <w:sz w:val="16"/>
                <w:szCs w:val="16"/>
                <w:b w:val="1"/>
                <w:bCs w:val="1"/>
                <w:color w:val="auto"/>
              </w:rPr>
              <w:t>t t</w:t>
            </w:r>
            <w:r>
              <w:rPr>
                <w:rFonts w:ascii="Arial" w:cs="Arial" w:eastAsia="Arial" w:hAnsi="Arial"/>
                <w:sz w:val="20"/>
                <w:szCs w:val="20"/>
                <w:color w:val="auto"/>
              </w:rPr>
              <w:t xml:space="preserve"> </w:t>
            </w:r>
            <w:r>
              <w:rPr>
                <w:rFonts w:ascii="Times New Roman" w:cs="Times New Roman" w:eastAsia="Times New Roman" w:hAnsi="Times New Roman"/>
                <w:sz w:val="15"/>
                <w:szCs w:val="15"/>
                <w:b w:val="1"/>
                <w:bCs w:val="1"/>
                <w:color w:val="auto"/>
              </w:rPr>
              <w:t>1 f  I  I</w:t>
            </w:r>
            <w:r>
              <w:rPr>
                <w:rFonts w:ascii="Arial" w:cs="Arial" w:eastAsia="Arial" w:hAnsi="Arial"/>
                <w:sz w:val="20"/>
                <w:szCs w:val="20"/>
                <w:color w:val="auto"/>
              </w:rPr>
              <w:t xml:space="preserve">  </w:t>
            </w:r>
            <w:r>
              <w:rPr>
                <w:rFonts w:ascii="Times New Roman" w:cs="Times New Roman" w:eastAsia="Times New Roman" w:hAnsi="Times New Roman"/>
                <w:sz w:val="15"/>
                <w:szCs w:val="15"/>
                <w:color w:val="auto"/>
              </w:rPr>
              <w:t>If  I</w:t>
            </w: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0" w:type="dxa"/>
            <w:vAlign w:val="bottom"/>
          </w:tcPr>
          <w:p>
            <w:pPr>
              <w:ind w:left="220"/>
              <w:spacing w:after="0"/>
              <w:rPr>
                <w:sz w:val="20"/>
                <w:szCs w:val="20"/>
                <w:color w:val="auto"/>
              </w:rPr>
            </w:pPr>
            <w:r>
              <w:rPr>
                <w:rFonts w:ascii="Arial" w:cs="Arial" w:eastAsia="Arial" w:hAnsi="Arial"/>
                <w:sz w:val="12"/>
                <w:szCs w:val="12"/>
                <w:color w:val="auto"/>
              </w:rPr>
              <w:t>I</w:t>
            </w:r>
          </w:p>
        </w:tc>
        <w:tc>
          <w:tcPr>
            <w:tcW w:w="1800" w:type="dxa"/>
            <w:vAlign w:val="bottom"/>
          </w:tcPr>
          <w:p>
            <w:pPr>
              <w:ind w:left="320"/>
              <w:spacing w:after="0"/>
              <w:rPr>
                <w:sz w:val="20"/>
                <w:szCs w:val="20"/>
                <w:color w:val="auto"/>
              </w:rPr>
            </w:pPr>
            <w:r>
              <w:rPr>
                <w:rFonts w:ascii="Arial" w:cs="Arial" w:eastAsia="Arial" w:hAnsi="Arial"/>
                <w:sz w:val="12"/>
                <w:szCs w:val="12"/>
                <w:color w:val="auto"/>
              </w:rPr>
              <w:t>.   ,  ••••</w:t>
            </w: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1</w:t>
            </w:r>
          </w:p>
        </w:tc>
        <w:tc>
          <w:tcPr>
            <w:tcW w:w="3940" w:type="dxa"/>
            <w:vAlign w:val="bottom"/>
            <w:vMerge w:val="restart"/>
          </w:tcPr>
          <w:p>
            <w:pPr>
              <w:jc w:val="right"/>
              <w:ind w:right="125"/>
              <w:spacing w:after="0" w:line="284" w:lineRule="exact"/>
              <w:rPr>
                <w:sz w:val="20"/>
                <w:szCs w:val="20"/>
                <w:color w:val="auto"/>
              </w:rPr>
            </w:pPr>
            <w:r>
              <w:rPr>
                <w:rFonts w:ascii="Arial" w:cs="Arial" w:eastAsia="Arial" w:hAnsi="Arial"/>
                <w:sz w:val="27"/>
                <w:szCs w:val="27"/>
                <w:color w:val="auto"/>
              </w:rPr>
              <w:t xml:space="preserve">_!~!•rlitt't't-;i: </w:t>
            </w:r>
            <w:r>
              <w:rPr>
                <w:rFonts w:ascii="Arial" w:cs="Arial" w:eastAsia="Arial" w:hAnsi="Arial"/>
                <w:sz w:val="28"/>
                <w:szCs w:val="28"/>
                <w:color w:val="auto"/>
              </w:rPr>
              <w:t>11</w:t>
            </w:r>
            <w:r>
              <w:rPr>
                <w:rFonts w:ascii="Arial" w:cs="Arial" w:eastAsia="Arial" w:hAnsi="Arial"/>
                <w:sz w:val="27"/>
                <w:szCs w:val="27"/>
                <w:color w:val="auto"/>
              </w:rPr>
              <w:t xml:space="preserve"> </w:t>
            </w:r>
            <w:r>
              <w:rPr>
                <w:rFonts w:ascii="Arial" w:cs="Arial" w:eastAsia="Arial" w:hAnsi="Arial"/>
                <w:sz w:val="19"/>
                <w:szCs w:val="19"/>
                <w:color w:val="auto"/>
              </w:rPr>
              <w:t>••••••••••••</w:t>
            </w:r>
          </w:p>
        </w:tc>
        <w:tc>
          <w:tcPr>
            <w:tcW w:w="800" w:type="dxa"/>
            <w:vAlign w:val="bottom"/>
          </w:tcPr>
          <w:p>
            <w:pPr>
              <w:jc w:val="right"/>
              <w:ind w:right="429"/>
              <w:spacing w:after="0"/>
              <w:rPr>
                <w:sz w:val="20"/>
                <w:szCs w:val="20"/>
                <w:color w:val="auto"/>
              </w:rPr>
            </w:pPr>
            <w:r>
              <w:rPr>
                <w:rFonts w:ascii="Arial" w:cs="Arial" w:eastAsia="Arial" w:hAnsi="Arial"/>
                <w:sz w:val="16"/>
                <w:szCs w:val="16"/>
                <w:color w:val="auto"/>
              </w:rPr>
              <w:t>1</w:t>
            </w:r>
          </w:p>
        </w:tc>
        <w:tc>
          <w:tcPr>
            <w:tcW w:w="200" w:type="dxa"/>
            <w:vAlign w:val="bottom"/>
          </w:tcPr>
          <w:p>
            <w:pPr>
              <w:jc w:val="right"/>
              <w:spacing w:after="0" w:line="245" w:lineRule="exact"/>
              <w:rPr>
                <w:sz w:val="20"/>
                <w:szCs w:val="20"/>
                <w:color w:val="auto"/>
              </w:rPr>
            </w:pPr>
            <w:r>
              <w:rPr>
                <w:rFonts w:ascii="Times New Roman" w:cs="Times New Roman" w:eastAsia="Times New Roman" w:hAnsi="Times New Roman"/>
                <w:sz w:val="23"/>
                <w:szCs w:val="23"/>
                <w:color w:val="auto"/>
              </w:rPr>
              <w:t>1</w:t>
            </w:r>
          </w:p>
        </w:tc>
        <w:tc>
          <w:tcPr>
            <w:tcW w:w="2400" w:type="dxa"/>
            <w:vAlign w:val="bottom"/>
            <w:vMerge w:val="restart"/>
          </w:tcPr>
          <w:p>
            <w:pPr>
              <w:spacing w:after="0"/>
              <w:rPr>
                <w:sz w:val="20"/>
                <w:szCs w:val="20"/>
                <w:color w:val="auto"/>
              </w:rPr>
            </w:pPr>
            <w:r>
              <w:rPr>
                <w:rFonts w:ascii="Times New Roman" w:cs="Times New Roman" w:eastAsia="Times New Roman" w:hAnsi="Times New Roman"/>
                <w:sz w:val="23"/>
                <w:szCs w:val="23"/>
                <w:color w:val="auto"/>
              </w:rPr>
              <w:t>' •  •, . ,.....</w:t>
            </w:r>
          </w:p>
        </w:tc>
        <w:tc>
          <w:tcPr>
            <w:tcW w:w="1800" w:type="dxa"/>
            <w:vAlign w:val="bottom"/>
            <w:vMerge w:val="restart"/>
          </w:tcPr>
          <w:p>
            <w:pPr>
              <w:ind w:left="360"/>
              <w:spacing w:after="0" w:line="284" w:lineRule="exact"/>
              <w:rPr>
                <w:sz w:val="20"/>
                <w:szCs w:val="20"/>
                <w:color w:val="auto"/>
              </w:rPr>
            </w:pPr>
            <w:r>
              <w:rPr>
                <w:rFonts w:ascii="Times New Roman" w:cs="Times New Roman" w:eastAsia="Times New Roman" w:hAnsi="Times New Roman"/>
                <w:sz w:val="23"/>
                <w:szCs w:val="23"/>
                <w:color w:val="auto"/>
              </w:rPr>
              <w:t xml:space="preserve">•   . , </w:t>
            </w:r>
            <w:r>
              <w:rPr>
                <w:rFonts w:ascii="Times New Roman" w:cs="Times New Roman" w:eastAsia="Times New Roman" w:hAnsi="Times New Roman"/>
                <w:sz w:val="32"/>
                <w:szCs w:val="32"/>
                <w:color w:val="auto"/>
              </w:rPr>
              <w:t>a</w:t>
            </w:r>
            <w:r>
              <w:rPr>
                <w:rFonts w:ascii="Times New Roman" w:cs="Times New Roman" w:eastAsia="Times New Roman" w:hAnsi="Times New Roman"/>
                <w:sz w:val="23"/>
                <w:szCs w:val="23"/>
                <w:color w:val="auto"/>
              </w:rPr>
              <w:t xml:space="preserve">  </w:t>
            </w:r>
            <w:r>
              <w:rPr>
                <w:rFonts w:ascii="Times New Roman" w:cs="Times New Roman" w:eastAsia="Times New Roman" w:hAnsi="Times New Roman"/>
                <w:sz w:val="20"/>
                <w:szCs w:val="20"/>
                <w:color w:val="auto"/>
              </w:rPr>
              <w:t>&amp;</w:t>
            </w:r>
            <w:r>
              <w:rPr>
                <w:rFonts w:ascii="Times New Roman" w:cs="Times New Roman" w:eastAsia="Times New Roman" w:hAnsi="Times New Roman"/>
                <w:sz w:val="23"/>
                <w:szCs w:val="23"/>
                <w:color w:val="auto"/>
              </w:rPr>
              <w:t xml:space="preserve">  </w:t>
            </w:r>
            <w:r>
              <w:rPr>
                <w:rFonts w:ascii="Arial" w:cs="Arial" w:eastAsia="Arial" w:hAnsi="Arial"/>
                <w:sz w:val="17"/>
                <w:szCs w:val="17"/>
                <w:color w:val="auto"/>
              </w:rPr>
              <w:t>liiii,</w:t>
            </w:r>
          </w:p>
        </w:tc>
        <w:tc>
          <w:tcPr>
            <w:tcW w:w="0" w:type="dxa"/>
            <w:vAlign w:val="bottom"/>
          </w:tcPr>
          <w:p>
            <w:pPr>
              <w:spacing w:after="0"/>
              <w:rPr>
                <w:sz w:val="1"/>
                <w:szCs w:val="1"/>
                <w:color w:val="auto"/>
              </w:rPr>
            </w:pPr>
          </w:p>
        </w:tc>
      </w:tr>
      <w:tr>
        <w:trPr>
          <w:trHeight w:val="38"/>
        </w:trPr>
        <w:tc>
          <w:tcPr>
            <w:tcW w:w="2880" w:type="dxa"/>
            <w:vAlign w:val="bottom"/>
            <w:gridSpan w:val="3"/>
          </w:tcPr>
          <w:p>
            <w:pPr>
              <w:spacing w:after="0" w:line="38" w:lineRule="exact"/>
              <w:rPr>
                <w:sz w:val="20"/>
                <w:szCs w:val="20"/>
                <w:color w:val="auto"/>
              </w:rPr>
            </w:pPr>
            <w:r>
              <w:rPr>
                <w:rFonts w:ascii="Arial" w:cs="Arial" w:eastAsia="Arial" w:hAnsi="Arial"/>
                <w:sz w:val="4"/>
                <w:szCs w:val="4"/>
                <w:color w:val="auto"/>
              </w:rPr>
              <w:t>~"•••••••••••  -''.!''-'·":!~I</w:t>
            </w:r>
          </w:p>
        </w:tc>
        <w:tc>
          <w:tcPr>
            <w:tcW w:w="140" w:type="dxa"/>
            <w:vAlign w:val="bottom"/>
          </w:tcPr>
          <w:p>
            <w:pPr>
              <w:jc w:val="right"/>
              <w:ind w:right="44"/>
              <w:spacing w:after="0" w:line="38" w:lineRule="exact"/>
              <w:rPr>
                <w:sz w:val="20"/>
                <w:szCs w:val="20"/>
                <w:color w:val="auto"/>
              </w:rPr>
            </w:pPr>
            <w:r>
              <w:rPr>
                <w:rFonts w:ascii="Arial" w:cs="Arial" w:eastAsia="Arial" w:hAnsi="Arial"/>
                <w:sz w:val="4"/>
                <w:szCs w:val="4"/>
                <w:color w:val="auto"/>
              </w:rPr>
              <w:t>'</w:t>
            </w:r>
          </w:p>
        </w:tc>
        <w:tc>
          <w:tcPr>
            <w:tcW w:w="3940" w:type="dxa"/>
            <w:vAlign w:val="bottom"/>
            <w:vMerge w:val="continue"/>
          </w:tcPr>
          <w:p>
            <w:pPr>
              <w:spacing w:after="0"/>
              <w:rPr>
                <w:sz w:val="3"/>
                <w:szCs w:val="3"/>
                <w:color w:val="auto"/>
              </w:rPr>
            </w:pPr>
          </w:p>
        </w:tc>
        <w:tc>
          <w:tcPr>
            <w:tcW w:w="800" w:type="dxa"/>
            <w:vAlign w:val="bottom"/>
          </w:tcPr>
          <w:p>
            <w:pPr>
              <w:jc w:val="right"/>
              <w:ind w:right="29"/>
              <w:spacing w:after="0" w:line="38" w:lineRule="exact"/>
              <w:rPr>
                <w:sz w:val="20"/>
                <w:szCs w:val="20"/>
                <w:color w:val="auto"/>
              </w:rPr>
            </w:pPr>
            <w:r>
              <w:rPr>
                <w:rFonts w:ascii="Arial" w:cs="Arial" w:eastAsia="Arial" w:hAnsi="Arial"/>
                <w:sz w:val="4"/>
                <w:szCs w:val="4"/>
                <w:color w:val="auto"/>
              </w:rPr>
              <w:t>'•  •</w:t>
            </w:r>
          </w:p>
        </w:tc>
        <w:tc>
          <w:tcPr>
            <w:tcW w:w="200" w:type="dxa"/>
            <w:vAlign w:val="bottom"/>
          </w:tcPr>
          <w:p>
            <w:pPr>
              <w:spacing w:after="0"/>
              <w:rPr>
                <w:sz w:val="3"/>
                <w:szCs w:val="3"/>
                <w:color w:val="auto"/>
              </w:rPr>
            </w:pPr>
          </w:p>
        </w:tc>
        <w:tc>
          <w:tcPr>
            <w:tcW w:w="2400" w:type="dxa"/>
            <w:vAlign w:val="bottom"/>
            <w:vMerge w:val="continue"/>
          </w:tcPr>
          <w:p>
            <w:pPr>
              <w:spacing w:after="0"/>
              <w:rPr>
                <w:sz w:val="3"/>
                <w:szCs w:val="3"/>
                <w:color w:val="auto"/>
              </w:rPr>
            </w:pPr>
          </w:p>
        </w:tc>
        <w:tc>
          <w:tcPr>
            <w:tcW w:w="1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0"/>
        </w:trPr>
        <w:tc>
          <w:tcPr>
            <w:tcW w:w="680" w:type="dxa"/>
            <w:vAlign w:val="bottom"/>
          </w:tcPr>
          <w:p>
            <w:pPr>
              <w:jc w:val="right"/>
              <w:ind w:right="35"/>
              <w:spacing w:after="0"/>
              <w:rPr>
                <w:sz w:val="20"/>
                <w:szCs w:val="20"/>
                <w:color w:val="auto"/>
              </w:rPr>
            </w:pPr>
            <w:r>
              <w:rPr>
                <w:rFonts w:ascii="Arial" w:cs="Arial" w:eastAsia="Arial" w:hAnsi="Arial"/>
                <w:sz w:val="19"/>
                <w:szCs w:val="19"/>
                <w:color w:val="auto"/>
              </w:rPr>
              <w:t>.....</w:t>
            </w:r>
          </w:p>
        </w:tc>
        <w:tc>
          <w:tcPr>
            <w:tcW w:w="1800" w:type="dxa"/>
            <w:vAlign w:val="bottom"/>
          </w:tcPr>
          <w:p>
            <w:pPr>
              <w:ind w:left="200"/>
              <w:spacing w:after="0"/>
              <w:rPr>
                <w:sz w:val="20"/>
                <w:szCs w:val="20"/>
                <w:color w:val="auto"/>
              </w:rPr>
            </w:pPr>
            <w:r>
              <w:rPr>
                <w:rFonts w:ascii="Arial" w:cs="Arial" w:eastAsia="Arial" w:hAnsi="Arial"/>
                <w:sz w:val="19"/>
                <w:szCs w:val="19"/>
                <w:color w:val="auto"/>
              </w:rPr>
              <w:t>. ....u ...    -</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940" w:type="dxa"/>
            <w:vAlign w:val="bottom"/>
          </w:tcPr>
          <w:p>
            <w:pPr>
              <w:jc w:val="right"/>
              <w:ind w:right="3325"/>
              <w:spacing w:after="0"/>
              <w:rPr>
                <w:sz w:val="20"/>
                <w:szCs w:val="20"/>
                <w:color w:val="auto"/>
              </w:rPr>
            </w:pPr>
            <w:r>
              <w:rPr>
                <w:rFonts w:ascii="Arial" w:cs="Arial" w:eastAsia="Arial" w:hAnsi="Arial"/>
                <w:sz w:val="19"/>
                <w:szCs w:val="19"/>
                <w:color w:val="auto"/>
              </w:rPr>
              <w:t>-</w:t>
            </w:r>
          </w:p>
        </w:tc>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rPr>
          <w:sz w:val="20"/>
          <w:szCs w:val="20"/>
          <w:color w:val="auto"/>
        </w:rPr>
        <w:sectPr>
          <w:pgSz w:w="12240" w:h="15668" w:orient="portrait"/>
          <w:cols w:equalWidth="0" w:num="1">
            <w:col w:w="12160"/>
          </w:cols>
          <w:pgMar w:left="0" w:top="9" w:right="85" w:bottom="0" w:gutter="0" w:footer="0" w:header="0"/>
        </w:sect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78">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p>
      <w:pPr>
        <w:spacing w:after="0" w:line="179" w:lineRule="exact"/>
        <w:rPr>
          <w:sz w:val="20"/>
          <w:szCs w:val="20"/>
          <w:color w:val="auto"/>
        </w:rPr>
      </w:pPr>
    </w:p>
    <w:p>
      <w:pPr>
        <w:ind w:left="1420"/>
        <w:spacing w:after="0"/>
        <w:rPr>
          <w:sz w:val="20"/>
          <w:szCs w:val="20"/>
          <w:color w:val="auto"/>
        </w:rPr>
      </w:pPr>
      <w:r>
        <w:rPr>
          <w:rFonts w:ascii="Arial" w:cs="Arial" w:eastAsia="Arial" w:hAnsi="Arial"/>
          <w:sz w:val="66"/>
          <w:szCs w:val="66"/>
          <w:b w:val="1"/>
          <w:bCs w:val="1"/>
          <w:color w:val="auto"/>
        </w:rPr>
        <w:t xml:space="preserve">I </w:t>
      </w:r>
      <w:r>
        <w:rPr>
          <w:rFonts w:ascii="Arial" w:cs="Arial" w:eastAsia="Arial" w:hAnsi="Arial"/>
          <w:sz w:val="31"/>
          <w:szCs w:val="31"/>
          <w:b w:val="1"/>
          <w:bCs w:val="1"/>
          <w:color w:val="auto"/>
        </w:rPr>
        <w:t>CORPORATE DIRECTORY</w:t>
      </w:r>
    </w:p>
    <w:p>
      <w:pPr>
        <w:spacing w:after="0" w:line="208" w:lineRule="exact"/>
        <w:rPr>
          <w:sz w:val="20"/>
          <w:szCs w:val="20"/>
          <w:color w:val="auto"/>
        </w:rPr>
      </w:pPr>
    </w:p>
    <w:tbl>
      <w:tblPr>
        <w:tblLayout w:type="fixed"/>
        <w:tblInd w:w="1440" w:type="dxa"/>
        <w:tblCellMar>
          <w:top w:w="0" w:type="dxa"/>
          <w:left w:w="0" w:type="dxa"/>
          <w:bottom w:w="0" w:type="dxa"/>
          <w:right w:w="0" w:type="dxa"/>
        </w:tblCellMar>
      </w:tblPr>
      <w:tr>
        <w:trPr>
          <w:trHeight w:val="194"/>
        </w:trPr>
        <w:tc>
          <w:tcPr>
            <w:tcW w:w="2820" w:type="dxa"/>
            <w:vAlign w:val="bottom"/>
          </w:tcPr>
          <w:p>
            <w:pPr>
              <w:spacing w:after="0"/>
              <w:rPr>
                <w:sz w:val="20"/>
                <w:szCs w:val="20"/>
                <w:color w:val="auto"/>
              </w:rPr>
            </w:pPr>
            <w:r>
              <w:rPr>
                <w:rFonts w:ascii="Arial" w:cs="Arial" w:eastAsia="Arial" w:hAnsi="Arial"/>
                <w:sz w:val="16"/>
                <w:szCs w:val="16"/>
                <w:color w:val="auto"/>
              </w:rPr>
              <w:t xml:space="preserve">Anne M. Mulcahy&lt;2. </w:t>
            </w:r>
            <w:r>
              <w:rPr>
                <w:rFonts w:ascii="Times New Roman" w:cs="Times New Roman" w:eastAsia="Times New Roman" w:hAnsi="Times New Roman"/>
                <w:sz w:val="11"/>
                <w:szCs w:val="11"/>
                <w:color w:val="auto"/>
              </w:rPr>
              <w:t>4)</w:t>
            </w:r>
          </w:p>
        </w:tc>
        <w:tc>
          <w:tcPr>
            <w:tcW w:w="2900" w:type="dxa"/>
            <w:vAlign w:val="bottom"/>
          </w:tcPr>
          <w:p>
            <w:pPr>
              <w:ind w:left="360"/>
              <w:spacing w:after="0"/>
              <w:rPr>
                <w:sz w:val="20"/>
                <w:szCs w:val="20"/>
                <w:color w:val="auto"/>
              </w:rPr>
            </w:pPr>
            <w:r>
              <w:rPr>
                <w:rFonts w:ascii="Arial" w:cs="Arial" w:eastAsia="Arial" w:hAnsi="Arial"/>
                <w:sz w:val="16"/>
                <w:szCs w:val="16"/>
                <w:color w:val="auto"/>
              </w:rPr>
              <w:t>Danielle Conley</w:t>
            </w:r>
          </w:p>
        </w:tc>
        <w:tc>
          <w:tcPr>
            <w:tcW w:w="0" w:type="dxa"/>
            <w:vAlign w:val="bottom"/>
          </w:tcPr>
          <w:p>
            <w:pPr>
              <w:spacing w:after="0"/>
              <w:rPr>
                <w:sz w:val="1"/>
                <w:szCs w:val="1"/>
                <w:color w:val="auto"/>
              </w:rPr>
            </w:pPr>
          </w:p>
        </w:tc>
      </w:tr>
      <w:tr>
        <w:trPr>
          <w:trHeight w:val="196"/>
        </w:trPr>
        <w:tc>
          <w:tcPr>
            <w:tcW w:w="2820" w:type="dxa"/>
            <w:vAlign w:val="bottom"/>
          </w:tcPr>
          <w:p>
            <w:pPr>
              <w:spacing w:after="0"/>
              <w:rPr>
                <w:sz w:val="20"/>
                <w:szCs w:val="20"/>
                <w:color w:val="auto"/>
              </w:rPr>
            </w:pPr>
            <w:r>
              <w:rPr>
                <w:rFonts w:ascii="Arial" w:cs="Arial" w:eastAsia="Arial" w:hAnsi="Arial"/>
                <w:sz w:val="14"/>
                <w:szCs w:val="14"/>
                <w:i w:val="1"/>
                <w:iCs w:val="1"/>
                <w:color w:val="auto"/>
              </w:rPr>
              <w:t>Chair of the Board</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 xml:space="preserve">Partner. Latham </w:t>
            </w:r>
            <w:r>
              <w:rPr>
                <w:rFonts w:ascii="Arial" w:cs="Arial" w:eastAsia="Arial" w:hAnsi="Arial"/>
                <w:sz w:val="13"/>
                <w:szCs w:val="13"/>
                <w:color w:val="auto"/>
              </w:rPr>
              <w:t>&amp;</w:t>
            </w:r>
            <w:r>
              <w:rPr>
                <w:rFonts w:ascii="Arial" w:cs="Arial" w:eastAsia="Arial" w:hAnsi="Arial"/>
                <w:sz w:val="14"/>
                <w:szCs w:val="14"/>
                <w:i w:val="1"/>
                <w:iCs w:val="1"/>
                <w:color w:val="auto"/>
              </w:rPr>
              <w:t xml:space="preserve"> Watkins</w:t>
            </w:r>
          </w:p>
        </w:tc>
        <w:tc>
          <w:tcPr>
            <w:tcW w:w="0" w:type="dxa"/>
            <w:vAlign w:val="bottom"/>
          </w:tcPr>
          <w:p>
            <w:pPr>
              <w:spacing w:after="0"/>
              <w:rPr>
                <w:sz w:val="1"/>
                <w:szCs w:val="1"/>
                <w:color w:val="auto"/>
              </w:rPr>
            </w:pPr>
          </w:p>
        </w:tc>
      </w:tr>
      <w:tr>
        <w:trPr>
          <w:trHeight w:val="281"/>
        </w:trPr>
        <w:tc>
          <w:tcPr>
            <w:tcW w:w="2820" w:type="dxa"/>
            <w:vAlign w:val="bottom"/>
          </w:tcPr>
          <w:p>
            <w:pPr>
              <w:spacing w:after="0"/>
              <w:rPr>
                <w:sz w:val="20"/>
                <w:szCs w:val="20"/>
                <w:color w:val="auto"/>
              </w:rPr>
            </w:pPr>
            <w:r>
              <w:rPr>
                <w:rFonts w:ascii="Arial" w:cs="Arial" w:eastAsia="Arial" w:hAnsi="Arial"/>
                <w:sz w:val="16"/>
                <w:szCs w:val="16"/>
                <w:color w:val="auto"/>
              </w:rPr>
              <w:t xml:space="preserve">Donald E. Graham (3, </w:t>
            </w:r>
            <w:r>
              <w:rPr>
                <w:rFonts w:ascii="Times New Roman" w:cs="Times New Roman" w:eastAsia="Times New Roman" w:hAnsi="Times New Roman"/>
                <w:sz w:val="12"/>
                <w:szCs w:val="12"/>
                <w:color w:val="auto"/>
              </w:rPr>
              <w:t>4)</w:t>
            </w:r>
          </w:p>
        </w:tc>
        <w:tc>
          <w:tcPr>
            <w:tcW w:w="2900" w:type="dxa"/>
            <w:vAlign w:val="bottom"/>
          </w:tcPr>
          <w:p>
            <w:pPr>
              <w:ind w:left="360"/>
              <w:spacing w:after="0"/>
              <w:rPr>
                <w:sz w:val="20"/>
                <w:szCs w:val="20"/>
                <w:color w:val="auto"/>
              </w:rPr>
            </w:pPr>
            <w:r>
              <w:rPr>
                <w:rFonts w:ascii="Arial" w:cs="Arial" w:eastAsia="Arial" w:hAnsi="Arial"/>
                <w:sz w:val="16"/>
                <w:szCs w:val="16"/>
                <w:color w:val="auto"/>
              </w:rPr>
              <w:t xml:space="preserve">Christopher C. Davis </w:t>
            </w:r>
            <w:r>
              <w:rPr>
                <w:rFonts w:ascii="Times New Roman" w:cs="Times New Roman" w:eastAsia="Times New Roman" w:hAnsi="Times New Roman"/>
                <w:sz w:val="12"/>
                <w:szCs w:val="12"/>
                <w:color w:val="auto"/>
              </w:rPr>
              <w:t>(1,</w:t>
            </w:r>
            <w:r>
              <w:rPr>
                <w:rFonts w:ascii="Arial" w:cs="Arial" w:eastAsia="Arial" w:hAnsi="Arial"/>
                <w:sz w:val="16"/>
                <w:szCs w:val="16"/>
                <w:color w:val="auto"/>
              </w:rPr>
              <w:t xml:space="preserve"> 3, </w:t>
            </w: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4"/>
                <w:szCs w:val="14"/>
                <w:i w:val="1"/>
                <w:iCs w:val="1"/>
                <w:color w:val="auto"/>
              </w:rPr>
              <w:t>Chairman Emeritus</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Chairman, Davis Selected Advisers, LP</w:t>
            </w:r>
          </w:p>
        </w:tc>
        <w:tc>
          <w:tcPr>
            <w:tcW w:w="0" w:type="dxa"/>
            <w:vAlign w:val="bottom"/>
          </w:tcPr>
          <w:p>
            <w:pPr>
              <w:spacing w:after="0"/>
              <w:rPr>
                <w:sz w:val="1"/>
                <w:szCs w:val="1"/>
                <w:color w:val="auto"/>
              </w:rPr>
            </w:pPr>
          </w:p>
        </w:tc>
      </w:tr>
      <w:tr>
        <w:trPr>
          <w:trHeight w:val="280"/>
        </w:trPr>
        <w:tc>
          <w:tcPr>
            <w:tcW w:w="2820" w:type="dxa"/>
            <w:vAlign w:val="bottom"/>
          </w:tcPr>
          <w:p>
            <w:pPr>
              <w:spacing w:after="0"/>
              <w:rPr>
                <w:sz w:val="20"/>
                <w:szCs w:val="20"/>
                <w:color w:val="auto"/>
              </w:rPr>
            </w:pPr>
            <w:r>
              <w:rPr>
                <w:rFonts w:ascii="Arial" w:cs="Arial" w:eastAsia="Arial" w:hAnsi="Arial"/>
                <w:sz w:val="16"/>
                <w:szCs w:val="16"/>
                <w:color w:val="auto"/>
              </w:rPr>
              <w:t xml:space="preserve">Timothy J. O'Shaughnessy&lt;3. </w:t>
            </w:r>
            <w:r>
              <w:rPr>
                <w:rFonts w:ascii="Times New Roman" w:cs="Times New Roman" w:eastAsia="Times New Roman" w:hAnsi="Times New Roman"/>
                <w:sz w:val="11"/>
                <w:szCs w:val="11"/>
                <w:color w:val="auto"/>
              </w:rPr>
              <w:t>4)</w:t>
            </w:r>
          </w:p>
        </w:tc>
        <w:tc>
          <w:tcPr>
            <w:tcW w:w="2900" w:type="dxa"/>
            <w:vAlign w:val="bottom"/>
          </w:tcPr>
          <w:p>
            <w:pPr>
              <w:ind w:left="360"/>
              <w:spacing w:after="0"/>
              <w:rPr>
                <w:sz w:val="20"/>
                <w:szCs w:val="20"/>
                <w:color w:val="auto"/>
              </w:rPr>
            </w:pPr>
            <w:r>
              <w:rPr>
                <w:rFonts w:ascii="Arial" w:cs="Arial" w:eastAsia="Arial" w:hAnsi="Arial"/>
                <w:sz w:val="16"/>
                <w:szCs w:val="16"/>
                <w:color w:val="auto"/>
              </w:rPr>
              <w:t>Thomas S. Gayner&lt;l. 3)</w:t>
            </w:r>
          </w:p>
        </w:tc>
        <w:tc>
          <w:tcPr>
            <w:tcW w:w="0" w:type="dxa"/>
            <w:vAlign w:val="bottom"/>
          </w:tcPr>
          <w:p>
            <w:pPr>
              <w:spacing w:after="0"/>
              <w:rPr>
                <w:sz w:val="1"/>
                <w:szCs w:val="1"/>
                <w:color w:val="auto"/>
              </w:rPr>
            </w:pPr>
          </w:p>
        </w:tc>
      </w:tr>
      <w:tr>
        <w:trPr>
          <w:trHeight w:val="206"/>
        </w:trPr>
        <w:tc>
          <w:tcPr>
            <w:tcW w:w="2820" w:type="dxa"/>
            <w:vAlign w:val="bottom"/>
          </w:tcPr>
          <w:p>
            <w:pPr>
              <w:spacing w:after="0"/>
              <w:rPr>
                <w:sz w:val="20"/>
                <w:szCs w:val="20"/>
                <w:color w:val="auto"/>
              </w:rPr>
            </w:pPr>
            <w:r>
              <w:rPr>
                <w:rFonts w:ascii="Arial" w:cs="Arial" w:eastAsia="Arial" w:hAnsi="Arial"/>
                <w:sz w:val="14"/>
                <w:szCs w:val="14"/>
                <w:i w:val="1"/>
                <w:iCs w:val="1"/>
                <w:color w:val="auto"/>
              </w:rPr>
              <w:t>Prestdent and Cht€d Executive Officer</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Chief Executive Officer.</w:t>
            </w:r>
          </w:p>
        </w:tc>
        <w:tc>
          <w:tcPr>
            <w:tcW w:w="0" w:type="dxa"/>
            <w:vAlign w:val="bottom"/>
          </w:tcPr>
          <w:p>
            <w:pPr>
              <w:spacing w:after="0"/>
              <w:rPr>
                <w:sz w:val="1"/>
                <w:szCs w:val="1"/>
                <w:color w:val="auto"/>
              </w:rPr>
            </w:pPr>
          </w:p>
        </w:tc>
      </w:tr>
      <w:tr>
        <w:trPr>
          <w:trHeight w:val="191"/>
        </w:trPr>
        <w:tc>
          <w:tcPr>
            <w:tcW w:w="2820" w:type="dxa"/>
            <w:vAlign w:val="bottom"/>
            <w:vMerge w:val="restart"/>
          </w:tcPr>
          <w:p>
            <w:pPr>
              <w:spacing w:after="0"/>
              <w:rPr>
                <w:sz w:val="20"/>
                <w:szCs w:val="20"/>
                <w:color w:val="auto"/>
              </w:rPr>
            </w:pPr>
            <w:r>
              <w:rPr>
                <w:rFonts w:ascii="Arial" w:cs="Arial" w:eastAsia="Arial" w:hAnsi="Arial"/>
                <w:sz w:val="16"/>
                <w:szCs w:val="16"/>
                <w:color w:val="auto"/>
              </w:rPr>
              <w:t>Tony Allen, PhD (2)</w:t>
            </w: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Markel Corporation</w:t>
            </w:r>
          </w:p>
        </w:tc>
        <w:tc>
          <w:tcPr>
            <w:tcW w:w="0" w:type="dxa"/>
            <w:vAlign w:val="bottom"/>
          </w:tcPr>
          <w:p>
            <w:pPr>
              <w:spacing w:after="0"/>
              <w:rPr>
                <w:sz w:val="1"/>
                <w:szCs w:val="1"/>
                <w:color w:val="auto"/>
              </w:rPr>
            </w:pPr>
          </w:p>
        </w:tc>
      </w:tr>
      <w:tr>
        <w:trPr>
          <w:trHeight w:val="90"/>
        </w:trPr>
        <w:tc>
          <w:tcPr>
            <w:tcW w:w="2820" w:type="dxa"/>
            <w:vAlign w:val="bottom"/>
            <w:vMerge w:val="continue"/>
          </w:tcPr>
          <w:p>
            <w:pPr>
              <w:spacing w:after="0"/>
              <w:rPr>
                <w:sz w:val="7"/>
                <w:szCs w:val="7"/>
                <w:color w:val="auto"/>
              </w:rPr>
            </w:pPr>
          </w:p>
        </w:tc>
        <w:tc>
          <w:tcPr>
            <w:tcW w:w="2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2820" w:type="dxa"/>
            <w:vAlign w:val="bottom"/>
          </w:tcPr>
          <w:p>
            <w:pPr>
              <w:spacing w:after="0"/>
              <w:rPr>
                <w:sz w:val="20"/>
                <w:szCs w:val="20"/>
                <w:color w:val="auto"/>
              </w:rPr>
            </w:pPr>
            <w:r>
              <w:rPr>
                <w:rFonts w:ascii="Arial" w:cs="Arial" w:eastAsia="Arial" w:hAnsi="Arial"/>
                <w:sz w:val="14"/>
                <w:szCs w:val="14"/>
                <w:i w:val="1"/>
                <w:iCs w:val="1"/>
                <w:color w:val="auto"/>
              </w:rPr>
              <w:t>President. Delaware State University</w:t>
            </w:r>
          </w:p>
        </w:tc>
        <w:tc>
          <w:tcPr>
            <w:tcW w:w="2900" w:type="dxa"/>
            <w:vAlign w:val="bottom"/>
          </w:tcPr>
          <w:p>
            <w:pPr>
              <w:ind w:left="360"/>
              <w:spacing w:after="0"/>
              <w:rPr>
                <w:sz w:val="20"/>
                <w:szCs w:val="20"/>
                <w:color w:val="auto"/>
              </w:rPr>
            </w:pPr>
            <w:r>
              <w:rPr>
                <w:rFonts w:ascii="Arial" w:cs="Arial" w:eastAsia="Arial" w:hAnsi="Arial"/>
                <w:sz w:val="16"/>
                <w:szCs w:val="16"/>
                <w:color w:val="auto"/>
              </w:rPr>
              <w:t>Jack Markell</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Former United States Ambassador to</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the Republics of Italy and San Marino</w:t>
            </w:r>
          </w:p>
        </w:tc>
        <w:tc>
          <w:tcPr>
            <w:tcW w:w="0" w:type="dxa"/>
            <w:vAlign w:val="bottom"/>
          </w:tcPr>
          <w:p>
            <w:pPr>
              <w:spacing w:after="0"/>
              <w:rPr>
                <w:sz w:val="1"/>
                <w:szCs w:val="1"/>
                <w:color w:val="auto"/>
              </w:rPr>
            </w:pPr>
          </w:p>
        </w:tc>
      </w:tr>
      <w:tr>
        <w:trPr>
          <w:trHeight w:val="191"/>
        </w:trPr>
        <w:tc>
          <w:tcPr>
            <w:tcW w:w="2820" w:type="dxa"/>
            <w:vAlign w:val="bottom"/>
          </w:tcPr>
          <w:p>
            <w:pPr>
              <w:spacing w:after="0"/>
              <w:rPr>
                <w:sz w:val="16"/>
                <w:szCs w:val="16"/>
                <w:color w:val="auto"/>
              </w:rPr>
            </w:pPr>
          </w:p>
        </w:tc>
        <w:tc>
          <w:tcPr>
            <w:tcW w:w="2900" w:type="dxa"/>
            <w:vAlign w:val="bottom"/>
          </w:tcPr>
          <w:p>
            <w:pPr>
              <w:ind w:left="360"/>
              <w:spacing w:after="0"/>
              <w:rPr>
                <w:sz w:val="20"/>
                <w:szCs w:val="20"/>
                <w:color w:val="auto"/>
              </w:rPr>
            </w:pPr>
            <w:r>
              <w:rPr>
                <w:rFonts w:ascii="Arial" w:cs="Arial" w:eastAsia="Arial" w:hAnsi="Arial"/>
                <w:sz w:val="14"/>
                <w:szCs w:val="14"/>
                <w:i w:val="1"/>
                <w:iCs w:val="1"/>
                <w:color w:val="auto"/>
              </w:rPr>
              <w:t>Former Governor of Delaware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G. Riclhard Wagoner, Jr. </w:t>
      </w:r>
      <w:r>
        <w:rPr>
          <w:rFonts w:ascii="Times New Roman" w:cs="Times New Roman" w:eastAsia="Times New Roman" w:hAnsi="Times New Roman"/>
          <w:sz w:val="11"/>
          <w:szCs w:val="11"/>
          <w:color w:val="auto"/>
        </w:rPr>
        <w:t>(1)</w:t>
      </w:r>
    </w:p>
    <w:p>
      <w:pPr>
        <w:spacing w:after="0" w:line="34" w:lineRule="exact"/>
        <w:rPr>
          <w:sz w:val="20"/>
          <w:szCs w:val="20"/>
          <w:color w:val="auto"/>
        </w:rPr>
      </w:pPr>
    </w:p>
    <w:p>
      <w:pPr>
        <w:ind w:left="5" w:right="1380"/>
        <w:spacing w:after="0" w:line="271" w:lineRule="auto"/>
        <w:rPr>
          <w:sz w:val="20"/>
          <w:szCs w:val="20"/>
          <w:color w:val="auto"/>
        </w:rPr>
      </w:pPr>
      <w:r>
        <w:rPr>
          <w:rFonts w:ascii="Arial" w:cs="Arial" w:eastAsia="Arial" w:hAnsi="Arial"/>
          <w:sz w:val="14"/>
          <w:szCs w:val="14"/>
          <w:i w:val="1"/>
          <w:iCs w:val="1"/>
          <w:color w:val="auto"/>
        </w:rPr>
        <w:t xml:space="preserve">Retired </w:t>
      </w:r>
      <w:r>
        <w:rPr>
          <w:rFonts w:ascii="Arial" w:cs="Arial" w:eastAsia="Arial" w:hAnsi="Arial"/>
          <w:sz w:val="11"/>
          <w:szCs w:val="11"/>
          <w:color w:val="auto"/>
        </w:rPr>
        <w:t>Cha~rman</w:t>
      </w:r>
      <w:r>
        <w:rPr>
          <w:rFonts w:ascii="Arial" w:cs="Arial" w:eastAsia="Arial" w:hAnsi="Arial"/>
          <w:sz w:val="14"/>
          <w:szCs w:val="14"/>
          <w:i w:val="1"/>
          <w:iCs w:val="1"/>
          <w:color w:val="auto"/>
        </w:rPr>
        <w:t xml:space="preserve"> of the Board and Ch1ef Executive Officer. General Motors Corporation</w:t>
      </w:r>
    </w:p>
    <w:p>
      <w:pPr>
        <w:spacing w:after="0" w:line="86" w:lineRule="exact"/>
        <w:rPr>
          <w:sz w:val="20"/>
          <w:szCs w:val="20"/>
          <w:color w:val="auto"/>
        </w:rPr>
      </w:pPr>
    </w:p>
    <w:p>
      <w:pPr>
        <w:ind w:left="5"/>
        <w:spacing w:after="0"/>
        <w:rPr>
          <w:sz w:val="20"/>
          <w:szCs w:val="20"/>
          <w:color w:val="auto"/>
        </w:rPr>
      </w:pPr>
      <w:r>
        <w:rPr>
          <w:rFonts w:ascii="Arial" w:cs="Arial" w:eastAsia="Arial" w:hAnsi="Arial"/>
          <w:sz w:val="16"/>
          <w:szCs w:val="16"/>
          <w:color w:val="auto"/>
        </w:rPr>
        <w:t xml:space="preserve">Katharine Weymouth (2. </w:t>
      </w:r>
      <w:r>
        <w:rPr>
          <w:rFonts w:ascii="Times New Roman" w:cs="Times New Roman" w:eastAsia="Times New Roman" w:hAnsi="Times New Roman"/>
          <w:sz w:val="12"/>
          <w:szCs w:val="12"/>
          <w:color w:val="auto"/>
        </w:rPr>
        <w:t>3)</w:t>
      </w:r>
    </w:p>
    <w:p>
      <w:pPr>
        <w:spacing w:after="0" w:line="44" w:lineRule="exact"/>
        <w:rPr>
          <w:sz w:val="20"/>
          <w:szCs w:val="20"/>
          <w:color w:val="auto"/>
        </w:rPr>
      </w:pPr>
    </w:p>
    <w:p>
      <w:pPr>
        <w:ind w:left="5"/>
        <w:spacing w:after="0"/>
        <w:rPr>
          <w:sz w:val="20"/>
          <w:szCs w:val="20"/>
          <w:color w:val="auto"/>
        </w:rPr>
      </w:pPr>
      <w:r>
        <w:rPr>
          <w:rFonts w:ascii="Arial" w:cs="Arial" w:eastAsia="Arial" w:hAnsi="Arial"/>
          <w:sz w:val="14"/>
          <w:szCs w:val="14"/>
          <w:i w:val="1"/>
          <w:iCs w:val="1"/>
          <w:color w:val="auto"/>
        </w:rPr>
        <w:t>Former Chief Executive Officer and Publisher.</w:t>
      </w:r>
    </w:p>
    <w:p>
      <w:pPr>
        <w:spacing w:after="0" w:line="30" w:lineRule="exact"/>
        <w:rPr>
          <w:sz w:val="20"/>
          <w:szCs w:val="20"/>
          <w:color w:val="auto"/>
        </w:rPr>
      </w:pPr>
    </w:p>
    <w:p>
      <w:pPr>
        <w:ind w:left="25"/>
        <w:spacing w:after="0"/>
        <w:rPr>
          <w:sz w:val="20"/>
          <w:szCs w:val="20"/>
          <w:color w:val="auto"/>
        </w:rPr>
      </w:pPr>
      <w:r>
        <w:rPr>
          <w:rFonts w:ascii="Arial" w:cs="Arial" w:eastAsia="Arial" w:hAnsi="Arial"/>
          <w:sz w:val="14"/>
          <w:szCs w:val="14"/>
          <w:i w:val="1"/>
          <w:iCs w:val="1"/>
          <w:color w:val="auto"/>
        </w:rPr>
        <w:t>The Washington Post</w:t>
      </w:r>
    </w:p>
    <w:p>
      <w:pPr>
        <w:spacing w:after="0" w:line="117" w:lineRule="exact"/>
        <w:rPr>
          <w:sz w:val="20"/>
          <w:szCs w:val="20"/>
          <w:color w:val="auto"/>
        </w:rPr>
      </w:pPr>
    </w:p>
    <w:p>
      <w:pPr>
        <w:ind w:left="5"/>
        <w:spacing w:after="0"/>
        <w:rPr>
          <w:sz w:val="20"/>
          <w:szCs w:val="20"/>
          <w:color w:val="auto"/>
        </w:rPr>
      </w:pPr>
      <w:r>
        <w:rPr>
          <w:rFonts w:ascii="Arial" w:cs="Arial" w:eastAsia="Arial" w:hAnsi="Arial"/>
          <w:sz w:val="16"/>
          <w:szCs w:val="16"/>
          <w:color w:val="auto"/>
        </w:rPr>
        <w:t>Committees of the Board of Directors</w:t>
      </w:r>
    </w:p>
    <w:p>
      <w:pPr>
        <w:spacing w:after="0" w:line="34" w:lineRule="exact"/>
        <w:rPr>
          <w:sz w:val="20"/>
          <w:szCs w:val="20"/>
          <w:color w:val="auto"/>
        </w:rPr>
      </w:pPr>
    </w:p>
    <w:p>
      <w:pPr>
        <w:ind w:left="185" w:hanging="185"/>
        <w:spacing w:after="0"/>
        <w:tabs>
          <w:tab w:leader="none" w:pos="185" w:val="left"/>
        </w:tabs>
        <w:numPr>
          <w:ilvl w:val="0"/>
          <w:numId w:val="97"/>
        </w:numPr>
        <w:rPr>
          <w:rFonts w:ascii="Times New Roman" w:cs="Times New Roman" w:eastAsia="Times New Roman" w:hAnsi="Times New Roman"/>
          <w:sz w:val="12"/>
          <w:szCs w:val="12"/>
          <w:color w:val="auto"/>
        </w:rPr>
      </w:pPr>
      <w:r>
        <w:rPr>
          <w:rFonts w:ascii="Arial" w:cs="Arial" w:eastAsia="Arial" w:hAnsi="Arial"/>
          <w:sz w:val="14"/>
          <w:szCs w:val="14"/>
          <w:i w:val="1"/>
          <w:iCs w:val="1"/>
          <w:color w:val="auto"/>
        </w:rPr>
        <w:t>Audit Committee</w:t>
      </w:r>
    </w:p>
    <w:p>
      <w:pPr>
        <w:spacing w:after="0" w:line="39" w:lineRule="exact"/>
        <w:rPr>
          <w:rFonts w:ascii="Times New Roman" w:cs="Times New Roman" w:eastAsia="Times New Roman" w:hAnsi="Times New Roman"/>
          <w:sz w:val="12"/>
          <w:szCs w:val="12"/>
          <w:color w:val="auto"/>
        </w:rPr>
      </w:pPr>
    </w:p>
    <w:p>
      <w:pPr>
        <w:ind w:left="225" w:hanging="225"/>
        <w:spacing w:after="0"/>
        <w:tabs>
          <w:tab w:leader="none" w:pos="225" w:val="left"/>
        </w:tabs>
        <w:numPr>
          <w:ilvl w:val="0"/>
          <w:numId w:val="97"/>
        </w:numPr>
        <w:rPr>
          <w:rFonts w:ascii="Times New Roman" w:cs="Times New Roman" w:eastAsia="Times New Roman" w:hAnsi="Times New Roman"/>
          <w:sz w:val="12"/>
          <w:szCs w:val="12"/>
          <w:color w:val="auto"/>
        </w:rPr>
      </w:pPr>
      <w:r>
        <w:rPr>
          <w:rFonts w:ascii="Arial" w:cs="Arial" w:eastAsia="Arial" w:hAnsi="Arial"/>
          <w:sz w:val="14"/>
          <w:szCs w:val="14"/>
          <w:i w:val="1"/>
          <w:iCs w:val="1"/>
          <w:color w:val="auto"/>
        </w:rPr>
        <w:t>Compensation Committee</w:t>
      </w:r>
    </w:p>
    <w:p>
      <w:pPr>
        <w:spacing w:after="0" w:line="39" w:lineRule="exact"/>
        <w:rPr>
          <w:rFonts w:ascii="Times New Roman" w:cs="Times New Roman" w:eastAsia="Times New Roman" w:hAnsi="Times New Roman"/>
          <w:sz w:val="12"/>
          <w:szCs w:val="12"/>
          <w:color w:val="auto"/>
        </w:rPr>
      </w:pPr>
    </w:p>
    <w:p>
      <w:pPr>
        <w:ind w:left="225" w:hanging="225"/>
        <w:spacing w:after="0"/>
        <w:tabs>
          <w:tab w:leader="none" w:pos="225" w:val="left"/>
        </w:tabs>
        <w:numPr>
          <w:ilvl w:val="0"/>
          <w:numId w:val="97"/>
        </w:numPr>
        <w:rPr>
          <w:rFonts w:ascii="Times New Roman" w:cs="Times New Roman" w:eastAsia="Times New Roman" w:hAnsi="Times New Roman"/>
          <w:sz w:val="12"/>
          <w:szCs w:val="12"/>
          <w:color w:val="auto"/>
        </w:rPr>
      </w:pPr>
      <w:r>
        <w:rPr>
          <w:rFonts w:ascii="Arial" w:cs="Arial" w:eastAsia="Arial" w:hAnsi="Arial"/>
          <w:sz w:val="14"/>
          <w:szCs w:val="14"/>
          <w:i w:val="1"/>
          <w:iCs w:val="1"/>
          <w:color w:val="auto"/>
        </w:rPr>
        <w:t>Finance Committee</w:t>
      </w:r>
    </w:p>
    <w:p>
      <w:pPr>
        <w:spacing w:after="0" w:line="39" w:lineRule="exact"/>
        <w:rPr>
          <w:rFonts w:ascii="Times New Roman" w:cs="Times New Roman" w:eastAsia="Times New Roman" w:hAnsi="Times New Roman"/>
          <w:sz w:val="12"/>
          <w:szCs w:val="12"/>
          <w:color w:val="auto"/>
        </w:rPr>
      </w:pPr>
    </w:p>
    <w:p>
      <w:pPr>
        <w:ind w:left="225" w:hanging="225"/>
        <w:spacing w:after="0"/>
        <w:tabs>
          <w:tab w:leader="none" w:pos="225" w:val="left"/>
        </w:tabs>
        <w:numPr>
          <w:ilvl w:val="0"/>
          <w:numId w:val="97"/>
        </w:numPr>
        <w:rPr>
          <w:rFonts w:ascii="Times New Roman" w:cs="Times New Roman" w:eastAsia="Times New Roman" w:hAnsi="Times New Roman"/>
          <w:sz w:val="12"/>
          <w:szCs w:val="12"/>
          <w:color w:val="auto"/>
        </w:rPr>
      </w:pPr>
      <w:r>
        <w:rPr>
          <w:rFonts w:ascii="Arial" w:cs="Arial" w:eastAsia="Arial" w:hAnsi="Arial"/>
          <w:sz w:val="14"/>
          <w:szCs w:val="14"/>
          <w:i w:val="1"/>
          <w:iCs w:val="1"/>
          <w:color w:val="auto"/>
        </w:rPr>
        <w:t>Executive Committee</w:t>
      </w:r>
    </w:p>
    <w:p>
      <w:pPr>
        <w:spacing w:after="0" w:line="286" w:lineRule="exact"/>
        <w:rPr>
          <w:sz w:val="20"/>
          <w:szCs w:val="20"/>
          <w:color w:val="auto"/>
        </w:rPr>
      </w:pPr>
    </w:p>
    <w:p>
      <w:pPr>
        <w:sectPr>
          <w:pgSz w:w="12240" w:h="15668" w:orient="portrait"/>
          <w:cols w:equalWidth="0" w:num="2">
            <w:col w:w="7160" w:space="515"/>
            <w:col w:w="4485"/>
          </w:cols>
          <w:pgMar w:left="0" w:top="9" w:right="85" w:bottom="0" w:gutter="0" w:footer="0" w:header="0"/>
          <w:type w:val="continuous"/>
        </w:sectPr>
      </w:pPr>
    </w:p>
    <w:p>
      <w:pPr>
        <w:spacing w:after="0" w:line="10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OTHER COMPANY OFFICERS</w:t>
      </w:r>
    </w:p>
    <w:p>
      <w:pPr>
        <w:spacing w:after="0" w:line="79" w:lineRule="exact"/>
        <w:rPr>
          <w:sz w:val="20"/>
          <w:szCs w:val="20"/>
          <w:color w:val="auto"/>
        </w:rPr>
      </w:pPr>
    </w:p>
    <w:tbl>
      <w:tblPr>
        <w:tblLayout w:type="fixed"/>
        <w:tblInd w:w="1420" w:type="dxa"/>
        <w:tblCellMar>
          <w:top w:w="0" w:type="dxa"/>
          <w:left w:w="0" w:type="dxa"/>
          <w:bottom w:w="0" w:type="dxa"/>
          <w:right w:w="0" w:type="dxa"/>
        </w:tblCellMar>
      </w:tblPr>
      <w:tr>
        <w:trPr>
          <w:trHeight w:val="184"/>
        </w:trPr>
        <w:tc>
          <w:tcPr>
            <w:tcW w:w="2880" w:type="dxa"/>
            <w:vAlign w:val="bottom"/>
          </w:tcPr>
          <w:p>
            <w:pPr>
              <w:ind w:left="20"/>
              <w:spacing w:after="0"/>
              <w:rPr>
                <w:sz w:val="20"/>
                <w:szCs w:val="20"/>
                <w:color w:val="auto"/>
              </w:rPr>
            </w:pPr>
            <w:r>
              <w:rPr>
                <w:rFonts w:ascii="Arial" w:cs="Arial" w:eastAsia="Arial" w:hAnsi="Arial"/>
                <w:sz w:val="16"/>
                <w:szCs w:val="16"/>
                <w:color w:val="auto"/>
              </w:rPr>
              <w:t>Jacob M. Maas</w:t>
            </w:r>
          </w:p>
        </w:tc>
        <w:tc>
          <w:tcPr>
            <w:tcW w:w="3100" w:type="dxa"/>
            <w:vAlign w:val="bottom"/>
          </w:tcPr>
          <w:p>
            <w:pPr>
              <w:ind w:left="320"/>
              <w:spacing w:after="0"/>
              <w:rPr>
                <w:sz w:val="20"/>
                <w:szCs w:val="20"/>
                <w:color w:val="auto"/>
              </w:rPr>
            </w:pPr>
            <w:r>
              <w:rPr>
                <w:rFonts w:ascii="Arial" w:cs="Arial" w:eastAsia="Arial" w:hAnsi="Arial"/>
                <w:sz w:val="16"/>
                <w:szCs w:val="16"/>
                <w:color w:val="auto"/>
              </w:rPr>
              <w:t>Michael Baker</w:t>
            </w:r>
          </w:p>
        </w:tc>
        <w:tc>
          <w:tcPr>
            <w:tcW w:w="3020" w:type="dxa"/>
            <w:vAlign w:val="bottom"/>
          </w:tcPr>
          <w:p>
            <w:pPr>
              <w:ind w:left="280"/>
              <w:spacing w:after="0"/>
              <w:rPr>
                <w:sz w:val="20"/>
                <w:szCs w:val="20"/>
                <w:color w:val="auto"/>
              </w:rPr>
            </w:pPr>
            <w:r>
              <w:rPr>
                <w:rFonts w:ascii="Arial" w:cs="Arial" w:eastAsia="Arial" w:hAnsi="Arial"/>
                <w:sz w:val="16"/>
                <w:szCs w:val="16"/>
                <w:color w:val="auto"/>
              </w:rPr>
              <w:t>Scott McClure</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Executive Vice President</w:t>
            </w:r>
          </w:p>
        </w:tc>
        <w:tc>
          <w:tcPr>
            <w:tcW w:w="3100" w:type="dxa"/>
            <w:vAlign w:val="bottom"/>
          </w:tcPr>
          <w:p>
            <w:pPr>
              <w:ind w:left="320"/>
              <w:spacing w:after="0"/>
              <w:rPr>
                <w:sz w:val="20"/>
                <w:szCs w:val="20"/>
                <w:color w:val="auto"/>
              </w:rPr>
            </w:pPr>
            <w:r>
              <w:rPr>
                <w:rFonts w:ascii="Arial" w:cs="Arial" w:eastAsia="Arial" w:hAnsi="Arial"/>
                <w:sz w:val="14"/>
                <w:szCs w:val="14"/>
                <w:i w:val="1"/>
                <w:iCs w:val="1"/>
                <w:color w:val="auto"/>
              </w:rPr>
              <w:t>Vice President-Risk Management</w:t>
            </w:r>
          </w:p>
        </w:tc>
        <w:tc>
          <w:tcPr>
            <w:tcW w:w="3020" w:type="dxa"/>
            <w:vAlign w:val="bottom"/>
          </w:tcPr>
          <w:p>
            <w:pPr>
              <w:ind w:left="280"/>
              <w:spacing w:after="0"/>
              <w:rPr>
                <w:sz w:val="20"/>
                <w:szCs w:val="20"/>
                <w:color w:val="auto"/>
              </w:rPr>
            </w:pPr>
            <w:r>
              <w:rPr>
                <w:rFonts w:ascii="Arial" w:cs="Arial" w:eastAsia="Arial" w:hAnsi="Arial"/>
                <w:sz w:val="14"/>
                <w:szCs w:val="14"/>
                <w:i w:val="1"/>
                <w:iCs w:val="1"/>
                <w:color w:val="auto"/>
              </w:rPr>
              <w:t>Vice President-Information Technology</w:t>
            </w:r>
          </w:p>
        </w:tc>
        <w:tc>
          <w:tcPr>
            <w:tcW w:w="0" w:type="dxa"/>
            <w:vAlign w:val="bottom"/>
          </w:tcPr>
          <w:p>
            <w:pPr>
              <w:spacing w:after="0"/>
              <w:rPr>
                <w:sz w:val="1"/>
                <w:szCs w:val="1"/>
                <w:color w:val="auto"/>
              </w:rPr>
            </w:pPr>
          </w:p>
        </w:tc>
      </w:tr>
      <w:tr>
        <w:trPr>
          <w:trHeight w:val="290"/>
        </w:trPr>
        <w:tc>
          <w:tcPr>
            <w:tcW w:w="2880" w:type="dxa"/>
            <w:vAlign w:val="bottom"/>
          </w:tcPr>
          <w:p>
            <w:pPr>
              <w:ind w:left="20"/>
              <w:spacing w:after="0"/>
              <w:rPr>
                <w:sz w:val="20"/>
                <w:szCs w:val="20"/>
                <w:color w:val="auto"/>
              </w:rPr>
            </w:pPr>
            <w:r>
              <w:rPr>
                <w:rFonts w:ascii="Arial" w:cs="Arial" w:eastAsia="Arial" w:hAnsi="Arial"/>
                <w:sz w:val="16"/>
                <w:szCs w:val="16"/>
                <w:color w:val="auto"/>
              </w:rPr>
              <w:t>Andrew S. Rosen</w:t>
            </w:r>
          </w:p>
        </w:tc>
        <w:tc>
          <w:tcPr>
            <w:tcW w:w="3100" w:type="dxa"/>
            <w:vAlign w:val="bottom"/>
          </w:tcPr>
          <w:p>
            <w:pPr>
              <w:ind w:left="320"/>
              <w:spacing w:after="0"/>
              <w:rPr>
                <w:sz w:val="20"/>
                <w:szCs w:val="20"/>
                <w:color w:val="auto"/>
              </w:rPr>
            </w:pPr>
            <w:r>
              <w:rPr>
                <w:rFonts w:ascii="Arial" w:cs="Arial" w:eastAsia="Arial" w:hAnsi="Arial"/>
                <w:sz w:val="16"/>
                <w:szCs w:val="16"/>
                <w:color w:val="auto"/>
              </w:rPr>
              <w:t xml:space="preserve">Matthew </w:t>
            </w:r>
            <w:r>
              <w:rPr>
                <w:rFonts w:ascii="Times New Roman" w:cs="Times New Roman" w:eastAsia="Times New Roman" w:hAnsi="Times New Roman"/>
                <w:sz w:val="16"/>
                <w:szCs w:val="16"/>
                <w:color w:val="auto"/>
              </w:rPr>
              <w:t>R.</w:t>
            </w:r>
            <w:r>
              <w:rPr>
                <w:rFonts w:ascii="Arial" w:cs="Arial" w:eastAsia="Arial" w:hAnsi="Arial"/>
                <w:sz w:val="16"/>
                <w:szCs w:val="16"/>
                <w:color w:val="auto"/>
              </w:rPr>
              <w:t xml:space="preserve"> Greisler</w:t>
            </w:r>
          </w:p>
        </w:tc>
        <w:tc>
          <w:tcPr>
            <w:tcW w:w="3020" w:type="dxa"/>
            <w:vAlign w:val="bottom"/>
          </w:tcPr>
          <w:p>
            <w:pPr>
              <w:ind w:left="280"/>
              <w:spacing w:after="0"/>
              <w:rPr>
                <w:sz w:val="20"/>
                <w:szCs w:val="20"/>
                <w:color w:val="auto"/>
              </w:rPr>
            </w:pPr>
            <w:r>
              <w:rPr>
                <w:rFonts w:ascii="Arial" w:cs="Arial" w:eastAsia="Arial" w:hAnsi="Arial"/>
                <w:sz w:val="16"/>
                <w:szCs w:val="16"/>
                <w:color w:val="auto"/>
              </w:rPr>
              <w:t>Jarvis Obispo</w:t>
            </w:r>
          </w:p>
        </w:tc>
        <w:tc>
          <w:tcPr>
            <w:tcW w:w="0" w:type="dxa"/>
            <w:vAlign w:val="bottom"/>
          </w:tcPr>
          <w:p>
            <w:pPr>
              <w:spacing w:after="0"/>
              <w:rPr>
                <w:sz w:val="1"/>
                <w:szCs w:val="1"/>
                <w:color w:val="auto"/>
              </w:rPr>
            </w:pPr>
          </w:p>
        </w:tc>
      </w:tr>
      <w:tr>
        <w:trPr>
          <w:trHeight w:val="196"/>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Executive Vice President</w:t>
            </w:r>
          </w:p>
        </w:tc>
        <w:tc>
          <w:tcPr>
            <w:tcW w:w="3100" w:type="dxa"/>
            <w:vAlign w:val="bottom"/>
          </w:tcPr>
          <w:p>
            <w:pPr>
              <w:ind w:left="320"/>
              <w:spacing w:after="0"/>
              <w:rPr>
                <w:sz w:val="20"/>
                <w:szCs w:val="20"/>
                <w:color w:val="auto"/>
              </w:rPr>
            </w:pPr>
            <w:r>
              <w:rPr>
                <w:rFonts w:ascii="Arial" w:cs="Arial" w:eastAsia="Arial" w:hAnsi="Arial"/>
                <w:sz w:val="14"/>
                <w:szCs w:val="14"/>
                <w:i w:val="1"/>
                <w:iCs w:val="1"/>
                <w:color w:val="auto"/>
              </w:rPr>
              <w:t>Vice President-Treasurer</w:t>
            </w:r>
          </w:p>
        </w:tc>
        <w:tc>
          <w:tcPr>
            <w:tcW w:w="3020" w:type="dxa"/>
            <w:vAlign w:val="bottom"/>
          </w:tcPr>
          <w:p>
            <w:pPr>
              <w:ind w:left="280"/>
              <w:spacing w:after="0"/>
              <w:rPr>
                <w:sz w:val="20"/>
                <w:szCs w:val="20"/>
                <w:color w:val="auto"/>
              </w:rPr>
            </w:pPr>
            <w:r>
              <w:rPr>
                <w:rFonts w:ascii="Arial" w:cs="Arial" w:eastAsia="Arial" w:hAnsi="Arial"/>
                <w:sz w:val="14"/>
                <w:szCs w:val="14"/>
                <w:i w:val="1"/>
                <w:iCs w:val="1"/>
                <w:color w:val="auto"/>
              </w:rPr>
              <w:t>Vice President-Corporate Audit Services</w:t>
            </w:r>
          </w:p>
        </w:tc>
        <w:tc>
          <w:tcPr>
            <w:tcW w:w="0" w:type="dxa"/>
            <w:vAlign w:val="bottom"/>
          </w:tcPr>
          <w:p>
            <w:pPr>
              <w:spacing w:after="0"/>
              <w:rPr>
                <w:sz w:val="1"/>
                <w:szCs w:val="1"/>
                <w:color w:val="auto"/>
              </w:rPr>
            </w:pPr>
          </w:p>
        </w:tc>
      </w:tr>
      <w:tr>
        <w:trPr>
          <w:trHeight w:val="200"/>
        </w:trPr>
        <w:tc>
          <w:tcPr>
            <w:tcW w:w="2880" w:type="dxa"/>
            <w:vAlign w:val="bottom"/>
          </w:tcPr>
          <w:p>
            <w:pPr>
              <w:ind w:left="20"/>
              <w:spacing w:after="0"/>
              <w:rPr>
                <w:sz w:val="20"/>
                <w:szCs w:val="20"/>
                <w:color w:val="auto"/>
              </w:rPr>
            </w:pPr>
            <w:r>
              <w:rPr>
                <w:rFonts w:ascii="Arial" w:cs="Arial" w:eastAsia="Arial" w:hAnsi="Arial"/>
                <w:sz w:val="14"/>
                <w:szCs w:val="14"/>
                <w:i w:val="1"/>
                <w:iCs w:val="1"/>
                <w:color w:val="auto"/>
              </w:rPr>
              <w:t>Chairman and Chief Executive Officer.</w:t>
            </w:r>
          </w:p>
        </w:tc>
        <w:tc>
          <w:tcPr>
            <w:tcW w:w="3100" w:type="dxa"/>
            <w:vAlign w:val="bottom"/>
            <w:vMerge w:val="restart"/>
          </w:tcPr>
          <w:p>
            <w:pPr>
              <w:ind w:left="320"/>
              <w:spacing w:after="0"/>
              <w:rPr>
                <w:sz w:val="20"/>
                <w:szCs w:val="20"/>
                <w:color w:val="auto"/>
              </w:rPr>
            </w:pPr>
            <w:r>
              <w:rPr>
                <w:rFonts w:ascii="Arial" w:cs="Arial" w:eastAsia="Arial" w:hAnsi="Arial"/>
                <w:sz w:val="16"/>
                <w:szCs w:val="16"/>
                <w:color w:val="auto"/>
              </w:rPr>
              <w:t>Stacey Halota</w:t>
            </w:r>
          </w:p>
        </w:tc>
        <w:tc>
          <w:tcPr>
            <w:tcW w:w="3020" w:type="dxa"/>
            <w:vAlign w:val="bottom"/>
            <w:vMerge w:val="restart"/>
          </w:tcPr>
          <w:p>
            <w:pPr>
              <w:ind w:left="280"/>
              <w:spacing w:after="0"/>
              <w:rPr>
                <w:sz w:val="20"/>
                <w:szCs w:val="20"/>
                <w:color w:val="auto"/>
              </w:rPr>
            </w:pPr>
            <w:r>
              <w:rPr>
                <w:rFonts w:ascii="Arial" w:cs="Arial" w:eastAsia="Arial" w:hAnsi="Arial"/>
                <w:sz w:val="16"/>
                <w:szCs w:val="16"/>
                <w:color w:val="auto"/>
              </w:rPr>
              <w:t>Marcel A. Snyman</w:t>
            </w:r>
          </w:p>
        </w:tc>
        <w:tc>
          <w:tcPr>
            <w:tcW w:w="0" w:type="dxa"/>
            <w:vAlign w:val="bottom"/>
          </w:tcPr>
          <w:p>
            <w:pPr>
              <w:spacing w:after="0"/>
              <w:rPr>
                <w:sz w:val="1"/>
                <w:szCs w:val="1"/>
                <w:color w:val="auto"/>
              </w:rPr>
            </w:pPr>
          </w:p>
        </w:tc>
      </w:tr>
      <w:tr>
        <w:trPr>
          <w:trHeight w:val="99"/>
        </w:trPr>
        <w:tc>
          <w:tcPr>
            <w:tcW w:w="2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Kaplan</w:t>
            </w:r>
          </w:p>
        </w:tc>
        <w:tc>
          <w:tcPr>
            <w:tcW w:w="3100" w:type="dxa"/>
            <w:vAlign w:val="bottom"/>
            <w:vMerge w:val="continue"/>
          </w:tcPr>
          <w:p>
            <w:pPr>
              <w:spacing w:after="0"/>
              <w:rPr>
                <w:sz w:val="8"/>
                <w:szCs w:val="8"/>
                <w:color w:val="auto"/>
              </w:rPr>
            </w:pP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2"/>
        </w:trPr>
        <w:tc>
          <w:tcPr>
            <w:tcW w:w="2880" w:type="dxa"/>
            <w:vAlign w:val="bottom"/>
            <w:vMerge w:val="continue"/>
          </w:tcPr>
          <w:p>
            <w:pPr>
              <w:spacing w:after="0"/>
              <w:rPr>
                <w:sz w:val="7"/>
                <w:szCs w:val="7"/>
                <w:color w:val="auto"/>
              </w:rPr>
            </w:pPr>
          </w:p>
        </w:tc>
        <w:tc>
          <w:tcPr>
            <w:tcW w:w="31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Vice President-Information</w:t>
            </w:r>
          </w:p>
        </w:tc>
        <w:tc>
          <w:tcPr>
            <w:tcW w:w="302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Vice President-Chief Accounting Officer</w:t>
            </w:r>
          </w:p>
        </w:tc>
        <w:tc>
          <w:tcPr>
            <w:tcW w:w="0" w:type="dxa"/>
            <w:vAlign w:val="bottom"/>
          </w:tcPr>
          <w:p>
            <w:pPr>
              <w:spacing w:after="0"/>
              <w:rPr>
                <w:sz w:val="1"/>
                <w:szCs w:val="1"/>
                <w:color w:val="auto"/>
              </w:rPr>
            </w:pPr>
          </w:p>
        </w:tc>
      </w:tr>
      <w:tr>
        <w:trPr>
          <w:trHeight w:val="115"/>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Wallace R. Cooney</w:t>
            </w:r>
          </w:p>
        </w:tc>
        <w:tc>
          <w:tcPr>
            <w:tcW w:w="310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880" w:type="dxa"/>
            <w:vAlign w:val="bottom"/>
            <w:vMerge w:val="continue"/>
          </w:tcPr>
          <w:p>
            <w:pPr>
              <w:spacing w:after="0"/>
              <w:rPr>
                <w:sz w:val="15"/>
                <w:szCs w:val="15"/>
                <w:color w:val="auto"/>
              </w:rPr>
            </w:pPr>
          </w:p>
        </w:tc>
        <w:tc>
          <w:tcPr>
            <w:tcW w:w="3100" w:type="dxa"/>
            <w:vAlign w:val="bottom"/>
          </w:tcPr>
          <w:p>
            <w:pPr>
              <w:ind w:left="320"/>
              <w:spacing w:after="0"/>
              <w:rPr>
                <w:sz w:val="20"/>
                <w:szCs w:val="20"/>
                <w:color w:val="auto"/>
              </w:rPr>
            </w:pPr>
            <w:r>
              <w:rPr>
                <w:rFonts w:ascii="Arial" w:cs="Arial" w:eastAsia="Arial" w:hAnsi="Arial"/>
                <w:sz w:val="14"/>
                <w:szCs w:val="14"/>
                <w:i w:val="1"/>
                <w:iCs w:val="1"/>
                <w:color w:val="auto"/>
              </w:rPr>
              <w:t>Security and Privacy</w:t>
            </w:r>
          </w:p>
        </w:tc>
        <w:tc>
          <w:tcPr>
            <w:tcW w:w="3020" w:type="dxa"/>
            <w:vAlign w:val="bottom"/>
            <w:vMerge w:val="restart"/>
          </w:tcPr>
          <w:p>
            <w:pPr>
              <w:ind w:left="280"/>
              <w:spacing w:after="0"/>
              <w:rPr>
                <w:sz w:val="20"/>
                <w:szCs w:val="20"/>
                <w:color w:val="auto"/>
              </w:rPr>
            </w:pPr>
            <w:r>
              <w:rPr>
                <w:rFonts w:ascii="Arial" w:cs="Arial" w:eastAsia="Arial" w:hAnsi="Arial"/>
                <w:sz w:val="16"/>
                <w:szCs w:val="16"/>
                <w:color w:val="auto"/>
              </w:rPr>
              <w:t>Sandra M. Stonesifer</w:t>
            </w:r>
          </w:p>
        </w:tc>
        <w:tc>
          <w:tcPr>
            <w:tcW w:w="0" w:type="dxa"/>
            <w:vAlign w:val="bottom"/>
          </w:tcPr>
          <w:p>
            <w:pPr>
              <w:spacing w:after="0"/>
              <w:rPr>
                <w:sz w:val="1"/>
                <w:szCs w:val="1"/>
                <w:color w:val="auto"/>
              </w:rPr>
            </w:pPr>
          </w:p>
        </w:tc>
      </w:tr>
      <w:tr>
        <w:trPr>
          <w:trHeight w:val="118"/>
        </w:trPr>
        <w:tc>
          <w:tcPr>
            <w:tcW w:w="2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Senior Vice President- Finance</w:t>
            </w:r>
          </w:p>
        </w:tc>
        <w:tc>
          <w:tcPr>
            <w:tcW w:w="31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880" w:type="dxa"/>
            <w:vAlign w:val="bottom"/>
            <w:vMerge w:val="continue"/>
          </w:tcPr>
          <w:p>
            <w:pPr>
              <w:spacing w:after="0"/>
              <w:rPr>
                <w:sz w:val="7"/>
                <w:szCs w:val="7"/>
                <w:color w:val="auto"/>
              </w:rPr>
            </w:pPr>
          </w:p>
        </w:tc>
        <w:tc>
          <w:tcPr>
            <w:tcW w:w="3100" w:type="dxa"/>
            <w:vAlign w:val="bottom"/>
            <w:vMerge w:val="restart"/>
          </w:tcPr>
          <w:p>
            <w:pPr>
              <w:ind w:left="320"/>
              <w:spacing w:after="0" w:line="181" w:lineRule="exact"/>
              <w:rPr>
                <w:sz w:val="20"/>
                <w:szCs w:val="20"/>
                <w:color w:val="auto"/>
              </w:rPr>
            </w:pPr>
            <w:r>
              <w:rPr>
                <w:rFonts w:ascii="Arial" w:cs="Arial" w:eastAsia="Arial" w:hAnsi="Arial"/>
                <w:sz w:val="16"/>
                <w:szCs w:val="16"/>
                <w:color w:val="auto"/>
              </w:rPr>
              <w:t>Heather Hochberg</w:t>
            </w:r>
          </w:p>
        </w:tc>
        <w:tc>
          <w:tcPr>
            <w:tcW w:w="302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Vice President-Chief Human Resources</w:t>
            </w:r>
          </w:p>
        </w:tc>
        <w:tc>
          <w:tcPr>
            <w:tcW w:w="0" w:type="dxa"/>
            <w:vAlign w:val="bottom"/>
          </w:tcPr>
          <w:p>
            <w:pPr>
              <w:spacing w:after="0"/>
              <w:rPr>
                <w:sz w:val="1"/>
                <w:szCs w:val="1"/>
                <w:color w:val="auto"/>
              </w:rPr>
            </w:pPr>
          </w:p>
        </w:tc>
      </w:tr>
      <w:tr>
        <w:trPr>
          <w:trHeight w:val="114"/>
        </w:trPr>
        <w:tc>
          <w:tcPr>
            <w:tcW w:w="2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Chief Financial Officer</w:t>
            </w:r>
          </w:p>
        </w:tc>
        <w:tc>
          <w:tcPr>
            <w:tcW w:w="310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2880" w:type="dxa"/>
            <w:vAlign w:val="bottom"/>
            <w:vMerge w:val="continue"/>
          </w:tcPr>
          <w:p>
            <w:pPr>
              <w:spacing w:after="0"/>
              <w:rPr>
                <w:sz w:val="5"/>
                <w:szCs w:val="5"/>
                <w:color w:val="auto"/>
              </w:rPr>
            </w:pPr>
          </w:p>
        </w:tc>
        <w:tc>
          <w:tcPr>
            <w:tcW w:w="31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Vice Prestdent-Total Rewards</w:t>
            </w:r>
          </w:p>
        </w:tc>
        <w:tc>
          <w:tcPr>
            <w:tcW w:w="302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Officer</w:t>
            </w:r>
          </w:p>
        </w:tc>
        <w:tc>
          <w:tcPr>
            <w:tcW w:w="0" w:type="dxa"/>
            <w:vAlign w:val="bottom"/>
          </w:tcPr>
          <w:p>
            <w:pPr>
              <w:spacing w:after="0"/>
              <w:rPr>
                <w:sz w:val="1"/>
                <w:szCs w:val="1"/>
                <w:color w:val="auto"/>
              </w:rPr>
            </w:pPr>
          </w:p>
        </w:tc>
      </w:tr>
      <w:tr>
        <w:trPr>
          <w:trHeight w:val="124"/>
        </w:trPr>
        <w:tc>
          <w:tcPr>
            <w:tcW w:w="2880" w:type="dxa"/>
            <w:vAlign w:val="bottom"/>
            <w:vMerge w:val="restart"/>
          </w:tcPr>
          <w:p>
            <w:pPr>
              <w:ind w:left="20"/>
              <w:spacing w:after="0"/>
              <w:rPr>
                <w:sz w:val="20"/>
                <w:szCs w:val="20"/>
                <w:color w:val="auto"/>
              </w:rPr>
            </w:pPr>
            <w:r>
              <w:rPr>
                <w:rFonts w:ascii="Arial" w:cs="Arial" w:eastAsia="Arial" w:hAnsi="Arial"/>
                <w:sz w:val="16"/>
                <w:szCs w:val="16"/>
                <w:color w:val="auto"/>
              </w:rPr>
              <w:t>Nicole M. Maddrey</w:t>
            </w:r>
          </w:p>
        </w:tc>
        <w:tc>
          <w:tcPr>
            <w:tcW w:w="3100" w:type="dxa"/>
            <w:vAlign w:val="bottom"/>
            <w:vMerge w:val="continue"/>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880" w:type="dxa"/>
            <w:vAlign w:val="bottom"/>
            <w:vMerge w:val="continue"/>
          </w:tcPr>
          <w:p>
            <w:pPr>
              <w:spacing w:after="0"/>
              <w:rPr>
                <w:sz w:val="15"/>
                <w:szCs w:val="15"/>
                <w:color w:val="auto"/>
              </w:rPr>
            </w:pPr>
          </w:p>
        </w:tc>
        <w:tc>
          <w:tcPr>
            <w:tcW w:w="3100" w:type="dxa"/>
            <w:vAlign w:val="bottom"/>
          </w:tcPr>
          <w:p>
            <w:pPr>
              <w:ind w:left="320"/>
              <w:spacing w:after="0"/>
              <w:rPr>
                <w:sz w:val="20"/>
                <w:szCs w:val="20"/>
                <w:color w:val="auto"/>
              </w:rPr>
            </w:pPr>
            <w:r>
              <w:rPr>
                <w:rFonts w:ascii="Arial" w:cs="Arial" w:eastAsia="Arial" w:hAnsi="Arial"/>
                <w:sz w:val="14"/>
                <w:szCs w:val="14"/>
                <w:i w:val="1"/>
                <w:iCs w:val="1"/>
                <w:color w:val="auto"/>
              </w:rPr>
              <w:t>and Compliance</w:t>
            </w:r>
          </w:p>
        </w:tc>
        <w:tc>
          <w:tcPr>
            <w:tcW w:w="3020" w:type="dxa"/>
            <w:vAlign w:val="bottom"/>
            <w:vMerge w:val="restart"/>
          </w:tcPr>
          <w:p>
            <w:pPr>
              <w:ind w:left="280"/>
              <w:spacing w:after="0"/>
              <w:rPr>
                <w:sz w:val="20"/>
                <w:szCs w:val="20"/>
                <w:color w:val="auto"/>
              </w:rPr>
            </w:pPr>
            <w:r>
              <w:rPr>
                <w:rFonts w:ascii="Arial" w:cs="Arial" w:eastAsia="Arial" w:hAnsi="Arial"/>
                <w:sz w:val="16"/>
                <w:szCs w:val="16"/>
                <w:color w:val="auto"/>
              </w:rPr>
              <w:t>Elaine Wolff</w:t>
            </w:r>
          </w:p>
        </w:tc>
        <w:tc>
          <w:tcPr>
            <w:tcW w:w="0" w:type="dxa"/>
            <w:vAlign w:val="bottom"/>
          </w:tcPr>
          <w:p>
            <w:pPr>
              <w:spacing w:after="0"/>
              <w:rPr>
                <w:sz w:val="1"/>
                <w:szCs w:val="1"/>
                <w:color w:val="auto"/>
              </w:rPr>
            </w:pPr>
          </w:p>
        </w:tc>
      </w:tr>
      <w:tr>
        <w:trPr>
          <w:trHeight w:val="118"/>
        </w:trPr>
        <w:tc>
          <w:tcPr>
            <w:tcW w:w="28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Senior Vice Prestdent, General Counsel</w:t>
            </w:r>
          </w:p>
        </w:tc>
        <w:tc>
          <w:tcPr>
            <w:tcW w:w="3100" w:type="dxa"/>
            <w:vAlign w:val="bottom"/>
          </w:tcPr>
          <w:p>
            <w:pPr>
              <w:spacing w:after="0"/>
              <w:rPr>
                <w:sz w:val="10"/>
                <w:szCs w:val="10"/>
                <w:color w:val="auto"/>
              </w:rPr>
            </w:pPr>
          </w:p>
        </w:tc>
        <w:tc>
          <w:tcPr>
            <w:tcW w:w="3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2"/>
        </w:trPr>
        <w:tc>
          <w:tcPr>
            <w:tcW w:w="2880" w:type="dxa"/>
            <w:vAlign w:val="bottom"/>
            <w:vMerge w:val="continue"/>
          </w:tcPr>
          <w:p>
            <w:pPr>
              <w:spacing w:after="0"/>
              <w:rPr>
                <w:sz w:val="7"/>
                <w:szCs w:val="7"/>
                <w:color w:val="auto"/>
              </w:rPr>
            </w:pPr>
          </w:p>
        </w:tc>
        <w:tc>
          <w:tcPr>
            <w:tcW w:w="3100" w:type="dxa"/>
            <w:vAlign w:val="bottom"/>
            <w:vMerge w:val="restart"/>
          </w:tcPr>
          <w:p>
            <w:pPr>
              <w:ind w:left="320"/>
              <w:spacing w:after="0" w:line="181" w:lineRule="exact"/>
              <w:rPr>
                <w:sz w:val="20"/>
                <w:szCs w:val="20"/>
                <w:color w:val="auto"/>
              </w:rPr>
            </w:pPr>
            <w:r>
              <w:rPr>
                <w:rFonts w:ascii="Arial" w:cs="Arial" w:eastAsia="Arial" w:hAnsi="Arial"/>
                <w:sz w:val="16"/>
                <w:szCs w:val="16"/>
                <w:color w:val="auto"/>
              </w:rPr>
              <w:t>Cherie Kummer</w:t>
            </w:r>
          </w:p>
        </w:tc>
        <w:tc>
          <w:tcPr>
            <w:tcW w:w="302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Vice President, Deputy General Counsel</w:t>
            </w:r>
          </w:p>
        </w:tc>
        <w:tc>
          <w:tcPr>
            <w:tcW w:w="0" w:type="dxa"/>
            <w:vAlign w:val="bottom"/>
          </w:tcPr>
          <w:p>
            <w:pPr>
              <w:spacing w:after="0"/>
              <w:rPr>
                <w:sz w:val="1"/>
                <w:szCs w:val="1"/>
                <w:color w:val="auto"/>
              </w:rPr>
            </w:pPr>
          </w:p>
        </w:tc>
      </w:tr>
      <w:tr>
        <w:trPr>
          <w:trHeight w:val="105"/>
        </w:trPr>
        <w:tc>
          <w:tcPr>
            <w:tcW w:w="2880" w:type="dxa"/>
            <w:vAlign w:val="bottom"/>
            <w:vMerge w:val="restart"/>
          </w:tcPr>
          <w:p>
            <w:pPr>
              <w:spacing w:after="0"/>
              <w:rPr>
                <w:sz w:val="20"/>
                <w:szCs w:val="20"/>
                <w:color w:val="auto"/>
              </w:rPr>
            </w:pPr>
            <w:r>
              <w:rPr>
                <w:rFonts w:ascii="Arial" w:cs="Arial" w:eastAsia="Arial" w:hAnsi="Arial"/>
                <w:sz w:val="14"/>
                <w:szCs w:val="14"/>
                <w:i w:val="1"/>
                <w:iCs w:val="1"/>
                <w:color w:val="auto"/>
              </w:rPr>
              <w:t>and Secretary</w:t>
            </w:r>
          </w:p>
        </w:tc>
        <w:tc>
          <w:tcPr>
            <w:tcW w:w="310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6"/>
        </w:trPr>
        <w:tc>
          <w:tcPr>
            <w:tcW w:w="2880" w:type="dxa"/>
            <w:vAlign w:val="bottom"/>
            <w:vMerge w:val="continue"/>
          </w:tcPr>
          <w:p>
            <w:pPr>
              <w:spacing w:after="0"/>
              <w:rPr>
                <w:sz w:val="7"/>
                <w:szCs w:val="7"/>
                <w:color w:val="auto"/>
              </w:rPr>
            </w:pPr>
          </w:p>
        </w:tc>
        <w:tc>
          <w:tcPr>
            <w:tcW w:w="31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Vice President-Tax</w:t>
            </w:r>
          </w:p>
        </w:tc>
        <w:tc>
          <w:tcPr>
            <w:tcW w:w="3020" w:type="dxa"/>
            <w:vAlign w:val="bottom"/>
            <w:vMerge w:val="restart"/>
          </w:tcPr>
          <w:p>
            <w:pPr>
              <w:ind w:left="280"/>
              <w:spacing w:after="0"/>
              <w:rPr>
                <w:sz w:val="20"/>
                <w:szCs w:val="20"/>
                <w:color w:val="auto"/>
              </w:rPr>
            </w:pPr>
            <w:r>
              <w:rPr>
                <w:rFonts w:ascii="Arial" w:cs="Arial" w:eastAsia="Arial" w:hAnsi="Arial"/>
                <w:sz w:val="14"/>
                <w:szCs w:val="14"/>
                <w:i w:val="1"/>
                <w:iCs w:val="1"/>
                <w:color w:val="auto"/>
              </w:rPr>
              <w:t>and Assistant Secretary</w:t>
            </w:r>
          </w:p>
        </w:tc>
        <w:tc>
          <w:tcPr>
            <w:tcW w:w="0" w:type="dxa"/>
            <w:vAlign w:val="bottom"/>
          </w:tcPr>
          <w:p>
            <w:pPr>
              <w:spacing w:after="0"/>
              <w:rPr>
                <w:sz w:val="1"/>
                <w:szCs w:val="1"/>
                <w:color w:val="auto"/>
              </w:rPr>
            </w:pPr>
          </w:p>
        </w:tc>
      </w:tr>
      <w:tr>
        <w:trPr>
          <w:trHeight w:val="105"/>
        </w:trPr>
        <w:tc>
          <w:tcPr>
            <w:tcW w:w="2880" w:type="dxa"/>
            <w:vAlign w:val="bottom"/>
          </w:tcPr>
          <w:p>
            <w:pPr>
              <w:spacing w:after="0"/>
              <w:rPr>
                <w:sz w:val="9"/>
                <w:szCs w:val="9"/>
                <w:color w:val="auto"/>
              </w:rPr>
            </w:pPr>
          </w:p>
        </w:tc>
        <w:tc>
          <w:tcPr>
            <w:tcW w:w="310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00"/>
        </w:trPr>
        <w:tc>
          <w:tcPr>
            <w:tcW w:w="2880" w:type="dxa"/>
            <w:vAlign w:val="bottom"/>
          </w:tcPr>
          <w:p>
            <w:pPr>
              <w:spacing w:after="0"/>
              <w:rPr>
                <w:sz w:val="24"/>
                <w:szCs w:val="24"/>
                <w:color w:val="auto"/>
              </w:rPr>
            </w:pPr>
          </w:p>
        </w:tc>
        <w:tc>
          <w:tcPr>
            <w:tcW w:w="3100" w:type="dxa"/>
            <w:vAlign w:val="bottom"/>
          </w:tcPr>
          <w:p>
            <w:pPr>
              <w:ind w:left="320"/>
              <w:spacing w:after="0"/>
              <w:rPr>
                <w:sz w:val="20"/>
                <w:szCs w:val="20"/>
                <w:color w:val="auto"/>
              </w:rPr>
            </w:pPr>
            <w:r>
              <w:rPr>
                <w:rFonts w:ascii="Arial" w:cs="Arial" w:eastAsia="Arial" w:hAnsi="Arial"/>
                <w:sz w:val="16"/>
                <w:szCs w:val="16"/>
                <w:color w:val="auto"/>
              </w:rPr>
              <w:t>Pinkie D. Mayfield*</w:t>
            </w:r>
          </w:p>
        </w:tc>
        <w:tc>
          <w:tcPr>
            <w:tcW w:w="3020" w:type="dxa"/>
            <w:vAlign w:val="bottom"/>
            <w:vMerge w:val="restart"/>
          </w:tcPr>
          <w:p>
            <w:pPr>
              <w:ind w:left="300"/>
              <w:spacing w:after="0"/>
              <w:rPr>
                <w:sz w:val="20"/>
                <w:szCs w:val="20"/>
                <w:color w:val="auto"/>
              </w:rPr>
            </w:pPr>
            <w:r>
              <w:rPr>
                <w:rFonts w:ascii="Arial" w:cs="Arial" w:eastAsia="Arial" w:hAnsi="Arial"/>
                <w:sz w:val="10"/>
                <w:szCs w:val="10"/>
                <w:color w:val="auto"/>
              </w:rPr>
              <w:t>·Ret~red</w:t>
            </w:r>
          </w:p>
        </w:tc>
        <w:tc>
          <w:tcPr>
            <w:tcW w:w="0" w:type="dxa"/>
            <w:vAlign w:val="bottom"/>
          </w:tcPr>
          <w:p>
            <w:pPr>
              <w:spacing w:after="0"/>
              <w:rPr>
                <w:sz w:val="1"/>
                <w:szCs w:val="1"/>
                <w:color w:val="auto"/>
              </w:rPr>
            </w:pPr>
          </w:p>
        </w:tc>
      </w:tr>
      <w:tr>
        <w:trPr>
          <w:trHeight w:val="97"/>
        </w:trPr>
        <w:tc>
          <w:tcPr>
            <w:tcW w:w="2880" w:type="dxa"/>
            <w:vAlign w:val="bottom"/>
          </w:tcPr>
          <w:p>
            <w:pPr>
              <w:spacing w:after="0"/>
              <w:rPr>
                <w:sz w:val="8"/>
                <w:szCs w:val="8"/>
                <w:color w:val="auto"/>
              </w:rPr>
            </w:pPr>
          </w:p>
        </w:tc>
        <w:tc>
          <w:tcPr>
            <w:tcW w:w="3100" w:type="dxa"/>
            <w:vAlign w:val="bottom"/>
            <w:vMerge w:val="restart"/>
          </w:tcPr>
          <w:p>
            <w:pPr>
              <w:ind w:left="320"/>
              <w:spacing w:after="0"/>
              <w:rPr>
                <w:sz w:val="20"/>
                <w:szCs w:val="20"/>
                <w:color w:val="auto"/>
              </w:rPr>
            </w:pPr>
            <w:r>
              <w:rPr>
                <w:rFonts w:ascii="Arial" w:cs="Arial" w:eastAsia="Arial" w:hAnsi="Arial"/>
                <w:sz w:val="14"/>
                <w:szCs w:val="14"/>
                <w:i w:val="1"/>
                <w:iCs w:val="1"/>
                <w:color w:val="auto"/>
              </w:rPr>
              <w:t>Vice President- Corporate Affairs and</w:t>
            </w:r>
          </w:p>
        </w:tc>
        <w:tc>
          <w:tcPr>
            <w:tcW w:w="3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880" w:type="dxa"/>
            <w:vAlign w:val="bottom"/>
          </w:tcPr>
          <w:p>
            <w:pPr>
              <w:spacing w:after="0"/>
              <w:rPr>
                <w:sz w:val="8"/>
                <w:szCs w:val="8"/>
                <w:color w:val="auto"/>
              </w:rPr>
            </w:pPr>
          </w:p>
        </w:tc>
        <w:tc>
          <w:tcPr>
            <w:tcW w:w="3100" w:type="dxa"/>
            <w:vAlign w:val="bottom"/>
            <w:vMerge w:val="continue"/>
          </w:tcPr>
          <w:p>
            <w:pPr>
              <w:spacing w:after="0"/>
              <w:rPr>
                <w:sz w:val="8"/>
                <w:szCs w:val="8"/>
                <w:color w:val="auto"/>
              </w:rPr>
            </w:pPr>
          </w:p>
        </w:tc>
        <w:tc>
          <w:tcPr>
            <w:tcW w:w="3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880" w:type="dxa"/>
            <w:vAlign w:val="bottom"/>
          </w:tcPr>
          <w:p>
            <w:pPr>
              <w:spacing w:after="0"/>
              <w:rPr>
                <w:sz w:val="15"/>
                <w:szCs w:val="15"/>
                <w:color w:val="auto"/>
              </w:rPr>
            </w:pPr>
          </w:p>
        </w:tc>
        <w:tc>
          <w:tcPr>
            <w:tcW w:w="3100" w:type="dxa"/>
            <w:vAlign w:val="bottom"/>
          </w:tcPr>
          <w:p>
            <w:pPr>
              <w:ind w:left="320"/>
              <w:spacing w:after="0"/>
              <w:rPr>
                <w:sz w:val="20"/>
                <w:szCs w:val="20"/>
                <w:color w:val="auto"/>
              </w:rPr>
            </w:pPr>
            <w:r>
              <w:rPr>
                <w:rFonts w:ascii="Arial" w:cs="Arial" w:eastAsia="Arial" w:hAnsi="Arial"/>
                <w:sz w:val="14"/>
                <w:szCs w:val="14"/>
                <w:i w:val="1"/>
                <w:iCs w:val="1"/>
                <w:color w:val="auto"/>
              </w:rPr>
              <w:t>Chief Communications Officer</w:t>
            </w:r>
          </w:p>
        </w:tc>
        <w:tc>
          <w:tcPr>
            <w:tcW w:w="3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2240" w:h="15668" w:orient="portrait"/>
          <w:cols w:equalWidth="0" w:num="1">
            <w:col w:w="12160"/>
          </w:cols>
          <w:pgMar w:left="0" w:top="9" w:right="85" w:bottom="0" w:gutter="0" w:footer="0" w:header="0"/>
          <w:type w:val="continuous"/>
        </w:sectPr>
      </w:pPr>
    </w:p>
    <w:p>
      <w:pPr>
        <w:spacing w:after="0" w:line="22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2025 ANNUAL MEETING</w:t>
      </w:r>
    </w:p>
    <w:p>
      <w:pPr>
        <w:spacing w:after="0" w:line="7" w:lineRule="exact"/>
        <w:rPr>
          <w:sz w:val="20"/>
          <w:szCs w:val="20"/>
          <w:color w:val="auto"/>
        </w:rPr>
      </w:pPr>
    </w:p>
    <w:p>
      <w:pPr>
        <w:jc w:val="both"/>
        <w:ind w:left="1440" w:firstLine="1"/>
        <w:spacing w:after="0" w:line="255" w:lineRule="auto"/>
        <w:rPr>
          <w:sz w:val="20"/>
          <w:szCs w:val="20"/>
          <w:color w:val="auto"/>
        </w:rPr>
      </w:pPr>
      <w:r>
        <w:rPr>
          <w:rFonts w:ascii="Arial" w:cs="Arial" w:eastAsia="Arial" w:hAnsi="Arial"/>
          <w:sz w:val="16"/>
          <w:szCs w:val="16"/>
          <w:color w:val="auto"/>
        </w:rPr>
        <w:t>The 2025 Annual Meeting of Shareholders will be held on Tuesday, May 6. at 8:30 a.m.</w:t>
      </w:r>
    </w:p>
    <w:p>
      <w:pPr>
        <w:spacing w:after="0" w:line="110"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The Hamilton</w:t>
      </w:r>
    </w:p>
    <w:p>
      <w:pPr>
        <w:spacing w:after="0" w:line="2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600 14th Street NW.</w:t>
      </w:r>
    </w:p>
    <w:p>
      <w:pPr>
        <w:spacing w:after="0" w:line="7"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Washington. DC 20005</w:t>
      </w: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STOCK TRADING</w:t>
      </w:r>
    </w:p>
    <w:p>
      <w:pPr>
        <w:spacing w:after="0" w:line="16" w:lineRule="exact"/>
        <w:rPr>
          <w:sz w:val="20"/>
          <w:szCs w:val="20"/>
          <w:color w:val="auto"/>
        </w:rPr>
      </w:pPr>
    </w:p>
    <w:p>
      <w:pPr>
        <w:jc w:val="both"/>
        <w:ind w:left="1440"/>
        <w:spacing w:after="0" w:line="264" w:lineRule="auto"/>
        <w:rPr>
          <w:sz w:val="20"/>
          <w:szCs w:val="20"/>
          <w:color w:val="auto"/>
        </w:rPr>
      </w:pPr>
      <w:r>
        <w:rPr>
          <w:rFonts w:ascii="Arial" w:cs="Arial" w:eastAsia="Arial" w:hAnsi="Arial"/>
          <w:sz w:val="16"/>
          <w:szCs w:val="16"/>
          <w:color w:val="auto"/>
        </w:rPr>
        <w:t>Graham Ho ldings Company Class B common stock is traded on the New York Stock Exchange under the symbol GHC. Class A common stock is not t raded publicly.</w:t>
      </w:r>
    </w:p>
    <w:p>
      <w:pPr>
        <w:spacing w:after="0" w:line="228"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STOCK TRANSFER AGENT AND REGISTRAR</w:t>
      </w:r>
    </w:p>
    <w:p>
      <w:pPr>
        <w:spacing w:after="0" w:line="7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General shareholder correspondence:</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Comput ershare</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PO Box 43006</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Providence. Rl 02940-3006</w:t>
      </w:r>
    </w:p>
    <w:p>
      <w:pPr>
        <w:spacing w:after="0" w:line="102"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Transfers by overnight courier:</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Comput ershare</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150 Royall Street. Suite 101</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Canton. MA 02021</w:t>
      </w:r>
    </w:p>
    <w:p>
      <w:pPr>
        <w:spacing w:after="0" w:line="227"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SHAREHOLDER INQUIRIES</w:t>
      </w:r>
    </w:p>
    <w:p>
      <w:pPr>
        <w:spacing w:after="0" w:line="26" w:lineRule="exact"/>
        <w:rPr>
          <w:sz w:val="20"/>
          <w:szCs w:val="20"/>
          <w:color w:val="auto"/>
        </w:rPr>
      </w:pPr>
    </w:p>
    <w:p>
      <w:pPr>
        <w:jc w:val="both"/>
        <w:ind w:left="1440"/>
        <w:spacing w:after="0" w:line="257" w:lineRule="auto"/>
        <w:rPr>
          <w:sz w:val="20"/>
          <w:szCs w:val="20"/>
          <w:color w:val="auto"/>
        </w:rPr>
      </w:pPr>
      <w:r>
        <w:rPr>
          <w:rFonts w:ascii="Arial" w:cs="Arial" w:eastAsia="Arial" w:hAnsi="Arial"/>
          <w:sz w:val="16"/>
          <w:szCs w:val="16"/>
          <w:color w:val="auto"/>
        </w:rPr>
        <w:t>Communications concerning transfer requirements. lost certificates. dividends and changes of address should be directed to Computershare Investor Services:</w:t>
      </w:r>
    </w:p>
    <w:p>
      <w:pPr>
        <w:ind w:left="1780"/>
        <w:spacing w:after="0" w:line="234" w:lineRule="auto"/>
        <w:tabs>
          <w:tab w:leader="none" w:pos="2240" w:val="left"/>
        </w:tabs>
        <w:rPr>
          <w:sz w:val="20"/>
          <w:szCs w:val="20"/>
          <w:color w:val="auto"/>
        </w:rPr>
      </w:pPr>
      <w:r>
        <w:rPr>
          <w:rFonts w:ascii="Arial" w:cs="Arial" w:eastAsia="Arial" w:hAnsi="Arial"/>
          <w:sz w:val="16"/>
          <w:szCs w:val="16"/>
          <w:color w:val="auto"/>
        </w:rPr>
        <w:t>Tel</w:t>
      </w:r>
      <w:r>
        <w:rPr>
          <w:sz w:val="20"/>
          <w:szCs w:val="20"/>
          <w:color w:val="auto"/>
        </w:rPr>
        <w:tab/>
      </w:r>
      <w:r>
        <w:rPr>
          <w:rFonts w:ascii="Arial" w:cs="Arial" w:eastAsia="Arial" w:hAnsi="Arial"/>
          <w:sz w:val="16"/>
          <w:szCs w:val="16"/>
          <w:color w:val="auto"/>
        </w:rPr>
        <w:t>(800) 446-2617</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(781) 575-2723</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Questions also may be sent via the website:</w:t>
      </w:r>
    </w:p>
    <w:p>
      <w:pPr>
        <w:spacing w:after="0" w:line="16"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www-us.computershare.com/investor/Contact</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FORM 10-K</w:t>
      </w:r>
    </w:p>
    <w:p>
      <w:pPr>
        <w:spacing w:after="0" w:line="7" w:lineRule="exact"/>
        <w:rPr>
          <w:sz w:val="20"/>
          <w:szCs w:val="20"/>
          <w:color w:val="auto"/>
        </w:rPr>
      </w:pPr>
    </w:p>
    <w:p>
      <w:pPr>
        <w:jc w:val="both"/>
        <w:ind w:right="1320" w:firstLine="1"/>
        <w:spacing w:after="0" w:line="263" w:lineRule="auto"/>
        <w:rPr>
          <w:sz w:val="20"/>
          <w:szCs w:val="20"/>
          <w:color w:val="auto"/>
        </w:rPr>
      </w:pPr>
      <w:r>
        <w:rPr>
          <w:rFonts w:ascii="Arial" w:cs="Arial" w:eastAsia="Arial" w:hAnsi="Arial"/>
          <w:sz w:val="16"/>
          <w:szCs w:val="16"/>
          <w:color w:val="auto"/>
        </w:rPr>
        <w:t>The Company's Form 10-K annual report to the Securities and Exchange Commission is part of this annual report to shareholders. A ll of t he Company'sSEC filings are acces· sible from the Company'swebsite. ghco.com.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COMMON STOCK PRICES AND DIVIDENDS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High and low sales prices during t he past t wo years were:</w:t>
      </w:r>
    </w:p>
    <w:p>
      <w:pPr>
        <w:spacing w:after="0" w:line="140" w:lineRule="exact"/>
        <w:rPr>
          <w:sz w:val="20"/>
          <w:szCs w:val="20"/>
          <w:color w:val="auto"/>
        </w:rPr>
      </w:pPr>
    </w:p>
    <w:p>
      <w:pPr>
        <w:ind w:left="2220"/>
        <w:spacing w:after="0"/>
        <w:tabs>
          <w:tab w:leader="none" w:pos="3760" w:val="left"/>
        </w:tabs>
        <w:rPr>
          <w:sz w:val="20"/>
          <w:szCs w:val="20"/>
          <w:color w:val="auto"/>
        </w:rPr>
      </w:pPr>
      <w:r>
        <w:rPr>
          <w:rFonts w:ascii="Times New Roman" w:cs="Times New Roman" w:eastAsia="Times New Roman" w:hAnsi="Times New Roman"/>
          <w:sz w:val="16"/>
          <w:szCs w:val="16"/>
          <w:color w:val="auto"/>
        </w:rPr>
        <w:t>2024</w:t>
      </w:r>
      <w:r>
        <w:rPr>
          <w:sz w:val="20"/>
          <w:szCs w:val="20"/>
          <w:color w:val="auto"/>
        </w:rPr>
        <w:tab/>
      </w:r>
      <w:r>
        <w:rPr>
          <w:rFonts w:ascii="Times New Roman" w:cs="Times New Roman" w:eastAsia="Times New Roman" w:hAnsi="Times New Roman"/>
          <w:sz w:val="16"/>
          <w:szCs w:val="16"/>
          <w:color w:val="auto"/>
        </w:rPr>
        <w:t>2023</w:t>
      </w:r>
    </w:p>
    <w:p>
      <w:pPr>
        <w:spacing w:after="0" w:line="188" w:lineRule="exact"/>
        <w:rPr>
          <w:sz w:val="20"/>
          <w:szCs w:val="20"/>
          <w:color w:val="auto"/>
        </w:rPr>
      </w:pPr>
    </w:p>
    <w:p>
      <w:pPr>
        <w:spacing w:after="0"/>
        <w:tabs>
          <w:tab w:leader="none" w:pos="1920" w:val="left"/>
          <w:tab w:leader="none" w:pos="2540" w:val="left"/>
          <w:tab w:leader="none" w:pos="3480" w:val="left"/>
          <w:tab w:leader="none" w:pos="4100" w:val="left"/>
        </w:tabs>
        <w:rPr>
          <w:sz w:val="20"/>
          <w:szCs w:val="20"/>
          <w:color w:val="auto"/>
        </w:rPr>
      </w:pPr>
      <w:r>
        <w:rPr>
          <w:rFonts w:ascii="Arial" w:cs="Arial" w:eastAsia="Arial" w:hAnsi="Arial"/>
          <w:sz w:val="16"/>
          <w:szCs w:val="16"/>
          <w:color w:val="auto"/>
        </w:rPr>
        <w:t>Quarter</w:t>
      </w:r>
      <w:r>
        <w:rPr>
          <w:sz w:val="20"/>
          <w:szCs w:val="20"/>
          <w:color w:val="auto"/>
        </w:rPr>
        <w:tab/>
      </w:r>
      <w:r>
        <w:rPr>
          <w:rFonts w:ascii="Arial" w:cs="Arial" w:eastAsia="Arial" w:hAnsi="Arial"/>
          <w:sz w:val="16"/>
          <w:szCs w:val="16"/>
          <w:color w:val="auto"/>
        </w:rPr>
        <w:t>High</w:t>
      </w:r>
      <w:r>
        <w:rPr>
          <w:sz w:val="20"/>
          <w:szCs w:val="20"/>
          <w:color w:val="auto"/>
        </w:rPr>
        <w:tab/>
      </w:r>
      <w:r>
        <w:rPr>
          <w:rFonts w:ascii="Arial" w:cs="Arial" w:eastAsia="Arial" w:hAnsi="Arial"/>
          <w:sz w:val="16"/>
          <w:szCs w:val="16"/>
          <w:color w:val="auto"/>
        </w:rPr>
        <w:t>Low</w:t>
      </w:r>
      <w:r>
        <w:rPr>
          <w:sz w:val="20"/>
          <w:szCs w:val="20"/>
          <w:color w:val="auto"/>
        </w:rPr>
        <w:tab/>
      </w:r>
      <w:r>
        <w:rPr>
          <w:rFonts w:ascii="Arial" w:cs="Arial" w:eastAsia="Arial" w:hAnsi="Arial"/>
          <w:sz w:val="16"/>
          <w:szCs w:val="16"/>
          <w:color w:val="auto"/>
        </w:rPr>
        <w:t>High</w:t>
      </w:r>
      <w:r>
        <w:rPr>
          <w:sz w:val="20"/>
          <w:szCs w:val="20"/>
          <w:color w:val="auto"/>
        </w:rPr>
        <w:tab/>
      </w:r>
      <w:r>
        <w:rPr>
          <w:rFonts w:ascii="Arial" w:cs="Arial" w:eastAsia="Arial" w:hAnsi="Arial"/>
          <w:sz w:val="16"/>
          <w:szCs w:val="16"/>
          <w:color w:val="auto"/>
        </w:rPr>
        <w:t>Low</w:t>
      </w:r>
    </w:p>
    <w:p>
      <w:pPr>
        <w:spacing w:after="0" w:line="178" w:lineRule="exact"/>
        <w:rPr>
          <w:sz w:val="20"/>
          <w:szCs w:val="20"/>
          <w:color w:val="auto"/>
        </w:rPr>
      </w:pPr>
    </w:p>
    <w:p>
      <w:pPr>
        <w:spacing w:after="0"/>
        <w:tabs>
          <w:tab w:leader="none" w:pos="1920" w:val="left"/>
          <w:tab w:leader="none" w:pos="2500" w:val="left"/>
          <w:tab w:leader="none" w:pos="3480" w:val="left"/>
          <w:tab w:leader="none" w:pos="4080" w:val="left"/>
        </w:tabs>
        <w:rPr>
          <w:sz w:val="20"/>
          <w:szCs w:val="20"/>
          <w:color w:val="auto"/>
        </w:rPr>
      </w:pPr>
      <w:r>
        <w:rPr>
          <w:rFonts w:ascii="Arial" w:cs="Arial" w:eastAsia="Arial" w:hAnsi="Arial"/>
          <w:sz w:val="16"/>
          <w:szCs w:val="16"/>
          <w:color w:val="auto"/>
        </w:rPr>
        <w:t>January - March</w:t>
      </w:r>
      <w:r>
        <w:rPr>
          <w:sz w:val="20"/>
          <w:szCs w:val="20"/>
          <w:color w:val="auto"/>
        </w:rPr>
        <w:tab/>
      </w:r>
      <w:r>
        <w:rPr>
          <w:rFonts w:ascii="Arial" w:cs="Arial" w:eastAsia="Arial" w:hAnsi="Arial"/>
          <w:sz w:val="16"/>
          <w:szCs w:val="16"/>
          <w:color w:val="auto"/>
        </w:rPr>
        <w:t>$768</w:t>
        <w:tab/>
        <w:t>$663</w:t>
      </w:r>
      <w:r>
        <w:rPr>
          <w:sz w:val="20"/>
          <w:szCs w:val="20"/>
          <w:color w:val="auto"/>
        </w:rPr>
        <w:tab/>
      </w:r>
      <w:r>
        <w:rPr>
          <w:rFonts w:ascii="Arial" w:cs="Arial" w:eastAsia="Arial" w:hAnsi="Arial"/>
          <w:sz w:val="16"/>
          <w:szCs w:val="16"/>
          <w:color w:val="auto"/>
        </w:rPr>
        <w:t>$682</w:t>
        <w:tab/>
        <w:t>$545</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400" w:type="dxa"/>
            <w:vAlign w:val="bottom"/>
          </w:tcPr>
          <w:p>
            <w:pPr>
              <w:spacing w:after="0"/>
              <w:rPr>
                <w:sz w:val="20"/>
                <w:szCs w:val="20"/>
                <w:color w:val="auto"/>
              </w:rPr>
            </w:pPr>
            <w:r>
              <w:rPr>
                <w:rFonts w:ascii="Arial" w:cs="Arial" w:eastAsia="Arial" w:hAnsi="Arial"/>
                <w:sz w:val="16"/>
                <w:szCs w:val="16"/>
                <w:color w:val="auto"/>
              </w:rPr>
              <w:t>April-June</w:t>
            </w:r>
          </w:p>
        </w:tc>
        <w:tc>
          <w:tcPr>
            <w:tcW w:w="1020" w:type="dxa"/>
            <w:vAlign w:val="bottom"/>
          </w:tcPr>
          <w:p>
            <w:pPr>
              <w:jc w:val="right"/>
              <w:ind w:right="21"/>
              <w:spacing w:after="0"/>
              <w:rPr>
                <w:sz w:val="20"/>
                <w:szCs w:val="20"/>
                <w:color w:val="auto"/>
              </w:rPr>
            </w:pPr>
            <w:r>
              <w:rPr>
                <w:rFonts w:ascii="Arial" w:cs="Arial" w:eastAsia="Arial" w:hAnsi="Arial"/>
                <w:sz w:val="16"/>
                <w:szCs w:val="16"/>
                <w:color w:val="auto"/>
              </w:rPr>
              <w:t>$779</w:t>
            </w:r>
          </w:p>
        </w:tc>
        <w:tc>
          <w:tcPr>
            <w:tcW w:w="780" w:type="dxa"/>
            <w:vAlign w:val="bottom"/>
          </w:tcPr>
          <w:p>
            <w:pPr>
              <w:jc w:val="right"/>
              <w:ind w:right="201"/>
              <w:spacing w:after="0"/>
              <w:rPr>
                <w:sz w:val="20"/>
                <w:szCs w:val="20"/>
                <w:color w:val="auto"/>
              </w:rPr>
            </w:pPr>
            <w:r>
              <w:rPr>
                <w:rFonts w:ascii="Arial" w:cs="Arial" w:eastAsia="Arial" w:hAnsi="Arial"/>
                <w:sz w:val="16"/>
                <w:szCs w:val="16"/>
                <w:color w:val="auto"/>
              </w:rPr>
              <w:t>$688</w:t>
            </w:r>
          </w:p>
        </w:tc>
        <w:tc>
          <w:tcPr>
            <w:tcW w:w="800" w:type="dxa"/>
            <w:vAlign w:val="bottom"/>
          </w:tcPr>
          <w:p>
            <w:pPr>
              <w:jc w:val="right"/>
              <w:ind w:right="41"/>
              <w:spacing w:after="0"/>
              <w:rPr>
                <w:sz w:val="20"/>
                <w:szCs w:val="20"/>
                <w:color w:val="auto"/>
              </w:rPr>
            </w:pPr>
            <w:r>
              <w:rPr>
                <w:rFonts w:ascii="Arial" w:cs="Arial" w:eastAsia="Arial" w:hAnsi="Arial"/>
                <w:sz w:val="16"/>
                <w:szCs w:val="16"/>
                <w:color w:val="auto"/>
              </w:rPr>
              <w:t>$604</w:t>
            </w:r>
          </w:p>
        </w:tc>
        <w:tc>
          <w:tcPr>
            <w:tcW w:w="480" w:type="dxa"/>
            <w:vAlign w:val="bottom"/>
          </w:tcPr>
          <w:p>
            <w:pPr>
              <w:jc w:val="right"/>
              <w:spacing w:after="0"/>
              <w:rPr>
                <w:sz w:val="20"/>
                <w:szCs w:val="20"/>
                <w:color w:val="auto"/>
              </w:rPr>
            </w:pPr>
            <w:r>
              <w:rPr>
                <w:rFonts w:ascii="Arial" w:cs="Arial" w:eastAsia="Arial" w:hAnsi="Arial"/>
                <w:sz w:val="16"/>
                <w:szCs w:val="16"/>
                <w:color w:val="auto"/>
              </w:rPr>
              <w:t>$557</w:t>
            </w:r>
          </w:p>
        </w:tc>
      </w:tr>
    </w:tbl>
    <w:p>
      <w:pPr>
        <w:spacing w:after="0" w:line="169" w:lineRule="exact"/>
        <w:rPr>
          <w:sz w:val="20"/>
          <w:szCs w:val="20"/>
          <w:color w:val="auto"/>
        </w:rPr>
      </w:pPr>
    </w:p>
    <w:p>
      <w:pPr>
        <w:spacing w:after="0"/>
        <w:tabs>
          <w:tab w:leader="none" w:pos="1920" w:val="left"/>
          <w:tab w:leader="none" w:pos="2520" w:val="left"/>
          <w:tab w:leader="none" w:pos="3460" w:val="left"/>
          <w:tab w:leader="none" w:pos="4080" w:val="left"/>
        </w:tabs>
        <w:rPr>
          <w:sz w:val="20"/>
          <w:szCs w:val="20"/>
          <w:color w:val="auto"/>
        </w:rPr>
      </w:pPr>
      <w:r>
        <w:rPr>
          <w:rFonts w:ascii="Arial" w:cs="Arial" w:eastAsia="Arial" w:hAnsi="Arial"/>
          <w:sz w:val="16"/>
          <w:szCs w:val="16"/>
          <w:color w:val="auto"/>
        </w:rPr>
        <w:t>July- September</w:t>
      </w:r>
      <w:r>
        <w:rPr>
          <w:sz w:val="20"/>
          <w:szCs w:val="20"/>
          <w:color w:val="auto"/>
        </w:rPr>
        <w:tab/>
      </w:r>
      <w:r>
        <w:rPr>
          <w:rFonts w:ascii="Arial" w:cs="Arial" w:eastAsia="Arial" w:hAnsi="Arial"/>
          <w:sz w:val="16"/>
          <w:szCs w:val="16"/>
          <w:color w:val="auto"/>
        </w:rPr>
        <w:t>$822</w:t>
        <w:tab/>
        <w:t>$683</w:t>
      </w:r>
      <w:r>
        <w:rPr>
          <w:sz w:val="20"/>
          <w:szCs w:val="20"/>
          <w:color w:val="auto"/>
        </w:rPr>
        <w:tab/>
      </w:r>
      <w:r>
        <w:rPr>
          <w:rFonts w:ascii="Arial" w:cs="Arial" w:eastAsia="Arial" w:hAnsi="Arial"/>
          <w:sz w:val="16"/>
          <w:szCs w:val="16"/>
          <w:color w:val="auto"/>
        </w:rPr>
        <w:t>$606</w:t>
        <w:tab/>
        <w:t>$551</w:t>
      </w:r>
    </w:p>
    <w:p>
      <w:pPr>
        <w:spacing w:after="0" w:line="188" w:lineRule="exact"/>
        <w:rPr>
          <w:sz w:val="20"/>
          <w:szCs w:val="20"/>
          <w:color w:val="auto"/>
        </w:rPr>
      </w:pPr>
    </w:p>
    <w:p>
      <w:pPr>
        <w:spacing w:after="0"/>
        <w:tabs>
          <w:tab w:leader="none" w:pos="1940" w:val="left"/>
          <w:tab w:leader="none" w:pos="2520" w:val="left"/>
          <w:tab w:leader="none" w:pos="3460" w:val="left"/>
          <w:tab w:leader="none" w:pos="4080" w:val="left"/>
        </w:tabs>
        <w:rPr>
          <w:sz w:val="20"/>
          <w:szCs w:val="20"/>
          <w:color w:val="auto"/>
        </w:rPr>
      </w:pPr>
      <w:r>
        <w:rPr>
          <w:rFonts w:ascii="Arial" w:cs="Arial" w:eastAsia="Arial" w:hAnsi="Arial"/>
          <w:sz w:val="16"/>
          <w:szCs w:val="16"/>
          <w:color w:val="auto"/>
        </w:rPr>
        <w:t>O ctober-December</w:t>
      </w:r>
      <w:r>
        <w:rPr>
          <w:sz w:val="20"/>
          <w:szCs w:val="20"/>
          <w:color w:val="auto"/>
        </w:rPr>
        <w:tab/>
      </w:r>
      <w:r>
        <w:rPr>
          <w:rFonts w:ascii="Arial" w:cs="Arial" w:eastAsia="Arial" w:hAnsi="Arial"/>
          <w:sz w:val="16"/>
          <w:szCs w:val="16"/>
          <w:color w:val="auto"/>
        </w:rPr>
        <w:t>$974</w:t>
        <w:tab/>
        <w:t>$770</w:t>
      </w:r>
      <w:r>
        <w:rPr>
          <w:sz w:val="20"/>
          <w:szCs w:val="20"/>
          <w:color w:val="auto"/>
        </w:rPr>
        <w:tab/>
      </w:r>
      <w:r>
        <w:rPr>
          <w:rFonts w:ascii="Arial" w:cs="Arial" w:eastAsia="Arial" w:hAnsi="Arial"/>
          <w:sz w:val="16"/>
          <w:szCs w:val="16"/>
          <w:color w:val="auto"/>
        </w:rPr>
        <w:t>$702</w:t>
        <w:tab/>
        <w:t>$553</w:t>
      </w:r>
    </w:p>
    <w:p>
      <w:pPr>
        <w:spacing w:after="0" w:line="336" w:lineRule="exact"/>
        <w:rPr>
          <w:sz w:val="20"/>
          <w:szCs w:val="20"/>
          <w:color w:val="auto"/>
        </w:rPr>
      </w:pPr>
    </w:p>
    <w:p>
      <w:pPr>
        <w:jc w:val="both"/>
        <w:ind w:right="1360"/>
        <w:spacing w:after="0" w:line="256" w:lineRule="auto"/>
        <w:rPr>
          <w:sz w:val="20"/>
          <w:szCs w:val="20"/>
          <w:color w:val="auto"/>
        </w:rPr>
      </w:pPr>
      <w:r>
        <w:rPr>
          <w:rFonts w:ascii="Arial" w:cs="Arial" w:eastAsia="Arial" w:hAnsi="Arial"/>
          <w:sz w:val="16"/>
          <w:szCs w:val="16"/>
          <w:color w:val="auto"/>
        </w:rPr>
        <w:t>Class A and Class B common stock participate equally as to dividends. Quarterly dividends were paid at the rate of $1.72 per share in 2024. $1.65 per share in 2023. and $1.58 per share in 2022. At January 31, 2025, t here were 27 Class A and 309 Class B registered shareholders.</w:t>
      </w:r>
    </w:p>
    <w:p>
      <w:pPr>
        <w:spacing w:after="0" w:line="1318" w:lineRule="exact"/>
        <w:rPr>
          <w:sz w:val="20"/>
          <w:szCs w:val="20"/>
          <w:color w:val="auto"/>
        </w:rPr>
      </w:pPr>
    </w:p>
    <w:p>
      <w:pPr>
        <w:sectPr>
          <w:pgSz w:w="12240" w:h="15668" w:orient="portrait"/>
          <w:cols w:equalWidth="0" w:num="2">
            <w:col w:w="5840" w:space="460"/>
            <w:col w:w="5860"/>
          </w:cols>
          <w:pgMar w:left="0" w:top="9" w:right="85" w:bottom="0" w:gutter="0" w:footer="0" w:header="0"/>
          <w:type w:val="continuous"/>
        </w:sectPr>
      </w:pPr>
    </w:p>
    <w:p>
      <w:pPr>
        <w:ind w:left="6480"/>
        <w:spacing w:after="0"/>
        <w:rPr>
          <w:sz w:val="20"/>
          <w:szCs w:val="20"/>
          <w:color w:val="auto"/>
        </w:rPr>
      </w:pPr>
      <w:r>
        <w:rPr>
          <w:rFonts w:ascii="Arial" w:cs="Arial" w:eastAsia="Arial" w:hAnsi="Arial"/>
          <w:sz w:val="12"/>
          <w:szCs w:val="12"/>
          <w:color w:val="auto"/>
        </w:rPr>
        <w:t>Design: V IVO Design, Inc .  Printing: Mo unt Verno n Printing Com pany</w:t>
      </w:r>
    </w:p>
    <w:p>
      <w:pPr>
        <w:sectPr>
          <w:pgSz w:w="12240" w:h="15668" w:orient="portrait"/>
          <w:cols w:equalWidth="0" w:num="1">
            <w:col w:w="12160"/>
          </w:cols>
          <w:pgMar w:left="0" w:top="9" w:right="85" w:bottom="0" w:gutter="0" w:footer="0" w:header="0"/>
          <w:type w:val="continuous"/>
        </w:sectPr>
      </w:pPr>
    </w:p>
    <w:bookmarkStart w:id="171" w:name="page172"/>
    <w:bookmarkEnd w:id="1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775575" cy="994918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79">
                      <a:clrChange>
                        <a:clrFrom>
                          <a:srgbClr val="FFFFFF"/>
                        </a:clrFrom>
                        <a:clrTo>
                          <a:srgbClr val="FFFFFF">
                            <a:alpha val="0"/>
                          </a:srgbClr>
                        </a:clrTo>
                      </a:clrChange>
                      <a:extLst>
                        <a:ext uri="{28A0092B-C50C-407E-A947-70E740481C1C}"/>
                      </a:extLst>
                    </a:blip>
                    <a:srcRect/>
                    <a:stretch>
                      <a:fillRect/>
                    </a:stretch>
                  </pic:blipFill>
                  <pic:spPr bwMode="auto">
                    <a:xfrm>
                      <a:off x="0" y="0"/>
                      <a:ext cx="7775575" cy="9949180"/>
                    </a:xfrm>
                    <a:prstGeom prst="rect">
                      <a:avLst/>
                    </a:prstGeom>
                    <a:noFill/>
                  </pic:spPr>
                </pic:pic>
              </a:graphicData>
            </a:graphic>
          </wp:anchor>
        </w:drawing>
      </w:r>
    </w:p>
    <w:sectPr>
      <w:pgSz w:w="12240" w:h="1566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84A481A"/>
    <w:multiLevelType w:val="hybridMultilevel"/>
    <w:lvl w:ilvl="0">
      <w:lvlJc w:val="left"/>
      <w:lvlText w:val="•"/>
      <w:numFmt w:val="bullet"/>
      <w:start w:val="1"/>
    </w:lvl>
  </w:abstractNum>
  <w:abstractNum w:abstractNumId="1">
    <w:nsid w:val="579478FE"/>
    <w:multiLevelType w:val="hybridMultilevel"/>
    <w:lvl w:ilvl="0">
      <w:lvlJc w:val="left"/>
      <w:lvlText w:val="•"/>
      <w:numFmt w:val="bullet"/>
      <w:start w:val="1"/>
    </w:lvl>
  </w:abstractNum>
  <w:abstractNum w:abstractNumId="2">
    <w:nsid w:val="749ABB43"/>
    <w:multiLevelType w:val="hybridMultilevel"/>
    <w:lvl w:ilvl="0">
      <w:lvlJc w:val="left"/>
      <w:lvlText w:val="%1"/>
      <w:numFmt w:val="decimal"/>
      <w:start w:val="2"/>
    </w:lvl>
  </w:abstractNum>
  <w:abstractNum w:abstractNumId="3">
    <w:nsid w:val="3DC240FB"/>
    <w:multiLevelType w:val="hybridMultilevel"/>
    <w:lvl w:ilvl="0">
      <w:lvlJc w:val="left"/>
      <w:lvlText w:val="•"/>
      <w:numFmt w:val="bullet"/>
      <w:start w:val="1"/>
    </w:lvl>
    <w:lvl w:ilvl="1">
      <w:lvlJc w:val="left"/>
      <w:lvlText w:val="%2"/>
      <w:numFmt w:val="upperLetter"/>
      <w:start w:val="1"/>
    </w:lvl>
  </w:abstractNum>
  <w:abstractNum w:abstractNumId="4">
    <w:nsid w:val="1BA026FA"/>
    <w:multiLevelType w:val="hybridMultilevel"/>
    <w:lvl w:ilvl="0">
      <w:lvlJc w:val="left"/>
      <w:lvlText w:val="•"/>
      <w:numFmt w:val="bullet"/>
      <w:start w:val="1"/>
    </w:lvl>
  </w:abstractNum>
  <w:abstractNum w:abstractNumId="5">
    <w:nsid w:val="79A1DEAA"/>
    <w:multiLevelType w:val="hybridMultilevel"/>
    <w:lvl w:ilvl="0">
      <w:lvlJc w:val="left"/>
      <w:lvlText w:val="%1"/>
      <w:numFmt w:val="decimal"/>
      <w:start w:val="4"/>
    </w:lvl>
  </w:abstractNum>
  <w:abstractNum w:abstractNumId="6">
    <w:nsid w:val="75C6C33A"/>
    <w:multiLevelType w:val="hybridMultilevel"/>
    <w:lvl w:ilvl="0">
      <w:lvlJc w:val="left"/>
      <w:lvlText w:val="%1"/>
      <w:numFmt w:val="decimal"/>
      <w:start w:val="6"/>
    </w:lvl>
  </w:abstractNum>
  <w:abstractNum w:abstractNumId="7">
    <w:nsid w:val="12E685FB"/>
    <w:multiLevelType w:val="hybridMultilevel"/>
    <w:lvl w:ilvl="0">
      <w:lvlJc w:val="left"/>
      <w:lvlText w:val="%1"/>
      <w:numFmt w:val="decimal"/>
      <w:start w:val="8"/>
    </w:lvl>
  </w:abstractNum>
  <w:abstractNum w:abstractNumId="8">
    <w:nsid w:val="70C6A529"/>
    <w:multiLevelType w:val="hybridMultilevel"/>
    <w:lvl w:ilvl="0">
      <w:lvlJc w:val="left"/>
      <w:lvlText w:val="%1"/>
      <w:numFmt w:val="upperLetter"/>
      <w:start w:val="7"/>
    </w:lvl>
  </w:abstractNum>
  <w:abstractNum w:abstractNumId="9">
    <w:nsid w:val="520EEDD1"/>
    <w:multiLevelType w:val="hybridMultilevel"/>
    <w:lvl w:ilvl="0">
      <w:lvlJc w:val="left"/>
      <w:lvlText w:val="%1"/>
      <w:numFmt w:val="decimal"/>
      <w:start w:val="10"/>
    </w:lvl>
  </w:abstractNum>
  <w:abstractNum w:abstractNumId="10">
    <w:nsid w:val="374A3FE6"/>
    <w:multiLevelType w:val="hybridMultilevel"/>
    <w:lvl w:ilvl="0">
      <w:lvlJc w:val="left"/>
      <w:lvlText w:val="%1"/>
      <w:numFmt w:val="lowerLetter"/>
      <w:start w:val="1"/>
    </w:lvl>
  </w:abstractNum>
  <w:abstractNum w:abstractNumId="11">
    <w:nsid w:val="4F4EF005"/>
    <w:multiLevelType w:val="hybridMultilevel"/>
    <w:lvl w:ilvl="0">
      <w:lvlJc w:val="left"/>
      <w:lvlText w:val="[%1]"/>
      <w:numFmt w:val="lowerLetter"/>
      <w:start w:val="7"/>
    </w:lvl>
  </w:abstractNum>
  <w:abstractNum w:abstractNumId="12">
    <w:nsid w:val="23F9C13C"/>
    <w:multiLevelType w:val="hybridMultilevel"/>
    <w:lvl w:ilvl="0">
      <w:lvlJc w:val="left"/>
      <w:lvlText w:val="%1"/>
      <w:numFmt w:val="decimal"/>
      <w:start w:val="6"/>
    </w:lvl>
  </w:abstractNum>
  <w:abstractNum w:abstractNumId="13">
    <w:nsid w:val="649BB77C"/>
    <w:multiLevelType w:val="hybridMultilevel"/>
    <w:lvl w:ilvl="0">
      <w:lvlJc w:val="left"/>
      <w:lvlText w:val="•"/>
      <w:numFmt w:val="bullet"/>
      <w:start w:val="1"/>
    </w:lvl>
  </w:abstractNum>
  <w:abstractNum w:abstractNumId="14">
    <w:nsid w:val="275AC794"/>
    <w:multiLevelType w:val="hybridMultilevel"/>
    <w:lvl w:ilvl="0">
      <w:lvlJc w:val="left"/>
      <w:lvlText w:val="(%1)"/>
      <w:numFmt w:val="lowerLetter"/>
      <w:start w:val="1"/>
    </w:lvl>
  </w:abstractNum>
  <w:abstractNum w:abstractNumId="15">
    <w:nsid w:val="39386575"/>
    <w:multiLevelType w:val="hybridMultilevel"/>
    <w:lvl w:ilvl="0">
      <w:lvlJc w:val="left"/>
      <w:lvlText w:val="%1"/>
      <w:numFmt w:val="decimal"/>
      <w:start w:val="14"/>
    </w:lvl>
  </w:abstractNum>
  <w:abstractNum w:abstractNumId="16">
    <w:nsid w:val="1CF10FD8"/>
    <w:multiLevelType w:val="hybridMultilevel"/>
    <w:lvl w:ilvl="0">
      <w:lvlJc w:val="left"/>
      <w:lvlText w:val="%1"/>
      <w:numFmt w:val="decimal"/>
      <w:start w:val="16"/>
    </w:lvl>
  </w:abstractNum>
  <w:abstractNum w:abstractNumId="17">
    <w:nsid w:val="180115BE"/>
    <w:multiLevelType w:val="hybridMultilevel"/>
    <w:lvl w:ilvl="0">
      <w:lvlJc w:val="left"/>
      <w:lvlText w:val="%1)"/>
      <w:numFmt w:val="decimal"/>
      <w:start w:val="6"/>
    </w:lvl>
  </w:abstractNum>
  <w:abstractNum w:abstractNumId="18">
    <w:nsid w:val="235BA861"/>
    <w:multiLevelType w:val="hybridMultilevel"/>
    <w:lvl w:ilvl="0">
      <w:lvlJc w:val="left"/>
      <w:lvlText w:val="%1"/>
      <w:numFmt w:val="decimal"/>
      <w:start w:val="22"/>
    </w:lvl>
  </w:abstractNum>
  <w:abstractNum w:abstractNumId="19">
    <w:nsid w:val="47398C89"/>
    <w:multiLevelType w:val="hybridMultilevel"/>
    <w:lvl w:ilvl="0">
      <w:lvlJc w:val="left"/>
      <w:lvlText w:val="%1"/>
      <w:numFmt w:val="decimal"/>
      <w:start w:val="30"/>
    </w:lvl>
  </w:abstractNum>
  <w:abstractNum w:abstractNumId="20">
    <w:nsid w:val="354FE9F9"/>
    <w:multiLevelType w:val="hybridMultilevel"/>
    <w:lvl w:ilvl="0">
      <w:lvlJc w:val="left"/>
      <w:lvlText w:val="•"/>
      <w:numFmt w:val="bullet"/>
      <w:start w:val="1"/>
    </w:lvl>
  </w:abstractNum>
  <w:abstractNum w:abstractNumId="21">
    <w:nsid w:val="15B5AF5C"/>
    <w:multiLevelType w:val="hybridMultilevel"/>
    <w:lvl w:ilvl="0">
      <w:lvlJc w:val="left"/>
      <w:lvlText w:val="•"/>
      <w:numFmt w:val="bullet"/>
      <w:start w:val="1"/>
    </w:lvl>
  </w:abstractNum>
  <w:abstractNum w:abstractNumId="22">
    <w:nsid w:val="741226BB"/>
    <w:multiLevelType w:val="hybridMultilevel"/>
    <w:lvl w:ilvl="0">
      <w:lvlJc w:val="left"/>
      <w:lvlText w:val="%1"/>
      <w:numFmt w:val="decimal"/>
      <w:start w:val="32"/>
    </w:lvl>
  </w:abstractNum>
  <w:abstractNum w:abstractNumId="23">
    <w:nsid w:val="D34B6A8"/>
    <w:multiLevelType w:val="hybridMultilevel"/>
    <w:lvl w:ilvl="0">
      <w:lvlJc w:val="left"/>
      <w:lvlText w:val="•"/>
      <w:numFmt w:val="bullet"/>
      <w:start w:val="1"/>
    </w:lvl>
  </w:abstractNum>
  <w:abstractNum w:abstractNumId="24">
    <w:nsid w:val="10233C99"/>
    <w:multiLevelType w:val="hybridMultilevel"/>
    <w:lvl w:ilvl="0">
      <w:lvlJc w:val="left"/>
      <w:lvlText w:val="•"/>
      <w:numFmt w:val="bullet"/>
      <w:start w:val="1"/>
    </w:lvl>
  </w:abstractNum>
  <w:abstractNum w:abstractNumId="25">
    <w:nsid w:val="3F6AB60F"/>
    <w:multiLevelType w:val="hybridMultilevel"/>
    <w:lvl w:ilvl="0">
      <w:lvlJc w:val="left"/>
      <w:lvlText w:val="•"/>
      <w:numFmt w:val="bullet"/>
      <w:start w:val="1"/>
    </w:lvl>
  </w:abstractNum>
  <w:abstractNum w:abstractNumId="26">
    <w:nsid w:val="61574095"/>
    <w:multiLevelType w:val="hybridMultilevel"/>
    <w:lvl w:ilvl="0">
      <w:lvlJc w:val="left"/>
      <w:lvlText w:val="•"/>
      <w:numFmt w:val="bullet"/>
      <w:start w:val="1"/>
    </w:lvl>
  </w:abstractNum>
  <w:abstractNum w:abstractNumId="27">
    <w:nsid w:val="7E0C57B1"/>
    <w:multiLevelType w:val="hybridMultilevel"/>
    <w:lvl w:ilvl="0">
      <w:lvlJc w:val="left"/>
      <w:lvlText w:val="•"/>
      <w:numFmt w:val="bullet"/>
      <w:start w:val="1"/>
    </w:lvl>
  </w:abstractNum>
  <w:abstractNum w:abstractNumId="28">
    <w:nsid w:val="77AE35EB"/>
    <w:multiLevelType w:val="hybridMultilevel"/>
    <w:lvl w:ilvl="0">
      <w:lvlJc w:val="left"/>
      <w:lvlText w:val="•"/>
      <w:numFmt w:val="bullet"/>
      <w:start w:val="1"/>
    </w:lvl>
  </w:abstractNum>
  <w:abstractNum w:abstractNumId="29">
    <w:nsid w:val="579BE4F1"/>
    <w:multiLevelType w:val="hybridMultilevel"/>
    <w:lvl w:ilvl="0">
      <w:lvlJc w:val="left"/>
      <w:lvlText w:val="%1"/>
      <w:numFmt w:val="decimal"/>
      <w:start w:val="38"/>
    </w:lvl>
  </w:abstractNum>
  <w:abstractNum w:abstractNumId="30">
    <w:nsid w:val="310C50B3"/>
    <w:multiLevelType w:val="hybridMultilevel"/>
    <w:lvl w:ilvl="0">
      <w:lvlJc w:val="left"/>
      <w:lvlText w:val="•"/>
      <w:numFmt w:val="bullet"/>
      <w:start w:val="1"/>
    </w:lvl>
  </w:abstractNum>
  <w:abstractNum w:abstractNumId="31">
    <w:nsid w:val="5FF87E05"/>
    <w:multiLevelType w:val="hybridMultilevel"/>
    <w:lvl w:ilvl="0">
      <w:lvlJc w:val="left"/>
      <w:lvlText w:val="•"/>
      <w:numFmt w:val="bullet"/>
      <w:start w:val="1"/>
    </w:lvl>
  </w:abstractNum>
  <w:abstractNum w:abstractNumId="32">
    <w:nsid w:val="2F305DEF"/>
    <w:multiLevelType w:val="hybridMultilevel"/>
    <w:lvl w:ilvl="0">
      <w:lvlJc w:val="left"/>
      <w:lvlText w:val="•"/>
      <w:numFmt w:val="bullet"/>
      <w:start w:val="1"/>
    </w:lvl>
  </w:abstractNum>
  <w:abstractNum w:abstractNumId="33">
    <w:nsid w:val="25A70BF7"/>
    <w:multiLevelType w:val="hybridMultilevel"/>
    <w:lvl w:ilvl="0">
      <w:lvlJc w:val="left"/>
      <w:lvlText w:val="•"/>
      <w:numFmt w:val="bullet"/>
      <w:start w:val="1"/>
    </w:lvl>
  </w:abstractNum>
  <w:abstractNum w:abstractNumId="34">
    <w:nsid w:val="1DBABF00"/>
    <w:multiLevelType w:val="hybridMultilevel"/>
    <w:lvl w:ilvl="0">
      <w:lvlJc w:val="left"/>
      <w:lvlText w:val="•"/>
      <w:numFmt w:val="bullet"/>
      <w:start w:val="1"/>
    </w:lvl>
  </w:abstractNum>
  <w:abstractNum w:abstractNumId="35">
    <w:nsid w:val="4AD084E9"/>
    <w:multiLevelType w:val="hybridMultilevel"/>
    <w:lvl w:ilvl="0">
      <w:lvlJc w:val="left"/>
      <w:lvlText w:val="•"/>
      <w:numFmt w:val="bullet"/>
      <w:start w:val="1"/>
    </w:lvl>
  </w:abstractNum>
  <w:abstractNum w:abstractNumId="36">
    <w:nsid w:val="1F48EAA1"/>
    <w:multiLevelType w:val="hybridMultilevel"/>
    <w:lvl w:ilvl="0">
      <w:lvlJc w:val="left"/>
      <w:lvlText w:val="•"/>
      <w:numFmt w:val="bullet"/>
      <w:start w:val="1"/>
    </w:lvl>
  </w:abstractNum>
  <w:abstractNum w:abstractNumId="37">
    <w:nsid w:val="1381823A"/>
    <w:multiLevelType w:val="hybridMultilevel"/>
    <w:lvl w:ilvl="0">
      <w:lvlJc w:val="left"/>
      <w:lvlText w:val="•"/>
      <w:numFmt w:val="bullet"/>
      <w:start w:val="1"/>
    </w:lvl>
  </w:abstractNum>
  <w:abstractNum w:abstractNumId="38">
    <w:nsid w:val="5DB70AE5"/>
    <w:multiLevelType w:val="hybridMultilevel"/>
    <w:lvl w:ilvl="0">
      <w:lvlJc w:val="left"/>
      <w:lvlText w:val="•"/>
      <w:numFmt w:val="bullet"/>
      <w:start w:val="1"/>
    </w:lvl>
  </w:abstractNum>
  <w:abstractNum w:abstractNumId="39">
    <w:nsid w:val="100F8FCA"/>
    <w:multiLevelType w:val="hybridMultilevel"/>
    <w:lvl w:ilvl="0">
      <w:lvlJc w:val="left"/>
      <w:lvlText w:val="•"/>
      <w:numFmt w:val="bullet"/>
      <w:start w:val="1"/>
    </w:lvl>
  </w:abstractNum>
  <w:abstractNum w:abstractNumId="40">
    <w:nsid w:val="6590700B"/>
    <w:multiLevelType w:val="hybridMultilevel"/>
    <w:lvl w:ilvl="0">
      <w:lvlJc w:val="left"/>
      <w:lvlText w:val="•"/>
      <w:numFmt w:val="bullet"/>
      <w:start w:val="1"/>
    </w:lvl>
  </w:abstractNum>
  <w:abstractNum w:abstractNumId="41">
    <w:nsid w:val="15014ACB"/>
    <w:multiLevelType w:val="hybridMultilevel"/>
    <w:lvl w:ilvl="0">
      <w:lvlJc w:val="left"/>
      <w:lvlText w:val="•"/>
      <w:numFmt w:val="bullet"/>
      <w:start w:val="1"/>
    </w:lvl>
  </w:abstractNum>
  <w:abstractNum w:abstractNumId="42">
    <w:nsid w:val="5F5E7FD0"/>
    <w:multiLevelType w:val="hybridMultilevel"/>
    <w:lvl w:ilvl="0">
      <w:lvlJc w:val="left"/>
      <w:lvlText w:val="•"/>
      <w:numFmt w:val="bullet"/>
      <w:start w:val="1"/>
    </w:lvl>
  </w:abstractNum>
  <w:abstractNum w:abstractNumId="43">
    <w:nsid w:val="98A3148"/>
    <w:multiLevelType w:val="hybridMultilevel"/>
    <w:lvl w:ilvl="0">
      <w:lvlJc w:val="left"/>
      <w:lvlText w:val="•"/>
      <w:numFmt w:val="bullet"/>
      <w:start w:val="1"/>
    </w:lvl>
  </w:abstractNum>
  <w:abstractNum w:abstractNumId="44">
    <w:nsid w:val="799D0247"/>
    <w:multiLevelType w:val="hybridMultilevel"/>
    <w:lvl w:ilvl="0">
      <w:lvlJc w:val="left"/>
      <w:lvlText w:val="•"/>
      <w:numFmt w:val="bullet"/>
      <w:start w:val="1"/>
    </w:lvl>
  </w:abstractNum>
  <w:abstractNum w:abstractNumId="45">
    <w:nsid w:val="6B94764"/>
    <w:multiLevelType w:val="hybridMultilevel"/>
    <w:lvl w:ilvl="0">
      <w:lvlJc w:val="left"/>
      <w:lvlText w:val="•"/>
      <w:numFmt w:val="bullet"/>
      <w:start w:val="1"/>
    </w:lvl>
  </w:abstractNum>
  <w:abstractNum w:abstractNumId="46">
    <w:nsid w:val="42C296BD"/>
    <w:multiLevelType w:val="hybridMultilevel"/>
    <w:lvl w:ilvl="0">
      <w:lvlJc w:val="left"/>
      <w:lvlText w:val="•"/>
      <w:numFmt w:val="bullet"/>
      <w:start w:val="1"/>
    </w:lvl>
  </w:abstractNum>
  <w:abstractNum w:abstractNumId="47">
    <w:nsid w:val="168E121F"/>
    <w:multiLevelType w:val="hybridMultilevel"/>
    <w:lvl w:ilvl="0">
      <w:lvlJc w:val="left"/>
      <w:lvlText w:val="•"/>
      <w:numFmt w:val="bullet"/>
      <w:start w:val="1"/>
    </w:lvl>
  </w:abstractNum>
  <w:abstractNum w:abstractNumId="48">
    <w:nsid w:val="1EBA5D23"/>
    <w:multiLevelType w:val="hybridMultilevel"/>
    <w:lvl w:ilvl="0">
      <w:lvlJc w:val="left"/>
      <w:lvlText w:val="•"/>
      <w:numFmt w:val="bullet"/>
      <w:start w:val="1"/>
    </w:lvl>
  </w:abstractNum>
  <w:abstractNum w:abstractNumId="49">
    <w:nsid w:val="661E3F1E"/>
    <w:multiLevelType w:val="hybridMultilevel"/>
    <w:lvl w:ilvl="0">
      <w:lvlJc w:val="left"/>
      <w:lvlText w:val="•"/>
      <w:numFmt w:val="bullet"/>
      <w:start w:val="1"/>
    </w:lvl>
  </w:abstractNum>
  <w:abstractNum w:abstractNumId="50">
    <w:nsid w:val="5DC79EA8"/>
    <w:multiLevelType w:val="hybridMultilevel"/>
    <w:lvl w:ilvl="0">
      <w:lvlJc w:val="left"/>
      <w:lvlText w:val="•"/>
      <w:numFmt w:val="bullet"/>
      <w:start w:val="1"/>
    </w:lvl>
  </w:abstractNum>
  <w:abstractNum w:abstractNumId="51">
    <w:nsid w:val="540A471C"/>
    <w:multiLevelType w:val="hybridMultilevel"/>
    <w:lvl w:ilvl="0">
      <w:lvlJc w:val="left"/>
      <w:lvlText w:val="•"/>
      <w:numFmt w:val="bullet"/>
      <w:start w:val="1"/>
    </w:lvl>
  </w:abstractNum>
  <w:abstractNum w:abstractNumId="52">
    <w:nsid w:val="7BD3EE7B"/>
    <w:multiLevelType w:val="hybridMultilevel"/>
    <w:lvl w:ilvl="0">
      <w:lvlJc w:val="left"/>
      <w:lvlText w:val="•"/>
      <w:numFmt w:val="bullet"/>
      <w:start w:val="1"/>
    </w:lvl>
  </w:abstractNum>
  <w:abstractNum w:abstractNumId="53">
    <w:nsid w:val="51D9C564"/>
    <w:multiLevelType w:val="hybridMultilevel"/>
    <w:lvl w:ilvl="0">
      <w:lvlJc w:val="left"/>
      <w:lvlText w:val="(%1)"/>
      <w:numFmt w:val="decimal"/>
      <w:start w:val="2"/>
    </w:lvl>
  </w:abstractNum>
  <w:abstractNum w:abstractNumId="54">
    <w:nsid w:val="613EFDC5"/>
    <w:multiLevelType w:val="hybridMultilevel"/>
    <w:lvl w:ilvl="0">
      <w:lvlJc w:val="left"/>
      <w:lvlText w:val="(%1)"/>
      <w:numFmt w:val="lowerLetter"/>
      <w:start w:val="2"/>
    </w:lvl>
  </w:abstractNum>
  <w:abstractNum w:abstractNumId="55">
    <w:nsid w:val="BF72B14"/>
    <w:multiLevelType w:val="hybridMultilevel"/>
    <w:lvl w:ilvl="0">
      <w:lvlJc w:val="left"/>
      <w:lvlText w:val="%1."/>
      <w:numFmt w:val="upperLetter"/>
      <w:start w:val="9"/>
    </w:lvl>
  </w:abstractNum>
  <w:abstractNum w:abstractNumId="56">
    <w:nsid w:val="11447B73"/>
    <w:multiLevelType w:val="hybridMultilevel"/>
    <w:lvl w:ilvl="0">
      <w:lvlJc w:val="left"/>
      <w:lvlText w:val="%1."/>
      <w:numFmt w:val="decimal"/>
      <w:start w:val="2"/>
    </w:lvl>
  </w:abstractNum>
  <w:abstractNum w:abstractNumId="57">
    <w:nsid w:val="42963E5A"/>
    <w:multiLevelType w:val="hybridMultilevel"/>
    <w:lvl w:ilvl="0">
      <w:lvlJc w:val="left"/>
      <w:lvlText w:val="%1."/>
      <w:numFmt w:val="decimal"/>
      <w:start w:val="2"/>
    </w:lvl>
  </w:abstractNum>
  <w:abstractNum w:abstractNumId="58">
    <w:nsid w:val="A0382C5"/>
    <w:multiLevelType w:val="hybridMultilevel"/>
    <w:lvl w:ilvl="0">
      <w:lvlJc w:val="left"/>
      <w:lvlText w:val="%1."/>
      <w:numFmt w:val="decimal"/>
      <w:start w:val="4"/>
    </w:lvl>
  </w:abstractNum>
  <w:abstractNum w:abstractNumId="59">
    <w:nsid w:val="8F2B15E"/>
    <w:multiLevelType w:val="hybridMultilevel"/>
    <w:lvl w:ilvl="0">
      <w:lvlJc w:val="left"/>
      <w:lvlText w:val="%1."/>
      <w:numFmt w:val="decimal"/>
      <w:start w:val="10"/>
    </w:lvl>
  </w:abstractNum>
  <w:abstractNum w:abstractNumId="60">
    <w:nsid w:val="1A32234B"/>
    <w:multiLevelType w:val="hybridMultilevel"/>
    <w:lvl w:ilvl="0">
      <w:lvlJc w:val="left"/>
      <w:lvlText w:val="%1"/>
      <w:numFmt w:val="decimal"/>
      <w:start w:val="23"/>
    </w:lvl>
  </w:abstractNum>
  <w:abstractNum w:abstractNumId="61">
    <w:nsid w:val="3B0FD379"/>
    <w:multiLevelType w:val="hybridMultilevel"/>
    <w:lvl w:ilvl="0">
      <w:lvlJc w:val="left"/>
      <w:lvlText w:val="%1"/>
      <w:numFmt w:val="decimal"/>
      <w:start w:val="97"/>
    </w:lvl>
  </w:abstractNum>
  <w:abstractNum w:abstractNumId="62">
    <w:nsid w:val="68EB2F63"/>
    <w:multiLevelType w:val="hybridMultilevel"/>
    <w:lvl w:ilvl="0">
      <w:lvlJc w:val="left"/>
      <w:lvlText w:val="+"/>
      <w:numFmt w:val="bullet"/>
      <w:start w:val="1"/>
    </w:lvl>
    <w:lvl w:ilvl="1">
      <w:lvlJc w:val="left"/>
      <w:lvlText w:val="*"/>
      <w:numFmt w:val="bullet"/>
      <w:start w:val="1"/>
    </w:lvl>
    <w:lvl w:ilvl="2">
      <w:lvlJc w:val="left"/>
      <w:lvlText w:val="%3"/>
      <w:numFmt w:val="decimal"/>
      <w:start w:val="104"/>
    </w:lvl>
  </w:abstractNum>
  <w:abstractNum w:abstractNumId="63">
    <w:nsid w:val="4962813B"/>
    <w:multiLevelType w:val="hybridMultilevel"/>
    <w:lvl w:ilvl="0">
      <w:lvlJc w:val="left"/>
      <w:lvlText w:val="+"/>
      <w:numFmt w:val="bullet"/>
      <w:start w:val="1"/>
    </w:lvl>
    <w:lvl w:ilvl="1">
      <w:lvlJc w:val="left"/>
      <w:lvlText w:val="**"/>
      <w:numFmt w:val="bullet"/>
      <w:start w:val="1"/>
    </w:lvl>
    <w:lvl w:ilvl="2">
      <w:lvlJc w:val="left"/>
      <w:lvlText w:val="%3"/>
      <w:numFmt w:val="decimal"/>
      <w:start w:val="1"/>
    </w:lvl>
  </w:abstractNum>
  <w:abstractNum w:abstractNumId="64">
    <w:nsid w:val="60B6DF70"/>
    <w:multiLevelType w:val="hybridMultilevel"/>
    <w:lvl w:ilvl="0">
      <w:lvlJc w:val="left"/>
      <w:lvlText w:val="%1"/>
      <w:numFmt w:val="lowerLetter"/>
      <w:start w:val="1"/>
    </w:lvl>
  </w:abstractNum>
  <w:abstractNum w:abstractNumId="65">
    <w:nsid w:val="6A5EE64"/>
    <w:multiLevelType w:val="hybridMultilevel"/>
    <w:lvl w:ilvl="0">
      <w:lvlJc w:val="left"/>
      <w:lvlText w:val="%1"/>
      <w:numFmt w:val="lowerLetter"/>
      <w:start w:val="1"/>
    </w:lvl>
  </w:abstractNum>
  <w:abstractNum w:abstractNumId="66">
    <w:nsid w:val="14330624"/>
    <w:multiLevelType w:val="hybridMultilevel"/>
    <w:lvl w:ilvl="0">
      <w:lvlJc w:val="left"/>
      <w:lvlText w:val="%1"/>
      <w:numFmt w:val="lowerLetter"/>
      <w:start w:val="1"/>
    </w:lvl>
  </w:abstractNum>
  <w:abstractNum w:abstractNumId="67">
    <w:nsid w:val="7FFFCA11"/>
    <w:multiLevelType w:val="hybridMultilevel"/>
    <w:lvl w:ilvl="0">
      <w:lvlJc w:val="left"/>
      <w:lvlText w:val="(%1)"/>
      <w:numFmt w:val="decimal"/>
      <w:start w:val="2"/>
    </w:lvl>
  </w:abstractNum>
  <w:abstractNum w:abstractNumId="68">
    <w:nsid w:val="1A27709E"/>
    <w:multiLevelType w:val="hybridMultilevel"/>
    <w:lvl w:ilvl="0">
      <w:lvlJc w:val="left"/>
      <w:lvlText w:val="%1"/>
      <w:numFmt w:val="decimal"/>
      <w:start w:val="72"/>
    </w:lvl>
  </w:abstractNum>
  <w:abstractNum w:abstractNumId="69">
    <w:nsid w:val="71EA1109"/>
    <w:multiLevelType w:val="hybridMultilevel"/>
    <w:lvl w:ilvl="0">
      <w:lvlJc w:val="left"/>
      <w:lvlText w:val="(%1)"/>
      <w:numFmt w:val="decimal"/>
      <w:start w:val="3"/>
    </w:lvl>
  </w:abstractNum>
  <w:abstractNum w:abstractNumId="70">
    <w:nsid w:val="100F59DC"/>
    <w:multiLevelType w:val="hybridMultilevel"/>
    <w:lvl w:ilvl="0">
      <w:lvlJc w:val="left"/>
      <w:lvlText w:val="%1"/>
      <w:numFmt w:val="decimal"/>
      <w:start w:val="78"/>
    </w:lvl>
  </w:abstractNum>
  <w:abstractNum w:abstractNumId="71">
    <w:nsid w:val="7FB7E0AA"/>
    <w:multiLevelType w:val="hybridMultilevel"/>
    <w:lvl w:ilvl="0">
      <w:lvlJc w:val="left"/>
      <w:lvlText w:val="•"/>
      <w:numFmt w:val="bullet"/>
      <w:start w:val="1"/>
    </w:lvl>
  </w:abstractNum>
  <w:abstractNum w:abstractNumId="72">
    <w:nsid w:val="6EB5BD4"/>
    <w:multiLevelType w:val="hybridMultilevel"/>
    <w:lvl w:ilvl="0">
      <w:lvlJc w:val="left"/>
      <w:lvlText w:val="(%1)"/>
      <w:numFmt w:val="lowerRoman"/>
      <w:start w:val="2"/>
    </w:lvl>
  </w:abstractNum>
  <w:abstractNum w:abstractNumId="73">
    <w:nsid w:val="6F6DD9AC"/>
    <w:multiLevelType w:val="hybridMultilevel"/>
    <w:lvl w:ilvl="0">
      <w:lvlJc w:val="left"/>
      <w:lvlText w:val="%1"/>
      <w:numFmt w:val="decimal"/>
      <w:start w:val="86"/>
    </w:lvl>
  </w:abstractNum>
  <w:abstractNum w:abstractNumId="74">
    <w:nsid w:val="94211F2"/>
    <w:multiLevelType w:val="hybridMultilevel"/>
    <w:lvl w:ilvl="0">
      <w:lvlJc w:val="left"/>
      <w:lvlText w:val="(%1)"/>
      <w:numFmt w:val="lowerRoman"/>
      <w:start w:val="2"/>
    </w:lvl>
  </w:abstractNum>
  <w:abstractNum w:abstractNumId="75">
    <w:nsid w:val="885E1B"/>
    <w:multiLevelType w:val="hybridMultilevel"/>
    <w:lvl w:ilvl="0">
      <w:lvlJc w:val="left"/>
      <w:lvlText w:val="%1"/>
      <w:numFmt w:val="decimal"/>
      <w:start w:val="96"/>
    </w:lvl>
  </w:abstractNum>
  <w:abstractNum w:abstractNumId="76">
    <w:nsid w:val="76272110"/>
    <w:multiLevelType w:val="hybridMultilevel"/>
    <w:lvl w:ilvl="0">
      <w:lvlJc w:val="left"/>
      <w:lvlText w:val="%1"/>
      <w:numFmt w:val="decimal"/>
      <w:start w:val="98"/>
    </w:lvl>
  </w:abstractNum>
  <w:abstractNum w:abstractNumId="77">
    <w:nsid w:val="4C04A8AF"/>
    <w:multiLevelType w:val="hybridMultilevel"/>
    <w:lvl w:ilvl="0">
      <w:lvlJc w:val="left"/>
      <w:lvlText w:val="%1."/>
      <w:numFmt w:val="decimal"/>
      <w:start w:val="4"/>
    </w:lvl>
  </w:abstractNum>
  <w:abstractNum w:abstractNumId="78">
    <w:nsid w:val="1716703B"/>
    <w:multiLevelType w:val="hybridMultilevel"/>
    <w:lvl w:ilvl="0">
      <w:lvlJc w:val="left"/>
      <w:lvlText w:val="%1"/>
      <w:numFmt w:val="lowerLetter"/>
      <w:start w:val="1"/>
    </w:lvl>
  </w:abstractNum>
  <w:abstractNum w:abstractNumId="79">
    <w:nsid w:val="14E17E33"/>
    <w:multiLevelType w:val="hybridMultilevel"/>
    <w:lvl w:ilvl="0">
      <w:lvlJc w:val="left"/>
      <w:lvlText w:val="%1."/>
      <w:numFmt w:val="decimal"/>
      <w:start w:val="5"/>
    </w:lvl>
  </w:abstractNum>
  <w:abstractNum w:abstractNumId="80">
    <w:nsid w:val="3222E7CD"/>
    <w:multiLevelType w:val="hybridMultilevel"/>
    <w:lvl w:ilvl="0">
      <w:lvlJc w:val="left"/>
      <w:lvlText w:val="(%1)"/>
      <w:numFmt w:val="decimal"/>
      <w:start w:val="2"/>
    </w:lvl>
  </w:abstractNum>
  <w:abstractNum w:abstractNumId="81">
    <w:nsid w:val="74DE0EE3"/>
    <w:multiLevelType w:val="hybridMultilevel"/>
    <w:lvl w:ilvl="0">
      <w:lvlJc w:val="left"/>
      <w:lvlText w:val="(%1)"/>
      <w:numFmt w:val="decimal"/>
      <w:start w:val="2"/>
    </w:lvl>
  </w:abstractNum>
  <w:abstractNum w:abstractNumId="82">
    <w:nsid w:val="68EBC550"/>
    <w:multiLevelType w:val="hybridMultilevel"/>
    <w:lvl w:ilvl="0">
      <w:lvlJc w:val="left"/>
      <w:lvlText w:val="(%1)"/>
      <w:numFmt w:val="decimal"/>
      <w:start w:val="4"/>
    </w:lvl>
  </w:abstractNum>
  <w:abstractNum w:abstractNumId="83">
    <w:nsid w:val="2DF6D648"/>
    <w:multiLevelType w:val="hybridMultilevel"/>
    <w:lvl w:ilvl="0">
      <w:lvlJc w:val="left"/>
      <w:lvlText w:val="(%1)"/>
      <w:numFmt w:val="decimal"/>
      <w:start w:val="2"/>
    </w:lvl>
  </w:abstractNum>
  <w:abstractNum w:abstractNumId="84">
    <w:nsid w:val="46B7D447"/>
    <w:multiLevelType w:val="hybridMultilevel"/>
    <w:lvl w:ilvl="0">
      <w:lvlJc w:val="left"/>
      <w:lvlText w:val="(%1)"/>
      <w:numFmt w:val="decimal"/>
      <w:start w:val="2"/>
    </w:lvl>
  </w:abstractNum>
  <w:abstractNum w:abstractNumId="85">
    <w:nsid w:val="4A2AC315"/>
    <w:multiLevelType w:val="hybridMultilevel"/>
    <w:lvl w:ilvl="0">
      <w:lvlJc w:val="left"/>
      <w:lvlText w:val="%1."/>
      <w:numFmt w:val="decimal"/>
      <w:start w:val="17"/>
    </w:lvl>
  </w:abstractNum>
  <w:abstractNum w:abstractNumId="86">
    <w:nsid w:val="39EE015C"/>
    <w:multiLevelType w:val="hybridMultilevel"/>
    <w:lvl w:ilvl="0">
      <w:lvlJc w:val="left"/>
      <w:lvlText w:val="•"/>
      <w:numFmt w:val="bullet"/>
      <w:start w:val="1"/>
    </w:lvl>
  </w:abstractNum>
  <w:abstractNum w:abstractNumId="87">
    <w:nsid w:val="57FC4FBB"/>
    <w:multiLevelType w:val="hybridMultilevel"/>
    <w:lvl w:ilvl="0">
      <w:lvlJc w:val="left"/>
      <w:lvlText w:val="(%1)"/>
      <w:numFmt w:val="decimal"/>
      <w:start w:val="2"/>
    </w:lvl>
  </w:abstractNum>
  <w:abstractNum w:abstractNumId="88">
    <w:nsid w:val="CC1016F"/>
    <w:multiLevelType w:val="hybridMultilevel"/>
    <w:lvl w:ilvl="0">
      <w:lvlJc w:val="left"/>
      <w:lvlText w:val="(%1)"/>
      <w:numFmt w:val="decimal"/>
      <w:start w:val="6"/>
    </w:lvl>
    <w:lvl w:ilvl="1">
      <w:lvlJc w:val="left"/>
      <w:lvlText w:val="(%2)"/>
      <w:numFmt w:val="lowerLetter"/>
      <w:start w:val="1"/>
    </w:lvl>
  </w:abstractNum>
  <w:abstractNum w:abstractNumId="89">
    <w:nsid w:val="43F18422"/>
    <w:multiLevelType w:val="hybridMultilevel"/>
    <w:lvl w:ilvl="0">
      <w:lvlJc w:val="left"/>
      <w:lvlText w:val="(%1)"/>
      <w:numFmt w:val="decimal"/>
      <w:start w:val="2"/>
    </w:lvl>
    <w:lvl w:ilvl="1">
      <w:lvlJc w:val="left"/>
      <w:lvlText w:val="(%2)"/>
      <w:numFmt w:val="lowerLetter"/>
      <w:start w:val="1"/>
    </w:lvl>
  </w:abstractNum>
  <w:abstractNum w:abstractNumId="90">
    <w:nsid w:val="60EF0119"/>
    <w:multiLevelType w:val="hybridMultilevel"/>
    <w:lvl w:ilvl="0">
      <w:lvlJc w:val="left"/>
      <w:lvlText w:val="(%1)"/>
      <w:numFmt w:val="decimal"/>
      <w:start w:val="2"/>
    </w:lvl>
  </w:abstractNum>
  <w:abstractNum w:abstractNumId="91">
    <w:nsid w:val="26F324BA"/>
    <w:multiLevelType w:val="hybridMultilevel"/>
    <w:lvl w:ilvl="0">
      <w:lvlJc w:val="left"/>
      <w:lvlText w:val="(%1)"/>
      <w:numFmt w:val="decimal"/>
      <w:start w:val="5"/>
    </w:lvl>
    <w:lvl w:ilvl="1">
      <w:lvlJc w:val="left"/>
      <w:lvlText w:val="(%2)"/>
      <w:numFmt w:val="lowerLetter"/>
      <w:start w:val="1"/>
    </w:lvl>
  </w:abstractNum>
  <w:abstractNum w:abstractNumId="92">
    <w:nsid w:val="7F01579B"/>
    <w:multiLevelType w:val="hybridMultilevel"/>
    <w:lvl w:ilvl="0">
      <w:lvlJc w:val="left"/>
      <w:lvlText w:val="(%1)"/>
      <w:numFmt w:val="decimal"/>
      <w:start w:val="2"/>
    </w:lvl>
    <w:lvl w:ilvl="1">
      <w:lvlJc w:val="left"/>
      <w:lvlText w:val="(%2)"/>
      <w:numFmt w:val="lowerLetter"/>
      <w:start w:val="1"/>
    </w:lvl>
  </w:abstractNum>
  <w:abstractNum w:abstractNumId="93">
    <w:nsid w:val="49DA307D"/>
    <w:multiLevelType w:val="hybridMultilevel"/>
    <w:lvl w:ilvl="0">
      <w:lvlJc w:val="left"/>
      <w:lvlText w:val="(%1)"/>
      <w:numFmt w:val="decimal"/>
      <w:start w:val="2"/>
    </w:lvl>
  </w:abstractNum>
  <w:abstractNum w:abstractNumId="94">
    <w:nsid w:val="7055A5F5"/>
    <w:multiLevelType w:val="hybridMultilevel"/>
    <w:lvl w:ilvl="0">
      <w:lvlJc w:val="left"/>
      <w:lvlText w:val="(%1)"/>
      <w:numFmt w:val="decimal"/>
      <w:start w:val="6"/>
    </w:lvl>
    <w:lvl w:ilvl="1">
      <w:lvlJc w:val="left"/>
      <w:lvlText w:val="(%2)"/>
      <w:numFmt w:val="lowerLetter"/>
      <w:start w:val="1"/>
    </w:lvl>
  </w:abstractNum>
  <w:abstractNum w:abstractNumId="95">
    <w:nsid w:val="5FB8370B"/>
    <w:multiLevelType w:val="hybridMultilevel"/>
    <w:lvl w:ilvl="0">
      <w:lvlJc w:val="left"/>
      <w:lvlText w:val="(%1)"/>
      <w:numFmt w:val="decimal"/>
      <w:start w:val="2"/>
    </w:lvl>
    <w:lvl w:ilvl="1">
      <w:lvlJc w:val="left"/>
      <w:lvlText w:val="(%2)"/>
      <w:numFmt w:val="lowerLetter"/>
      <w:start w:val="1"/>
    </w:lvl>
  </w:abstractNum>
  <w:abstractNum w:abstractNumId="96">
    <w:nsid w:val="50801EE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jpe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jpeg"/><Relationship Id="rId73" Type="http://schemas.openxmlformats.org/officeDocument/2006/relationships/image" Target="media/image66.jpe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jpe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pn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pn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2025-03-26T19:21:59Z</dcterms:created>
  <dcterms:modified xsi:type="dcterms:W3CDTF">2025-03-26T19:21:59Z</dcterms:modified>
</cp:coreProperties>
</file>