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07/06/2011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9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18,207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07/07/2011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423.53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339,897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435,638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Beneficiary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383,302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Trusts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7264400</wp:posOffset>
            </wp:positionH>
            <wp:positionV relativeFrom="paragraph">
              <wp:posOffset>-3296920</wp:posOffset>
            </wp:positionV>
            <wp:extent cx="42545" cy="357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57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14565" cy="2207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Trusts for</w:t>
            </w: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5,400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Children of</w:t>
            </w: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is a trustee of the trust that owns the reported securities, but he is not a beneficiary of such trust. The reporting person disclaims beneficial ownership of the reported securities.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of Class A Common Stock are convertible into shares of Class B Common Stock at any time on a one-for-one basis and have no expiration date.</w:t>
      </w:r>
    </w:p>
    <w:p>
      <w:pPr>
        <w:sectPr>
          <w:pgSz w:w="11900" w:h="16838" w:orient="portrait"/>
          <w:cols w:equalWidth="0" w:num="1">
            <w:col w:w="11460"/>
          </w:cols>
          <w:pgMar w:left="260" w:top="188" w:right="179" w:bottom="1440" w:gutter="0" w:footer="0" w:header="0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826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20"/>
          </w:cols>
          <w:pgMar w:left="260" w:top="188" w:right="1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4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60" w:top="188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2019-12-17T04:54:24Z</dcterms:created>
  <dcterms:modified xsi:type="dcterms:W3CDTF">2019-12-17T04:54:24Z</dcterms:modified>
</cp:coreProperties>
</file>