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00" w:right="3579" w:hanging="3148"/>
        <w:spacing w:after="0" w:line="254" w:lineRule="auto"/>
        <w:rPr>
          <w:sz w:val="20"/>
          <w:szCs w:val="20"/>
          <w:color w:val="auto"/>
        </w:rPr>
      </w:pPr>
      <w:r>
        <w:rPr>
          <w:rFonts w:ascii="Courier New" w:cs="Courier New" w:eastAsia="Courier New" w:hAnsi="Courier New"/>
          <w:sz w:val="14"/>
          <w:szCs w:val="14"/>
          <w:color w:val="auto"/>
        </w:rPr>
        <w:t>As filed with the Securities and Exchange Commission on October 24, 2001 Registration Statement No. 333-</w:t>
      </w:r>
    </w:p>
    <w:p>
      <w:pPr>
        <w:spacing w:after="0" w:line="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jc w:val="center"/>
        <w:ind w:right="3399"/>
        <w:spacing w:after="0" w:line="238" w:lineRule="auto"/>
        <w:rPr>
          <w:sz w:val="20"/>
          <w:szCs w:val="20"/>
          <w:color w:val="auto"/>
        </w:rPr>
      </w:pPr>
      <w:r>
        <w:rPr>
          <w:rFonts w:ascii="Courier New" w:cs="Courier New" w:eastAsia="Courier New" w:hAnsi="Courier New"/>
          <w:sz w:val="15"/>
          <w:szCs w:val="15"/>
          <w:color w:val="auto"/>
        </w:rPr>
        <w:t>FORM S-3</w:t>
      </w:r>
    </w:p>
    <w:p>
      <w:pPr>
        <w:jc w:val="center"/>
        <w:ind w:right="3399"/>
        <w:spacing w:after="0" w:line="237" w:lineRule="auto"/>
        <w:rPr>
          <w:sz w:val="20"/>
          <w:szCs w:val="20"/>
          <w:color w:val="auto"/>
        </w:rPr>
      </w:pPr>
      <w:r>
        <w:rPr>
          <w:rFonts w:ascii="Courier New" w:cs="Courier New" w:eastAsia="Courier New" w:hAnsi="Courier New"/>
          <w:sz w:val="15"/>
          <w:szCs w:val="15"/>
          <w:color w:val="auto"/>
        </w:rPr>
        <w:t>REGISTRATION STATEMENT</w:t>
      </w:r>
    </w:p>
    <w:p>
      <w:pPr>
        <w:ind w:left="3240"/>
        <w:spacing w:after="0" w:line="238" w:lineRule="auto"/>
        <w:rPr>
          <w:sz w:val="20"/>
          <w:szCs w:val="20"/>
          <w:color w:val="auto"/>
        </w:rPr>
      </w:pPr>
      <w:r>
        <w:rPr>
          <w:rFonts w:ascii="Courier New" w:cs="Courier New" w:eastAsia="Courier New" w:hAnsi="Courier New"/>
          <w:sz w:val="15"/>
          <w:szCs w:val="15"/>
          <w:color w:val="auto"/>
        </w:rPr>
        <w:t>UNDER</w:t>
      </w:r>
    </w:p>
    <w:p>
      <w:pPr>
        <w:ind w:left="2280"/>
        <w:spacing w:after="0" w:line="237" w:lineRule="auto"/>
        <w:rPr>
          <w:sz w:val="20"/>
          <w:szCs w:val="20"/>
          <w:color w:val="auto"/>
        </w:rPr>
      </w:pPr>
      <w:r>
        <w:rPr>
          <w:rFonts w:ascii="Courier New" w:cs="Courier New" w:eastAsia="Courier New" w:hAnsi="Courier New"/>
          <w:sz w:val="15"/>
          <w:szCs w:val="15"/>
          <w:color w:val="auto"/>
        </w:rPr>
        <w:t>THE SECURITIES ACT OF 1933</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ind w:left="2280"/>
        <w:spacing w:after="0" w:line="237" w:lineRule="auto"/>
        <w:rPr>
          <w:sz w:val="20"/>
          <w:szCs w:val="20"/>
          <w:color w:val="auto"/>
        </w:rPr>
      </w:pPr>
      <w:r>
        <w:rPr>
          <w:rFonts w:ascii="Courier New" w:cs="Courier New" w:eastAsia="Courier New" w:hAnsi="Courier New"/>
          <w:sz w:val="15"/>
          <w:szCs w:val="15"/>
          <w:color w:val="auto"/>
        </w:rPr>
        <w:t>THE WASHINGTON POST COMPANY</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31" w:right="1440" w:bottom="61" w:gutter="0" w:footer="0" w:header="0"/>
        </w:sectPr>
      </w:pP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53-0182885</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4"/>
          <w:szCs w:val="24"/>
          <w:color w:val="auto"/>
        </w:rPr>
      </w:pPr>
    </w:p>
    <w:p>
      <w:pPr>
        <w:sectPr>
          <w:pgSz w:w="11900" w:h="16838" w:orient="portrait"/>
          <w:cols w:equalWidth="0" w:num="2">
            <w:col w:w="3920" w:space="720"/>
            <w:col w:w="5599"/>
          </w:cols>
          <w:pgMar w:left="220" w:top="231" w:right="1440" w:bottom="61" w:gutter="0" w:footer="0" w:header="0"/>
          <w:type w:val="continuous"/>
        </w:sectPr>
      </w:pPr>
    </w:p>
    <w:p>
      <w:pPr>
        <w:ind w:left="2460"/>
        <w:spacing w:after="0"/>
        <w:rPr>
          <w:sz w:val="20"/>
          <w:szCs w:val="20"/>
          <w:color w:val="auto"/>
        </w:rPr>
      </w:pPr>
      <w:r>
        <w:rPr>
          <w:rFonts w:ascii="Courier New" w:cs="Courier New" w:eastAsia="Courier New" w:hAnsi="Courier New"/>
          <w:sz w:val="15"/>
          <w:szCs w:val="15"/>
          <w:color w:val="auto"/>
        </w:rPr>
        <w:t>1150 15th Street, N.W.</w:t>
      </w:r>
    </w:p>
    <w:p>
      <w:pPr>
        <w:ind w:left="2460"/>
        <w:spacing w:after="0" w:line="237" w:lineRule="auto"/>
        <w:rPr>
          <w:sz w:val="20"/>
          <w:szCs w:val="20"/>
          <w:color w:val="auto"/>
        </w:rPr>
      </w:pPr>
      <w:r>
        <w:rPr>
          <w:rFonts w:ascii="Courier New" w:cs="Courier New" w:eastAsia="Courier New" w:hAnsi="Courier New"/>
          <w:sz w:val="15"/>
          <w:szCs w:val="15"/>
          <w:color w:val="auto"/>
        </w:rPr>
        <w:t>Washington, D.C. 20071</w:t>
      </w:r>
    </w:p>
    <w:p>
      <w:pPr>
        <w:ind w:left="3340" w:hanging="532"/>
        <w:spacing w:after="0" w:line="238" w:lineRule="auto"/>
        <w:tabs>
          <w:tab w:leader="none" w:pos="3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334-6000</w:t>
      </w:r>
    </w:p>
    <w:p>
      <w:pPr>
        <w:ind w:left="22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(Address, including zip code,</w:t>
      </w:r>
    </w:p>
    <w:p>
      <w:pPr>
        <w:jc w:val="center"/>
        <w:ind w:right="3479"/>
        <w:spacing w:after="0" w:line="238" w:lineRule="auto"/>
        <w:rPr>
          <w:sz w:val="20"/>
          <w:szCs w:val="20"/>
          <w:color w:val="auto"/>
        </w:rPr>
      </w:pPr>
      <w:r>
        <w:rPr>
          <w:rFonts w:ascii="Courier New" w:cs="Courier New" w:eastAsia="Courier New" w:hAnsi="Courier New"/>
          <w:sz w:val="15"/>
          <w:szCs w:val="15"/>
          <w:color w:val="auto"/>
        </w:rPr>
        <w:t>and telephone number, including</w:t>
      </w:r>
    </w:p>
    <w:p>
      <w:pPr>
        <w:jc w:val="center"/>
        <w:ind w:right="3399"/>
        <w:spacing w:after="0" w:line="237" w:lineRule="auto"/>
        <w:rPr>
          <w:sz w:val="20"/>
          <w:szCs w:val="20"/>
          <w:color w:val="auto"/>
        </w:rPr>
      </w:pPr>
      <w:r>
        <w:rPr>
          <w:rFonts w:ascii="Courier New" w:cs="Courier New" w:eastAsia="Courier New" w:hAnsi="Courier New"/>
          <w:sz w:val="15"/>
          <w:szCs w:val="15"/>
          <w:color w:val="auto"/>
        </w:rPr>
        <w:t>area code, of Registrant's</w:t>
      </w:r>
    </w:p>
    <w:p>
      <w:pPr>
        <w:jc w:val="center"/>
        <w:ind w:right="3399"/>
        <w:spacing w:after="0" w:line="238" w:lineRule="auto"/>
        <w:rPr>
          <w:sz w:val="20"/>
          <w:szCs w:val="20"/>
          <w:color w:val="auto"/>
        </w:rPr>
      </w:pPr>
      <w:r>
        <w:rPr>
          <w:rFonts w:ascii="Courier New" w:cs="Courier New" w:eastAsia="Courier New" w:hAnsi="Courier New"/>
          <w:sz w:val="15"/>
          <w:szCs w:val="15"/>
          <w:color w:val="auto"/>
        </w:rPr>
        <w:t>principal executive offices)</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Diana M. Daniels</w:t>
      </w:r>
    </w:p>
    <w:p>
      <w:pPr>
        <w:ind w:left="2800"/>
        <w:spacing w:after="0" w:line="237" w:lineRule="auto"/>
        <w:rPr>
          <w:sz w:val="20"/>
          <w:szCs w:val="20"/>
          <w:color w:val="auto"/>
        </w:rPr>
      </w:pPr>
      <w:r>
        <w:rPr>
          <w:rFonts w:ascii="Courier New" w:cs="Courier New" w:eastAsia="Courier New" w:hAnsi="Courier New"/>
          <w:sz w:val="15"/>
          <w:szCs w:val="15"/>
          <w:color w:val="auto"/>
        </w:rPr>
        <w:t>Vice President,</w:t>
      </w:r>
    </w:p>
    <w:p>
      <w:pPr>
        <w:ind w:left="2280"/>
        <w:spacing w:after="0" w:line="238" w:lineRule="auto"/>
        <w:rPr>
          <w:sz w:val="20"/>
          <w:szCs w:val="20"/>
          <w:color w:val="auto"/>
        </w:rPr>
      </w:pPr>
      <w:r>
        <w:rPr>
          <w:rFonts w:ascii="Courier New" w:cs="Courier New" w:eastAsia="Courier New" w:hAnsi="Courier New"/>
          <w:sz w:val="15"/>
          <w:szCs w:val="15"/>
          <w:color w:val="auto"/>
        </w:rPr>
        <w:t>The Washington Post Company</w:t>
      </w:r>
    </w:p>
    <w:p>
      <w:pPr>
        <w:ind w:left="2460"/>
        <w:spacing w:after="0" w:line="237" w:lineRule="auto"/>
        <w:rPr>
          <w:sz w:val="20"/>
          <w:szCs w:val="20"/>
          <w:color w:val="auto"/>
        </w:rPr>
      </w:pPr>
      <w:r>
        <w:rPr>
          <w:rFonts w:ascii="Courier New" w:cs="Courier New" w:eastAsia="Courier New" w:hAnsi="Courier New"/>
          <w:sz w:val="15"/>
          <w:szCs w:val="15"/>
          <w:color w:val="auto"/>
        </w:rPr>
        <w:t>1150 15th Street, N.W.</w:t>
      </w:r>
    </w:p>
    <w:p>
      <w:pPr>
        <w:ind w:left="2460"/>
        <w:spacing w:after="0" w:line="238" w:lineRule="auto"/>
        <w:rPr>
          <w:sz w:val="20"/>
          <w:szCs w:val="20"/>
          <w:color w:val="auto"/>
        </w:rPr>
      </w:pPr>
      <w:r>
        <w:rPr>
          <w:rFonts w:ascii="Courier New" w:cs="Courier New" w:eastAsia="Courier New" w:hAnsi="Courier New"/>
          <w:sz w:val="15"/>
          <w:szCs w:val="15"/>
          <w:color w:val="auto"/>
        </w:rPr>
        <w:t>Washington, D.C. 20071</w:t>
      </w:r>
    </w:p>
    <w:p>
      <w:pPr>
        <w:ind w:left="2800"/>
        <w:spacing w:after="0" w:line="237" w:lineRule="auto"/>
        <w:rPr>
          <w:sz w:val="20"/>
          <w:szCs w:val="20"/>
          <w:color w:val="auto"/>
        </w:rPr>
      </w:pPr>
      <w:r>
        <w:rPr>
          <w:rFonts w:ascii="Courier New" w:cs="Courier New" w:eastAsia="Courier New" w:hAnsi="Courier New"/>
          <w:sz w:val="15"/>
          <w:szCs w:val="15"/>
          <w:color w:val="auto"/>
        </w:rPr>
        <w:t>(202) 334-6000</w:t>
      </w:r>
    </w:p>
    <w:p>
      <w:pPr>
        <w:ind w:left="1940"/>
        <w:spacing w:after="0" w:line="238" w:lineRule="auto"/>
        <w:rPr>
          <w:sz w:val="20"/>
          <w:szCs w:val="20"/>
          <w:color w:val="auto"/>
        </w:rPr>
      </w:pPr>
      <w:r>
        <w:rPr>
          <w:rFonts w:ascii="Courier New" w:cs="Courier New" w:eastAsia="Courier New" w:hAnsi="Courier New"/>
          <w:sz w:val="15"/>
          <w:szCs w:val="15"/>
          <w:color w:val="auto"/>
        </w:rPr>
        <w:t>(Name, address, including zip code,</w:t>
      </w:r>
    </w:p>
    <w:p>
      <w:pPr>
        <w:ind w:left="2100"/>
        <w:spacing w:after="0" w:line="237" w:lineRule="auto"/>
        <w:rPr>
          <w:sz w:val="20"/>
          <w:szCs w:val="20"/>
          <w:color w:val="auto"/>
        </w:rPr>
      </w:pPr>
      <w:r>
        <w:rPr>
          <w:rFonts w:ascii="Courier New" w:cs="Courier New" w:eastAsia="Courier New" w:hAnsi="Courier New"/>
          <w:sz w:val="15"/>
          <w:szCs w:val="15"/>
          <w:color w:val="auto"/>
        </w:rPr>
        <w:t>and telephone number, including</w:t>
      </w:r>
    </w:p>
    <w:p>
      <w:pPr>
        <w:ind w:left="2020"/>
        <w:spacing w:after="0" w:line="238" w:lineRule="auto"/>
        <w:rPr>
          <w:sz w:val="20"/>
          <w:szCs w:val="20"/>
          <w:color w:val="auto"/>
        </w:rPr>
      </w:pPr>
      <w:r>
        <w:rPr>
          <w:rFonts w:ascii="Courier New" w:cs="Courier New" w:eastAsia="Courier New" w:hAnsi="Courier New"/>
          <w:sz w:val="15"/>
          <w:szCs w:val="15"/>
          <w:color w:val="auto"/>
        </w:rPr>
        <w:t>area code, of agent for service)</w:t>
      </w:r>
    </w:p>
    <w:p>
      <w:pPr>
        <w:spacing w:after="0" w:line="200" w:lineRule="exact"/>
        <w:rPr>
          <w:sz w:val="24"/>
          <w:szCs w:val="24"/>
          <w:color w:val="auto"/>
        </w:rPr>
      </w:pPr>
    </w:p>
    <w:p>
      <w:pPr>
        <w:spacing w:after="0" w:line="30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with copies to:</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Ronald Cami, Esq.</w:t>
      </w:r>
    </w:p>
    <w:p>
      <w:pPr>
        <w:ind w:left="2460"/>
        <w:spacing w:after="0" w:line="237" w:lineRule="auto"/>
        <w:rPr>
          <w:sz w:val="20"/>
          <w:szCs w:val="20"/>
          <w:color w:val="auto"/>
        </w:rPr>
      </w:pPr>
      <w:r>
        <w:rPr>
          <w:rFonts w:ascii="Courier New" w:cs="Courier New" w:eastAsia="Courier New" w:hAnsi="Courier New"/>
          <w:sz w:val="15"/>
          <w:szCs w:val="15"/>
          <w:color w:val="auto"/>
        </w:rPr>
        <w:t>Cravath, Swaine &amp; Moore</w:t>
      </w:r>
    </w:p>
    <w:p>
      <w:pPr>
        <w:ind w:left="2720"/>
        <w:spacing w:after="0" w:line="238" w:lineRule="auto"/>
        <w:rPr>
          <w:sz w:val="20"/>
          <w:szCs w:val="20"/>
          <w:color w:val="auto"/>
        </w:rPr>
      </w:pPr>
      <w:r>
        <w:rPr>
          <w:rFonts w:ascii="Courier New" w:cs="Courier New" w:eastAsia="Courier New" w:hAnsi="Courier New"/>
          <w:sz w:val="15"/>
          <w:szCs w:val="15"/>
          <w:color w:val="auto"/>
        </w:rPr>
        <w:t>825 Eighth Avenue</w:t>
      </w:r>
    </w:p>
    <w:p>
      <w:pPr>
        <w:ind w:left="2380"/>
        <w:spacing w:after="0" w:line="237" w:lineRule="auto"/>
        <w:rPr>
          <w:sz w:val="20"/>
          <w:szCs w:val="20"/>
          <w:color w:val="auto"/>
        </w:rPr>
      </w:pPr>
      <w:r>
        <w:rPr>
          <w:rFonts w:ascii="Courier New" w:cs="Courier New" w:eastAsia="Courier New" w:hAnsi="Courier New"/>
          <w:sz w:val="15"/>
          <w:szCs w:val="15"/>
          <w:color w:val="auto"/>
        </w:rPr>
        <w:t>New York, New York 10019</w:t>
      </w:r>
    </w:p>
    <w:p>
      <w:pPr>
        <w:ind w:left="2800"/>
        <w:spacing w:after="0" w:line="238" w:lineRule="auto"/>
        <w:rPr>
          <w:sz w:val="20"/>
          <w:szCs w:val="20"/>
          <w:color w:val="auto"/>
        </w:rPr>
      </w:pPr>
      <w:r>
        <w:rPr>
          <w:rFonts w:ascii="Courier New" w:cs="Courier New" w:eastAsia="Courier New" w:hAnsi="Courier New"/>
          <w:sz w:val="15"/>
          <w:szCs w:val="15"/>
          <w:color w:val="auto"/>
        </w:rPr>
        <w:t>(212) 474-1048</w:t>
      </w:r>
    </w:p>
    <w:p>
      <w:pPr>
        <w:spacing w:after="0" w:line="173" w:lineRule="exact"/>
        <w:rPr>
          <w:sz w:val="24"/>
          <w:szCs w:val="24"/>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the effective date of this Registration Statement as determined by market conditions and other factors.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If the only securities being registered on this Form are to be offered pursuant to dividend or interest reinvestment plans, please check the following box. [ ]</w:t>
      </w:r>
    </w:p>
    <w:p>
      <w:pPr>
        <w:spacing w:after="0" w:line="5" w:lineRule="exact"/>
        <w:rPr>
          <w:sz w:val="24"/>
          <w:szCs w:val="24"/>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box.[x]</w:t>
      </w:r>
    </w:p>
    <w:p>
      <w:pPr>
        <w:spacing w:after="0" w:line="7" w:lineRule="exact"/>
        <w:rPr>
          <w:sz w:val="24"/>
          <w:szCs w:val="24"/>
          <w:color w:val="auto"/>
        </w:rPr>
      </w:pPr>
    </w:p>
    <w:p>
      <w:pPr>
        <w:jc w:val="both"/>
        <w:ind w:right="3579" w:firstLine="437"/>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 w:lineRule="exact"/>
        <w:rPr>
          <w:sz w:val="24"/>
          <w:szCs w:val="24"/>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7" w:lineRule="exact"/>
        <w:rPr>
          <w:sz w:val="24"/>
          <w:szCs w:val="24"/>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Title of each</w:t>
            </w:r>
          </w:p>
        </w:tc>
        <w:tc>
          <w:tcPr>
            <w:tcW w:w="152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Proposed</w:t>
            </w: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Proposed</w:t>
            </w:r>
          </w:p>
        </w:tc>
        <w:tc>
          <w:tcPr>
            <w:tcW w:w="1180" w:type="dxa"/>
            <w:vAlign w:val="bottom"/>
          </w:tcPr>
          <w:p>
            <w:pPr>
              <w:spacing w:after="0"/>
              <w:rPr>
                <w:sz w:val="14"/>
                <w:szCs w:val="14"/>
                <w:color w:val="auto"/>
              </w:rPr>
            </w:pPr>
          </w:p>
        </w:tc>
      </w:tr>
      <w:tr>
        <w:trPr>
          <w:trHeight w:val="168"/>
        </w:trPr>
        <w:tc>
          <w:tcPr>
            <w:tcW w:w="15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class of</w:t>
            </w:r>
          </w:p>
        </w:tc>
        <w:tc>
          <w:tcPr>
            <w:tcW w:w="1520" w:type="dxa"/>
            <w:vAlign w:val="bottom"/>
          </w:tcPr>
          <w:p>
            <w:pPr>
              <w:spacing w:after="0"/>
              <w:rPr>
                <w:sz w:val="14"/>
                <w:szCs w:val="14"/>
                <w:color w:val="auto"/>
              </w:rPr>
            </w:pP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maximum</w:t>
            </w: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maximum</w:t>
            </w:r>
          </w:p>
        </w:tc>
        <w:tc>
          <w:tcPr>
            <w:tcW w:w="1180" w:type="dxa"/>
            <w:vAlign w:val="bottom"/>
          </w:tcPr>
          <w:p>
            <w:pPr>
              <w:spacing w:after="0"/>
              <w:rPr>
                <w:sz w:val="14"/>
                <w:szCs w:val="14"/>
                <w:color w:val="auto"/>
              </w:rPr>
            </w:pPr>
          </w:p>
        </w:tc>
      </w:tr>
      <w:tr>
        <w:trPr>
          <w:trHeight w:val="168"/>
        </w:trPr>
        <w:tc>
          <w:tcPr>
            <w:tcW w:w="15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offering</w:t>
            </w: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aggregate</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Amount of</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be</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to be</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price per</w:t>
            </w:r>
          </w:p>
        </w:tc>
        <w:tc>
          <w:tcPr>
            <w:tcW w:w="15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offering</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registration</w:t>
            </w:r>
          </w:p>
        </w:tc>
      </w:tr>
      <w:tr>
        <w:trPr>
          <w:trHeight w:val="168"/>
        </w:trPr>
        <w:tc>
          <w:tcPr>
            <w:tcW w:w="15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registered</w:t>
            </w:r>
          </w:p>
        </w:tc>
        <w:tc>
          <w:tcPr>
            <w:tcW w:w="1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registered (a)</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unit (b)</w:t>
            </w: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price (a) (b)</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fee</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Debt Securities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$400,000,000</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$400,000,000</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$100,000</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left="440" w:right="3579" w:hanging="430"/>
        <w:spacing w:after="0" w:line="236"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public offering price of any debt securities denominated in any foreign currencies or currency units shall be the U.S. dollar equivalent thereof based on the prevailing exchange rates at the respective times such debt securities are first offered. For debt securities issued with an original issue discount, the amount to be registered is calculated as the initial accreted value of such debt securities.</w:t>
      </w:r>
    </w:p>
    <w:p>
      <w:pPr>
        <w:spacing w:after="0" w:line="3" w:lineRule="exact"/>
        <w:rPr>
          <w:rFonts w:ascii="Courier New" w:cs="Courier New" w:eastAsia="Courier New" w:hAnsi="Courier New"/>
          <w:sz w:val="15"/>
          <w:szCs w:val="15"/>
          <w:color w:val="auto"/>
        </w:rPr>
      </w:pPr>
    </w:p>
    <w:p>
      <w:pPr>
        <w:ind w:left="440" w:hanging="430"/>
        <w:spacing w:after="0" w:line="23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purposes of calculating the registration fee.</w:t>
      </w:r>
    </w:p>
    <w:p>
      <w:pPr>
        <w:ind w:left="22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sectPr>
          <w:pgSz w:w="11900" w:h="16838" w:orient="portrait"/>
          <w:cols w:equalWidth="0" w:num="1">
            <w:col w:w="10239"/>
          </w:cols>
          <w:pgMar w:left="220" w:top="231" w:right="1440" w:bottom="61" w:gutter="0" w:footer="0" w:header="0"/>
          <w:type w:val="continuous"/>
        </w:sectPr>
      </w:pPr>
    </w:p>
    <w:bookmarkStart w:id="1" w:name="page2"/>
    <w:bookmarkEnd w:id="1"/>
    <w:p>
      <w:pPr>
        <w:ind w:right="3399"/>
        <w:spacing w:after="0" w:line="256" w:lineRule="auto"/>
        <w:rPr>
          <w:sz w:val="20"/>
          <w:szCs w:val="20"/>
          <w:color w:val="auto"/>
        </w:rPr>
      </w:pPr>
      <w:r>
        <w:rPr>
          <w:rFonts w:ascii="Courier New" w:cs="Courier New" w:eastAsia="Courier New" w:hAnsi="Courier New"/>
          <w:sz w:val="14"/>
          <w:szCs w:val="14"/>
          <w:color w:val="auto"/>
        </w:rPr>
        <w:t>The information in this prospectus is not complete and may be changed. The Company may not sell these securities until the Registration Statement filed with the Securities and Exchange Commission is effective. This prospectus is not an offer to sell these securities and it is not soliciting an offer to buy these securities in any state where the offer is not permitted.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SUBJECT TO COMPLETION, DATED OCTOBER 24, 2001</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WASHINGTON POST COMPANY</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$400,000,000</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DEBT SECURITIES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may offer from time to time up to $400,000,000 principal amount, or the equivalent thereof in one or more foreign currencies or currency units, of our unsecured debt securities consisting of notes, debentures or other evidences of indebtedness.</w:t>
      </w:r>
    </w:p>
    <w:p>
      <w:pPr>
        <w:spacing w:after="0" w:line="175"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The terms of each series of debt securities will be set forth in a prospectus supplement. You should read this prospectus and the prospectus supplement carefully.</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left="300" w:right="280"/>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 SECURITIES TO BE ISSUED UNDER THIS PROSPECTUS OR DETERMINED IF THIS PROSPECTUS IS ACCURATE OR ADEQUATE. ANY REPRESENTATION TO THE</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CONTRARY IS A CRIMINAL OFFENSE.</w:t>
      </w:r>
    </w:p>
    <w:p>
      <w:pPr>
        <w:spacing w:after="0" w:line="173" w:lineRule="exact"/>
        <w:rPr>
          <w:sz w:val="20"/>
          <w:szCs w:val="20"/>
          <w:color w:val="auto"/>
        </w:rPr>
      </w:pPr>
    </w:p>
    <w:p>
      <w:pPr>
        <w:ind w:right="4279" w:firstLine="437"/>
        <w:spacing w:after="0" w:line="234" w:lineRule="auto"/>
        <w:rPr>
          <w:sz w:val="20"/>
          <w:szCs w:val="20"/>
          <w:color w:val="auto"/>
        </w:rPr>
      </w:pPr>
      <w:r>
        <w:rPr>
          <w:rFonts w:ascii="Courier New" w:cs="Courier New" w:eastAsia="Courier New" w:hAnsi="Courier New"/>
          <w:sz w:val="15"/>
          <w:szCs w:val="15"/>
          <w:color w:val="auto"/>
        </w:rPr>
        <w:t>We may sell debt securities directly, through agents or through underwriters or dealers.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date of this prospectus is October 24, 2001</w:t>
      </w:r>
    </w:p>
    <w:p>
      <w:pPr>
        <w:sectPr>
          <w:pgSz w:w="11900" w:h="16838" w:orient="portrait"/>
          <w:cols w:equalWidth="0" w:num="1">
            <w:col w:w="10239"/>
          </w:cols>
          <w:pgMar w:left="220" w:top="64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660" w:type="dxa"/>
            <w:vAlign w:val="bottom"/>
          </w:tcPr>
          <w:p>
            <w:pPr>
              <w:ind w:left="2720"/>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14"/>
                <w:szCs w:val="14"/>
                <w:color w:val="auto"/>
              </w:rPr>
            </w:pP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5"/>
              </w:rPr>
              <w:t>About This Prospectus........................................................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Where You Can Find More Information..........................................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Forward-Looking Information..................................................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Description of The Washington Post Company...................................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Use of Proceeds..............................................................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Ratio of Earnings to Fixed Charges...........................................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Description of the Debt Securities...........................................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Plan of Distribution........................................................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Legal Opinions..............................................................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Experts.....................................................................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17</w:t>
            </w:r>
          </w:p>
        </w:tc>
      </w:tr>
    </w:tbl>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ABOUT THIS PROSPECTUS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Securities and Exchange Commission (the "Commission") utilizing a "shelf" registration process. Under this shelf process, we may, from time to time, sell debt securities described in this prospectus in one or more offerings up to a total dollar amount of $400,000,000 or the equivalent of this amount in foreign currencies or foreign currency units.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beginning on page 2 of this prospectus.</w:t>
      </w:r>
    </w:p>
    <w:p>
      <w:pPr>
        <w:spacing w:after="0" w:line="177"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You should rely only on the information provided in this prospectus and in any prospectus supplement, including the information incorporated by reference. We have not authorized anyone to provide you with different information. We are not offering the securities in any state where the offer is not permitted. You should not assume that the information in this prospectus, or any supplement to this prospectus, is accurate at any date other than the date indicated on the cover page of these documents.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We have filed with the Commission a registration statement under the Securities Act that registers the distribution of the debt securities. The registration statement, including the attached exhibits and schedules, contains additional relevant information about us and our securities. The rules and regulations of the Commission allow us to omit certain information included in the registration statement from this prospectus.</w:t>
      </w:r>
    </w:p>
    <w:p>
      <w:pPr>
        <w:spacing w:after="0" w:line="166"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In addition, we file reports, proxy statements and other information with the Commission under the Exchange Act. You may read and copy this information at the following locations of the SEC.</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Public Reference Room</w:t>
            </w:r>
          </w:p>
        </w:tc>
        <w:tc>
          <w:tcPr>
            <w:tcW w:w="332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6"/>
              </w:rPr>
              <w:t>Chicago Regional Office</w:t>
            </w:r>
          </w:p>
        </w:tc>
      </w:tr>
      <w:tr>
        <w:trPr>
          <w:trHeight w:val="168"/>
        </w:trPr>
        <w:tc>
          <w:tcPr>
            <w:tcW w:w="22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450 Fifth Street, N.W.</w:t>
            </w:r>
          </w:p>
        </w:tc>
        <w:tc>
          <w:tcPr>
            <w:tcW w:w="3320" w:type="dxa"/>
            <w:vAlign w:val="bottom"/>
          </w:tcPr>
          <w:p>
            <w:pPr>
              <w:jc w:val="center"/>
              <w:ind w:left="727"/>
              <w:spacing w:after="0" w:line="168" w:lineRule="exact"/>
              <w:rPr>
                <w:sz w:val="20"/>
                <w:szCs w:val="20"/>
                <w:color w:val="auto"/>
              </w:rPr>
            </w:pPr>
            <w:r>
              <w:rPr>
                <w:rFonts w:ascii="Courier New" w:cs="Courier New" w:eastAsia="Courier New" w:hAnsi="Courier New"/>
                <w:sz w:val="15"/>
                <w:szCs w:val="15"/>
                <w:color w:val="auto"/>
                <w:w w:val="97"/>
              </w:rPr>
              <w:t>Citicorp Center</w:t>
            </w:r>
          </w:p>
        </w:tc>
      </w:tr>
      <w:tr>
        <w:trPr>
          <w:trHeight w:val="168"/>
        </w:trPr>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Room 1300</w:t>
            </w:r>
          </w:p>
        </w:tc>
        <w:tc>
          <w:tcPr>
            <w:tcW w:w="3320" w:type="dxa"/>
            <w:vAlign w:val="bottom"/>
          </w:tcPr>
          <w:p>
            <w:pPr>
              <w:jc w:val="center"/>
              <w:ind w:left="727"/>
              <w:spacing w:after="0" w:line="168" w:lineRule="exact"/>
              <w:rPr>
                <w:sz w:val="20"/>
                <w:szCs w:val="20"/>
                <w:color w:val="auto"/>
              </w:rPr>
            </w:pPr>
            <w:r>
              <w:rPr>
                <w:rFonts w:ascii="Courier New" w:cs="Courier New" w:eastAsia="Courier New" w:hAnsi="Courier New"/>
                <w:sz w:val="15"/>
                <w:szCs w:val="15"/>
                <w:color w:val="auto"/>
                <w:w w:val="96"/>
              </w:rPr>
              <w:t>500 West Madison Street</w:t>
            </w:r>
          </w:p>
        </w:tc>
      </w:tr>
      <w:tr>
        <w:trPr>
          <w:trHeight w:val="168"/>
        </w:trPr>
        <w:tc>
          <w:tcPr>
            <w:tcW w:w="22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Washington, D.C. 20549</w:t>
            </w:r>
          </w:p>
        </w:tc>
        <w:tc>
          <w:tcPr>
            <w:tcW w:w="332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7"/>
              </w:rPr>
              <w:t>Suite 1400</w:t>
            </w:r>
          </w:p>
        </w:tc>
      </w:tr>
      <w:tr>
        <w:trPr>
          <w:trHeight w:val="168"/>
        </w:trPr>
        <w:tc>
          <w:tcPr>
            <w:tcW w:w="2280" w:type="dxa"/>
            <w:vAlign w:val="bottom"/>
          </w:tcPr>
          <w:p>
            <w:pPr>
              <w:spacing w:after="0"/>
              <w:rPr>
                <w:sz w:val="14"/>
                <w:szCs w:val="14"/>
                <w:color w:val="auto"/>
              </w:rPr>
            </w:pPr>
          </w:p>
        </w:tc>
        <w:tc>
          <w:tcPr>
            <w:tcW w:w="332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6"/>
              </w:rPr>
              <w:t>Chicago, Illinois 60661-2511</w:t>
            </w:r>
          </w:p>
        </w:tc>
      </w:tr>
      <w:tr>
        <w:trPr>
          <w:trHeight w:val="336"/>
        </w:trPr>
        <w:tc>
          <w:tcPr>
            <w:tcW w:w="2280" w:type="dxa"/>
            <w:vAlign w:val="bottom"/>
          </w:tcPr>
          <w:p>
            <w:pPr>
              <w:spacing w:after="0"/>
              <w:rPr>
                <w:sz w:val="24"/>
                <w:szCs w:val="24"/>
                <w:color w:val="auto"/>
              </w:rPr>
            </w:pPr>
          </w:p>
        </w:tc>
        <w:tc>
          <w:tcPr>
            <w:tcW w:w="3320" w:type="dxa"/>
            <w:vAlign w:val="bottom"/>
          </w:tcPr>
          <w:p>
            <w:pPr>
              <w:jc w:val="right"/>
              <w:ind w:right="2807"/>
              <w:spacing w:after="0"/>
              <w:rPr>
                <w:sz w:val="20"/>
                <w:szCs w:val="20"/>
                <w:color w:val="auto"/>
              </w:rPr>
            </w:pPr>
            <w:r>
              <w:rPr>
                <w:rFonts w:ascii="Courier New" w:cs="Courier New" w:eastAsia="Courier New" w:hAnsi="Courier New"/>
                <w:sz w:val="15"/>
                <w:szCs w:val="15"/>
                <w:color w:val="auto"/>
              </w:rPr>
              <w:t>2</w:t>
            </w:r>
          </w:p>
        </w:tc>
      </w:tr>
    </w:tbl>
    <w:p>
      <w:pPr>
        <w:sectPr>
          <w:pgSz w:w="11900" w:h="16838" w:orient="portrait"/>
          <w:cols w:equalWidth="0" w:num="1">
            <w:col w:w="10239"/>
          </w:cols>
          <w:pgMar w:left="220" w:top="785" w:right="1440" w:bottom="1440" w:gutter="0" w:footer="0" w:header="0"/>
        </w:sectPr>
      </w:pPr>
    </w:p>
    <w:bookmarkStart w:id="3" w:name="page4"/>
    <w:bookmarkEnd w:id="3"/>
    <w:p>
      <w:pPr>
        <w:ind w:right="3399" w:firstLine="437"/>
        <w:spacing w:after="0" w:line="256" w:lineRule="auto"/>
        <w:rPr>
          <w:sz w:val="20"/>
          <w:szCs w:val="20"/>
          <w:color w:val="auto"/>
        </w:rPr>
      </w:pPr>
      <w:r>
        <w:rPr>
          <w:rFonts w:ascii="Courier New" w:cs="Courier New" w:eastAsia="Courier New" w:hAnsi="Courier New"/>
          <w:sz w:val="14"/>
          <w:szCs w:val="14"/>
          <w:color w:val="auto"/>
        </w:rPr>
        <w:t>You may also obtain copies of this information by mail from the Public Reference Section of the Commission, 450 Fifth Street, N.W., Washington, D.C. 20549, at prescribed rates. You may obtain information on the operation of the Public Reference Room by calling the Commission at 1-800-SEC-0330.</w:t>
      </w:r>
    </w:p>
    <w:p>
      <w:pPr>
        <w:spacing w:after="0" w:line="164"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The Commission also maintains a website that contains reports, proxy statements and other information about issuers, like us, who file electronically with the Commission. The address of that site is http://www.sec.gov.</w:t>
      </w:r>
    </w:p>
    <w:p>
      <w:pPr>
        <w:spacing w:after="0" w:line="17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You can also inspect reports, proxy statements and other information about us at the offices of the New York Stock Exchange, 20 Broad Street, New York, New York.</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Commission allows us to "incorporate by reference" information into this prospectus. This means that we can disclose important information to you by referring you to another document filed separately with the Commission. The information incorporated by reference is considered to be a part of this prospectus, except for any information that is superseded by information that is included directly in this document.</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This prospectus incorporates by reference the documents listed below that we have previously filed with the Commission. They contain important information about us and our predecessors.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Company SEC Filings</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w w:val="96"/>
              </w:rPr>
              <w:t>Annual Report on Form 10-K........</w:t>
            </w:r>
          </w:p>
        </w:tc>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Year ended December 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spacing w:after="0"/>
              <w:rPr>
                <w:sz w:val="24"/>
                <w:szCs w:val="2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w w:val="96"/>
              </w:rPr>
              <w:t>Quarterly Reports on Form 10-Q....</w:t>
            </w:r>
          </w:p>
        </w:tc>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Quarters ended April 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w w:val="95"/>
              </w:rPr>
              <w:t>and July 1, 2001</w:t>
            </w:r>
          </w:p>
        </w:tc>
      </w:tr>
    </w:tbl>
    <w:p>
      <w:pPr>
        <w:spacing w:after="0" w:line="341"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We incorporate by reference additional documents that we may file with the Commission between the date of this prospectus and the termination of the offering of the debt securities. These documents include periodic reports, such as Annual Reports on Form 10-K, Quarterly Reports on Form 10-Q and Current Reports on Form 8-K, as well as proxy statements.</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You can obtain any of the documents incorporated by reference in this document through us, or from the Commission through the Commission's web site at the address described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by requesting them in writing or by telephone from us at the following addresses:</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Investor Relations</w:t>
      </w:r>
    </w:p>
    <w:p>
      <w:pPr>
        <w:ind w:left="2280"/>
        <w:spacing w:after="0" w:line="237" w:lineRule="auto"/>
        <w:rPr>
          <w:sz w:val="20"/>
          <w:szCs w:val="20"/>
          <w:color w:val="auto"/>
        </w:rPr>
      </w:pPr>
      <w:r>
        <w:rPr>
          <w:rFonts w:ascii="Courier New" w:cs="Courier New" w:eastAsia="Courier New" w:hAnsi="Courier New"/>
          <w:sz w:val="15"/>
          <w:szCs w:val="15"/>
          <w:color w:val="auto"/>
        </w:rPr>
        <w:t>The Washington Post Company</w:t>
      </w:r>
    </w:p>
    <w:p>
      <w:pPr>
        <w:ind w:left="2460"/>
        <w:spacing w:after="0" w:line="238" w:lineRule="auto"/>
        <w:rPr>
          <w:sz w:val="20"/>
          <w:szCs w:val="20"/>
          <w:color w:val="auto"/>
        </w:rPr>
      </w:pPr>
      <w:r>
        <w:rPr>
          <w:rFonts w:ascii="Courier New" w:cs="Courier New" w:eastAsia="Courier New" w:hAnsi="Courier New"/>
          <w:sz w:val="15"/>
          <w:szCs w:val="15"/>
          <w:color w:val="auto"/>
        </w:rPr>
        <w:t>1150 15th Street, N.W.</w:t>
      </w:r>
    </w:p>
    <w:p>
      <w:pPr>
        <w:ind w:left="2460"/>
        <w:spacing w:after="0" w:line="237" w:lineRule="auto"/>
        <w:rPr>
          <w:sz w:val="20"/>
          <w:szCs w:val="20"/>
          <w:color w:val="auto"/>
        </w:rPr>
      </w:pPr>
      <w:r>
        <w:rPr>
          <w:rFonts w:ascii="Courier New" w:cs="Courier New" w:eastAsia="Courier New" w:hAnsi="Courier New"/>
          <w:sz w:val="15"/>
          <w:szCs w:val="15"/>
          <w:color w:val="auto"/>
        </w:rPr>
        <w:t>Washington, D.C. 20071</w:t>
      </w:r>
    </w:p>
    <w:p>
      <w:pPr>
        <w:ind w:left="2800"/>
        <w:spacing w:after="0" w:line="238" w:lineRule="auto"/>
        <w:rPr>
          <w:sz w:val="20"/>
          <w:szCs w:val="20"/>
          <w:color w:val="auto"/>
        </w:rPr>
      </w:pPr>
      <w:r>
        <w:rPr>
          <w:rFonts w:ascii="Courier New" w:cs="Courier New" w:eastAsia="Courier New" w:hAnsi="Courier New"/>
          <w:sz w:val="15"/>
          <w:szCs w:val="15"/>
          <w:color w:val="auto"/>
        </w:rPr>
        <w:t>(202) 334-6000</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If you request any incorporated documents from us, we will mail them to you by first class mail, or another equally prompt means, within one business day after we receive your request.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4" w:name="page5"/>
    <w:bookmarkEnd w:id="4"/>
    <w:p>
      <w:pPr>
        <w:jc w:val="center"/>
        <w:ind w:right="3299"/>
        <w:spacing w:after="0"/>
        <w:rPr>
          <w:sz w:val="20"/>
          <w:szCs w:val="20"/>
          <w:color w:val="auto"/>
        </w:rPr>
      </w:pPr>
      <w:r>
        <w:rPr>
          <w:rFonts w:ascii="Courier New" w:cs="Courier New" w:eastAsia="Courier New" w:hAnsi="Courier New"/>
          <w:sz w:val="15"/>
          <w:szCs w:val="15"/>
          <w:color w:val="auto"/>
        </w:rPr>
        <w:t>FORWARD-LOOKING INFORMATION</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All public statements made by us and our representatives which are not statements of historical fact, including certain statements in this prospectus and any prospectus supplement, are "forward-looking statements" within the meaning of the Private Securities Litigation Reform Act of 1995. Forward-looking statements include comments about our business strategies and objectives, the prospects for growth in our various business operations, and our future financial performance. As with any projection or forecast, forward-looking statements are subject to various risks and uncertainties that could cause actual results or events to differ materially from those anticipated in such statements. In addition to the various matters discussed elsewhere in this registration statement (including the financial statements and other items incorporated by reference in this registration statement), specific factors identified by us that might cause such a difference include the following: changes in prevailing economic conditions, particularly in the specific geographic and other markets served by us; actions of competitors, including price changes and the introduction of competitive service offerings; changes in the preferences of readers, viewers and advertisers, particularly in response to the growth of Internet-based media; changes in communications and broadcast technologies; the effects of changing cost or availability of raw materials, including changes in the cost or availability or newsprint and magazine body paper; changes in the extent to which standardized tests are used in the admissions process by colleges and graduate schools; changes in the extent to which licensing or proficiency examinations are used to qualify individuals to pursue certain careers; changes in laws or regulations, including changes that affect the way business entities are taxed; and changes in accounting principles or in the way such principles are applied.</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DESCRIPTION OF THE WASHINGTON POST COMPANY</w:t>
      </w:r>
    </w:p>
    <w:p>
      <w:pPr>
        <w:spacing w:after="0" w:line="173"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The Washington Post Company is a diversified media and education organization whose principal operations consist of newspaper publishing (primarily The Washington Post), television broadcasting (through the ownership and operation of six network-affiliated television stations), the ownership and operation of cable television systems, magazine publishing (primarily Newsweek magazine), and the provision of educational and career services (through our Kaplan subsidiary). We also produce news and other information products for electronic distribution.</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were incorporated in 1947 under the laws of the State of Delaware. Our executive offices are located at 1150 15th Street, N.W., Washington, D.C. 20071, and our telephone number is (202) 334-6000.</w:t>
      </w:r>
    </w:p>
    <w:p>
      <w:pPr>
        <w:spacing w:after="0" w:line="16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We intend to use the net proceeds from the sale of the debt securities offered by this prospectus for general corporate purposes. These may include:</w:t>
      </w:r>
    </w:p>
    <w:p>
      <w:pPr>
        <w:spacing w:after="0" w:line="153" w:lineRule="exact"/>
        <w:rPr>
          <w:sz w:val="20"/>
          <w:szCs w:val="20"/>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acquisitions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of our stock</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other debt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purposes as may be stated in the prospectus supplement</w:t>
      </w:r>
    </w:p>
    <w:p>
      <w:pPr>
        <w:spacing w:after="0" w:line="173"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We expect to engage in additional financings on a recurring basis. The character and amount of financings will be determined as the need arises.</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5" w:name="page6"/>
    <w:bookmarkEnd w:id="5"/>
    <w:p>
      <w:pPr>
        <w:jc w:val="center"/>
        <w:ind w:right="358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3" w:lineRule="exact"/>
        <w:rPr>
          <w:sz w:val="20"/>
          <w:szCs w:val="20"/>
          <w:color w:val="auto"/>
        </w:rPr>
      </w:pPr>
    </w:p>
    <w:p>
      <w:pPr>
        <w:ind w:right="3680" w:firstLine="437"/>
        <w:spacing w:after="0" w:line="236" w:lineRule="auto"/>
        <w:rPr>
          <w:sz w:val="20"/>
          <w:szCs w:val="20"/>
          <w:color w:val="auto"/>
        </w:rPr>
      </w:pPr>
      <w:r>
        <w:rPr>
          <w:rFonts w:ascii="Courier New" w:cs="Courier New" w:eastAsia="Courier New" w:hAnsi="Courier New"/>
          <w:sz w:val="15"/>
          <w:szCs w:val="15"/>
          <w:color w:val="auto"/>
        </w:rPr>
        <w:t>The ratio of earnings to fixed charges has been computed by dividing "earnings available for fixed charges" by "fixed charges." For purposes of computing this ratio, "earnings available for fixed charges" principally consists of (i) income before income taxes, the cumulative effect of changes in accounting principles, and equity in earnings of unconsolidated subsidiaries, plus (ii) "fixed charges" (excluding capitalized interest). "Fixed charges" principally consists of interest expense and the portion of rental expense that is representative of the interest factor (deemed by us to be one-third).</w:t>
      </w: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Ratio of Earnings to Fixed Charges</w:t>
      </w:r>
    </w:p>
    <w:p>
      <w:pPr>
        <w:ind w:left="2540"/>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03" w:lineRule="exact"/>
        <w:rPr>
          <w:sz w:val="20"/>
          <w:szCs w:val="20"/>
          <w:color w:val="auto"/>
        </w:rPr>
      </w:pPr>
    </w:p>
    <w:p>
      <w:pPr>
        <w:ind w:left="2640"/>
        <w:spacing w:after="0"/>
        <w:tabs>
          <w:tab w:leader="none" w:pos="7160" w:val="left"/>
        </w:tabs>
        <w:rPr>
          <w:sz w:val="20"/>
          <w:szCs w:val="20"/>
          <w:color w:val="auto"/>
        </w:rPr>
      </w:pPr>
      <w:r>
        <w:rPr>
          <w:rFonts w:ascii="Courier New" w:cs="Courier New" w:eastAsia="Courier New" w:hAnsi="Courier New"/>
          <w:sz w:val="15"/>
          <w:szCs w:val="15"/>
          <w:color w:val="auto"/>
        </w:rPr>
        <w:t>Six Months Ended</w:t>
      </w:r>
      <w:r>
        <w:rPr>
          <w:sz w:val="20"/>
          <w:szCs w:val="20"/>
          <w:color w:val="auto"/>
        </w:rPr>
        <w:tab/>
      </w:r>
      <w:r>
        <w:rPr>
          <w:rFonts w:ascii="Courier New" w:cs="Courier New" w:eastAsia="Courier New" w:hAnsi="Courier New"/>
          <w:sz w:val="14"/>
          <w:szCs w:val="14"/>
          <w:color w:val="auto"/>
        </w:rPr>
        <w:t>Fiscal Year</w:t>
      </w:r>
    </w:p>
    <w:p>
      <w:pPr>
        <w:spacing w:after="0" w:line="5" w:lineRule="exact"/>
        <w:rPr>
          <w:sz w:val="20"/>
          <w:szCs w:val="20"/>
          <w:color w:val="auto"/>
        </w:rPr>
      </w:pPr>
    </w:p>
    <w:p>
      <w:pPr>
        <w:ind w:left="2380"/>
        <w:spacing w:after="0"/>
        <w:tabs>
          <w:tab w:leader="none" w:pos="46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2380"/>
        <w:spacing w:after="0"/>
        <w:tabs>
          <w:tab w:leader="none" w:pos="3580" w:val="left"/>
          <w:tab w:leader="none" w:pos="4620" w:val="left"/>
          <w:tab w:leader="none" w:pos="5840" w:val="left"/>
          <w:tab w:leader="none" w:pos="6900" w:val="left"/>
          <w:tab w:leader="none" w:pos="8040" w:val="left"/>
          <w:tab w:leader="none" w:pos="9340" w:val="left"/>
        </w:tabs>
        <w:rPr>
          <w:sz w:val="20"/>
          <w:szCs w:val="20"/>
          <w:color w:val="auto"/>
        </w:rPr>
      </w:pPr>
      <w:r>
        <w:rPr>
          <w:rFonts w:ascii="Courier New" w:cs="Courier New" w:eastAsia="Courier New" w:hAnsi="Courier New"/>
          <w:sz w:val="15"/>
          <w:szCs w:val="15"/>
          <w:color w:val="auto"/>
        </w:rPr>
        <w:t>July 1,</w:t>
      </w:r>
      <w:r>
        <w:rPr>
          <w:sz w:val="20"/>
          <w:szCs w:val="20"/>
          <w:color w:val="auto"/>
        </w:rPr>
        <w:tab/>
      </w:r>
      <w:r>
        <w:rPr>
          <w:rFonts w:ascii="Courier New" w:cs="Courier New" w:eastAsia="Courier New" w:hAnsi="Courier New"/>
          <w:sz w:val="15"/>
          <w:szCs w:val="15"/>
          <w:color w:val="auto"/>
        </w:rPr>
        <w:t>July 2,</w:t>
      </w:r>
      <w:r>
        <w:rPr>
          <w:sz w:val="20"/>
          <w:szCs w:val="20"/>
          <w:color w:val="auto"/>
        </w:rPr>
        <w:tab/>
      </w:r>
      <w:r>
        <w:rPr>
          <w:rFonts w:ascii="Courier New" w:cs="Courier New" w:eastAsia="Courier New" w:hAnsi="Courier New"/>
          <w:sz w:val="15"/>
          <w:szCs w:val="15"/>
          <w:color w:val="auto"/>
        </w:rPr>
        <w:t>December 31,</w:t>
        <w:tab/>
        <w:t>January 2,</w:t>
        <w:tab/>
        <w:t>January 3,</w:t>
        <w:tab/>
        <w:t>December 28,</w:t>
      </w:r>
      <w:r>
        <w:rPr>
          <w:sz w:val="20"/>
          <w:szCs w:val="20"/>
          <w:color w:val="auto"/>
        </w:rPr>
        <w:tab/>
      </w:r>
      <w:r>
        <w:rPr>
          <w:rFonts w:ascii="Courier New" w:cs="Courier New" w:eastAsia="Courier New" w:hAnsi="Courier New"/>
          <w:sz w:val="14"/>
          <w:szCs w:val="14"/>
          <w:color w:val="auto"/>
        </w:rPr>
        <w:t>December 29,</w:t>
      </w:r>
    </w:p>
    <w:p>
      <w:pPr>
        <w:ind w:left="2460"/>
        <w:spacing w:after="0"/>
        <w:tabs>
          <w:tab w:leader="none" w:pos="3660" w:val="left"/>
          <w:tab w:leader="none" w:pos="4980" w:val="left"/>
          <w:tab w:leader="none" w:pos="6120" w:val="left"/>
          <w:tab w:leader="none" w:pos="7160" w:val="left"/>
          <w:tab w:leader="none" w:pos="8380" w:val="left"/>
          <w:tab w:leader="none" w:pos="962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1996</w:t>
      </w:r>
    </w:p>
    <w:p>
      <w:pPr>
        <w:ind w:left="2380"/>
        <w:spacing w:after="0"/>
        <w:tabs>
          <w:tab w:leader="none" w:pos="3580" w:val="left"/>
          <w:tab w:leader="none" w:pos="4620" w:val="left"/>
          <w:tab w:leader="none" w:pos="5840" w:val="left"/>
          <w:tab w:leader="none" w:pos="6900" w:val="left"/>
          <w:tab w:leader="none" w:pos="8040" w:val="left"/>
          <w:tab w:leader="none" w:pos="9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tab/>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Ratio of earnings to</w:t>
      </w:r>
    </w:p>
    <w:p>
      <w:pPr>
        <w:sectPr>
          <w:pgSz w:w="11900" w:h="16838" w:orient="portrait"/>
          <w:cols w:equalWidth="0" w:num="1">
            <w:col w:w="10420"/>
          </w:cols>
          <w:pgMar w:left="220" w:top="785" w:right="1259" w:bottom="1440" w:gutter="0" w:footer="0" w:header="0"/>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fixed charges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10.3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60"/>
        <w:spacing w:after="0" w:line="237" w:lineRule="auto"/>
        <w:rPr>
          <w:sz w:val="20"/>
          <w:szCs w:val="20"/>
          <w:color w:val="auto"/>
        </w:rPr>
      </w:pPr>
      <w:r>
        <w:rPr>
          <w:rFonts w:ascii="Courier New" w:cs="Courier New" w:eastAsia="Courier New" w:hAnsi="Courier New"/>
          <w:sz w:val="15"/>
          <w:szCs w:val="15"/>
          <w:color w:val="auto"/>
        </w:rPr>
        <w:t>4.9</w:t>
      </w:r>
    </w:p>
    <w:p>
      <w:pPr>
        <w:jc w:val="right"/>
        <w:ind w:right="60"/>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4.6 (b)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10.2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23.8 (c)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37.2 (d)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60"/>
        <w:spacing w:after="0" w:line="237" w:lineRule="auto"/>
        <w:rPr>
          <w:sz w:val="20"/>
          <w:szCs w:val="20"/>
          <w:color w:val="auto"/>
        </w:rPr>
      </w:pPr>
      <w:r>
        <w:rPr>
          <w:rFonts w:ascii="Courier New" w:cs="Courier New" w:eastAsia="Courier New" w:hAnsi="Courier New"/>
          <w:sz w:val="15"/>
          <w:szCs w:val="15"/>
          <w:color w:val="auto"/>
        </w:rPr>
        <w:t>32.3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8">
            <w:col w:w="1660" w:space="720"/>
            <w:col w:w="780" w:space="340"/>
            <w:col w:w="600" w:space="720"/>
            <w:col w:w="880" w:space="260"/>
            <w:col w:w="520" w:space="620"/>
            <w:col w:w="860" w:space="360"/>
            <w:col w:w="880" w:space="440"/>
            <w:col w:w="780"/>
          </w:cols>
          <w:pgMar w:left="220" w:top="785" w:right="1259" w:bottom="1440" w:gutter="0" w:footer="0" w:header="0"/>
          <w:type w:val="continuous"/>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860" w:hanging="430"/>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six months ended July 1, 2001, pre-tax income included non-recurring gains of approximately $321.1 million resulting from the sale and exchange of certain cable systems. Excluding these gains, the ratio would have been 2.2.</w:t>
      </w:r>
    </w:p>
    <w:p>
      <w:pPr>
        <w:spacing w:after="0" w:line="175" w:lineRule="exact"/>
        <w:rPr>
          <w:rFonts w:ascii="Courier New" w:cs="Courier New" w:eastAsia="Courier New" w:hAnsi="Courier New"/>
          <w:sz w:val="15"/>
          <w:szCs w:val="15"/>
          <w:color w:val="auto"/>
        </w:rPr>
      </w:pPr>
    </w:p>
    <w:p>
      <w:pPr>
        <w:ind w:left="440" w:right="3760" w:hanging="430"/>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2000, pre-tax income included a non-recurring charge of approximately $27.5 million resulting from an early retirement program at The Washington Post. Excluding this charge, the ratio would have been 5.0.</w:t>
      </w:r>
    </w:p>
    <w:p>
      <w:pPr>
        <w:spacing w:after="0" w:line="175" w:lineRule="exact"/>
        <w:rPr>
          <w:rFonts w:ascii="Courier New" w:cs="Courier New" w:eastAsia="Courier New" w:hAnsi="Courier New"/>
          <w:sz w:val="15"/>
          <w:szCs w:val="15"/>
          <w:color w:val="auto"/>
        </w:rPr>
      </w:pPr>
    </w:p>
    <w:p>
      <w:pPr>
        <w:ind w:left="440" w:right="3680" w:hanging="430"/>
        <w:spacing w:after="0" w:line="256"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January 3, 1999, pre-tax income included non-recurring gains of approximately $309.7 million resulting from the disposition of the our 28 percent interest in Cowles Media Company, the sale of 14 small cable systems and the merger of Junglee and Amazon.com. Excluding these gains, the ratio would have been 13.2.</w:t>
      </w:r>
    </w:p>
    <w:p>
      <w:pPr>
        <w:spacing w:after="0" w:line="163" w:lineRule="exact"/>
        <w:rPr>
          <w:rFonts w:ascii="Courier New" w:cs="Courier New" w:eastAsia="Courier New" w:hAnsi="Courier New"/>
          <w:sz w:val="14"/>
          <w:szCs w:val="14"/>
          <w:color w:val="auto"/>
        </w:rPr>
      </w:pPr>
    </w:p>
    <w:p>
      <w:pPr>
        <w:ind w:left="440" w:right="3680" w:hanging="430"/>
        <w:spacing w:after="0" w:line="256"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December 28, 1997, pre-tax income included non-recurring gains of approximately $71.1 million resulting from the sale of assets of the our PASS Sports subsidiary and our investment interests in Bear Island Paper Company, L.P. and Bear Island Timberlands Company, L.P. Excluding these gains, the ratio would have been 31.5.</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20"/>
          </w:cols>
          <w:pgMar w:left="220" w:top="785" w:right="1259" w:bottom="1440" w:gutter="0" w:footer="0" w:header="0"/>
          <w:type w:val="continuous"/>
        </w:sectPr>
      </w:pPr>
    </w:p>
    <w:bookmarkStart w:id="6" w:name="page7"/>
    <w:bookmarkEnd w:id="6"/>
    <w:p>
      <w:pPr>
        <w:ind w:left="1940"/>
        <w:spacing w:after="0"/>
        <w:rPr>
          <w:sz w:val="20"/>
          <w:szCs w:val="20"/>
          <w:color w:val="auto"/>
        </w:rPr>
      </w:pPr>
      <w:r>
        <w:rPr>
          <w:rFonts w:ascii="Courier New" w:cs="Courier New" w:eastAsia="Courier New" w:hAnsi="Courier New"/>
          <w:sz w:val="15"/>
          <w:szCs w:val="15"/>
          <w:color w:val="auto"/>
        </w:rPr>
        <w:t>DESCRIPTION OF THE DEBT SECURITIES</w:t>
      </w:r>
    </w:p>
    <w:p>
      <w:pPr>
        <w:spacing w:after="0" w:line="173"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The debt securities will be issued under an Indenture (the "Indenture") between the Company and Bank One Trust Company, N.A. (formerly known as The First National Bank of Chicago), as Trustee (the "Trustee"). The Indenture was filed as an exhibit to the registration statement filed on December 23, 1998 and is herein incorporated by reference. The debt securities may be issued from time to time in one or more series. The particular terms of each series will be described in a prospectus supplement. The following statements are subject to the detailed provisions of the Indenture. The sections of the Indenture specifically referred to in the following discussion are incorporated by reference. Capitalized terms that are not defined in the following discussion have the meanings assigned to them in the Indenture. For purposes of this section of this prospectus, references to "the Company" are to "The Washington Post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The debt securities may be issued from time to time under the Indenture in an unlimited aggregate principal amount and an unlimited number of series.</w:t>
      </w:r>
    </w:p>
    <w:p>
      <w:pPr>
        <w:spacing w:after="0" w:line="160"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debt securities are unsecured and will have the same rank as all other unsecured and non-subordinated debt of the Company.</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prospectus supplement relating to the series of debt securities which it offers describes (Sections 202 and 301):</w:t>
      </w:r>
    </w:p>
    <w:p>
      <w:pPr>
        <w:spacing w:after="0" w:line="167" w:lineRule="exact"/>
        <w:rPr>
          <w:sz w:val="20"/>
          <w:szCs w:val="20"/>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debt securities of such series;</w:t>
      </w:r>
    </w:p>
    <w:p>
      <w:pPr>
        <w:spacing w:after="0" w:line="172" w:lineRule="exact"/>
        <w:rPr>
          <w:rFonts w:ascii="Courier New" w:cs="Courier New" w:eastAsia="Courier New" w:hAnsi="Courier New"/>
          <w:sz w:val="15"/>
          <w:szCs w:val="15"/>
          <w:color w:val="auto"/>
        </w:rPr>
      </w:pPr>
    </w:p>
    <w:p>
      <w:pPr>
        <w:ind w:left="880" w:right="4279" w:hanging="433"/>
        <w:spacing w:after="0" w:line="234"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upon the aggregate principal amount of such debt securities;</w:t>
      </w:r>
    </w:p>
    <w:p>
      <w:pPr>
        <w:spacing w:after="0" w:line="173"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to whom the interest on a debt security of any series will be payable if not the person in whose name that debt security is registered on the regular record date;</w:t>
      </w:r>
    </w:p>
    <w:p>
      <w:pPr>
        <w:spacing w:after="0" w:line="173"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such debt securities will mature or the method of determination of such date or dates;</w:t>
      </w:r>
    </w:p>
    <w:p>
      <w:pPr>
        <w:spacing w:after="0" w:line="173" w:lineRule="exact"/>
        <w:rPr>
          <w:rFonts w:ascii="Courier New" w:cs="Courier New" w:eastAsia="Courier New" w:hAnsi="Courier New"/>
          <w:sz w:val="15"/>
          <w:szCs w:val="15"/>
          <w:color w:val="auto"/>
        </w:rPr>
      </w:pPr>
    </w:p>
    <w:p>
      <w:pPr>
        <w:ind w:left="880" w:right="3499" w:hanging="433"/>
        <w:spacing w:after="0" w:line="236"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or the method of determination thereof, at which such debt securities will bear interest, if any, the date or dates from which such interest will accrue, the date or dates such interest will be payable and, for registered debt securities, the Regular Record Dates;</w:t>
      </w:r>
    </w:p>
    <w:p>
      <w:pPr>
        <w:spacing w:after="0" w:line="173" w:lineRule="exact"/>
        <w:rPr>
          <w:rFonts w:ascii="Courier New" w:cs="Courier New" w:eastAsia="Courier New" w:hAnsi="Courier New"/>
          <w:sz w:val="15"/>
          <w:szCs w:val="15"/>
          <w:color w:val="auto"/>
        </w:rPr>
      </w:pPr>
    </w:p>
    <w:p>
      <w:pPr>
        <w:ind w:left="880" w:right="4199" w:hanging="433"/>
        <w:spacing w:after="0" w:line="261" w:lineRule="auto"/>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premium and interest, if any, on such debt securities will be payable;</w:t>
      </w:r>
    </w:p>
    <w:p>
      <w:pPr>
        <w:spacing w:after="0" w:line="159" w:lineRule="exact"/>
        <w:rPr>
          <w:rFonts w:ascii="Courier New" w:cs="Courier New" w:eastAsia="Courier New" w:hAnsi="Courier New"/>
          <w:sz w:val="14"/>
          <w:szCs w:val="14"/>
          <w:color w:val="auto"/>
        </w:rPr>
      </w:pPr>
    </w:p>
    <w:p>
      <w:pPr>
        <w:ind w:left="880" w:right="3499" w:hanging="433"/>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or periods within which the price or prices at which the terms and conditions upon which any such debt security may be redeemed, in whole or in part, at the option of the Company;</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terms for redemption or repurchase pursuant to any sinking fund or analogous provision or the option of a Holder;</w:t>
      </w:r>
    </w:p>
    <w:p>
      <w:pPr>
        <w:spacing w:after="0" w:line="173"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terms for conversion of the debt securities into other securities of the Company or any other corporation at the option of a Holder;</w:t>
      </w:r>
    </w:p>
    <w:p>
      <w:pPr>
        <w:spacing w:after="0" w:line="173" w:lineRule="exact"/>
        <w:rPr>
          <w:rFonts w:ascii="Courier New" w:cs="Courier New" w:eastAsia="Courier New" w:hAnsi="Courier New"/>
          <w:sz w:val="15"/>
          <w:szCs w:val="15"/>
          <w:color w:val="auto"/>
        </w:rPr>
      </w:pPr>
    </w:p>
    <w:p>
      <w:pPr>
        <w:ind w:left="880" w:right="3679" w:hanging="433"/>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terms for the attachment to such debt securities of warrants, options or other rights to purchase or sell stock or other securities of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7" w:name="page8"/>
    <w:bookmarkEnd w:id="7"/>
    <w:p>
      <w:pPr>
        <w:ind w:left="880" w:right="3399" w:hanging="433"/>
        <w:spacing w:after="0" w:line="256"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such debt securities that will be payable upon acceleration of maturity (debt securities subject to such provisions being referred to as "Original Issue Discount Securities");</w:t>
      </w:r>
    </w:p>
    <w:p>
      <w:pPr>
        <w:spacing w:after="0" w:line="164" w:lineRule="exact"/>
        <w:rPr>
          <w:rFonts w:ascii="Courier New" w:cs="Courier New" w:eastAsia="Courier New" w:hAnsi="Courier New"/>
          <w:sz w:val="14"/>
          <w:szCs w:val="14"/>
          <w:color w:val="auto"/>
        </w:rPr>
      </w:pPr>
    </w:p>
    <w:p>
      <w:pPr>
        <w:ind w:left="880" w:right="3399" w:hanging="433"/>
        <w:spacing w:after="0" w:line="236"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deletions or modifications of, or additions to, the Events of Default or covenants of the Company under the Indenture with respect to such debt securities (including whether the covenants described below under "Certain Covenants of the Company" will not apply to such debt securities);</w:t>
      </w:r>
    </w:p>
    <w:p>
      <w:pPr>
        <w:spacing w:after="0" w:line="173"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U.S. dollars, the currency, currencies or currency unit or units in which such debt securities will be denominated and in which the principal of, and premium and interest, if any, on, such debt securities will be payable;</w:t>
      </w:r>
    </w:p>
    <w:p>
      <w:pPr>
        <w:spacing w:after="0" w:line="175" w:lineRule="exact"/>
        <w:rPr>
          <w:rFonts w:ascii="Courier New" w:cs="Courier New" w:eastAsia="Courier New" w:hAnsi="Courier New"/>
          <w:sz w:val="15"/>
          <w:szCs w:val="15"/>
          <w:color w:val="auto"/>
        </w:rPr>
      </w:pPr>
    </w:p>
    <w:p>
      <w:pPr>
        <w:ind w:left="880" w:right="3399" w:hanging="433"/>
        <w:spacing w:after="0" w:line="236"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the terms and conditions on which, the Company or a Holder may elect that, or the other circumstances under which, payment of principal of, or premium or interest, if any, on, such debt securities is to be made in a currency or currencies or currency unit or units other than that in which such debt securities are denominated;</w:t>
      </w:r>
    </w:p>
    <w:p>
      <w:pPr>
        <w:spacing w:after="0" w:line="174" w:lineRule="exact"/>
        <w:rPr>
          <w:rFonts w:ascii="Courier New" w:cs="Courier New" w:eastAsia="Courier New" w:hAnsi="Courier New"/>
          <w:sz w:val="15"/>
          <w:szCs w:val="15"/>
          <w:color w:val="auto"/>
        </w:rPr>
      </w:pPr>
    </w:p>
    <w:p>
      <w:pPr>
        <w:ind w:left="880" w:right="3399" w:hanging="433"/>
        <w:spacing w:after="0" w:line="236"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matter of determining the amount of principal of, or premium or interest, if any, on, any such debt securities to be determined with reference to an index based on a currency or currency unit or units other than that in which such debt securities are stated to be payable or an index based on any other method;</w:t>
      </w:r>
    </w:p>
    <w:p>
      <w:pPr>
        <w:spacing w:after="0" w:line="173" w:lineRule="exact"/>
        <w:rPr>
          <w:rFonts w:ascii="Courier New" w:cs="Courier New" w:eastAsia="Courier New" w:hAnsi="Courier New"/>
          <w:sz w:val="15"/>
          <w:szCs w:val="15"/>
          <w:color w:val="auto"/>
        </w:rPr>
      </w:pPr>
    </w:p>
    <w:p>
      <w:pPr>
        <w:ind w:left="880" w:right="3399" w:hanging="433"/>
        <w:spacing w:after="0" w:line="236"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debt securities will be issued in fully registered form without coupons or in bearer form with or without coupons, or any combination thereof, whether such debt securities will be issued in the form of one or more global securities and whether such debt securities are to be issuable in temporary global form or definitive global form;</w:t>
      </w:r>
    </w:p>
    <w:p>
      <w:pPr>
        <w:spacing w:after="0" w:line="174"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debt securities are to be issued upon the exercise of warrants, the time, manner and place for such debt securities to be authenticated and delivered;</w:t>
      </w:r>
    </w:p>
    <w:p>
      <w:pPr>
        <w:spacing w:after="0" w:line="173" w:lineRule="exact"/>
        <w:rPr>
          <w:rFonts w:ascii="Courier New" w:cs="Courier New" w:eastAsia="Courier New" w:hAnsi="Courier New"/>
          <w:sz w:val="15"/>
          <w:szCs w:val="15"/>
          <w:color w:val="auto"/>
        </w:rPr>
      </w:pPr>
    </w:p>
    <w:p>
      <w:pPr>
        <w:ind w:left="880" w:right="3399" w:hanging="433"/>
        <w:spacing w:after="0" w:line="236"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under what circumstances the Company will pay additional amounts to any holder of such debt securities who is not a United States person in respect of any tax, assessment or governmental charge withheld or deducted and, if so, whether and on what terms the Company will have the option to redeem such debt securities rather than pay any additional amounts; and</w:t>
      </w:r>
    </w:p>
    <w:p>
      <w:pPr>
        <w:spacing w:after="0" w:line="174"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any of such debt securities not inconsistent with the Indenture.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Most debt securities will be issued as registered debt securities.</w:t>
      </w:r>
    </w:p>
    <w:p>
      <w:pPr>
        <w:spacing w:after="0" w:line="237" w:lineRule="auto"/>
        <w:rPr>
          <w:sz w:val="20"/>
          <w:szCs w:val="20"/>
          <w:color w:val="auto"/>
        </w:rPr>
      </w:pPr>
      <w:r>
        <w:rPr>
          <w:rFonts w:ascii="Courier New" w:cs="Courier New" w:eastAsia="Courier New" w:hAnsi="Courier New"/>
          <w:sz w:val="15"/>
          <w:szCs w:val="15"/>
          <w:color w:val="auto"/>
        </w:rPr>
        <w:t>Registered debt securities denominated in U.S. dollars will be issued in</w:t>
      </w:r>
    </w:p>
    <w:p>
      <w:pPr>
        <w:spacing w:after="0" w:line="238" w:lineRule="auto"/>
        <w:rPr>
          <w:sz w:val="20"/>
          <w:szCs w:val="20"/>
          <w:color w:val="auto"/>
        </w:rPr>
      </w:pPr>
      <w:r>
        <w:rPr>
          <w:rFonts w:ascii="Courier New" w:cs="Courier New" w:eastAsia="Courier New" w:hAnsi="Courier New"/>
          <w:sz w:val="15"/>
          <w:szCs w:val="15"/>
          <w:color w:val="auto"/>
        </w:rPr>
        <w:t>denominations of $1,000 or an integral multiple of $1,000. Bearer debt</w:t>
      </w:r>
    </w:p>
    <w:p>
      <w:pPr>
        <w:spacing w:after="0" w:line="237" w:lineRule="auto"/>
        <w:rPr>
          <w:sz w:val="20"/>
          <w:szCs w:val="20"/>
          <w:color w:val="auto"/>
        </w:rPr>
      </w:pPr>
      <w:r>
        <w:rPr>
          <w:rFonts w:ascii="Courier New" w:cs="Courier New" w:eastAsia="Courier New" w:hAnsi="Courier New"/>
          <w:sz w:val="15"/>
          <w:szCs w:val="15"/>
          <w:color w:val="auto"/>
        </w:rPr>
        <w:t>securities denominated in U.S. dollars will be issued in denominations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 Debt securities may bear legends required by United States Federal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 and regulations. (Section 401)</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If any series of the debt securities are sold for any foreign currency or currency unit or if the principal of, or premium or interest on, any series of the debt securities is payable in any foreign currency or currency unit, the restrictions, elections, tax consequences, specific terms and other information with respect to such series of the debt securities and such foreign currency or currency unit will be set forth in the prospectus supplement relating to that series.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 of the Company</w:t>
      </w:r>
    </w:p>
    <w:p>
      <w:pPr>
        <w:spacing w:after="0" w:line="173"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Limitation on Merger, Consolidation and Certain Sale of Assets. The Company will covenant that it will not merge into or consolidate with any other corporation, or convey or transfer all or substantially all its properties and assets as an entirety to, any person unless:</w:t>
      </w:r>
    </w:p>
    <w:p>
      <w:pPr>
        <w:spacing w:after="0" w:line="175" w:lineRule="exact"/>
        <w:rPr>
          <w:sz w:val="20"/>
          <w:szCs w:val="20"/>
          <w:color w:val="auto"/>
        </w:rPr>
      </w:pPr>
    </w:p>
    <w:p>
      <w:pPr>
        <w:ind w:left="880" w:right="349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is a U.S. corporation, partnership, limited liability company, trust or other entity,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8" w:name="page9"/>
    <w:bookmarkEnd w:id="8"/>
    <w:p>
      <w:pPr>
        <w:ind w:left="880" w:right="3939" w:hanging="433"/>
        <w:spacing w:after="0" w:line="261"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assumes on the same terms and conditions all the obligations under the debt securities and the Indenture, and</w:t>
      </w:r>
    </w:p>
    <w:p>
      <w:pPr>
        <w:spacing w:after="0" w:line="159" w:lineRule="exact"/>
        <w:rPr>
          <w:rFonts w:ascii="Courier New" w:cs="Courier New" w:eastAsia="Courier New" w:hAnsi="Courier New"/>
          <w:sz w:val="14"/>
          <w:szCs w:val="14"/>
          <w:color w:val="auto"/>
        </w:rPr>
      </w:pPr>
    </w:p>
    <w:p>
      <w:pPr>
        <w:ind w:left="880" w:right="3839" w:hanging="433"/>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there is no default under the Indenture. (Section 901)</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Upon such merger, consolidation, conveyance or transfer, the successor will succeed to, and will be substituted in lieu of, the Company. (Section 902)</w:t>
      </w:r>
    </w:p>
    <w:p>
      <w:pPr>
        <w:spacing w:after="0" w:line="16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Event Risk. Except for the limitations on Secured Indebtedness and Sale and Leaseback Transactions described below, the Indenture and debt securities do not contain any covenants or other provisions designed to afford holders of the debt securities protections in the event of a highly leveraged transaction involving the Company.</w:t>
      </w:r>
    </w:p>
    <w:p>
      <w:pPr>
        <w:spacing w:after="0" w:line="174"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Limitation on Secured Indebtedness. The Indenture provides that the Company will not, and will not permit any Restricted Subsidiary to, create, assume, incur or guarantee any Secured Indebtedness without securing the debt securities equally and ratably with, or prior to, such Secured Indebtedness unless immediately thereafter the aggregate amount of all outstanding Secured Indebtedness (exclusive of Secured Indebtedness if the debt securities are secured equally and ratably with, or prior to, such Secured Indebtedness) and the discounted present value determined as set forth in the Indenture of all net rentals payable under existing leases entered into in connection with Sale and Leaseback Transactions (as defined below) entered into after a specified date (except any such leases entered into by a Restricted Subsidiary before the time it became a Restricted Subsidiary) would not exceed 15% of Consolidated Net Worth. (Section 1104)</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Limitation on Sale and Leaseback Transactions. The Indenture provides that the Company will not, and will not permit any Restricted Subsidiary to, enter any lease longer than three years (excluding leases of newly acquired, improved or constructed property) covering any Principal Property of the Company or any Restricted Subsidiary that is sold to any other person in connection with such lease (a "Sale and Leaseback Transaction"), unless either:</w:t>
      </w:r>
    </w:p>
    <w:p>
      <w:pPr>
        <w:spacing w:after="0" w:line="169"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thereafter, the sum of:</w:t>
      </w:r>
    </w:p>
    <w:p>
      <w:pPr>
        <w:spacing w:after="0" w:line="172" w:lineRule="exact"/>
        <w:rPr>
          <w:rFonts w:ascii="Courier New" w:cs="Courier New" w:eastAsia="Courier New" w:hAnsi="Courier New"/>
          <w:sz w:val="15"/>
          <w:szCs w:val="15"/>
          <w:color w:val="auto"/>
        </w:rPr>
      </w:pPr>
    </w:p>
    <w:p>
      <w:pPr>
        <w:ind w:left="440" w:right="3499" w:firstLine="444"/>
        <w:spacing w:after="0" w:line="236" w:lineRule="auto"/>
        <w:tabs>
          <w:tab w:leader="none" w:pos="122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discounted present value determined as set forth in the Indenture of all net rentals payable under all such existing leases entered into after a specified date (except any such leases entered into by a Restricted Subsidiary before the time it became a Restricted Subsidiary), and</w:t>
      </w:r>
    </w:p>
    <w:p>
      <w:pPr>
        <w:spacing w:after="0" w:line="173" w:lineRule="exact"/>
        <w:rPr>
          <w:rFonts w:ascii="Courier New" w:cs="Courier New" w:eastAsia="Courier New" w:hAnsi="Courier New"/>
          <w:sz w:val="15"/>
          <w:szCs w:val="15"/>
          <w:color w:val="auto"/>
        </w:rPr>
      </w:pPr>
    </w:p>
    <w:p>
      <w:pPr>
        <w:ind w:left="440" w:right="3679" w:firstLine="444"/>
        <w:spacing w:after="0" w:line="256" w:lineRule="auto"/>
        <w:tabs>
          <w:tab w:leader="none" w:pos="1315"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all outstanding Secured Indebtedness (exclusive of Secured Indebtedness if the debt securities are secured equally and ratably with, or prior to, such Secured Indebtedness) does not exceed 15% of Consolidated Net Worth; or</w:t>
      </w:r>
    </w:p>
    <w:p>
      <w:pPr>
        <w:spacing w:after="0" w:line="157"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greater of:</w:t>
      </w:r>
    </w:p>
    <w:p>
      <w:pPr>
        <w:spacing w:after="0" w:line="172"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to the Company or a Restricted Subsidiary from such sale, and</w:t>
      </w:r>
    </w:p>
    <w:p>
      <w:pPr>
        <w:spacing w:after="0" w:line="173" w:lineRule="exact"/>
        <w:rPr>
          <w:rFonts w:ascii="Courier New" w:cs="Courier New" w:eastAsia="Courier New" w:hAnsi="Courier New"/>
          <w:sz w:val="15"/>
          <w:szCs w:val="15"/>
          <w:color w:val="auto"/>
        </w:rPr>
      </w:pPr>
    </w:p>
    <w:p>
      <w:pPr>
        <w:ind w:left="440" w:right="3759" w:firstLine="444"/>
        <w:spacing w:after="0" w:line="234" w:lineRule="auto"/>
        <w:tabs>
          <w:tab w:leader="none" w:pos="1315"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discounted present value determined as set forth in the Indenture of all net rentals payable thereunder</w:t>
      </w:r>
    </w:p>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is applied within 180 days to the retirement of long-term debt of the Company or a Restricted Subsidiary (other than such debt which is subordinated to the debt securities or which is owing to the Company or a Restricted Subsidiary). (Section 1105)</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Certain Definitions Used in The Covenants. The Indenture defines some of the terms used in the Covenants as follows:</w:t>
      </w:r>
    </w:p>
    <w:p>
      <w:pPr>
        <w:spacing w:after="0" w:line="173" w:lineRule="exact"/>
        <w:rPr>
          <w:sz w:val="20"/>
          <w:szCs w:val="20"/>
          <w:color w:val="auto"/>
        </w:rPr>
      </w:pPr>
    </w:p>
    <w:p>
      <w:pPr>
        <w:ind w:left="440" w:right="3579"/>
        <w:spacing w:after="0" w:line="236" w:lineRule="auto"/>
        <w:rPr>
          <w:sz w:val="20"/>
          <w:szCs w:val="20"/>
          <w:color w:val="auto"/>
        </w:rPr>
      </w:pPr>
      <w:r>
        <w:rPr>
          <w:rFonts w:ascii="Courier New" w:cs="Courier New" w:eastAsia="Courier New" w:hAnsi="Courier New"/>
          <w:sz w:val="15"/>
          <w:szCs w:val="15"/>
          <w:color w:val="auto"/>
        </w:rPr>
        <w:t>"Secured Indebtedness" will mean indebtedness of the Company or any Restricted Subsidiary for borrowed money which is secured by any lien upon (or in respect of any conditional sale or other title retention agreement covering) any Principal Property or any stock or indebtedness of a Restricted Subsidiary, but excluding from such definition all indebtedness: (i) outstanding on a specified date, secured by liens (or arising from</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9" w:name="page10"/>
    <w:bookmarkEnd w:id="9"/>
    <w:p>
      <w:pPr>
        <w:ind w:right="3679"/>
        <w:spacing w:after="0" w:line="256" w:lineRule="auto"/>
        <w:rPr>
          <w:sz w:val="20"/>
          <w:szCs w:val="20"/>
          <w:color w:val="auto"/>
        </w:rPr>
      </w:pPr>
      <w:r>
        <w:rPr>
          <w:rFonts w:ascii="Courier New" w:cs="Courier New" w:eastAsia="Courier New" w:hAnsi="Courier New"/>
          <w:sz w:val="14"/>
          <w:szCs w:val="14"/>
          <w:color w:val="auto"/>
        </w:rPr>
        <w:t>conditional sale or other title retention agreements) existing on that date; (ii) incurred after a specified date to finance the acquisition, improvement or construction of property and either secured by purchase money mortgages or liens placed on such property within 180 days of acquisition, improvement or construction or arising from</w:t>
      </w:r>
    </w:p>
    <w:p>
      <w:pPr>
        <w:sectPr>
          <w:pgSz w:w="11900" w:h="16838" w:orient="portrait"/>
          <w:cols w:equalWidth="0" w:num="1">
            <w:col w:w="9799"/>
          </w:cols>
          <w:pgMar w:left="660" w:top="792" w:right="1440" w:bottom="1440" w:gutter="0" w:footer="0" w:header="0"/>
        </w:sectPr>
      </w:pPr>
    </w:p>
    <w:bookmarkStart w:id="10" w:name="page11"/>
    <w:bookmarkEnd w:id="10"/>
    <w:p>
      <w:pPr>
        <w:ind w:left="440" w:right="3399"/>
        <w:spacing w:after="0" w:line="237" w:lineRule="auto"/>
        <w:rPr>
          <w:sz w:val="20"/>
          <w:szCs w:val="20"/>
          <w:color w:val="auto"/>
        </w:rPr>
      </w:pPr>
      <w:r>
        <w:rPr>
          <w:rFonts w:ascii="Courier New" w:cs="Courier New" w:eastAsia="Courier New" w:hAnsi="Courier New"/>
          <w:sz w:val="15"/>
          <w:szCs w:val="15"/>
          <w:color w:val="auto"/>
        </w:rPr>
        <w:t>conditional sale or other title retention agreements; (iii) secured by liens on Principal Property or on the stock or indebtedness of Restricted Subsidiary, and, in either case, existing at the time of acquisition thereof; (iv) owing to the Company or any Restricted Subsidiary; (v) secured by liens (or conditional sale or other title retention devices) existing at the time a corporation became or becomes a Restricted Subsidiary in the case of a corporation which shall have become or becomes a Restricted Subsidiary after a specified date (vi) arising from any Sale and Leaseback Transaction; (vii) incurred to finance the acquisition or construction of property secured by liens in favor of any country or any political subdivision thereof; and (viii) constituting any replacement, extension or renewal of any such indebtedness (to the extent such indebtedness is not increased).</w:t>
      </w:r>
    </w:p>
    <w:p>
      <w:pPr>
        <w:spacing w:after="0" w:line="173" w:lineRule="exact"/>
        <w:rPr>
          <w:sz w:val="20"/>
          <w:szCs w:val="20"/>
          <w:color w:val="auto"/>
        </w:rPr>
      </w:pPr>
    </w:p>
    <w:p>
      <w:pPr>
        <w:ind w:left="440" w:right="3399"/>
        <w:spacing w:after="0" w:line="237" w:lineRule="auto"/>
        <w:rPr>
          <w:sz w:val="20"/>
          <w:szCs w:val="20"/>
          <w:color w:val="auto"/>
        </w:rPr>
      </w:pPr>
      <w:r>
        <w:rPr>
          <w:rFonts w:ascii="Courier New" w:cs="Courier New" w:eastAsia="Courier New" w:hAnsi="Courier New"/>
          <w:sz w:val="15"/>
          <w:szCs w:val="15"/>
          <w:color w:val="auto"/>
        </w:rPr>
        <w:t>"Principal Property" will mean all land, land improvements, buildings, machinery and equipment constituting a manufacturing facility, a printing facility, a warehouse facility, a distribution facility, a television broadcast facility, a cable television facility or an office facility (including any portion thereof) which facility is owned by or leased to the Company or a Restricted Subsidiary, is located within the United States and has an acquisition cost plus capitalized improvements in excess of 1% of Consolidated Net Worth as of the date of such determination, other than any such facility financed through the issuance of tax-exempt governmental obligations, or which the Board of Directors determines is not of material importance to the Company and its Restricted Subsidiaries taken as a whole, or in which the interest of the Company and all its Subsidiaries does not exceed 50%.</w:t>
      </w:r>
    </w:p>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"Consolidated Net Worth" will mean, at the date of any determination, the consolidated stockholders' or owners' equity of the Company and its subsidiaries, determined on a consolidated basis in accordance with generally accepted accounting principles consistently applied.</w:t>
      </w:r>
    </w:p>
    <w:p>
      <w:pPr>
        <w:spacing w:after="0" w:line="175"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"Restricted Subsidiary" will mean any Subsidiary of the Company which has substantially all its property in the United States, which transacts substantially all its business in the United States, and which owns or is a lessee of any Principal Property. Subsidiaries organized or acquired after a specified date for the purpose of acquiring the stock, business or assets of any person other than the Company or any Restricted Subsidiary and which (after giving effect to such acquisition) have consolidated total assets of not more that 10% of the consolidated total assets of the Company and its subsidiaries are excluded from the definition of Restricted Subsidiary.</w:t>
      </w:r>
    </w:p>
    <w:p>
      <w:pPr>
        <w:spacing w:after="0" w:line="179" w:lineRule="exact"/>
        <w:rPr>
          <w:sz w:val="20"/>
          <w:szCs w:val="20"/>
          <w:color w:val="auto"/>
        </w:rPr>
      </w:pPr>
    </w:p>
    <w:p>
      <w:pPr>
        <w:jc w:val="both"/>
        <w:ind w:left="440" w:right="3399"/>
        <w:spacing w:after="0" w:line="235" w:lineRule="auto"/>
        <w:rPr>
          <w:sz w:val="20"/>
          <w:szCs w:val="20"/>
          <w:color w:val="auto"/>
        </w:rPr>
      </w:pPr>
      <w:r>
        <w:rPr>
          <w:rFonts w:ascii="Courier New" w:cs="Courier New" w:eastAsia="Courier New" w:hAnsi="Courier New"/>
          <w:sz w:val="15"/>
          <w:szCs w:val="15"/>
          <w:color w:val="auto"/>
        </w:rPr>
        <w:t>"Subsidiary" will mean any corporation a majority of the voting shares of which are at the time owned or controlled, directly or indirectly, by the Company or by one or more Subsidiaries, or by the Company and one or more Subsidiaries.</w:t>
      </w:r>
    </w:p>
    <w:p>
      <w:pPr>
        <w:spacing w:after="0" w:line="175" w:lineRule="exact"/>
        <w:rPr>
          <w:sz w:val="20"/>
          <w:szCs w:val="20"/>
          <w:color w:val="auto"/>
        </w:rPr>
      </w:pPr>
    </w:p>
    <w:p>
      <w:pPr>
        <w:ind w:right="3939" w:firstLine="437"/>
        <w:spacing w:after="0" w:line="255" w:lineRule="auto"/>
        <w:rPr>
          <w:sz w:val="20"/>
          <w:szCs w:val="20"/>
          <w:color w:val="auto"/>
        </w:rPr>
      </w:pPr>
      <w:r>
        <w:rPr>
          <w:rFonts w:ascii="Courier New" w:cs="Courier New" w:eastAsia="Courier New" w:hAnsi="Courier New"/>
          <w:sz w:val="14"/>
          <w:szCs w:val="14"/>
          <w:color w:val="auto"/>
        </w:rPr>
        <w:t>The Indenture provides that the Company may omit to comply with the restrictive covenants described above under "Limitation on Secured Indebtedness" and "Limitation on Sale and Leaseback Transactions" if the holders of not less than a majority in principal amount of all series of outstanding debt securities affected thereby (acting as one class) waive compliance with such restrictive covenants. (Section 1107)</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Registration and Transfer</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Registered debt securities of any series will be exchangeable for other registered debt securities of the same series of any authorized denominations and of a like aggregate principal amount and tenor. If debt securities of any series are issuable as both registered debt securities and bearer debt securities, the bearer debt securities of such series (with all unmatured coupons, except as provided below, and all matured coupons in default) will be exchangeable for registered debt securities of the same series of any authorized denominations and of a like aggregate principal amount and tenor. If a bearer debt security with coupons appertaining thereto is surrendered in exchange for a registered debt security after a Regular Record Date or Special Record Date and before the relevant date for payment of interest, such bearer debt security shall be surrendered without the coupon relating to such date for payment of interest and interest will not be payable on such date in respect of the registered debt security issued in exchange for such bearer debt security, but will be payable only to the holder of such coupon when due in accordance with the terms thereof and of the Indenture. Bearer debt securities will not be issued in exchange for</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11" w:name="page12"/>
    <w:bookmarkEnd w:id="11"/>
    <w:p>
      <w:pPr>
        <w:ind w:right="3579"/>
        <w:spacing w:after="0" w:line="256" w:lineRule="auto"/>
        <w:rPr>
          <w:sz w:val="20"/>
          <w:szCs w:val="20"/>
          <w:color w:val="auto"/>
        </w:rPr>
      </w:pPr>
      <w:r>
        <w:rPr>
          <w:rFonts w:ascii="Courier New" w:cs="Courier New" w:eastAsia="Courier New" w:hAnsi="Courier New"/>
          <w:sz w:val="14"/>
          <w:szCs w:val="14"/>
          <w:color w:val="auto"/>
        </w:rPr>
        <w:t>registered debt securities (unless otherwise specified in the applicable prospectus supplement and permitted by applicable rules and regulations). No service charge will be made for any transfer or exchange of the debt securities, but the Company may require payment of a sum sufficient to cover any tax or other governmental charge in connection therewith. (Section 404)</w:t>
      </w:r>
    </w:p>
    <w:p>
      <w:pPr>
        <w:spacing w:after="0" w:line="16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Debt securities may be presented for exchange as provided above, and registered debt securities (other than book-entry debt securities (as defined below under "Global Securities--U.S. Book-Entry Securities")) may be presented for registration of transfer (with the form of transfer endorsed thereon duly executed), at the office of the Security Registrar or at the office of any additional transfer agent designated by the Company for such purpose with respect to any series of debt securities and referred to in the applicable prospectus supplement. (Sections 404 and 1102) Bank One Trust Company, N.A., currently located at 153 West 51st Street, New York, New York 10019, will be the initial Security Registrar under the Indenture. (Section 404) The Company may at any time designate, or rescind the designation of, the Security Registrar or any additional transfer agent or approve a change in the location through which the Security Registrar or any such transfer agent acts, except that, if debt securities of a series are issuable solely as registered debt securities, the Company will be required to maintain a transfer agent in each place of payment for such series and, if debt securities of a series are issuable as both registered debt securities and bearer debt securities or solely as bearer debt securities, the Company will be required to maintain (in addition to the Security Registrar) a transfer agent in a place of payment for such series located outside of the United States. The Company may at any time designate additional transfer agents with respect to any series of debt securities. (Section 1102)</w:t>
      </w:r>
    </w:p>
    <w:p>
      <w:pPr>
        <w:spacing w:after="0" w:line="344"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In the event of any redemption in part of any series of debt securities, the Company will not be required to: (i) issue, register the transfer of, or exchange, debt securities of any series during a period beginning at the opening of business 15 Business Days before any selection of debt securities of that series to be redeemed and ending at the close of business on (a) if debt securities of the series are issuable only as registered debt securities, the day of mailing of the relevant notice of redemption and (b) if debt securities of the series are issuable as bearer debt securities, the day of the first publication of the relevant notice of redemption or, if debt securities of the series are also issuable as registered debt securities and there is no publication, the day of mailing of the relevant notice of redemption; (ii) register the transfer of, or exchange, any registered debt security selected for redemption, in whole or in part, except the unredeemed portion of any registered debt security being redeemed in part; or (iii) exchange any bearer debt security selected for redemption, except to exchange such bearer debt security for a registered debt security of that series and like tenor which is simultaneously surrendered for redemption. (Section 404)</w:t>
      </w:r>
    </w:p>
    <w:p>
      <w:pPr>
        <w:spacing w:after="0" w:line="174" w:lineRule="exact"/>
        <w:rPr>
          <w:sz w:val="20"/>
          <w:szCs w:val="20"/>
          <w:color w:val="auto"/>
        </w:rPr>
      </w:pPr>
    </w:p>
    <w:p>
      <w:pPr>
        <w:ind w:right="4019" w:firstLine="437"/>
        <w:spacing w:after="0" w:line="261" w:lineRule="auto"/>
        <w:rPr>
          <w:sz w:val="20"/>
          <w:szCs w:val="20"/>
          <w:color w:val="auto"/>
        </w:rPr>
      </w:pPr>
      <w:r>
        <w:rPr>
          <w:rFonts w:ascii="Courier New" w:cs="Courier New" w:eastAsia="Courier New" w:hAnsi="Courier New"/>
          <w:sz w:val="14"/>
          <w:szCs w:val="14"/>
          <w:color w:val="auto"/>
        </w:rPr>
        <w:t>For a discussion of restrictions on the exchange, registration and transfer of global debt securities, see "Global Securities" below.</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Paying Agents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Payment of principal of, and premium and interest, if any, on, registered debt securities will be made in the designated currency or currency unit at the office of such paying agent or paying agents as the Company may designate from time to time. At the option of the Company, payment of any interest on registered debt securities may be made by check mailed to the address of the person entitled thereto as such address shall appear in the Security Register. Payment of any installment of interest on registered debt securities will be made to the person in whose name such registered debt security is registered at the close of business on the Regular Record Date for such interest. (Sections 406 and 410)</w:t>
      </w:r>
    </w:p>
    <w:p>
      <w:pPr>
        <w:spacing w:after="0" w:line="179"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Payment of principal of, and premium and interest, if any, on, bearer debt securities will be made in the designated currency unit at the offices of such paying agents outside the United States as the Company may designate from time to time. On the applicable payment date therefor, payments of principal of, and premium, if any, on, bearer debt securities will be made against surrender of such debt securities, and payment of interest on bearer debt securities with coupons appertaining thereto on any Interest Payment Date will be made only against surrender of the coupon relating to such Interest Payment Date. (Sections 410 and 1102) No payment with respect to any bearer debt security will be made at any office or agency of the Company in the United States or by check mailed to any address in the United States or by transfer to any account maintained with a bank located in the United States. Notwithstanding the foregoing, payments of principal of, and premium and interest, if any, on, bearer debt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2" w:name="page13"/>
    <w:bookmarkEnd w:id="12"/>
    <w:p>
      <w:pPr>
        <w:ind w:right="3499"/>
        <w:spacing w:after="0" w:line="256" w:lineRule="auto"/>
        <w:rPr>
          <w:sz w:val="20"/>
          <w:szCs w:val="20"/>
          <w:color w:val="auto"/>
        </w:rPr>
      </w:pPr>
      <w:r>
        <w:rPr>
          <w:rFonts w:ascii="Courier New" w:cs="Courier New" w:eastAsia="Courier New" w:hAnsi="Courier New"/>
          <w:sz w:val="14"/>
          <w:szCs w:val="14"/>
          <w:color w:val="auto"/>
        </w:rPr>
        <w:t>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1102)</w:t>
      </w:r>
    </w:p>
    <w:p>
      <w:pPr>
        <w:spacing w:after="0" w:line="16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Bank One Trust Company, N.A. will be designated as the Company's paying agent for payments with respect to debt securities that are issuable solely as registered debt securities and as the Company's paying agent in the Borough of Manhattan, The City of New York for payments with respect to debt securities (subject to the limitations described above in the case of bearer debt securities) that are issuable solely as bearer debt securities or as both registered debt securities and bearer debt securities. Any paying agents outside the United States and any other paying agents in the United States initially designated by the Company for the debt securities of a series will be named in the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debt securities, the Company will be required to maintain a paying agent in each place of payment for such series and, if debt securities of a series are issuable as both registered debt securities or bearer debt securities or solely as bearer debt securities, the Company will be required to maintain (i) a paying agent in the Borough of Manhattan, The City of New York for payments with respect to any registered debt securities of the series (and for payments with respect to bearer debt securities of the series in the circumstances described above, but not otherwise), and (ii) a paying agent in a place of payment located outside the United States where debt securities of such series and any coupons appertaining thereto may be presented and surrendered for payment; provided that if the debt securities of such series are listed on any stock exchange located outside the United States and such stock exchange shall so require, the Company will maintain a paying agent in any required city located outside the United States for the debt securities of such series. (Section 1102)</w:t>
      </w:r>
    </w:p>
    <w:p>
      <w:pPr>
        <w:spacing w:after="0" w:line="34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All moneys deposited with the Trustee or a paying agent, or then held by the Company, in trust for the payment of principal of, and premium and interest, if any, on, any debt security or coupon that remains unclaimed at the end of two years after such principal, premium or interest shall have become due and payable will be repaid to the Company, or, if then held by the Company, discharged from such trust, and the holder of such debt security or coupon will thereafter look only to the Company for payment thereof. (Section 1103)</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debt securities of a series may be issued in whole or in part in the form of one or more global debt securities. These securities will be deposited with, or on behalf of, a depositary identified in the applicable prospectus supplement. The specific terms of the depositary arrangement with respect to any debt securities of a series issued in global form will be described in the prospectus supplement relating to such series.</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Unless otherwise specified in a prospectus supplement, we anticipate that the following provisions will apply to our depositary arrangements: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Bearer Securities. If any debt securities of a series are issuable in definitive global bearer form, the applicable prospectus supplement will describe the circumstances, if any, under which beneficial owners of interests in any such definitive global bearer debt security may exchange such interests for debt securities of such series and of like tenor and principal amount in any authorized form and denomination. No bearer debt security delivered in exchange for a portion of a definitive global debt security will be mailed or otherwise delivered to any location in the United States in connection with such exchange. (Section 404) Principal of, and premium and interest, if any, on, a definitive global bearer debt security will be payable in the manner described in the applicable prospectus supplement.</w:t>
      </w:r>
    </w:p>
    <w:p>
      <w:pPr>
        <w:spacing w:after="0" w:line="165"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U.S. Book-Entry Debt Securities. If debt securities of a series represented are to be represented by a definitive global registered debt security and deposited with, or on behalf of, a depositary in the United States, such debt securities will be registered in the name of the depositary or its nominee. These securities are referred to as "book-entry securities". The depositary will credit, on its book-entry registration and transfer system, the respective principal amounts of the book-entry debt securities represented by such global debt security to the accounts of</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3" w:name="page14"/>
    <w:bookmarkEnd w:id="13"/>
    <w:p>
      <w:pPr>
        <w:ind w:right="3399"/>
        <w:spacing w:after="0" w:line="254" w:lineRule="auto"/>
        <w:rPr>
          <w:sz w:val="20"/>
          <w:szCs w:val="20"/>
          <w:color w:val="auto"/>
        </w:rPr>
      </w:pPr>
      <w:r>
        <w:rPr>
          <w:rFonts w:ascii="Courier New" w:cs="Courier New" w:eastAsia="Courier New" w:hAnsi="Courier New"/>
          <w:sz w:val="14"/>
          <w:szCs w:val="14"/>
          <w:color w:val="auto"/>
        </w:rPr>
        <w:t>institutions that have accounts with such depositary or its nominee ("participants"). The accounts to be credited shall be designated by the underwriters or agents for the sale of such book-entry debt securities or by the Company, if such debt securities are offered and sold directly by the Company. Ownership of book-entry debt securities will be limited to participants or persons that may hold interests through participants. Ownership of book-entry debt securities will be shown on, and the transfer of that ownership will be effected only through, records maintained by the depositary or its nominee for the applicable global security or by participants or persons that hold through participants. So long as the depositary, or its nominee, is the registered owner of such global debt security, such depositary or such nominee, as the case may be, will be considered the sole owner or holder of the book-entry debt securities represented by such global debt security for all purposes under the Indenture. Payment of principal of, and premium and interest, if any, on, book-entry debt securities will be made to the depositary or its nominee, as the case may be, as the registered owner or the holder of the global debt security representing such book-entry debt securities. Owners of book-entry debt securities will not be entitled to have such debt securities registered in their names in the Security Register, will not receive or be entitled to receive physical delivery of such debt securities in definitive form and will not be considered the owners or holders thereof under the Indenture. The laws of some jurisdictions require that certain purchasers of securities take physical delivery of such securities in definitive form. Such limits and such laws impair the ability to purchase or transfer book-entry debt securities.</w:t>
      </w:r>
    </w:p>
    <w:p>
      <w:pPr>
        <w:spacing w:after="0" w:line="34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Company expects that the depositary for book-entry debt securities of a series, upon receipt of any payment of principal of, or premium or interest, if any, on, the related definitive global debt security, will immediately credit participants' accounts with payments in amounts proportionate to their respective beneficial interests in the principal amount of such global debt security as shown on the records of such depositary. The Company also expects that payments by participants to owners of beneficial interests in such global debt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 Defeasance</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At the request of the Company, the Indenture will cease to be in effect as to the debt securities of any series (except for certain obligations to register the transfer or exchange of such debt securities and related coupons, if any, and hold moneys for payment of such debt securities and coupons in trust) when either (a) all such debt securities and coupons have been delivered to the Trustee for cancellation or (b) all such debt securities and coupons have become due and payable or will become due and payable at their stated maturity within one year, or are to be called for redemption within one year, and the Company has deposited with the trustee, in trust money, in the currency, currencies or currency unit or units in which such debt securities are payable, in an amount sufficient to pay all the principal of, and premium and interest, if any, on, such debt securities on the dates such payments are due in accordance with the terms of such debt securities. (Section 501)</w:t>
      </w:r>
    </w:p>
    <w:p>
      <w:pPr>
        <w:spacing w:after="0" w:line="164"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Company may defease any series of debt securities and, at its option, either (a) be Discharged after 90 days from any and all obligations in respect of such series of debt securities (except for certain obligations to register the transfer of or exchange debt securities and related coupons, replace stolen, lost or mutilated debt securities and coupons, maintain paying agencies and hold moneys for payment in trust) or (b) eliminate the requirement to comply with certain restrictive covenants of the Indenture in respect of such series (including those described under "Certain Covenants of the Company"). In order to exercise either defeasance option, the Company must deposit with the trustee in trust, money, or, in the case of debt securities and coupons denominated in U.S. dollars, U.S. Government Obligations or, in the case of debt securities and coupons denominated in a foreign currency, Foreign Government Securities, which through the payment of interest thereon and principal thereof in accordance with their terms will provide money, in an amount sufficient to pay in the currency, currencies or currency unit or units in which such debt securities are payable all the principal (including any mandatory sinking fund payments) of, and interest on, such series on the dates such payments are due in accordance with the terms of such series. Among the conditions to the Company's exercising any such option, the Company is required to deliver to the Trustee an opinion of counsel to the effect that the deposit and related defeasance would not cause the holders of such series to recognize income, gain or loss for United States Federal income tax purposes and that the holders of such series will be subject to United States Federal income tax in the same amounts, in the same manner and at the same times as would have been the case if such option had not been exercised. (Section 503)</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Events of Default, Notice and Waiver</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Indenture provides that, if an Event of Default specified therein with respect to any series of debt securities shall have happened and be continuing, either the Trustee or the holders of 25% in principal amount of the outstanding debt securities of such series (in the case of certain events of bankruptcy, insolvency and reorganization, voting as one class with all other outstanding debt securities) may declare the principal of all the debt securities of such series, together with accrued interest thereon, if any, to be immediately due and payable by notice in writing to the Company (and to the Trustee if given by the holders). (Section 602)</w:t>
      </w:r>
    </w:p>
    <w:p>
      <w:pPr>
        <w:spacing w:after="0" w:line="178"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Events of Default in respect of any series are defined in the Indenture as being:</w:t>
      </w:r>
    </w:p>
    <w:p>
      <w:pPr>
        <w:spacing w:after="0" w:line="173" w:lineRule="exact"/>
        <w:rPr>
          <w:sz w:val="20"/>
          <w:szCs w:val="20"/>
          <w:color w:val="auto"/>
        </w:rPr>
      </w:pPr>
    </w:p>
    <w:p>
      <w:pPr>
        <w:ind w:left="880" w:hanging="433"/>
        <w:spacing w:after="0"/>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for 30 days in payment of any interest installment when due;</w:t>
      </w:r>
    </w:p>
    <w:p>
      <w:pPr>
        <w:spacing w:after="0" w:line="177" w:lineRule="exact"/>
        <w:rPr>
          <w:rFonts w:ascii="Courier New" w:cs="Courier New" w:eastAsia="Courier New" w:hAnsi="Courier New"/>
          <w:sz w:val="14"/>
          <w:szCs w:val="14"/>
          <w:color w:val="auto"/>
        </w:rPr>
      </w:pPr>
    </w:p>
    <w:p>
      <w:pPr>
        <w:ind w:left="880" w:right="3499" w:hanging="433"/>
        <w:spacing w:after="0" w:line="235"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of principal of, or premium, if any, on, debt securities of such series when due (other than any sinking fund payments) at their stated maturity, by declaration, when called for redemption or otherwise;</w:t>
      </w:r>
    </w:p>
    <w:p>
      <w:pPr>
        <w:spacing w:after="0" w:line="175"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30 days in the making of any sinking fund payment when due;</w:t>
      </w:r>
    </w:p>
    <w:p>
      <w:pPr>
        <w:spacing w:after="0" w:line="173" w:lineRule="exact"/>
        <w:rPr>
          <w:rFonts w:ascii="Courier New" w:cs="Courier New" w:eastAsia="Courier New" w:hAnsi="Courier New"/>
          <w:sz w:val="15"/>
          <w:szCs w:val="15"/>
          <w:color w:val="auto"/>
        </w:rPr>
      </w:pPr>
    </w:p>
    <w:p>
      <w:pPr>
        <w:ind w:left="880" w:right="3399" w:hanging="433"/>
        <w:spacing w:after="0" w:line="236"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90 days after notice to the Company by the Trustee or by holders of at least 25% in aggregate principal amount of the outstanding debt securities of such series in the performance of any covenant in the debt securities of such series or in the Indenture with respect to debt securities of such series;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of bankruptcy, insolvency and reorganization.</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No Event of Default with respect to a single series of indebtedness issued under the Indenture (and any supplemental indentures) necessarily constitutes an Event of Default with respect to any other series of indebtedness issued thereunder. (Section 601)</w:t>
      </w:r>
    </w:p>
    <w:p>
      <w:pPr>
        <w:spacing w:after="0" w:line="175"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The Indenture provides that the trustee will, within 90 days after the occurrence of a default with respect to the debt securities of any series, give to the holders of the debt securities of such series notice of all uncured and unwaived defaults known to it; provided that, except in the case of default in the payment of principal of, or premium or interest, if any, on, or a sinking fund installment, if any, with respect to any of the debt securities of such series, the Trustee will be protected in withholding such notice if it in good faith determines that the withholding of such notice is in the interest of the holders of the debt securities of such series. The term "default" for the purpose of this provision only means the happening of any of the Events of Default specified above, except that any grace period or notice requirement is eliminated. (Section 702)</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The Indenture contains provisions entitling the Trustee, subject to the duty of the Trustee during an Event of Default to act with the required standard of care, to be indemnified by the holders of the debt securities before proceeding to exercise any right or power under the Indenture at the request of holders of the debt securities. (Section 703)</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Indenture provides that the holders of a majority in principal amount of the outstanding debt securities of any series may in certain circumstances direct the time, method and place of conducting proceedings for remedies available to the Trustee or exercising any trust or power conferred on the Trustee in respect of such series. (Section 612)</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Indenture includes a covenant that the Company will file annually with the Trustee an Officers' Certificate stating whether any default exists and specifying any default that exists. (Section 1106)</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certain cases, the holders of a majority in principal amount of the outstanding debt securities of any series may on behalf of the holders of all debt securities of such series waive any past default or Event of Default with respect to the debt securities of such series or compliance with certain provisions of the Indenture, except, among other things, a default not theretofore cured in payment of the principal of, or premium or interest, if any, on, any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85" w:right="1440" w:bottom="1440" w:gutter="0" w:footer="0" w:header="0"/>
        </w:sectPr>
      </w:pPr>
    </w:p>
    <w:bookmarkStart w:id="15" w:name="page16"/>
    <w:bookmarkEnd w:id="15"/>
    <w:p>
      <w:pPr>
        <w:jc w:val="both"/>
        <w:ind w:right="3399"/>
        <w:spacing w:after="0" w:line="236" w:lineRule="auto"/>
        <w:rPr>
          <w:sz w:val="20"/>
          <w:szCs w:val="20"/>
          <w:color w:val="auto"/>
        </w:rPr>
      </w:pPr>
      <w:r>
        <w:rPr>
          <w:rFonts w:ascii="Courier New" w:cs="Courier New" w:eastAsia="Courier New" w:hAnsi="Courier New"/>
          <w:sz w:val="15"/>
          <w:szCs w:val="15"/>
          <w:color w:val="auto"/>
        </w:rPr>
        <w:t>the debt securities of such series. (Section 613) The holders of a majority in principal amount of a series of outstanding debt securities also have certain rights to rescind any declaration of acceleration with respect to such series after all Events of Default with respect to such series not arising from such declaration shall have been cured. (Section 602)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the Indenture</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The Indenture allows the Company and the Trustee, without the consent of any holders of debt securities, to enter into supplemental indentures for the purposes, among other things, of:</w:t>
      </w:r>
    </w:p>
    <w:p>
      <w:pPr>
        <w:spacing w:after="0" w:line="167"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adding to the Company's covenants,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adding additional Events of Default,</w:t>
      </w:r>
    </w:p>
    <w:p>
      <w:pPr>
        <w:spacing w:after="0" w:line="172"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establishing the form or terms of any series of debt securities issued under such supplemental indentures or curing ambiguities or inconsistencies in the Indenture,</w:t>
      </w:r>
    </w:p>
    <w:p>
      <w:pPr>
        <w:spacing w:after="0" w:line="173"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other provisions that do not adversely affect the interests of the holders of any series of debt securities in any material respect. (Section 1001)</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Indenture allows the Company and the Trustee, with the consent of the holders of not less than a majority in principal amount of the outstanding debt securities of all affected series (acting as one class), to execute supplemental indentures adding any provisions to or changing or eliminating any of the provisions of the Indenture or modifying the rights of the holders of the debt securities of such series. But, no supplemental indenture may, without the consent of the holders of all the outstanding debt securities affected thereby, among other things:</w:t>
      </w:r>
    </w:p>
    <w:p>
      <w:pPr>
        <w:spacing w:after="0" w:line="177" w:lineRule="exact"/>
        <w:rPr>
          <w:sz w:val="20"/>
          <w:szCs w:val="20"/>
          <w:color w:val="auto"/>
        </w:rPr>
      </w:pPr>
    </w:p>
    <w:p>
      <w:pPr>
        <w:ind w:left="440" w:right="4279" w:firstLine="444"/>
        <w:spacing w:after="0" w:line="261" w:lineRule="auto"/>
        <w:tabs>
          <w:tab w:leader="none" w:pos="122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installment of principal of or interest on, any debt security;</w:t>
      </w:r>
    </w:p>
    <w:p>
      <w:pPr>
        <w:spacing w:after="0" w:line="327" w:lineRule="exact"/>
        <w:rPr>
          <w:rFonts w:ascii="Courier New" w:cs="Courier New" w:eastAsia="Courier New" w:hAnsi="Courier New"/>
          <w:sz w:val="14"/>
          <w:szCs w:val="14"/>
          <w:color w:val="auto"/>
        </w:rPr>
      </w:pPr>
    </w:p>
    <w:p>
      <w:pPr>
        <w:ind w:left="440" w:right="3499" w:firstLine="444"/>
        <w:spacing w:after="0" w:line="234" w:lineRule="auto"/>
        <w:tabs>
          <w:tab w:leader="none" w:pos="12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the rate of interest on, or any premium payable upon the redemption of, any debt security;</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amount of the principal of an Original Issue Discount Security that would be due and payable upon acceleration of the Maturity thereof;</w:t>
      </w:r>
    </w:p>
    <w:p>
      <w:pPr>
        <w:spacing w:after="0" w:line="173" w:lineRule="exact"/>
        <w:rPr>
          <w:rFonts w:ascii="Courier New" w:cs="Courier New" w:eastAsia="Courier New" w:hAnsi="Courier New"/>
          <w:sz w:val="15"/>
          <w:szCs w:val="15"/>
          <w:color w:val="auto"/>
        </w:rPr>
      </w:pPr>
    </w:p>
    <w:p>
      <w:pPr>
        <w:jc w:val="both"/>
        <w:ind w:left="440" w:right="3579" w:firstLine="444"/>
        <w:spacing w:after="0" w:line="235" w:lineRule="auto"/>
        <w:tabs>
          <w:tab w:leader="none" w:pos="12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place of payment where, or the currency, currencies or currency unit or units in which, any debt security or any premium or interest thereon is payable;</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such payment on or after the Stated Maturity thereof (or, in the case of redemption, on or after the Redemption Date);</w:t>
      </w:r>
    </w:p>
    <w:p>
      <w:pPr>
        <w:spacing w:after="0" w:line="173" w:lineRule="exact"/>
        <w:rPr>
          <w:rFonts w:ascii="Courier New" w:cs="Courier New" w:eastAsia="Courier New" w:hAnsi="Courier New"/>
          <w:sz w:val="15"/>
          <w:szCs w:val="15"/>
          <w:color w:val="auto"/>
        </w:rPr>
      </w:pPr>
    </w:p>
    <w:p>
      <w:pPr>
        <w:jc w:val="both"/>
        <w:ind w:left="440" w:right="3679" w:firstLine="444"/>
        <w:spacing w:after="0" w:line="235" w:lineRule="auto"/>
        <w:tabs>
          <w:tab w:leader="none" w:pos="12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affect adversely the terms, if any, of conversion of any debt security into stock or other securities of the Company or of any other corporation;</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w:t>
      </w:r>
    </w:p>
    <w:p>
      <w:pPr>
        <w:spacing w:after="0" w:line="174"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obligation of the Company, with respect to outstanding debt securities of a series, to maintain an office or agency in the places and for the purposes specified in the Indenture for such series;</w:t>
      </w:r>
    </w:p>
    <w:p>
      <w:pPr>
        <w:spacing w:after="0" w:line="175"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foregoing provisions or the provisions for the waiver of certain covenants and defaults, except to increase any applicable percentage of the aggregate principal amount of outstanding debt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6" w:name="page17"/>
    <w:bookmarkEnd w:id="16"/>
    <w:p>
      <w:pPr>
        <w:ind w:left="440" w:right="3399"/>
        <w:spacing w:after="0" w:line="236" w:lineRule="auto"/>
        <w:rPr>
          <w:sz w:val="20"/>
          <w:szCs w:val="20"/>
          <w:color w:val="auto"/>
        </w:rPr>
      </w:pPr>
      <w:r>
        <w:rPr>
          <w:rFonts w:ascii="Courier New" w:cs="Courier New" w:eastAsia="Courier New" w:hAnsi="Courier New"/>
          <w:sz w:val="15"/>
          <w:szCs w:val="15"/>
          <w:color w:val="auto"/>
        </w:rPr>
        <w:t>securities the consent of the holders of which is required or to provide with respect to any particular series the right to condition the effectiveness of any supplemental indenture as to that series on the consent of the holders of a specified percentage of the aggregate principal amount of outstanding debt securities of such series or to provide that certain other provisions of the Indenture cannot be modified or waived without the consent of the holder of each outstanding debt security affected thereby. (Section 1002)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w:t>
      </w:r>
    </w:p>
    <w:p>
      <w:pPr>
        <w:spacing w:after="0" w:line="173" w:lineRule="exact"/>
        <w:rPr>
          <w:sz w:val="20"/>
          <w:szCs w:val="20"/>
          <w:color w:val="auto"/>
        </w:rPr>
      </w:pPr>
    </w:p>
    <w:p>
      <w:pPr>
        <w:ind w:right="3499" w:firstLine="437"/>
        <w:spacing w:after="0" w:line="237" w:lineRule="auto"/>
        <w:rPr>
          <w:sz w:val="20"/>
          <w:szCs w:val="20"/>
          <w:color w:val="auto"/>
        </w:rPr>
      </w:pPr>
      <w:r>
        <w:rPr>
          <w:rFonts w:ascii="Courier New" w:cs="Courier New" w:eastAsia="Courier New" w:hAnsi="Courier New"/>
          <w:sz w:val="15"/>
          <w:szCs w:val="15"/>
          <w:color w:val="auto"/>
        </w:rPr>
        <w:t>The Indenture contains provisions for convening meetings of the holders of debt securities of any series. (Section 1401) A meeting may be called at any time by the Trustee under the Indenture, and also, upon request, by the Company or the holders of at least 10% in principal amount of the outstanding debt securities of such series, in any such case upon notice given in accordance with "Notices" below. (Section 1402) Persons entitled to vote a majority in principal amount of the outstanding debt securities of a series will constitute a quorum at a meeting of holders of debt securities of such series, except that in the absence of a quorum, if the meeting was called by the Company or the Trustee, it may be adjourned for a period of not less than 10 days, and in the absence of a quorum at any such adjourned meeting, the meeting may be further adjourned for a period of not less than 10 days. (Section 1404)</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Except for any consent which must be given by the holder of each outstanding debt security affected thereby, as described above under "Modification of the Indenture", and subject to the provisions described in the last sentence under this subheading, any resolution presented at a meeting or adjourned meeting duly reconvened at which a quorum is present may be adopted by the affirmative vote of the holders of a majority in principal amount of the outstanding debt securities of that series. Any resolution with respect to any request, demand, authorization, direction, notice, consent, waiver or other action which may be made, given or taken by the holders of a specified percentage, which is equal to or less than a majority, in principal amount of outstanding debt securities of a series may be adopted at a meeting or an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and the related coupons. With respect to any consent, waiver or other action which the Indenture expressly provides may be given by the holders of a specified percentage of outstanding debt securities of all series affected thereby (acting as one class), only the principal amount of outstanding debt securities of any series represented at a meeting or an adjourned meeting duly reconvened at which a quorum is present as aforesaid and voting in favor of such action will be counted for purposes of calculating the aggregate principal amount of outstanding debt securities of all series affected thereby favoring such action. (Section 1404)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Except as otherwise provided in the Indenture, notices to holders of bearer debt securities will be given by publication at least once in a daily newspaper in The City of New York and in London and in such other city or cities as may be specified in such bearer debt securities. Notices will also be mailed to such persons whose names and addresses were previously filed with the Trustee, within the time prescribed for the giving of such notice. Notices to holders of registered debt securities will be given by mail to the addresses of such holders as they appear in the Security Register. (Section 106)</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Title to any bearer debt securities and any coupons appertaining thereto will pass by delivery. The Company, the Trustee and any agent of the Company or the Trustee may treat the bearer of any bearer debt security or related coupon and, prior to due presentment for registration of transfer, the registered owner of any registered debt security (including registered debt securities in global registered form), as the absolute owner thereof (whether or not such debt security or coupon shall be overdue and notwithstanding any notice to the contrary) for the purpose of making payment and for all other purposes. (Section 407)</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Replacement of Securities Coupons</w:t>
      </w:r>
    </w:p>
    <w:p>
      <w:pPr>
        <w:spacing w:after="0" w:line="173"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Any mutilated debt security and any debt security with a mutilated coupon appertaining thereto will be replaced by the Company at the expense of the holder upon surrender of such mutilated debt security or debt security with a mutilated coupon to the Security Registrar. Debt securities or coupons that become destroyed, stolen or lost will be replaced by the Company at the expense of the holder upon delivery to the Security Registrar of evidence of the destruction, loss or theft thereto satisfactory to the Company and the Security Registrar, in the case of any coupon which becomes destroyed, stolen or lost, such coupon will be replaced (upon surrender to the Security Registrar of the debt security with all appurtenant coupons not destroyed, stolen or lost) by issuance of a new debt security in exchange for the debt security to which such coupon appertains. In the case of a destroyed, lost or stolen debt security or coupon, an indemnity satisfactory to the Security Registrar and the Company may be required at the expense of the holder of such debt security or coupon before a replacement debt security will be issued. (Section 405)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Indenture, the debt securities and the coupons will be governed by, and construed in accordance with, the laws of the State of New York.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may from time to time maintain lines of credit, and have other customary banking relationships, with Bank One Trust Company, N.A. (formerly known as The First National Bank of Chicago), the Trustee under the Indenture, or with its affiliates.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may sell the debt securities in any of three ways: (i) through underwriters, (ii) through agents or (iii) directly to a limited number of institutional purchasers or to a single purchaser. In the applicable prospectus supplement, we will set forth the terms of the offering of the debt securities of such series, including the name or names of any underwriters, the purchase price and the proceeds we receive from such sale, any underwriting discounts and other items constituting underwriters' compensation, any initial public offering price and any discounts or concessions allowed or reallowed or paid to dealers and any securities exchanges on which the debt securities of such series may be listed.</w:t>
      </w:r>
    </w:p>
    <w:p>
      <w:pPr>
        <w:spacing w:after="0" w:line="179"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If we use underwriters in the sale, the debt securities will be acquired by the underwriters for their own account and may be resold from time to time in one or more transactions, including negotiated transactions, at a fixed public offering price or at varying prices determined at the time of sale. The debt securities may be either offered to the public through underwriting syndicates represented by managing underwriters or by underwriters without a syndicate. Unless otherwise set forth in the prospectus supplement, the obligations of the underwriters to purchase debt securities will be subject to certain conditions precedent and the underwriters will be obligated to purchase all the debt securities of a series if any are purchased. Any initial public offering price and any discounts or concessions allowed or reallowed or paid to dealers may be changed from time to time.</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may sell debt securities directly or through agents designated by us from time to time. Any agent involved in the offer or sale of the debt securities in respect of which this prospectus is delivered will be named, and any commissions payable by us to such agent will be set forth, in the prospectus supplement. Unless otherwise indicated in the prospectus supplement, any such agent will be acting on a best efforts basis for the period of its appointment.</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may authorize agents or underwriters to solicit offers by certain types of institutions to purchase debt securities from us at the public offering price set forth in the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commissions payable for solicitation of such contracts.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85" w:right="1440" w:bottom="1440" w:gutter="0" w:footer="0" w:header="0"/>
        </w:sectPr>
      </w:pPr>
    </w:p>
    <w:bookmarkStart w:id="18" w:name="page19"/>
    <w:bookmarkEnd w:id="18"/>
    <w:p>
      <w:pPr>
        <w:ind w:right="3399" w:firstLine="437"/>
        <w:spacing w:after="0" w:line="236" w:lineRule="auto"/>
        <w:rPr>
          <w:sz w:val="20"/>
          <w:szCs w:val="20"/>
          <w:color w:val="auto"/>
        </w:rPr>
      </w:pPr>
      <w:r>
        <w:rPr>
          <w:rFonts w:ascii="Courier New" w:cs="Courier New" w:eastAsia="Courier New" w:hAnsi="Courier New"/>
          <w:sz w:val="15"/>
          <w:szCs w:val="15"/>
          <w:color w:val="auto"/>
        </w:rPr>
        <w:t>Agents and underwriters may be entitled under agreements entered into with us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the Company in the ordinary course of business.</w:t>
      </w:r>
    </w:p>
    <w:p>
      <w:pPr>
        <w:spacing w:after="0" w:line="176"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Each series of debt securities will be a new issue of securities with no established trading market. Any underwriters to whom we sell debt securities for public offering and sale may make a market in such debt securities, but such underwriters will not be obligated to do so and may discontinue any market making at any time without notice. No assurance can be given as to the liquidity of the trading market for any debt securities.</w:t>
      </w:r>
    </w:p>
    <w:p>
      <w:pPr>
        <w:spacing w:after="0" w:line="16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LEGAL OPINIONS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Diana M. Daniels, who is our Vice President, General Counsel and Secretary, or another of our lawyers, or Cravath, Swaine &amp; Moore, our outside counsel, will issue an opinion about the legality of the offered securities for us. Any underwriters will be advised about other issues relating to any offering by their own legal counsel.</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The consolidated financial statements as of December 31, 2000 and January 2, 2000 and for each of the three years in the period ended December 31, 2000 incorporated by reference in this prospectus have been so included in reliance on the report of PricewaterhouseCoopers lLP, independent accountants, given on the authority of said firm as experts in auditing and accounting.</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19" w:name="page20"/>
    <w:bookmarkEnd w:id="19"/>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3" w:lineRule="exact"/>
        <w:rPr>
          <w:sz w:val="20"/>
          <w:szCs w:val="20"/>
          <w:color w:val="auto"/>
        </w:rPr>
      </w:pPr>
    </w:p>
    <w:p>
      <w:pPr>
        <w:ind w:right="3679" w:firstLine="262"/>
        <w:spacing w:after="0" w:line="235" w:lineRule="auto"/>
        <w:rPr>
          <w:sz w:val="20"/>
          <w:szCs w:val="20"/>
          <w:color w:val="auto"/>
        </w:rPr>
      </w:pPr>
      <w:r>
        <w:rPr>
          <w:rFonts w:ascii="Courier New" w:cs="Courier New" w:eastAsia="Courier New" w:hAnsi="Courier New"/>
          <w:sz w:val="15"/>
          <w:szCs w:val="15"/>
          <w:color w:val="auto"/>
        </w:rPr>
        <w:t>The following statement sets forth the estimated amounts of expenses (subject to future contingencies), other than underwriting discounts, to be borne by the Company in connection with the offering described in this registration statement: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w w:val="98"/>
              </w:rPr>
              <w:t>Securities and Exchange Commission Registration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Trustee's Fees.....................................................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Printing and Engraving Expenses....................................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Rating Agency Fees.................................................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$260,000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Accounting Fees and Expenses.......................................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Legal Fees.........................................................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Miscellaneous Expenses.............................................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Expenses.....................................................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471,000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Section 145 of the Delaware General Corporation Law ("DGCL") permits us to indemnify any of our directors or officers against expenses (including attorneys' fees), judgments, fines and amounts paid in settlement, incurred in defense of any action (other than an action by or in our rights) arising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Section 145 also permits the Company to indemnify any such officer or director against expenses incurred in an action by or in the right of the Company if he acted in good faith and in a manner he reasonably believed to be in or not opposed to the best interests of the Company, except in respect of any matter as to which such person is adjudged to be liable to the Company, in which case court approval must be sought for indemnification. This statute requires indemnification of such officers and directors against expenses to the extent they may be successful in defending any such action. This statute provides that it is not exclusive of other indemnification that may be granted by the Company's by-laws, a vote of stockholders or disinterested directors, agreement or otherwise. The statute permits purchase of liability insurance by the Company on behalf of officers and directors, and the Company has purchased such insurance.</w:t>
      </w:r>
    </w:p>
    <w:p>
      <w:pPr>
        <w:spacing w:after="0" w:line="34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Paragraph B of Article Nine of the Registrant's Certificate of Incorporation requires indemnification to the fullest extent permitted under Delaware law of any person who is or was a director or officer of the Registrant who is or was involved or threatened to be made so involved in any action, suit or proceeding, whether criminal, civil, administrative or investigative, by reason of the fact that such person is or was serving as a director, officer or employee of the Registrant or any predecessor of the Registrant or was serving at the request of the Registrant as a director, officer or employee of any other enterprise.</w:t>
      </w:r>
    </w:p>
    <w:p>
      <w:pPr>
        <w:spacing w:after="0" w:line="178"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102(b)(7) of the DGCL permits a provision in the certificate of incorporation of each corporation organized thereunder, such as the Registrant, eliminating or limiting, with certain exceptions, the personal liability of a director to the corporation or its stockholders for monetary damages for breach of fiduciary duty as a director. Paragraph A of Article Nine of the Registrant's Certificate of Incorporation eliminates the liability of directors to the extent permitted by Section 102(b) (7) of the DGCL.</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foregoing statements are subject to the detailed provisions of Section 145 and 102 (b) (7) of the DGCL and Article Nine of such Certificate of Incorporation, as applicable.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785" w:right="1440" w:bottom="1440" w:gutter="0" w:footer="0" w:header="0"/>
        </w:sectPr>
      </w:pPr>
    </w:p>
    <w:bookmarkStart w:id="20" w:name="page21"/>
    <w:bookmarkEnd w:id="20"/>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33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166" w:lineRule="exact"/>
        <w:rPr>
          <w:sz w:val="20"/>
          <w:szCs w:val="20"/>
          <w:color w:val="auto"/>
        </w:rPr>
      </w:pPr>
    </w:p>
    <w:p>
      <w:pPr>
        <w:ind w:left="880" w:hanging="870"/>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Form of Underwriting Agreement (incorporated by reference</w:t>
      </w:r>
    </w:p>
    <w:p>
      <w:pPr>
        <w:spacing w:after="0" w:line="5" w:lineRule="exact"/>
        <w:rPr>
          <w:sz w:val="20"/>
          <w:szCs w:val="20"/>
          <w:color w:val="auto"/>
        </w:rPr>
      </w:pPr>
    </w:p>
    <w:p>
      <w:pPr>
        <w:ind w:left="880" w:right="3759"/>
        <w:spacing w:after="0" w:line="234" w:lineRule="auto"/>
        <w:rPr>
          <w:sz w:val="20"/>
          <w:szCs w:val="20"/>
          <w:color w:val="auto"/>
        </w:rPr>
      </w:pPr>
      <w:r>
        <w:rPr>
          <w:rFonts w:ascii="Courier New" w:cs="Courier New" w:eastAsia="Courier New" w:hAnsi="Courier New"/>
          <w:sz w:val="15"/>
          <w:szCs w:val="15"/>
          <w:color w:val="auto"/>
        </w:rPr>
        <w:t>to Exhibit 1 of the Company's Registration Statement on Form S-3 filed December 23, 1998).</w:t>
      </w:r>
    </w:p>
    <w:p>
      <w:pPr>
        <w:spacing w:after="0" w:line="5" w:lineRule="exact"/>
        <w:rPr>
          <w:sz w:val="20"/>
          <w:szCs w:val="20"/>
          <w:color w:val="auto"/>
        </w:rPr>
      </w:pPr>
    </w:p>
    <w:p>
      <w:pPr>
        <w:ind w:left="880" w:right="3499" w:hanging="874"/>
        <w:spacing w:after="0" w:line="254" w:lineRule="auto"/>
        <w:tabs>
          <w:tab w:leader="none" w:pos="860"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4"/>
          <w:szCs w:val="14"/>
          <w:color w:val="auto"/>
        </w:rPr>
        <w:t>Form of Indenture between the Company and Bank One Trust Company, N.A. (formerly known as The First National Bank of Chicago) as Trustee (incorporated by reference to Exhibit 4(a) of the Company's registration statement on Form S-3 filed December 23, 1998).</w:t>
      </w:r>
    </w:p>
    <w:p>
      <w:pPr>
        <w:spacing w:after="0" w:line="1" w:lineRule="exact"/>
        <w:rPr>
          <w:sz w:val="20"/>
          <w:szCs w:val="20"/>
          <w:color w:val="auto"/>
        </w:rPr>
      </w:pPr>
    </w:p>
    <w:p>
      <w:pPr>
        <w:ind w:left="880" w:right="36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(4)(b)</w:t>
      </w:r>
      <w:r>
        <w:rPr>
          <w:sz w:val="20"/>
          <w:szCs w:val="20"/>
          <w:color w:val="auto"/>
        </w:rPr>
        <w:tab/>
      </w:r>
      <w:r>
        <w:rPr>
          <w:rFonts w:ascii="Courier New" w:cs="Courier New" w:eastAsia="Courier New" w:hAnsi="Courier New"/>
          <w:sz w:val="15"/>
          <w:szCs w:val="15"/>
          <w:color w:val="auto"/>
        </w:rPr>
        <w:t>Form of Fixed Rate Security with and without Redemption Provision (included in Exhibit 4(a)).</w:t>
      </w:r>
    </w:p>
    <w:p>
      <w:pPr>
        <w:ind w:left="880" w:hanging="870"/>
        <w:spacing w:after="0" w:line="237"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Diana M. Daniels, Esq.*</w:t>
      </w:r>
    </w:p>
    <w:p>
      <w:pPr>
        <w:spacing w:after="0" w:line="5" w:lineRule="exact"/>
        <w:rPr>
          <w:sz w:val="20"/>
          <w:szCs w:val="20"/>
          <w:color w:val="auto"/>
        </w:rPr>
      </w:pPr>
    </w:p>
    <w:p>
      <w:pPr>
        <w:ind w:right="4799" w:firstLine="10"/>
        <w:spacing w:after="0" w:line="234" w:lineRule="auto"/>
        <w:tabs>
          <w:tab w:leader="none" w:pos="87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Ratios of Earnings to Fixed Charges.* (23)(a) Consent of Independent Accountants.*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(23)(b)   Consent of Counsel (included in Exhibit 5).*</w:t>
      </w:r>
    </w:p>
    <w:p>
      <w:pPr>
        <w:spacing w:after="0" w:line="5" w:lineRule="exact"/>
        <w:rPr>
          <w:sz w:val="20"/>
          <w:szCs w:val="20"/>
          <w:color w:val="auto"/>
        </w:rPr>
      </w:pPr>
    </w:p>
    <w:p>
      <w:pPr>
        <w:ind w:left="880" w:right="4279" w:hanging="870"/>
        <w:spacing w:after="0" w:line="234"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on the signature page of this registration statement).</w:t>
      </w:r>
    </w:p>
    <w:p>
      <w:pPr>
        <w:spacing w:after="0" w:line="5" w:lineRule="exact"/>
        <w:rPr>
          <w:rFonts w:ascii="Courier New" w:cs="Courier New" w:eastAsia="Courier New" w:hAnsi="Courier New"/>
          <w:sz w:val="15"/>
          <w:szCs w:val="15"/>
          <w:color w:val="auto"/>
        </w:rPr>
      </w:pPr>
    </w:p>
    <w:p>
      <w:pPr>
        <w:ind w:left="880" w:right="3579" w:hanging="870"/>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Eligibility and Qualification on Form T-1 of Bank One Trust Company, N.A. (formerly known as The First National Bank of Chicago) to act as Trustee under the Indenture.*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7439" w:firstLine="10"/>
        <w:spacing w:after="0" w:line="465" w:lineRule="auto"/>
        <w:tabs>
          <w:tab w:leader="none" w:pos="17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electronically herewith. Item 17. Undertakings</w:t>
      </w:r>
    </w:p>
    <w:p>
      <w:pPr>
        <w:spacing w:after="0" w:line="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2" w:lineRule="exact"/>
        <w:rPr>
          <w:rFonts w:ascii="Courier New" w:cs="Courier New" w:eastAsia="Courier New" w:hAnsi="Courier New"/>
          <w:sz w:val="15"/>
          <w:szCs w:val="15"/>
          <w:color w:val="auto"/>
        </w:rPr>
      </w:pPr>
    </w:p>
    <w:p>
      <w:pPr>
        <w:ind w:left="440" w:right="3679" w:firstLine="444"/>
        <w:spacing w:after="0" w:line="261" w:lineRule="auto"/>
        <w:tabs>
          <w:tab w:leader="none" w:pos="1227"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880" w:right="3399" w:firstLine="442"/>
        <w:spacing w:after="0" w:line="234" w:lineRule="auto"/>
        <w:tabs>
          <w:tab w:leader="none" w:pos="166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 (a) (3) of the Securities Act of 1933;</w:t>
      </w:r>
    </w:p>
    <w:p>
      <w:pPr>
        <w:spacing w:after="0" w:line="173" w:lineRule="exact"/>
        <w:rPr>
          <w:rFonts w:ascii="Courier New" w:cs="Courier New" w:eastAsia="Courier New" w:hAnsi="Courier New"/>
          <w:sz w:val="15"/>
          <w:szCs w:val="15"/>
          <w:color w:val="auto"/>
        </w:rPr>
      </w:pPr>
    </w:p>
    <w:p>
      <w:pPr>
        <w:ind w:left="880" w:right="3399" w:firstLine="442"/>
        <w:spacing w:after="0" w:line="237" w:lineRule="auto"/>
        <w:tabs>
          <w:tab w:leader="none" w:pos="1755"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3" w:lineRule="exact"/>
        <w:rPr>
          <w:rFonts w:ascii="Courier New" w:cs="Courier New" w:eastAsia="Courier New" w:hAnsi="Courier New"/>
          <w:sz w:val="15"/>
          <w:szCs w:val="15"/>
          <w:color w:val="auto"/>
        </w:rPr>
      </w:pPr>
    </w:p>
    <w:p>
      <w:pPr>
        <w:ind w:left="880" w:right="3579" w:firstLine="442"/>
        <w:spacing w:after="0" w:line="235" w:lineRule="auto"/>
        <w:tabs>
          <w:tab w:leader="none" w:pos="1842"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provided, however, that paragraphs (1) (i) and (1) (ii) do not apply if the information required to be included in a post-effective amendment by those paragraphs is contained in periodic reports filed by the registrant pursuant to Section 13 or Section 15(d) of the Securities Exchange Act of 1934, as amended, that are incorporated by reference in the registration statements.</w:t>
      </w:r>
    </w:p>
    <w:p>
      <w:pPr>
        <w:spacing w:after="0" w:line="175" w:lineRule="exact"/>
        <w:rPr>
          <w:sz w:val="20"/>
          <w:szCs w:val="20"/>
          <w:color w:val="auto"/>
        </w:rPr>
      </w:pPr>
    </w:p>
    <w:p>
      <w:pPr>
        <w:ind w:left="440" w:right="3579" w:firstLine="444"/>
        <w:spacing w:after="0" w:line="236" w:lineRule="auto"/>
        <w:tabs>
          <w:tab w:leader="none" w:pos="122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617" w:right="1440" w:bottom="1440" w:gutter="0" w:footer="0" w:header="0"/>
        </w:sectPr>
      </w:pPr>
    </w:p>
    <w:bookmarkStart w:id="21" w:name="page22"/>
    <w:bookmarkEnd w:id="21"/>
    <w:p>
      <w:pPr>
        <w:ind w:left="440" w:right="3579" w:firstLine="444"/>
        <w:spacing w:after="0" w:line="235" w:lineRule="auto"/>
        <w:tabs>
          <w:tab w:leader="none" w:pos="122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3" w:lineRule="exact"/>
        <w:rPr>
          <w:rFonts w:ascii="Courier New" w:cs="Courier New" w:eastAsia="Courier New" w:hAnsi="Courier New"/>
          <w:sz w:val="15"/>
          <w:szCs w:val="15"/>
          <w:color w:val="auto"/>
        </w:rPr>
      </w:pPr>
    </w:p>
    <w:p>
      <w:pPr>
        <w:ind w:left="440" w:right="3499" w:firstLine="444"/>
        <w:spacing w:after="0" w:line="255" w:lineRule="auto"/>
        <w:tabs>
          <w:tab w:leader="none" w:pos="122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of 1933, each filing of the registrant's annual report pursuant to Section 13 (a) or Section 15 (d)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in Item 15 above (other than through the liability insurance referred to therein),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in the successful defense of any action, suit or proceeding and other than through such liability insurance) is asserted by such officer, director or controlling person in connection with the securities being registered, the registrant will, unless in the opinion of its counsel the matter has been settled by controlling precedent, submit to a court of appropriate jurisdiction the question of whether or not such indemnification by it is against public policy as expressed in the Act and will be governed by the final adjudication of such issue.</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792" w:right="1440" w:bottom="1440" w:gutter="0" w:footer="0" w:header="0"/>
        </w:sectPr>
      </w:pPr>
    </w:p>
    <w:bookmarkStart w:id="22" w:name="page23"/>
    <w:bookmarkEnd w:id="22"/>
    <w:p>
      <w:pPr>
        <w:ind w:left="29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on , 2001.</w:t>
      </w:r>
    </w:p>
    <w:p>
      <w:pPr>
        <w:spacing w:after="0" w:line="16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The WASHINGTON POST COMPANY</w:t>
      </w:r>
    </w:p>
    <w:p>
      <w:pPr>
        <w:ind w:left="4040"/>
        <w:spacing w:after="0" w:line="237" w:lineRule="auto"/>
        <w:rPr>
          <w:sz w:val="20"/>
          <w:szCs w:val="20"/>
          <w:color w:val="auto"/>
        </w:rPr>
      </w:pPr>
      <w:r>
        <w:rPr>
          <w:rFonts w:ascii="Courier New" w:cs="Courier New" w:eastAsia="Courier New" w:hAnsi="Courier New"/>
          <w:sz w:val="15"/>
          <w:szCs w:val="15"/>
          <w:color w:val="auto"/>
        </w:rPr>
        <w:t>By: /s/ Diana M. Daniels</w:t>
      </w:r>
    </w:p>
    <w:p>
      <w:pPr>
        <w:ind w:left="4040"/>
        <w:spacing w:after="0" w:line="238" w:lineRule="auto"/>
        <w:rPr>
          <w:sz w:val="20"/>
          <w:szCs w:val="20"/>
          <w:color w:val="auto"/>
        </w:rPr>
      </w:pPr>
      <w:r>
        <w:rPr>
          <w:rFonts w:ascii="Courier New" w:cs="Courier New" w:eastAsia="Courier New" w:hAnsi="Courier New"/>
          <w:sz w:val="15"/>
          <w:szCs w:val="15"/>
          <w:color w:val="auto"/>
        </w:rPr>
        <w:t>------------------------</w:t>
      </w:r>
    </w:p>
    <w:p>
      <w:pPr>
        <w:ind w:left="4040"/>
        <w:spacing w:after="0" w:line="237" w:lineRule="auto"/>
        <w:tabs>
          <w:tab w:leader="none" w:pos="4620" w:val="left"/>
        </w:tabs>
        <w:rPr>
          <w:sz w:val="20"/>
          <w:szCs w:val="20"/>
          <w:color w:val="auto"/>
        </w:rPr>
      </w:pPr>
      <w:r>
        <w:rPr>
          <w:rFonts w:ascii="Courier New" w:cs="Courier New" w:eastAsia="Courier New" w:hAnsi="Courier New"/>
          <w:sz w:val="15"/>
          <w:szCs w:val="15"/>
          <w:color w:val="auto"/>
        </w:rPr>
        <w:t>Name:</w:t>
        <w:tab/>
        <w:t>Diana M. Daniels</w:t>
      </w:r>
    </w:p>
    <w:p>
      <w:pPr>
        <w:ind w:left="4040"/>
        <w:spacing w:after="0" w:line="238" w:lineRule="auto"/>
        <w:rPr>
          <w:sz w:val="20"/>
          <w:szCs w:val="20"/>
          <w:color w:val="auto"/>
        </w:rPr>
      </w:pPr>
      <w:r>
        <w:rPr>
          <w:rFonts w:ascii="Courier New" w:cs="Courier New" w:eastAsia="Courier New" w:hAnsi="Courier New"/>
          <w:sz w:val="15"/>
          <w:szCs w:val="15"/>
          <w:color w:val="auto"/>
        </w:rPr>
        <w:t>Title: Vice President,</w:t>
      </w:r>
    </w:p>
    <w:p>
      <w:pPr>
        <w:ind w:left="4640"/>
        <w:spacing w:after="0" w:line="237" w:lineRule="auto"/>
        <w:rPr>
          <w:sz w:val="20"/>
          <w:szCs w:val="20"/>
          <w:color w:val="auto"/>
        </w:rPr>
      </w:pPr>
      <w:r>
        <w:rPr>
          <w:rFonts w:ascii="Courier New" w:cs="Courier New" w:eastAsia="Courier New" w:hAnsi="Courier New"/>
          <w:sz w:val="15"/>
          <w:szCs w:val="15"/>
          <w:color w:val="auto"/>
        </w:rPr>
        <w:t>General Counsel</w:t>
      </w:r>
    </w:p>
    <w:p>
      <w:pPr>
        <w:ind w:left="4640"/>
        <w:spacing w:after="0" w:line="238" w:lineRule="auto"/>
        <w:rPr>
          <w:sz w:val="20"/>
          <w:szCs w:val="20"/>
          <w:color w:val="auto"/>
        </w:rPr>
      </w:pPr>
      <w:r>
        <w:rPr>
          <w:rFonts w:ascii="Courier New" w:cs="Courier New" w:eastAsia="Courier New" w:hAnsi="Courier New"/>
          <w:sz w:val="15"/>
          <w:szCs w:val="15"/>
          <w:color w:val="auto"/>
        </w:rPr>
        <w:t>and Secretary</w:t>
      </w:r>
    </w:p>
    <w:p>
      <w:pPr>
        <w:spacing w:after="0" w:line="173" w:lineRule="exact"/>
        <w:rPr>
          <w:sz w:val="20"/>
          <w:szCs w:val="20"/>
          <w:color w:val="auto"/>
        </w:rPr>
      </w:pPr>
    </w:p>
    <w:p>
      <w:pPr>
        <w:ind w:right="3399" w:firstLine="262"/>
        <w:spacing w:after="0" w:line="255" w:lineRule="auto"/>
        <w:rPr>
          <w:sz w:val="20"/>
          <w:szCs w:val="20"/>
          <w:color w:val="auto"/>
        </w:rPr>
      </w:pPr>
      <w:r>
        <w:rPr>
          <w:rFonts w:ascii="Courier New" w:cs="Courier New" w:eastAsia="Courier New" w:hAnsi="Courier New"/>
          <w:sz w:val="14"/>
          <w:szCs w:val="14"/>
          <w:color w:val="auto"/>
        </w:rPr>
        <w:t>Each of the undersigned directors and officers of the Registrant hereby severally constitute and appoint Diana M. Daniels and John B. Morse, Jr., as attorneys-in-fact for the undersigned, in any and all capacities, with full power of substitution, to sign any amendments to this registration statement (including post-effective amendments) and any subsequent registration statement filed by The Washington Post Company pursuant to Rule 462(b) of the Securities Act of 1933, and to file the same with exhibits thereto and other documents in connection therewith with the Securities and Exchange Commission, granting unto said attorneys-in-fact, full power and authority to do and perform each and every act and thing requisite and necessary to be done in and about the premises, as fully to all intents and purposes as they might or could do in person, hereby ratifying and confirming all that said attorneys-in-fact, may lawfully do or cause to be done by virtue hereof.</w:t>
      </w:r>
    </w:p>
    <w:p>
      <w:pPr>
        <w:sectPr>
          <w:pgSz w:w="11900" w:h="16838" w:orient="portrait"/>
          <w:cols w:equalWidth="0" w:num="1">
            <w:col w:w="10239"/>
          </w:cols>
          <w:pgMar w:left="220" w:top="617" w:right="1440" w:bottom="1440" w:gutter="0" w:footer="0" w:header="0"/>
        </w:sectPr>
      </w:pPr>
    </w:p>
    <w:p>
      <w:pPr>
        <w:spacing w:after="0" w:line="332"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0" w:lineRule="exact"/>
        <w:rPr>
          <w:sz w:val="20"/>
          <w:szCs w:val="20"/>
          <w:color w:val="auto"/>
        </w:rPr>
      </w:pPr>
    </w:p>
    <w:p>
      <w:pPr>
        <w:sectPr>
          <w:pgSz w:w="11900" w:h="16838" w:orient="portrait"/>
          <w:cols w:equalWidth="0" w:num="3">
            <w:col w:w="2880" w:space="720"/>
            <w:col w:w="1640" w:space="720"/>
            <w:col w:w="4279"/>
          </w:cols>
          <w:pgMar w:left="220" w:top="617" w:right="1440" w:bottom="1440" w:gutter="0" w:footer="0" w:header="0"/>
          <w:type w:val="continuous"/>
        </w:sectPr>
      </w:pPr>
    </w:p>
    <w:p>
      <w:pPr>
        <w:spacing w:after="0" w:line="146" w:lineRule="exact"/>
        <w:rPr>
          <w:sz w:val="20"/>
          <w:szCs w:val="20"/>
          <w:color w:val="auto"/>
        </w:rPr>
      </w:pPr>
    </w:p>
    <w:p>
      <w:pPr>
        <w:ind w:left="360" w:hanging="349"/>
        <w:spacing w:after="0" w:line="235" w:lineRule="auto"/>
        <w:rPr>
          <w:sz w:val="20"/>
          <w:szCs w:val="20"/>
          <w:color w:val="auto"/>
        </w:rPr>
      </w:pPr>
      <w:r>
        <w:rPr>
          <w:rFonts w:ascii="Courier New" w:cs="Courier New" w:eastAsia="Courier New" w:hAnsi="Courier New"/>
          <w:sz w:val="15"/>
          <w:szCs w:val="15"/>
          <w:color w:val="auto"/>
        </w:rPr>
        <w:t>By: /s/ Donald E. Graham ---------------------------- Donald E. Graham</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w:t>
      </w:r>
    </w:p>
    <w:p>
      <w:pPr>
        <w:spacing w:after="0" w:line="237" w:lineRule="auto"/>
        <w:rPr>
          <w:sz w:val="20"/>
          <w:szCs w:val="20"/>
          <w:color w:val="auto"/>
        </w:rPr>
      </w:pPr>
      <w:r>
        <w:rPr>
          <w:rFonts w:ascii="Courier New" w:cs="Courier New" w:eastAsia="Courier New" w:hAnsi="Courier New"/>
          <w:sz w:val="15"/>
          <w:szCs w:val="15"/>
          <w:color w:val="auto"/>
        </w:rPr>
        <w:t>Officer) and Director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24, 2001</w:t>
      </w:r>
    </w:p>
    <w:p>
      <w:pPr>
        <w:spacing w:after="0" w:line="709" w:lineRule="exact"/>
        <w:rPr>
          <w:sz w:val="20"/>
          <w:szCs w:val="20"/>
          <w:color w:val="auto"/>
        </w:rPr>
      </w:pPr>
    </w:p>
    <w:p>
      <w:pPr>
        <w:sectPr>
          <w:pgSz w:w="11900" w:h="16838" w:orient="portrait"/>
          <w:cols w:equalWidth="0" w:num="3">
            <w:col w:w="2800" w:space="180"/>
            <w:col w:w="2360" w:space="180"/>
            <w:col w:w="4719"/>
          </w:cols>
          <w:pgMar w:left="220" w:top="617" w:right="1440" w:bottom="1440" w:gutter="0" w:footer="0" w:header="0"/>
          <w:type w:val="continuous"/>
        </w:sectPr>
      </w:pPr>
    </w:p>
    <w:p>
      <w:pPr>
        <w:spacing w:after="0" w:line="142" w:lineRule="exact"/>
        <w:rPr>
          <w:sz w:val="20"/>
          <w:szCs w:val="20"/>
          <w:color w:val="auto"/>
        </w:rPr>
      </w:pPr>
    </w:p>
    <w:p>
      <w:pPr>
        <w:ind w:left="360" w:hanging="349"/>
        <w:spacing w:after="0" w:line="235" w:lineRule="auto"/>
        <w:rPr>
          <w:sz w:val="20"/>
          <w:szCs w:val="20"/>
          <w:color w:val="auto"/>
        </w:rPr>
      </w:pPr>
      <w:r>
        <w:rPr>
          <w:rFonts w:ascii="Courier New" w:cs="Courier New" w:eastAsia="Courier New" w:hAnsi="Courier New"/>
          <w:sz w:val="15"/>
          <w:szCs w:val="15"/>
          <w:color w:val="auto"/>
        </w:rPr>
        <w:t>By: /s/ John B. Morse, Jr. ---------------------------- John B. Morse, Jr.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Vice President-Finance (Principal Financial and Accounting Officer)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24, 2001</w:t>
      </w:r>
    </w:p>
    <w:p>
      <w:pPr>
        <w:spacing w:after="0" w:line="552" w:lineRule="exact"/>
        <w:rPr>
          <w:sz w:val="20"/>
          <w:szCs w:val="20"/>
          <w:color w:val="auto"/>
        </w:rPr>
      </w:pPr>
    </w:p>
    <w:p>
      <w:pPr>
        <w:sectPr>
          <w:pgSz w:w="11900" w:h="16838" w:orient="portrait"/>
          <w:cols w:equalWidth="0" w:num="3">
            <w:col w:w="2800" w:space="180"/>
            <w:col w:w="2020" w:space="520"/>
            <w:col w:w="4719"/>
          </w:cols>
          <w:pgMar w:left="220" w:top="617" w:right="1440"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Warren E. Buffett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24, 2001</w:t>
      </w:r>
    </w:p>
    <w:p>
      <w:pPr>
        <w:spacing w:after="0" w:line="10" w:lineRule="exact"/>
        <w:rPr>
          <w:sz w:val="20"/>
          <w:szCs w:val="20"/>
          <w:color w:val="auto"/>
        </w:rPr>
      </w:pPr>
    </w:p>
    <w:p>
      <w:pPr>
        <w:sectPr>
          <w:pgSz w:w="11900" w:h="16838" w:orient="portrait"/>
          <w:cols w:equalWidth="0" w:num="3">
            <w:col w:w="2260" w:space="720"/>
            <w:col w:w="1820" w:space="720"/>
            <w:col w:w="4719"/>
          </w:cols>
          <w:pgMar w:left="220" w:top="61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Warren E. Buffett</w:t>
      </w:r>
    </w:p>
    <w:p>
      <w:pPr>
        <w:sectPr>
          <w:pgSz w:w="11900" w:h="16838" w:orient="portrait"/>
          <w:cols w:equalWidth="0" w:num="1">
            <w:col w:w="10239"/>
          </w:cols>
          <w:pgMar w:left="220" w:top="617"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Daniel B. Burke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24, 2001</w:t>
      </w:r>
    </w:p>
    <w:p>
      <w:pPr>
        <w:spacing w:after="0" w:line="10" w:lineRule="exact"/>
        <w:rPr>
          <w:sz w:val="20"/>
          <w:szCs w:val="20"/>
          <w:color w:val="auto"/>
        </w:rPr>
      </w:pPr>
    </w:p>
    <w:p>
      <w:pPr>
        <w:sectPr>
          <w:pgSz w:w="11900" w:h="16838" w:orient="portrait"/>
          <w:cols w:equalWidth="0" w:num="3">
            <w:col w:w="2260" w:space="720"/>
            <w:col w:w="1820" w:space="720"/>
            <w:col w:w="4719"/>
          </w:cols>
          <w:pgMar w:left="220" w:top="61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Daniel B. Burke</w:t>
      </w:r>
    </w:p>
    <w:p>
      <w:pPr>
        <w:sectPr>
          <w:pgSz w:w="11900" w:h="16838" w:orient="portrait"/>
          <w:cols w:equalWidth="0" w:num="1">
            <w:col w:w="10239"/>
          </w:cols>
          <w:pgMar w:left="220" w:top="617"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Barry Diller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24, 2001</w:t>
      </w:r>
    </w:p>
    <w:p>
      <w:pPr>
        <w:spacing w:after="0" w:line="10" w:lineRule="exact"/>
        <w:rPr>
          <w:sz w:val="20"/>
          <w:szCs w:val="20"/>
          <w:color w:val="auto"/>
        </w:rPr>
      </w:pPr>
    </w:p>
    <w:p>
      <w:pPr>
        <w:sectPr>
          <w:pgSz w:w="11900" w:h="16838" w:orient="portrait"/>
          <w:cols w:equalWidth="0" w:num="3">
            <w:col w:w="2260" w:space="720"/>
            <w:col w:w="1820" w:space="720"/>
            <w:col w:w="4719"/>
          </w:cols>
          <w:pgMar w:left="220" w:top="61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Barry Diller</w:t>
      </w:r>
    </w:p>
    <w:p>
      <w:pPr>
        <w:sectPr>
          <w:pgSz w:w="11900" w:h="16838" w:orient="portrait"/>
          <w:cols w:equalWidth="0" w:num="1">
            <w:col w:w="10239"/>
          </w:cols>
          <w:pgMar w:left="220" w:top="617"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John L. Dotson, Jr.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24, 2001</w:t>
      </w:r>
    </w:p>
    <w:p>
      <w:pPr>
        <w:spacing w:after="0" w:line="10" w:lineRule="exact"/>
        <w:rPr>
          <w:sz w:val="20"/>
          <w:szCs w:val="20"/>
          <w:color w:val="auto"/>
        </w:rPr>
      </w:pPr>
    </w:p>
    <w:p>
      <w:pPr>
        <w:sectPr>
          <w:pgSz w:w="11900" w:h="16838" w:orient="portrait"/>
          <w:cols w:equalWidth="0" w:num="3">
            <w:col w:w="2380" w:space="600"/>
            <w:col w:w="1820" w:space="720"/>
            <w:col w:w="4719"/>
          </w:cols>
          <w:pgMar w:left="220" w:top="61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John L. Dotson, Jr.</w:t>
      </w:r>
    </w:p>
    <w:p>
      <w:pPr>
        <w:sectPr>
          <w:pgSz w:w="11900" w:h="16838" w:orient="portrait"/>
          <w:cols w:equalWidth="0" w:num="1">
            <w:col w:w="10239"/>
          </w:cols>
          <w:pgMar w:left="220" w:top="617"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George J. Gillespie, III</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24, 2001</w:t>
      </w:r>
    </w:p>
    <w:p>
      <w:pPr>
        <w:spacing w:after="0" w:line="10" w:lineRule="exact"/>
        <w:rPr>
          <w:sz w:val="20"/>
          <w:szCs w:val="20"/>
          <w:color w:val="auto"/>
        </w:rPr>
      </w:pPr>
    </w:p>
    <w:p>
      <w:pPr>
        <w:sectPr>
          <w:pgSz w:w="11900" w:h="16838" w:orient="portrait"/>
          <w:cols w:equalWidth="0" w:num="3">
            <w:col w:w="2800" w:space="180"/>
            <w:col w:w="1820" w:space="720"/>
            <w:col w:w="4719"/>
          </w:cols>
          <w:pgMar w:left="220" w:top="61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George J. Gillespie, III</w:t>
      </w:r>
    </w:p>
    <w:p>
      <w:pPr>
        <w:sectPr>
          <w:pgSz w:w="11900" w:h="16838" w:orient="portrait"/>
          <w:cols w:equalWidth="0" w:num="1">
            <w:col w:w="10239"/>
          </w:cols>
          <w:pgMar w:left="220" w:top="617"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Ralph E. Gomory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24, 2001</w:t>
      </w:r>
    </w:p>
    <w:p>
      <w:pPr>
        <w:spacing w:after="0" w:line="3" w:lineRule="exact"/>
        <w:rPr>
          <w:sz w:val="20"/>
          <w:szCs w:val="20"/>
          <w:color w:val="auto"/>
        </w:rPr>
      </w:pPr>
    </w:p>
    <w:p>
      <w:pPr>
        <w:sectPr>
          <w:pgSz w:w="11900" w:h="16838" w:orient="portrait"/>
          <w:cols w:equalWidth="0" w:num="3">
            <w:col w:w="2260" w:space="720"/>
            <w:col w:w="1820" w:space="720"/>
            <w:col w:w="4719"/>
          </w:cols>
          <w:pgMar w:left="220" w:top="61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w:t>
      </w:r>
    </w:p>
    <w:p>
      <w:pPr>
        <w:ind w:left="540"/>
        <w:spacing w:after="0" w:line="237" w:lineRule="auto"/>
        <w:rPr>
          <w:sz w:val="20"/>
          <w:szCs w:val="20"/>
          <w:color w:val="auto"/>
        </w:rPr>
      </w:pPr>
      <w:r>
        <w:rPr>
          <w:rFonts w:ascii="Courier New" w:cs="Courier New" w:eastAsia="Courier New" w:hAnsi="Courier New"/>
          <w:sz w:val="15"/>
          <w:szCs w:val="15"/>
          <w:color w:val="auto"/>
        </w:rPr>
        <w:t>Ralph E. Gomory</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17"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By: /s/ Donald R. Keough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24, 2001</w:t>
      </w:r>
    </w:p>
    <w:p>
      <w:pPr>
        <w:spacing w:after="0" w:line="10" w:lineRule="exact"/>
        <w:rPr>
          <w:sz w:val="20"/>
          <w:szCs w:val="20"/>
          <w:color w:val="auto"/>
        </w:rPr>
      </w:pPr>
    </w:p>
    <w:p>
      <w:pPr>
        <w:sectPr>
          <w:pgSz w:w="11900" w:h="16838" w:orient="portrait"/>
          <w:cols w:equalWidth="0" w:num="3">
            <w:col w:w="2260" w:space="720"/>
            <w:col w:w="1820" w:space="720"/>
            <w:col w:w="4719"/>
          </w:cols>
          <w:pgMar w:left="220" w:top="1128" w:right="1440" w:bottom="1440" w:gutter="0" w:footer="0" w:header="0"/>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Donald R. Keough</w:t>
      </w:r>
    </w:p>
    <w:p>
      <w:pPr>
        <w:sectPr>
          <w:pgSz w:w="11900" w:h="16838" w:orient="portrait"/>
          <w:cols w:equalWidth="0" w:num="1">
            <w:col w:w="10239"/>
          </w:cols>
          <w:pgMar w:left="220" w:top="1128"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Richard D. Simmons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24, 2001</w:t>
      </w:r>
    </w:p>
    <w:p>
      <w:pPr>
        <w:spacing w:after="0" w:line="10" w:lineRule="exact"/>
        <w:rPr>
          <w:sz w:val="20"/>
          <w:szCs w:val="20"/>
          <w:color w:val="auto"/>
        </w:rPr>
      </w:pPr>
    </w:p>
    <w:p>
      <w:pPr>
        <w:sectPr>
          <w:pgSz w:w="11900" w:h="16838" w:orient="portrait"/>
          <w:cols w:equalWidth="0" w:num="3">
            <w:col w:w="2280" w:space="700"/>
            <w:col w:w="1820" w:space="720"/>
            <w:col w:w="4719"/>
          </w:cols>
          <w:pgMar w:left="220" w:top="1128"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Richard D. Simmons</w:t>
      </w:r>
    </w:p>
    <w:p>
      <w:pPr>
        <w:sectPr>
          <w:pgSz w:w="11900" w:h="16838" w:orient="portrait"/>
          <w:cols w:equalWidth="0" w:num="1">
            <w:col w:w="10239"/>
          </w:cols>
          <w:pgMar w:left="220" w:top="1128"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George W. Wilson</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24, 2001</w:t>
      </w:r>
    </w:p>
    <w:p>
      <w:pPr>
        <w:spacing w:after="0" w:line="3" w:lineRule="exact"/>
        <w:rPr>
          <w:sz w:val="20"/>
          <w:szCs w:val="20"/>
          <w:color w:val="auto"/>
        </w:rPr>
      </w:pPr>
    </w:p>
    <w:p>
      <w:pPr>
        <w:sectPr>
          <w:pgSz w:w="11900" w:h="16838" w:orient="portrait"/>
          <w:cols w:equalWidth="0" w:num="3">
            <w:col w:w="2260" w:space="720"/>
            <w:col w:w="1820" w:space="720"/>
            <w:col w:w="4719"/>
          </w:cols>
          <w:pgMar w:left="220" w:top="1128"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w:t>
      </w:r>
    </w:p>
    <w:p>
      <w:pPr>
        <w:ind w:left="540"/>
        <w:spacing w:after="0" w:line="237" w:lineRule="auto"/>
        <w:rPr>
          <w:sz w:val="20"/>
          <w:szCs w:val="20"/>
          <w:color w:val="auto"/>
        </w:rPr>
      </w:pPr>
      <w:r>
        <w:rPr>
          <w:rFonts w:ascii="Courier New" w:cs="Courier New" w:eastAsia="Courier New" w:hAnsi="Courier New"/>
          <w:sz w:val="15"/>
          <w:szCs w:val="15"/>
          <w:color w:val="auto"/>
        </w:rPr>
        <w:t>George W. Wilson</w:t>
      </w:r>
    </w:p>
    <w:p>
      <w:pPr>
        <w:spacing w:after="0" w:line="200" w:lineRule="exact"/>
        <w:rPr>
          <w:sz w:val="20"/>
          <w:szCs w:val="20"/>
          <w:color w:val="auto"/>
        </w:rPr>
      </w:pPr>
    </w:p>
    <w:p>
      <w:pPr>
        <w:spacing w:after="0" w:line="3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1128" w:right="1440" w:bottom="1440" w:gutter="0" w:footer="0" w:header="0"/>
          <w:type w:val="continuous"/>
        </w:sectPr>
      </w:pPr>
    </w:p>
    <w:bookmarkStart w:id="24" w:name="page25"/>
    <w:bookmarkEnd w:id="24"/>
    <w:p>
      <w:pPr>
        <w:spacing w:after="0"/>
        <w:tabs>
          <w:tab w:leader="none" w:pos="236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Exhibit</w:t>
      </w:r>
    </w:p>
    <w:p>
      <w:pPr>
        <w:spacing w:after="0" w:line="173" w:lineRule="exact"/>
        <w:rPr>
          <w:sz w:val="20"/>
          <w:szCs w:val="20"/>
          <w:color w:val="auto"/>
        </w:rPr>
      </w:pPr>
    </w:p>
    <w:p>
      <w:pPr>
        <w:ind w:left="1320" w:right="3499" w:hanging="1310"/>
        <w:spacing w:after="0" w:line="235" w:lineRule="auto"/>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Form of Underwriting Agreement (incorporated by reference to Exhibit 1 of the Company's Registration Statement on Form S-3 filed December 23, 1998).</w:t>
      </w:r>
    </w:p>
    <w:p>
      <w:pPr>
        <w:spacing w:after="0" w:line="174" w:lineRule="exact"/>
        <w:rPr>
          <w:sz w:val="20"/>
          <w:szCs w:val="20"/>
          <w:color w:val="auto"/>
        </w:rPr>
      </w:pPr>
    </w:p>
    <w:p>
      <w:pPr>
        <w:ind w:left="1320" w:right="3499" w:hanging="1311"/>
        <w:spacing w:after="0" w:line="236" w:lineRule="auto"/>
        <w:tabs>
          <w:tab w:leader="none" w:pos="1300"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5"/>
          <w:szCs w:val="15"/>
          <w:color w:val="auto"/>
        </w:rPr>
        <w:t>Form of Indenture between the Company and Bank One Trust Company, N.A. (formerly known as The First National Bank of Chicago) as Trustee (incorporated by reference to Exhibit 4(a) of the Company's registration statement on Form S-3 filed December 23, 1998).</w:t>
      </w:r>
    </w:p>
    <w:p>
      <w:pPr>
        <w:spacing w:after="0" w:line="174" w:lineRule="exact"/>
        <w:rPr>
          <w:sz w:val="20"/>
          <w:szCs w:val="20"/>
          <w:color w:val="auto"/>
        </w:rPr>
      </w:pPr>
    </w:p>
    <w:p>
      <w:pPr>
        <w:ind w:left="1320" w:right="4099" w:hanging="1311"/>
        <w:spacing w:after="0" w:line="234" w:lineRule="auto"/>
        <w:tabs>
          <w:tab w:leader="none" w:pos="1300" w:val="left"/>
        </w:tabs>
        <w:rPr>
          <w:sz w:val="20"/>
          <w:szCs w:val="20"/>
          <w:color w:val="auto"/>
        </w:rPr>
      </w:pPr>
      <w:r>
        <w:rPr>
          <w:rFonts w:ascii="Courier New" w:cs="Courier New" w:eastAsia="Courier New" w:hAnsi="Courier New"/>
          <w:sz w:val="15"/>
          <w:szCs w:val="15"/>
          <w:color w:val="auto"/>
        </w:rPr>
        <w:t>(4)(b)</w:t>
      </w:r>
      <w:r>
        <w:rPr>
          <w:sz w:val="20"/>
          <w:szCs w:val="20"/>
          <w:color w:val="auto"/>
        </w:rPr>
        <w:tab/>
      </w:r>
      <w:r>
        <w:rPr>
          <w:rFonts w:ascii="Courier New" w:cs="Courier New" w:eastAsia="Courier New" w:hAnsi="Courier New"/>
          <w:sz w:val="15"/>
          <w:szCs w:val="15"/>
          <w:color w:val="auto"/>
        </w:rPr>
        <w:t>Form of Fixed Rate Security with and without Redemption Provision (included in Exhibit 4(a)).</w:t>
      </w:r>
    </w:p>
    <w:p>
      <w:pPr>
        <w:spacing w:after="0" w:line="167" w:lineRule="exact"/>
        <w:rPr>
          <w:sz w:val="20"/>
          <w:szCs w:val="20"/>
          <w:color w:val="auto"/>
        </w:rPr>
      </w:pPr>
    </w:p>
    <w:p>
      <w:pPr>
        <w:ind w:left="1320" w:hanging="1310"/>
        <w:spacing w:after="0"/>
        <w:tabs>
          <w:tab w:leader="none" w:pos="13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Diana M. Daniels, Esq.*</w:t>
      </w:r>
    </w:p>
    <w:p>
      <w:pPr>
        <w:spacing w:after="0" w:line="166" w:lineRule="exact"/>
        <w:rPr>
          <w:sz w:val="20"/>
          <w:szCs w:val="20"/>
          <w:color w:val="auto"/>
        </w:rPr>
      </w:pPr>
    </w:p>
    <w:p>
      <w:pPr>
        <w:ind w:left="1320" w:hanging="1310"/>
        <w:spacing w:after="0"/>
        <w:tabs>
          <w:tab w:leader="none" w:pos="13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Ratios of Earnings to Fixed Charges.*</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(23)(a)</w:t>
      </w:r>
      <w:r>
        <w:rPr>
          <w:rFonts w:ascii="Courier New" w:cs="Courier New" w:eastAsia="Courier New" w:hAnsi="Courier New"/>
          <w:sz w:val="14"/>
          <w:szCs w:val="14"/>
          <w:color w:val="auto"/>
        </w:rPr>
        <w:t>Consent of Independent Accountants.*</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(23)(b)</w:t>
      </w:r>
      <w:r>
        <w:rPr>
          <w:rFonts w:ascii="Courier New" w:cs="Courier New" w:eastAsia="Courier New" w:hAnsi="Courier New"/>
          <w:sz w:val="14"/>
          <w:szCs w:val="14"/>
          <w:color w:val="auto"/>
        </w:rPr>
        <w:t>Consent of Counsel (included in Exhibit 5).*</w:t>
      </w:r>
    </w:p>
    <w:p>
      <w:pPr>
        <w:spacing w:after="0" w:line="173" w:lineRule="exact"/>
        <w:rPr>
          <w:sz w:val="20"/>
          <w:szCs w:val="20"/>
          <w:color w:val="auto"/>
        </w:rPr>
      </w:pPr>
    </w:p>
    <w:p>
      <w:pPr>
        <w:ind w:left="1320" w:right="3839" w:hanging="1310"/>
        <w:spacing w:after="0" w:line="234" w:lineRule="auto"/>
        <w:tabs>
          <w:tab w:leader="none" w:pos="13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on the signature page of this registration statement).</w:t>
      </w:r>
    </w:p>
    <w:p>
      <w:pPr>
        <w:spacing w:after="0" w:line="173" w:lineRule="exact"/>
        <w:rPr>
          <w:rFonts w:ascii="Courier New" w:cs="Courier New" w:eastAsia="Courier New" w:hAnsi="Courier New"/>
          <w:sz w:val="15"/>
          <w:szCs w:val="15"/>
          <w:color w:val="auto"/>
        </w:rPr>
      </w:pPr>
    </w:p>
    <w:p>
      <w:pPr>
        <w:ind w:left="1320" w:right="3499" w:hanging="1310"/>
        <w:spacing w:after="0" w:line="25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Eligibility and Qualification on Form T-1 of Bank One Trust Company, N.A. (formerly known as The First National Bank of Chicago) to act as Trustee under the Indenture.*</w:t>
      </w:r>
    </w:p>
    <w:p>
      <w:pPr>
        <w:spacing w:after="0" w:line="200" w:lineRule="exact"/>
        <w:rPr>
          <w:sz w:val="20"/>
          <w:szCs w:val="20"/>
          <w:color w:val="auto"/>
        </w:rPr>
      </w:pPr>
    </w:p>
    <w:p>
      <w:pPr>
        <w:spacing w:after="0" w:line="29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39"/>
          </w:cols>
          <w:pgMar w:left="220" w:top="1122" w:right="1440" w:bottom="1440" w:gutter="0" w:footer="0" w:header="0"/>
        </w:sectPr>
      </w:pPr>
    </w:p>
    <w:bookmarkStart w:id="25" w:name="page26"/>
    <w:bookmarkEnd w:id="25"/>
    <w:p>
      <w:pPr>
        <w:jc w:val="right"/>
        <w:ind w:right="3399"/>
        <w:spacing w:after="0"/>
        <w:rPr>
          <w:sz w:val="20"/>
          <w:szCs w:val="20"/>
          <w:color w:val="auto"/>
        </w:rPr>
      </w:pPr>
      <w:r>
        <w:rPr>
          <w:rFonts w:ascii="Courier New" w:cs="Courier New" w:eastAsia="Courier New" w:hAnsi="Courier New"/>
          <w:sz w:val="15"/>
          <w:szCs w:val="15"/>
          <w:color w:val="auto"/>
        </w:rPr>
        <w:t>EXHIBIT 5</w:t>
      </w:r>
    </w:p>
    <w:p>
      <w:pPr>
        <w:spacing w:after="0" w:line="166"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October 24, 2001</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OPINION OF DIANA M. DANIELS, ESQ.</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1150 15th Street, NW</w:t>
      </w:r>
    </w:p>
    <w:p>
      <w:pPr>
        <w:spacing w:after="0" w:line="238" w:lineRule="auto"/>
        <w:rPr>
          <w:sz w:val="20"/>
          <w:szCs w:val="20"/>
          <w:color w:val="auto"/>
        </w:rPr>
      </w:pPr>
      <w:r>
        <w:rPr>
          <w:rFonts w:ascii="Courier New" w:cs="Courier New" w:eastAsia="Courier New" w:hAnsi="Courier New"/>
          <w:sz w:val="15"/>
          <w:szCs w:val="15"/>
          <w:color w:val="auto"/>
        </w:rPr>
        <w:t>Washington, DC 20071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Washington Post Company, a Delaware corporation (the "Company"), is registering for sale under the Securities Act of 1933, as amended (the "Act"), $400,000,000 in aggregate principal amount of the Company's debt securities (the "Debt Securities"). The Debt Securities are to be offered from time to time pursuant to a Registration Statement on Form S-3 being filed under the Act on the date hereof (the "Registration Statement") and issued from time to time under an Indenture (the "Indenture") between the Company and Bank One Trust Company, N.A. (formerly known as The First National Bank of Chicago), as Trustee (the "Trustee"), the form of which has been filed as an exhibit to the Registration Statement.</w:t>
      </w:r>
    </w:p>
    <w:p>
      <w:pPr>
        <w:spacing w:after="0" w:line="179"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As Vice President, General Counsel and Secretary for the Company, I have general supervision over the Company's legal affairs. In such capacity, I, or lawyers under my supervision, have examined originals or copies certified to our satisfaction of such documents, certificates or there statements of public officials and corporate officers of the Company and such other papers as we have deemed relevant and necessary in order to give the opinion hereinafter set forth. In this connection, we assumed the genuineness of signatures on, and the authenticity of, all documents so examined. As to any facts material to this opinion which were not independently established by us, we relied on such certificates or other statements of public officials and officers of the Company with respect to the accuracy of factual matters contained therein.</w:t>
      </w:r>
    </w:p>
    <w:p>
      <w:pPr>
        <w:spacing w:after="0" w:line="165" w:lineRule="exact"/>
        <w:rPr>
          <w:sz w:val="20"/>
          <w:szCs w:val="20"/>
          <w:color w:val="auto"/>
        </w:rPr>
      </w:pPr>
    </w:p>
    <w:p>
      <w:pPr>
        <w:ind w:right="3499" w:firstLine="437"/>
        <w:spacing w:after="0" w:line="237" w:lineRule="auto"/>
        <w:rPr>
          <w:sz w:val="20"/>
          <w:szCs w:val="20"/>
          <w:color w:val="auto"/>
        </w:rPr>
      </w:pPr>
      <w:r>
        <w:rPr>
          <w:rFonts w:ascii="Courier New" w:cs="Courier New" w:eastAsia="Courier New" w:hAnsi="Courier New"/>
          <w:sz w:val="15"/>
          <w:szCs w:val="15"/>
          <w:color w:val="auto"/>
        </w:rPr>
        <w:t>Based upon the foregoing, and the legal considerations that I deem relevant, it is my opinion that the Debt Securities of a particular series offered (the "Offered Debt Securities") will be legally issued and binding obligations of the Company (except as may be limited by bankruptcy, insolvency, reorganization or other laws relating to the enforcement of creditors' rights or by general principals of equity) when (i) the Registration Statement relating to the Offered Debt Securities, as amended (including all necessary post-effective amendments), shall have become effective under the Act, (ii) the Indenture shall have been duly authorized, executed and delivered by the Company and the Trustee, and duly qualified under the Trust Indenture Act of 1939, as amended, and (iii) the Offered Debt Securities shall have been duly executed and authenticated as provided in the Indenture and duly delivered to the purchasers thereof against payment of the agreed consideration therefore.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October 24, 2001</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I hereby consent to the filing of this opinion as an exhibit to the Registration Statement and to the reference under the caption "Legal Opinions" in the Prospectus forming a part thereof or used in connection therewith.</w:t>
      </w:r>
    </w:p>
    <w:p>
      <w:pPr>
        <w:spacing w:after="0" w:line="15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/s/ Diana M. Daniels</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jc w:val="center"/>
        <w:ind w:right="419"/>
        <w:spacing w:after="0" w:line="238" w:lineRule="auto"/>
        <w:rPr>
          <w:sz w:val="20"/>
          <w:szCs w:val="20"/>
          <w:color w:val="auto"/>
        </w:rPr>
      </w:pPr>
      <w:r>
        <w:rPr>
          <w:rFonts w:ascii="Courier New" w:cs="Courier New" w:eastAsia="Courier New" w:hAnsi="Courier New"/>
          <w:sz w:val="15"/>
          <w:szCs w:val="15"/>
          <w:color w:val="auto"/>
        </w:rPr>
        <w:t>Diana M. Daniels</w:t>
      </w:r>
    </w:p>
    <w:p>
      <w:pPr>
        <w:sectPr>
          <w:pgSz w:w="11900" w:h="16838" w:orient="portrait"/>
          <w:cols w:equalWidth="0" w:num="1">
            <w:col w:w="10239"/>
          </w:cols>
          <w:pgMar w:left="220" w:top="135" w:right="1440" w:bottom="1440" w:gutter="0" w:footer="0" w:header="0"/>
        </w:sectPr>
      </w:pPr>
    </w:p>
    <w:bookmarkStart w:id="26" w:name="page27"/>
    <w:bookmarkEnd w:id="26"/>
    <w:p>
      <w:pPr>
        <w:ind w:left="5960"/>
        <w:spacing w:after="0"/>
        <w:rPr>
          <w:sz w:val="20"/>
          <w:szCs w:val="20"/>
          <w:color w:val="auto"/>
        </w:rPr>
      </w:pPr>
      <w:r>
        <w:rPr>
          <w:rFonts w:ascii="Courier New" w:cs="Courier New" w:eastAsia="Courier New" w:hAnsi="Courier New"/>
          <w:sz w:val="15"/>
          <w:szCs w:val="15"/>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Six months</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Six months</w:t>
            </w:r>
          </w:p>
        </w:tc>
        <w:tc>
          <w:tcPr>
            <w:tcW w:w="820" w:type="dxa"/>
            <w:vAlign w:val="bottom"/>
          </w:tcPr>
          <w:p>
            <w:pPr>
              <w:ind w:left="160"/>
              <w:spacing w:after="0"/>
              <w:rPr>
                <w:sz w:val="20"/>
                <w:szCs w:val="20"/>
                <w:color w:val="auto"/>
              </w:rPr>
            </w:pPr>
            <w:r>
              <w:rPr>
                <w:rFonts w:ascii="Courier New" w:cs="Courier New" w:eastAsia="Courier New" w:hAnsi="Courier New"/>
                <w:sz w:val="15"/>
                <w:szCs w:val="15"/>
                <w:color w:val="auto"/>
              </w:rPr>
              <w:t>Year</w:t>
            </w:r>
          </w:p>
        </w:tc>
        <w:tc>
          <w:tcPr>
            <w:tcW w:w="920" w:type="dxa"/>
            <w:vAlign w:val="bottom"/>
          </w:tcPr>
          <w:p>
            <w:pPr>
              <w:ind w:left="480"/>
              <w:spacing w:after="0"/>
              <w:rPr>
                <w:sz w:val="20"/>
                <w:szCs w:val="20"/>
                <w:color w:val="auto"/>
              </w:rPr>
            </w:pPr>
            <w:r>
              <w:rPr>
                <w:rFonts w:ascii="Courier New" w:cs="Courier New" w:eastAsia="Courier New" w:hAnsi="Courier New"/>
                <w:sz w:val="15"/>
                <w:szCs w:val="15"/>
                <w:color w:val="auto"/>
              </w:rPr>
              <w:t>Year</w:t>
            </w:r>
          </w:p>
        </w:tc>
        <w:tc>
          <w:tcPr>
            <w:tcW w:w="1180" w:type="dxa"/>
            <w:vAlign w:val="bottom"/>
          </w:tcPr>
          <w:p>
            <w:pPr>
              <w:ind w:left="520"/>
              <w:spacing w:after="0"/>
              <w:rPr>
                <w:sz w:val="20"/>
                <w:szCs w:val="20"/>
                <w:color w:val="auto"/>
              </w:rPr>
            </w:pPr>
            <w:r>
              <w:rPr>
                <w:rFonts w:ascii="Courier New" w:cs="Courier New" w:eastAsia="Courier New" w:hAnsi="Courier New"/>
                <w:sz w:val="15"/>
                <w:szCs w:val="15"/>
                <w:color w:val="auto"/>
              </w:rPr>
              <w:t>Year</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Year</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Year</w:t>
            </w:r>
          </w:p>
        </w:tc>
      </w:tr>
      <w:tr>
        <w:trPr>
          <w:trHeight w:val="168"/>
        </w:trPr>
        <w:tc>
          <w:tcPr>
            <w:tcW w:w="3940" w:type="dxa"/>
            <w:vAlign w:val="bottom"/>
          </w:tcPr>
          <w:p>
            <w:pPr>
              <w:spacing w:after="0"/>
              <w:rPr>
                <w:sz w:val="14"/>
                <w:szCs w:val="14"/>
                <w:color w:val="auto"/>
              </w:rPr>
            </w:pPr>
          </w:p>
        </w:tc>
        <w:tc>
          <w:tcPr>
            <w:tcW w:w="1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ended</w:t>
            </w:r>
          </w:p>
        </w:tc>
        <w:tc>
          <w:tcPr>
            <w:tcW w:w="16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ended</w:t>
            </w:r>
          </w:p>
        </w:tc>
        <w:tc>
          <w:tcPr>
            <w:tcW w:w="9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3"/>
              </w:rPr>
              <w:t>ended</w:t>
            </w:r>
          </w:p>
        </w:tc>
        <w:tc>
          <w:tcPr>
            <w:tcW w:w="11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ended</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ended</w:t>
            </w:r>
          </w:p>
        </w:tc>
        <w:tc>
          <w:tcPr>
            <w:tcW w:w="1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940" w:type="dxa"/>
            <w:vAlign w:val="bottom"/>
          </w:tcPr>
          <w:p>
            <w:pPr>
              <w:spacing w:after="0"/>
              <w:rPr>
                <w:sz w:val="14"/>
                <w:szCs w:val="14"/>
                <w:color w:val="auto"/>
              </w:rPr>
            </w:pPr>
          </w:p>
        </w:tc>
        <w:tc>
          <w:tcPr>
            <w:tcW w:w="1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July 1,</w:t>
            </w:r>
          </w:p>
        </w:tc>
        <w:tc>
          <w:tcPr>
            <w:tcW w:w="16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July 2,</w:t>
            </w:r>
          </w:p>
        </w:tc>
        <w:tc>
          <w:tcPr>
            <w:tcW w:w="180" w:type="dxa"/>
            <w:vAlign w:val="bottom"/>
          </w:tcPr>
          <w:p>
            <w:pPr>
              <w:spacing w:after="0"/>
              <w:rPr>
                <w:sz w:val="14"/>
                <w:szCs w:val="14"/>
                <w:color w:val="auto"/>
              </w:rPr>
            </w:pPr>
          </w:p>
        </w:tc>
        <w:tc>
          <w:tcPr>
            <w:tcW w:w="5400" w:type="dxa"/>
            <w:vAlign w:val="bottom"/>
            <w:gridSpan w:val="5"/>
          </w:tcPr>
          <w:p>
            <w:pPr>
              <w:ind w:left="160"/>
              <w:spacing w:after="0" w:line="168" w:lineRule="exact"/>
              <w:rPr>
                <w:sz w:val="20"/>
                <w:szCs w:val="20"/>
                <w:color w:val="auto"/>
              </w:rPr>
            </w:pPr>
            <w:r>
              <w:rPr>
                <w:rFonts w:ascii="Courier New" w:cs="Courier New" w:eastAsia="Courier New" w:hAnsi="Courier New"/>
                <w:sz w:val="15"/>
                <w:szCs w:val="15"/>
                <w:color w:val="auto"/>
                <w:w w:val="96"/>
              </w:rPr>
              <w:t>December 31, January 2, January 3, December 28, December 29,</w:t>
            </w:r>
          </w:p>
        </w:tc>
      </w:tr>
      <w:tr>
        <w:trPr>
          <w:trHeight w:val="168"/>
        </w:trPr>
        <w:tc>
          <w:tcPr>
            <w:tcW w:w="39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6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9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c>
          <w:tcPr>
            <w:tcW w:w="5400" w:type="dxa"/>
            <w:vAlign w:val="bottom"/>
            <w:gridSpan w:val="5"/>
          </w:tcPr>
          <w:p>
            <w:pPr>
              <w:ind w:left="160"/>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 and cumulative effect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 in accounting principle</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352,296</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114,546</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229,870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375,385</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668,059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463,074</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360,217</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Fixed charges, as below</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39,977</w:t>
            </w:r>
          </w:p>
        </w:tc>
        <w:tc>
          <w:tcPr>
            <w:tcW w:w="1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34,060</w:t>
            </w:r>
          </w:p>
        </w:tc>
        <w:tc>
          <w:tcPr>
            <w:tcW w:w="1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73,008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41,369</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29,331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12,562</w:t>
            </w: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10,947</w:t>
            </w:r>
          </w:p>
        </w:tc>
      </w:tr>
      <w:tr>
        <w:trPr>
          <w:trHeight w:val="33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Interest capitalized</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(5,600)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(450)</w:t>
            </w: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dividend requirements,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adjusted to a pretax equivalent basis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(1,384)</w:t>
            </w:r>
          </w:p>
        </w:tc>
        <w:tc>
          <w:tcPr>
            <w:tcW w:w="1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(1,339)</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(1,583)</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(1,593)</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(1,133)</w:t>
            </w:r>
          </w:p>
        </w:tc>
      </w:tr>
      <w:tr>
        <w:trPr>
          <w:trHeight w:val="33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Equity in (income) losses of less than 50</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percent owned entities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19,102</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20,775</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36,466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8,814</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5,141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(10,512)</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(19,702)</w:t>
            </w:r>
          </w:p>
        </w:tc>
      </w:tr>
      <w:tr>
        <w:trPr>
          <w:trHeight w:val="33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Dividends from less than 50 percent owned</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1,587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3,584</w:t>
            </w: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3,403</w:t>
            </w:r>
          </w:p>
        </w:tc>
      </w:tr>
      <w:tr>
        <w:trPr>
          <w:trHeight w:val="168"/>
        </w:trPr>
        <w:tc>
          <w:tcPr>
            <w:tcW w:w="39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entities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as adjusted</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$ 409,990</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$ 168,042</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$ 338,573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$ 423,115</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$ 696,925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$466,665</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353,732</w:t>
            </w:r>
          </w:p>
        </w:tc>
      </w:tr>
      <w:tr>
        <w:trPr>
          <w:trHeight w:val="168"/>
        </w:trPr>
        <w:tc>
          <w:tcPr>
            <w:tcW w:w="39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charges: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expense and amortization of deferred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financing costs, expensed or capitalized</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27,864</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25,140</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54,731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28,586</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17,138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1,702</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1,514</w:t>
            </w:r>
          </w:p>
        </w:tc>
      </w:tr>
      <w:tr>
        <w:trPr>
          <w:trHeight w:val="336"/>
        </w:trPr>
        <w:tc>
          <w:tcPr>
            <w:tcW w:w="4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Portion of rent expense representative of the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factor</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10,728</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7,582</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16,567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9,267</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8,300</w:t>
            </w:r>
          </w:p>
        </w:tc>
      </w:tr>
      <w:tr>
        <w:trPr>
          <w:trHeight w:val="33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dividend requirements,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adjusted to a pretax equivalent basis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1,384</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1,339</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1,710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1,583</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1,593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1,593</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1,133</w:t>
            </w:r>
          </w:p>
        </w:tc>
      </w:tr>
      <w:tr>
        <w:trPr>
          <w:trHeight w:val="168"/>
        </w:trPr>
        <w:tc>
          <w:tcPr>
            <w:tcW w:w="39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Fixed Charges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$ 39,977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34,060</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$ 73,008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$ 41,369</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$ 29,331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$ 12,562</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$10,947</w:t>
            </w:r>
          </w:p>
        </w:tc>
      </w:tr>
      <w:tr>
        <w:trPr>
          <w:trHeight w:val="168"/>
        </w:trPr>
        <w:tc>
          <w:tcPr>
            <w:tcW w:w="39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10.26(a)</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4.64(b)</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10.23</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23.76(c)</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37.2(d)</w:t>
            </w:r>
          </w:p>
        </w:tc>
        <w:tc>
          <w:tcPr>
            <w:tcW w:w="13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39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80" w:right="4880" w:hanging="433"/>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six months ended July 1, 2001, pre-tax income included non-recurring gains of approximately $321.1 million resulting from the sale and exchange of certain cable systems. Excluding these gains, the ratio would have been 2.2.</w:t>
      </w:r>
    </w:p>
    <w:p>
      <w:pPr>
        <w:spacing w:after="0" w:line="175" w:lineRule="exact"/>
        <w:rPr>
          <w:rFonts w:ascii="Courier New" w:cs="Courier New" w:eastAsia="Courier New" w:hAnsi="Courier New"/>
          <w:sz w:val="15"/>
          <w:szCs w:val="15"/>
          <w:color w:val="auto"/>
        </w:rPr>
      </w:pPr>
    </w:p>
    <w:p>
      <w:pPr>
        <w:ind w:left="880" w:right="4700" w:hanging="433"/>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2000, pre-tax income included a non-recurring charge of approximately $27.5 million resulting from an early retirement program at The Washington Post. Excluding this charge, the ratio would have been 5.0.</w:t>
      </w:r>
    </w:p>
    <w:p>
      <w:pPr>
        <w:spacing w:after="0" w:line="175" w:lineRule="exact"/>
        <w:rPr>
          <w:rFonts w:ascii="Courier New" w:cs="Courier New" w:eastAsia="Courier New" w:hAnsi="Courier New"/>
          <w:sz w:val="15"/>
          <w:szCs w:val="15"/>
          <w:color w:val="auto"/>
        </w:rPr>
      </w:pPr>
    </w:p>
    <w:p>
      <w:pPr>
        <w:ind w:left="880" w:right="4700" w:hanging="433"/>
        <w:spacing w:after="0" w:line="236"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January 3, 1999, pre-tax income included non-recurring gains of approximately $309.7 million resulting from the disposition of the Company's 28 percent interest in Cowles Media Company, the sale of 14 small cable systems and the merger of Junglee and Amazon.com. Excluding these gains, the ratio would have been 13.2.</w:t>
      </w:r>
    </w:p>
    <w:p>
      <w:pPr>
        <w:spacing w:after="0" w:line="174" w:lineRule="exact"/>
        <w:rPr>
          <w:rFonts w:ascii="Courier New" w:cs="Courier New" w:eastAsia="Courier New" w:hAnsi="Courier New"/>
          <w:sz w:val="15"/>
          <w:szCs w:val="15"/>
          <w:color w:val="auto"/>
        </w:rPr>
      </w:pPr>
    </w:p>
    <w:p>
      <w:pPr>
        <w:ind w:left="880" w:right="4700" w:hanging="433"/>
        <w:spacing w:after="0" w:line="236"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28, 1997, pre-tax income included non-recurring gains of approximately $71.1 million resulting from the sale of assets of the Company's PASS Sports subsidiary and its investment interests in Bear Island Paper Company, L.P. and Bear Island Timberlands Company, L.P. Excluding these gains, the ratio would have been 31.5.</w:t>
      </w:r>
    </w:p>
    <w:p>
      <w:pPr>
        <w:sectPr>
          <w:pgSz w:w="11900" w:h="16838" w:orient="portrait"/>
          <w:cols w:equalWidth="0" w:num="1">
            <w:col w:w="11540"/>
          </w:cols>
          <w:pgMar w:left="220" w:top="135" w:right="139" w:bottom="1440" w:gutter="0" w:footer="0" w:header="0"/>
        </w:sectPr>
      </w:pPr>
    </w:p>
    <w:bookmarkStart w:id="27" w:name="page28"/>
    <w:bookmarkEnd w:id="27"/>
    <w:p>
      <w:pPr>
        <w:jc w:val="right"/>
        <w:ind w:right="3399"/>
        <w:spacing w:after="0"/>
        <w:rPr>
          <w:sz w:val="20"/>
          <w:szCs w:val="20"/>
          <w:color w:val="auto"/>
        </w:rPr>
      </w:pPr>
      <w:r>
        <w:rPr>
          <w:rFonts w:ascii="Courier New" w:cs="Courier New" w:eastAsia="Courier New" w:hAnsi="Courier New"/>
          <w:sz w:val="15"/>
          <w:szCs w:val="15"/>
          <w:color w:val="auto"/>
        </w:rPr>
        <w:t>EXHIBIT 23(a)</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S-3 of our report dated January 26, 2001 relating to the financial statements and financial statement schedule, which appears in the 2000 Annual Report to Shareholders, which is incorporated by reference in The Washington Post Company's Annual Report on Form 10-K for the year ended December 31, 2000. We also consent to the references to us under the headings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37" w:lineRule="auto"/>
        <w:rPr>
          <w:sz w:val="20"/>
          <w:szCs w:val="20"/>
          <w:color w:val="auto"/>
        </w:rPr>
      </w:pPr>
      <w:r>
        <w:rPr>
          <w:rFonts w:ascii="Courier New" w:cs="Courier New" w:eastAsia="Courier New" w:hAnsi="Courier New"/>
          <w:sz w:val="15"/>
          <w:szCs w:val="15"/>
          <w:color w:val="auto"/>
        </w:rPr>
        <w:t>October 24, 2001</w:t>
      </w:r>
    </w:p>
    <w:p>
      <w:pPr>
        <w:sectPr>
          <w:pgSz w:w="11900" w:h="16838" w:orient="portrait"/>
          <w:cols w:equalWidth="0" w:num="1">
            <w:col w:w="10239"/>
          </w:cols>
          <w:pgMar w:left="220" w:top="135" w:right="1440" w:bottom="1440" w:gutter="0" w:footer="0" w:header="0"/>
        </w:sectPr>
      </w:pPr>
    </w:p>
    <w:bookmarkStart w:id="28" w:name="page29"/>
    <w:bookmarkEnd w:id="28"/>
    <w:p>
      <w:pPr>
        <w:jc w:val="right"/>
        <w:ind w:right="3399"/>
        <w:spacing w:after="0"/>
        <w:rPr>
          <w:sz w:val="20"/>
          <w:szCs w:val="20"/>
          <w:color w:val="auto"/>
        </w:rPr>
      </w:pPr>
      <w:r>
        <w:rPr>
          <w:rFonts w:ascii="Courier New" w:cs="Courier New" w:eastAsia="Courier New" w:hAnsi="Courier New"/>
          <w:sz w:val="15"/>
          <w:szCs w:val="15"/>
          <w:color w:val="auto"/>
        </w:rPr>
        <w:t>EXHIBIT 25</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FORM T-1</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STATEMENT OF ELIGIBILITY</w:t>
      </w:r>
    </w:p>
    <w:p>
      <w:pPr>
        <w:ind w:left="1840"/>
        <w:spacing w:after="0" w:line="237" w:lineRule="auto"/>
        <w:rPr>
          <w:sz w:val="20"/>
          <w:szCs w:val="20"/>
          <w:color w:val="auto"/>
        </w:rPr>
      </w:pPr>
      <w:r>
        <w:rPr>
          <w:rFonts w:ascii="Courier New" w:cs="Courier New" w:eastAsia="Courier New" w:hAnsi="Courier New"/>
          <w:sz w:val="15"/>
          <w:szCs w:val="15"/>
          <w:color w:val="auto"/>
        </w:rPr>
        <w:t>UNDER THE TRUST INDENTURE ACT OF 1939</w:t>
      </w:r>
    </w:p>
    <w:p>
      <w:pPr>
        <w:ind w:left="1500"/>
        <w:spacing w:after="0" w:line="238" w:lineRule="auto"/>
        <w:rPr>
          <w:sz w:val="20"/>
          <w:szCs w:val="20"/>
          <w:color w:val="auto"/>
        </w:rPr>
      </w:pPr>
      <w:r>
        <w:rPr>
          <w:rFonts w:ascii="Courier New" w:cs="Courier New" w:eastAsia="Courier New" w:hAnsi="Courier New"/>
          <w:sz w:val="15"/>
          <w:szCs w:val="15"/>
          <w:color w:val="auto"/>
        </w:rPr>
        <w:t>OF A CORPORATION DESIGNATED TO ACT AS TRUSTEE</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CHECK IF AN APPLICATION TO DETERMINE ELIGIBILITY</w:t>
      </w:r>
    </w:p>
    <w:p>
      <w:pPr>
        <w:jc w:val="center"/>
        <w:ind w:right="3399"/>
        <w:spacing w:after="0" w:line="237" w:lineRule="auto"/>
        <w:rPr>
          <w:sz w:val="20"/>
          <w:szCs w:val="20"/>
          <w:color w:val="auto"/>
        </w:rPr>
      </w:pPr>
      <w:r>
        <w:rPr>
          <w:rFonts w:ascii="Courier New" w:cs="Courier New" w:eastAsia="Courier New" w:hAnsi="Courier New"/>
          <w:sz w:val="15"/>
          <w:szCs w:val="15"/>
          <w:color w:val="auto"/>
        </w:rPr>
        <w:t>OF A TRUSTEE PURSUANT TO SECTION 305(b)(2)</w:t>
      </w:r>
    </w:p>
    <w:p>
      <w:pPr>
        <w:ind w:left="22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Bank One Trust Company, National Association</w:t>
      </w:r>
    </w:p>
    <w:p>
      <w:pPr>
        <w:ind w:left="1240"/>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39"/>
          </w:cols>
          <w:pgMar w:left="220" w:top="135" w:right="1440" w:bottom="854"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National Banking Association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31-0838515</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8" w:lineRule="exact"/>
        <w:rPr>
          <w:sz w:val="20"/>
          <w:szCs w:val="20"/>
          <w:color w:val="auto"/>
        </w:rPr>
      </w:pPr>
    </w:p>
    <w:p>
      <w:pPr>
        <w:sectPr>
          <w:pgSz w:w="11900" w:h="16838" w:orient="portrait"/>
          <w:cols w:equalWidth="0" w:num="2">
            <w:col w:w="4180" w:space="720"/>
            <w:col w:w="5339"/>
          </w:cols>
          <w:pgMar w:left="220" w:top="135" w:right="1440" w:bottom="854" w:gutter="0" w:footer="0" w:header="0"/>
          <w:type w:val="continuous"/>
        </w:sectPr>
      </w:pPr>
    </w:p>
    <w:p>
      <w:pPr>
        <w:ind w:right="680"/>
        <w:spacing w:after="0" w:line="261" w:lineRule="auto"/>
        <w:rPr>
          <w:sz w:val="20"/>
          <w:szCs w:val="20"/>
          <w:color w:val="auto"/>
        </w:rPr>
      </w:pPr>
      <w:r>
        <w:rPr>
          <w:rFonts w:ascii="Courier New" w:cs="Courier New" w:eastAsia="Courier New" w:hAnsi="Courier New"/>
          <w:sz w:val="14"/>
          <w:szCs w:val="14"/>
          <w:color w:val="auto"/>
        </w:rPr>
        <w:t>100 East Broad Street, Columbus, Ohio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43271-0181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0"/>
          <w:szCs w:val="20"/>
          <w:color w:val="auto"/>
        </w:rPr>
      </w:pPr>
    </w:p>
    <w:p>
      <w:pPr>
        <w:sectPr>
          <w:pgSz w:w="11900" w:h="16838" w:orient="portrait"/>
          <w:cols w:equalWidth="0" w:num="2">
            <w:col w:w="4180" w:space="720"/>
            <w:col w:w="5339"/>
          </w:cols>
          <w:pgMar w:left="220" w:top="135" w:right="1440" w:bottom="854"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Bank One Trust Company, N.A.</w:t>
      </w:r>
    </w:p>
    <w:p>
      <w:pPr>
        <w:ind w:left="2720"/>
        <w:spacing w:after="0" w:line="237" w:lineRule="auto"/>
        <w:rPr>
          <w:sz w:val="20"/>
          <w:szCs w:val="20"/>
          <w:color w:val="auto"/>
        </w:rPr>
      </w:pPr>
      <w:r>
        <w:rPr>
          <w:rFonts w:ascii="Courier New" w:cs="Courier New" w:eastAsia="Courier New" w:hAnsi="Courier New"/>
          <w:sz w:val="15"/>
          <w:szCs w:val="15"/>
          <w:color w:val="auto"/>
        </w:rPr>
        <w:t>1 Bank One Plaza</w:t>
      </w:r>
    </w:p>
    <w:p>
      <w:pPr>
        <w:ind w:left="2460"/>
        <w:spacing w:after="0" w:line="238" w:lineRule="auto"/>
        <w:rPr>
          <w:sz w:val="20"/>
          <w:szCs w:val="20"/>
          <w:color w:val="auto"/>
        </w:rPr>
      </w:pPr>
      <w:r>
        <w:rPr>
          <w:rFonts w:ascii="Courier New" w:cs="Courier New" w:eastAsia="Courier New" w:hAnsi="Courier New"/>
          <w:sz w:val="15"/>
          <w:szCs w:val="15"/>
          <w:color w:val="auto"/>
        </w:rPr>
        <w:t>Chicago, Illinois 60670</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Attn: Sandra L. Caruba, First Vice President and Counsel, (312) 336-9436</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WASHINGTON POST COMPANY</w:t>
      </w:r>
    </w:p>
    <w:p>
      <w:pPr>
        <w:jc w:val="center"/>
        <w:ind w:right="3319"/>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39"/>
          </w:cols>
          <w:pgMar w:left="220" w:top="135" w:right="1440" w:bottom="854"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53-0182885</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0" w:lineRule="exact"/>
        <w:rPr>
          <w:sz w:val="20"/>
          <w:szCs w:val="20"/>
          <w:color w:val="auto"/>
        </w:rPr>
      </w:pPr>
    </w:p>
    <w:p>
      <w:pPr>
        <w:sectPr>
          <w:pgSz w:w="11900" w:h="16838" w:orient="portrait"/>
          <w:cols w:equalWidth="0" w:num="2">
            <w:col w:w="4180" w:space="720"/>
            <w:col w:w="5339"/>
          </w:cols>
          <w:pgMar w:left="220" w:top="135" w:right="1440" w:bottom="854"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1150 15th Street, N.W.</w:t>
      </w:r>
    </w:p>
    <w:p>
      <w:pPr>
        <w:spacing w:after="0" w:line="237" w:lineRule="auto"/>
        <w:rPr>
          <w:sz w:val="20"/>
          <w:szCs w:val="20"/>
          <w:color w:val="auto"/>
        </w:rPr>
      </w:pPr>
      <w:r>
        <w:rPr>
          <w:rFonts w:ascii="Courier New" w:cs="Courier New" w:eastAsia="Courier New" w:hAnsi="Courier New"/>
          <w:sz w:val="15"/>
          <w:szCs w:val="15"/>
          <w:color w:val="auto"/>
        </w:rPr>
        <w:t>Washington, D.C.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68" w:lineRule="exact"/>
        <w:rPr>
          <w:sz w:val="20"/>
          <w:szCs w:val="20"/>
          <w:color w:val="auto"/>
        </w:rPr>
      </w:pPr>
    </w:p>
    <w:p>
      <w:pPr>
        <w:sectPr>
          <w:pgSz w:w="11900" w:h="16838" w:orient="portrait"/>
          <w:cols w:equalWidth="0" w:num="2">
            <w:col w:w="4180" w:space="720"/>
            <w:col w:w="5339"/>
          </w:cols>
          <w:pgMar w:left="220" w:top="135" w:right="1440" w:bottom="854" w:gutter="0" w:footer="0" w:header="0"/>
          <w:type w:val="continuous"/>
        </w:sectPr>
      </w:pPr>
    </w:p>
    <w:p>
      <w:pPr>
        <w:spacing w:after="0" w:line="14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Debt Securities</w:t>
      </w:r>
    </w:p>
    <w:p>
      <w:pPr>
        <w:jc w:val="center"/>
        <w:ind w:right="3299"/>
        <w:spacing w:after="0" w:line="237" w:lineRule="auto"/>
        <w:rPr>
          <w:sz w:val="20"/>
          <w:szCs w:val="20"/>
          <w:color w:val="auto"/>
        </w:rPr>
      </w:pPr>
      <w:r>
        <w:rPr>
          <w:rFonts w:ascii="Courier New" w:cs="Courier New" w:eastAsia="Courier New" w:hAnsi="Courier New"/>
          <w:sz w:val="15"/>
          <w:szCs w:val="15"/>
          <w:color w:val="auto"/>
        </w:rPr>
        <w:t>(Title of Indenture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tabs>
          <w:tab w:leader="none" w:pos="860" w:val="left"/>
          <w:tab w:leader="none" w:pos="2780" w:val="left"/>
        </w:tabs>
        <w:rPr>
          <w:sz w:val="20"/>
          <w:szCs w:val="20"/>
          <w:color w:val="auto"/>
        </w:rPr>
      </w:pPr>
      <w:r>
        <w:rPr>
          <w:rFonts w:ascii="Courier New" w:cs="Courier New" w:eastAsia="Courier New" w:hAnsi="Courier New"/>
          <w:sz w:val="15"/>
          <w:szCs w:val="15"/>
          <w:color w:val="auto"/>
        </w:rPr>
        <w:t>Item 1.</w:t>
        <w:tab/>
        <w:t>General Information.</w:t>
      </w:r>
      <w:r>
        <w:rPr>
          <w:sz w:val="20"/>
          <w:szCs w:val="20"/>
          <w:color w:val="auto"/>
        </w:rPr>
        <w:tab/>
      </w:r>
      <w:r>
        <w:rPr>
          <w:rFonts w:ascii="Courier New" w:cs="Courier New" w:eastAsia="Courier New" w:hAnsi="Courier New"/>
          <w:sz w:val="14"/>
          <w:szCs w:val="14"/>
          <w:color w:val="auto"/>
        </w:rPr>
        <w:t>Furnish the following</w:t>
      </w:r>
    </w:p>
    <w:p>
      <w:pPr>
        <w:ind w:left="880"/>
        <w:spacing w:after="0" w:line="237" w:lineRule="auto"/>
        <w:rPr>
          <w:sz w:val="20"/>
          <w:szCs w:val="20"/>
          <w:color w:val="auto"/>
        </w:rPr>
      </w:pPr>
      <w:r>
        <w:rPr>
          <w:rFonts w:ascii="Courier New" w:cs="Courier New" w:eastAsia="Courier New" w:hAnsi="Courier New"/>
          <w:sz w:val="15"/>
          <w:szCs w:val="15"/>
          <w:color w:val="auto"/>
        </w:rPr>
        <w:t>information as to the trustee:</w:t>
      </w:r>
    </w:p>
    <w:p>
      <w:pPr>
        <w:spacing w:after="0" w:line="173" w:lineRule="exact"/>
        <w:rPr>
          <w:sz w:val="20"/>
          <w:szCs w:val="20"/>
          <w:color w:val="auto"/>
        </w:rPr>
      </w:pPr>
    </w:p>
    <w:p>
      <w:pPr>
        <w:ind w:left="880" w:right="3579" w:firstLine="4"/>
        <w:spacing w:after="0" w:line="234" w:lineRule="auto"/>
        <w:tabs>
          <w:tab w:leader="none" w:pos="123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3" w:lineRule="exact"/>
        <w:rPr>
          <w:sz w:val="20"/>
          <w:szCs w:val="20"/>
          <w:color w:val="auto"/>
        </w:rPr>
      </w:pPr>
    </w:p>
    <w:p>
      <w:pPr>
        <w:jc w:val="both"/>
        <w:ind w:left="880" w:right="3399"/>
        <w:spacing w:after="0" w:line="235" w:lineRule="auto"/>
        <w:rPr>
          <w:sz w:val="20"/>
          <w:szCs w:val="20"/>
          <w:color w:val="auto"/>
        </w:rPr>
      </w:pPr>
      <w:r>
        <w:rPr>
          <w:rFonts w:ascii="Courier New" w:cs="Courier New" w:eastAsia="Courier New" w:hAnsi="Courier New"/>
          <w:sz w:val="15"/>
          <w:szCs w:val="15"/>
          <w:color w:val="auto"/>
        </w:rPr>
        <w:t>Comptroller of Currency, Washington, D.C.; Federal Deposit Insurance Corporation, Washington, D.C.; The Board of Governors of the Federal Reserve System, Washington D.C.</w:t>
      </w:r>
    </w:p>
    <w:p>
      <w:pPr>
        <w:spacing w:after="0" w:line="174" w:lineRule="exact"/>
        <w:rPr>
          <w:sz w:val="20"/>
          <w:szCs w:val="20"/>
          <w:color w:val="auto"/>
        </w:rPr>
      </w:pPr>
    </w:p>
    <w:p>
      <w:pPr>
        <w:ind w:left="880" w:right="3759" w:firstLine="4"/>
        <w:spacing w:after="0" w:line="509" w:lineRule="auto"/>
        <w:tabs>
          <w:tab w:leader="none" w:pos="123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 The trustee is authorized to exercise corporate trust powers.</w:t>
      </w:r>
    </w:p>
    <w:p>
      <w:pPr>
        <w:ind w:left="880" w:right="339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2.</w:t>
        <w:tab/>
        <w:t>Affiliations With the Obligor. If the obligor is an affiliate of the trustee, describe each such affiliation.</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 such affiliation exists with the trustee.</w:t>
      </w:r>
    </w:p>
    <w:p>
      <w:pPr>
        <w:spacing w:after="0" w:line="173" w:lineRule="exact"/>
        <w:rPr>
          <w:sz w:val="20"/>
          <w:szCs w:val="20"/>
          <w:color w:val="auto"/>
        </w:rPr>
      </w:pPr>
    </w:p>
    <w:p>
      <w:pPr>
        <w:ind w:left="880" w:right="36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16.</w:t>
        <w:tab/>
        <w:t>List of exhibits. List below all exhibits filed as a part of this Statement of Eligibility.</w:t>
      </w:r>
    </w:p>
    <w:p>
      <w:pPr>
        <w:spacing w:after="0" w:line="173" w:lineRule="exact"/>
        <w:rPr>
          <w:sz w:val="20"/>
          <w:szCs w:val="20"/>
          <w:color w:val="auto"/>
        </w:rPr>
      </w:pPr>
    </w:p>
    <w:p>
      <w:pPr>
        <w:ind w:left="1320" w:right="3759" w:hanging="436"/>
        <w:spacing w:after="0" w:line="234" w:lineRule="auto"/>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now in effect.*</w:t>
      </w:r>
    </w:p>
    <w:p>
      <w:pPr>
        <w:spacing w:after="0" w:line="173" w:lineRule="exact"/>
        <w:rPr>
          <w:rFonts w:ascii="Courier New" w:cs="Courier New" w:eastAsia="Courier New" w:hAnsi="Courier New"/>
          <w:sz w:val="15"/>
          <w:szCs w:val="15"/>
          <w:color w:val="auto"/>
        </w:rPr>
      </w:pPr>
    </w:p>
    <w:p>
      <w:pPr>
        <w:ind w:left="1320" w:right="4019" w:hanging="436"/>
        <w:spacing w:after="0" w:line="234" w:lineRule="auto"/>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commence business.*</w:t>
      </w:r>
    </w:p>
    <w:p>
      <w:pPr>
        <w:spacing w:after="0" w:line="173" w:lineRule="exact"/>
        <w:rPr>
          <w:rFonts w:ascii="Courier New" w:cs="Courier New" w:eastAsia="Courier New" w:hAnsi="Courier New"/>
          <w:sz w:val="15"/>
          <w:szCs w:val="15"/>
          <w:color w:val="auto"/>
        </w:rPr>
      </w:pPr>
    </w:p>
    <w:p>
      <w:pPr>
        <w:ind w:left="1320" w:right="4199" w:hanging="436"/>
        <w:spacing w:after="0" w:line="234" w:lineRule="auto"/>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2" w:lineRule="exact"/>
        <w:rPr>
          <w:rFonts w:ascii="Courier New" w:cs="Courier New" w:eastAsia="Courier New" w:hAnsi="Courier New"/>
          <w:sz w:val="15"/>
          <w:szCs w:val="15"/>
          <w:color w:val="auto"/>
        </w:rPr>
      </w:pPr>
    </w:p>
    <w:p>
      <w:pPr>
        <w:ind w:left="1320" w:right="3679" w:hanging="436"/>
        <w:spacing w:after="0" w:line="234" w:lineRule="auto"/>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Act.</w:t>
      </w:r>
    </w:p>
    <w:p>
      <w:pPr>
        <w:sectPr>
          <w:pgSz w:w="11900" w:h="16838" w:orient="portrait"/>
          <w:cols w:equalWidth="0" w:num="1">
            <w:col w:w="10239"/>
          </w:cols>
          <w:pgMar w:left="220" w:top="135" w:right="1440" w:bottom="854" w:gutter="0" w:footer="0" w:header="0"/>
          <w:type w:val="continuous"/>
        </w:sectPr>
      </w:pPr>
    </w:p>
    <w:bookmarkStart w:id="29" w:name="page30"/>
    <w:bookmarkEnd w:id="29"/>
    <w:p>
      <w:pPr>
        <w:jc w:val="right"/>
        <w:ind w:right="3399"/>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left="1320" w:right="4099" w:hanging="436"/>
        <w:spacing w:after="0" w:line="235" w:lineRule="auto"/>
        <w:tabs>
          <w:tab w:leader="none" w:pos="13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3" w:lineRule="exact"/>
        <w:rPr>
          <w:sz w:val="20"/>
          <w:szCs w:val="20"/>
          <w:color w:val="auto"/>
        </w:rPr>
      </w:pPr>
    </w:p>
    <w:p>
      <w:pPr>
        <w:ind w:right="3399" w:firstLine="875"/>
        <w:spacing w:after="0" w:line="255" w:lineRule="auto"/>
        <w:rPr>
          <w:sz w:val="20"/>
          <w:szCs w:val="20"/>
          <w:color w:val="auto"/>
        </w:rPr>
      </w:pPr>
      <w:r>
        <w:rPr>
          <w:rFonts w:ascii="Courier New" w:cs="Courier New" w:eastAsia="Courier New" w:hAnsi="Courier New"/>
          <w:sz w:val="14"/>
          <w:szCs w:val="14"/>
          <w:color w:val="auto"/>
        </w:rPr>
        <w:t>Pursuant to the requirements of the Trust Indenture Act of 1939, as amended, the trustee, Bank One Trust Company, National Association, a national banking association organized and existing under the laws of the United States of America, has duly caused this Statement of Eligibility to be signed on its behalf by the undersigned, thereunto duly authorized, all in the City of Chicago and State of Illinois, on the 28th day of September, 2001.</w:t>
      </w:r>
    </w:p>
    <w:p>
      <w:pPr>
        <w:spacing w:after="0" w:line="160"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Bank One Trust Company, National Association,</w:t>
      </w:r>
    </w:p>
    <w:p>
      <w:pPr>
        <w:ind w:left="1500"/>
        <w:spacing w:after="0" w:line="237" w:lineRule="auto"/>
        <w:rPr>
          <w:sz w:val="20"/>
          <w:szCs w:val="20"/>
          <w:color w:val="auto"/>
        </w:rPr>
      </w:pPr>
      <w:r>
        <w:rPr>
          <w:rFonts w:ascii="Courier New" w:cs="Courier New" w:eastAsia="Courier New" w:hAnsi="Courier New"/>
          <w:sz w:val="15"/>
          <w:szCs w:val="15"/>
          <w:color w:val="auto"/>
        </w:rPr>
        <w:t>Trustee</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By /s/Sandra L. Caruba</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line="238" w:lineRule="auto"/>
        <w:rPr>
          <w:sz w:val="20"/>
          <w:szCs w:val="20"/>
          <w:color w:val="auto"/>
        </w:rPr>
      </w:pPr>
      <w:r>
        <w:rPr>
          <w:rFonts w:ascii="Courier New" w:cs="Courier New" w:eastAsia="Courier New" w:hAnsi="Courier New"/>
          <w:sz w:val="15"/>
          <w:szCs w:val="15"/>
          <w:color w:val="auto"/>
        </w:rPr>
        <w:t>Sandra L. Caruba</w:t>
      </w:r>
    </w:p>
    <w:p>
      <w:pPr>
        <w:ind w:left="1760"/>
        <w:spacing w:after="0" w:line="237" w:lineRule="auto"/>
        <w:rPr>
          <w:sz w:val="20"/>
          <w:szCs w:val="20"/>
          <w:color w:val="auto"/>
        </w:rPr>
      </w:pPr>
      <w:r>
        <w:rPr>
          <w:rFonts w:ascii="Courier New" w:cs="Courier New" w:eastAsia="Courier New" w:hAnsi="Courier New"/>
          <w:sz w:val="15"/>
          <w:szCs w:val="15"/>
          <w:color w:val="auto"/>
        </w:rPr>
        <w:t>First Vice President</w:t>
      </w:r>
    </w:p>
    <w:p>
      <w:pPr>
        <w:spacing w:after="0" w:line="173" w:lineRule="exact"/>
        <w:rPr>
          <w:sz w:val="20"/>
          <w:szCs w:val="20"/>
          <w:color w:val="auto"/>
        </w:rPr>
      </w:pPr>
    </w:p>
    <w:p>
      <w:pPr>
        <w:ind w:right="3499" w:firstLine="10"/>
        <w:spacing w:after="0" w:line="254" w:lineRule="auto"/>
        <w:tabs>
          <w:tab w:leader="none" w:pos="17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1, 2, 3, and 4 are herein incorporated by reference to Exhibits bearing identical numbers in Item 16 of the Form T-1 of Bank One Trust Company, National Association, filed as Exhibit 25 to the Registration Statement on Form S-3 of Burlington Northern Santa Fe Corporation, filed with the Securities and Exchange Commission on May 10, 2000 (Registration No.</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333-36718).</w:t>
      </w:r>
    </w:p>
    <w:p>
      <w:pPr>
        <w:sectPr>
          <w:pgSz w:w="11900" w:h="16838" w:orient="portrait"/>
          <w:cols w:equalWidth="0" w:num="1">
            <w:col w:w="10239"/>
          </w:cols>
          <w:pgMar w:left="220" w:top="617" w:right="1440" w:bottom="1440" w:gutter="0" w:footer="0" w:header="0"/>
        </w:sectPr>
      </w:pPr>
    </w:p>
    <w:bookmarkStart w:id="30" w:name="page31"/>
    <w:bookmarkEnd w:id="30"/>
    <w:p>
      <w:pPr>
        <w:jc w:val="right"/>
        <w:ind w:right="3399"/>
        <w:spacing w:after="0"/>
        <w:rPr>
          <w:sz w:val="20"/>
          <w:szCs w:val="20"/>
          <w:color w:val="auto"/>
        </w:rPr>
      </w:pPr>
      <w:r>
        <w:rPr>
          <w:rFonts w:ascii="Courier New" w:cs="Courier New" w:eastAsia="Courier New" w:hAnsi="Courier New"/>
          <w:sz w:val="15"/>
          <w:szCs w:val="15"/>
          <w:color w:val="auto"/>
        </w:rPr>
        <w:t>EXHIBIT 6</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CONSENT OF THE TRUSTEE REQUIRED</w:t>
      </w:r>
    </w:p>
    <w:p>
      <w:pPr>
        <w:ind w:left="2200"/>
        <w:spacing w:after="0" w:line="237" w:lineRule="auto"/>
        <w:rPr>
          <w:sz w:val="20"/>
          <w:szCs w:val="20"/>
          <w:color w:val="auto"/>
        </w:rPr>
      </w:pPr>
      <w:r>
        <w:rPr>
          <w:rFonts w:ascii="Courier New" w:cs="Courier New" w:eastAsia="Courier New" w:hAnsi="Courier New"/>
          <w:sz w:val="15"/>
          <w:szCs w:val="15"/>
          <w:color w:val="auto"/>
        </w:rPr>
        <w:t>BY SECTION 321(b) OF THE ACT</w:t>
      </w:r>
    </w:p>
    <w:p>
      <w:pPr>
        <w:spacing w:after="0" w:line="335"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September 28, 2001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tabs>
          <w:tab w:leader="none" w:pos="15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connection with the qualification of an indenture between The Washington Post Company and Bank One Trust Company, National Association, as Trustee, the undersigned, in accordance with Section 321(b) of the Trust Indenture Act of 1939, as amended, hereby consents that the reports of examinations of the undersigned, made by Federal or State authorities authorized to make such examinations, may be furnished by such authorities to the Securities and Exchange Commission upon its request therefor.</w:t>
      </w:r>
    </w:p>
    <w:p>
      <w:pPr>
        <w:spacing w:after="0" w:line="16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Bank One Trust Company, National Association</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By: /s/Sandra L. Caruba</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840"/>
        <w:spacing w:after="0" w:line="238" w:lineRule="auto"/>
        <w:rPr>
          <w:sz w:val="20"/>
          <w:szCs w:val="20"/>
          <w:color w:val="auto"/>
        </w:rPr>
      </w:pPr>
      <w:r>
        <w:rPr>
          <w:rFonts w:ascii="Courier New" w:cs="Courier New" w:eastAsia="Courier New" w:hAnsi="Courier New"/>
          <w:sz w:val="15"/>
          <w:szCs w:val="15"/>
          <w:color w:val="auto"/>
        </w:rPr>
        <w:t>Sandra L. Caruba</w:t>
      </w:r>
    </w:p>
    <w:p>
      <w:pPr>
        <w:ind w:left="1840"/>
        <w:spacing w:after="0" w:line="237" w:lineRule="auto"/>
        <w:rPr>
          <w:sz w:val="20"/>
          <w:szCs w:val="20"/>
          <w:color w:val="auto"/>
        </w:rPr>
      </w:pPr>
      <w:r>
        <w:rPr>
          <w:rFonts w:ascii="Courier New" w:cs="Courier New" w:eastAsia="Courier New" w:hAnsi="Courier New"/>
          <w:sz w:val="15"/>
          <w:szCs w:val="15"/>
          <w:color w:val="auto"/>
        </w:rPr>
        <w:t>First Vice President</w:t>
      </w:r>
    </w:p>
    <w:p>
      <w:pPr>
        <w:sectPr>
          <w:pgSz w:w="11900" w:h="16838" w:orient="portrait"/>
          <w:cols w:equalWidth="0" w:num="1">
            <w:col w:w="10239"/>
          </w:cols>
          <w:pgMar w:left="220" w:top="785" w:right="1440" w:bottom="1440" w:gutter="0" w:footer="0" w:header="0"/>
        </w:sectPr>
      </w:pPr>
    </w:p>
    <w:bookmarkStart w:id="31" w:name="page32"/>
    <w:bookmarkEnd w:id="31"/>
    <w:p>
      <w:pPr>
        <w:ind w:left="6040"/>
        <w:spacing w:after="0"/>
        <w:rPr>
          <w:sz w:val="20"/>
          <w:szCs w:val="20"/>
          <w:color w:val="auto"/>
        </w:rPr>
      </w:pPr>
      <w:r>
        <w:rPr>
          <w:rFonts w:ascii="Courier New" w:cs="Courier New" w:eastAsia="Courier New" w:hAnsi="Courier New"/>
          <w:sz w:val="15"/>
          <w:szCs w:val="15"/>
          <w:color w:val="auto"/>
        </w:rPr>
        <w:t>EXHIBIT 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One Trust Company, N.A. FFIEC 041</w:t>
      </w:r>
    </w:p>
    <w:p>
      <w:pPr>
        <w:spacing w:after="0" w:line="237" w:lineRule="auto"/>
        <w:rPr>
          <w:sz w:val="20"/>
          <w:szCs w:val="20"/>
          <w:color w:val="auto"/>
        </w:rPr>
      </w:pPr>
      <w:r>
        <w:rPr>
          <w:rFonts w:ascii="Courier New" w:cs="Courier New" w:eastAsia="Courier New" w:hAnsi="Courier New"/>
          <w:sz w:val="15"/>
          <w:szCs w:val="15"/>
          <w:color w:val="auto"/>
        </w:rPr>
        <w:t>Legal Title of Bank RC-1</w:t>
      </w:r>
    </w:p>
    <w:p>
      <w:pPr>
        <w:spacing w:after="0" w:line="238" w:lineRule="auto"/>
        <w:rPr>
          <w:sz w:val="20"/>
          <w:szCs w:val="20"/>
          <w:color w:val="auto"/>
        </w:rPr>
      </w:pPr>
      <w:r>
        <w:rPr>
          <w:rFonts w:ascii="Courier New" w:cs="Courier New" w:eastAsia="Courier New" w:hAnsi="Courier New"/>
          <w:sz w:val="15"/>
          <w:szCs w:val="15"/>
          <w:color w:val="auto"/>
        </w:rPr>
        <w:t>Columbus</w:t>
      </w:r>
    </w:p>
    <w:p>
      <w:pPr>
        <w:spacing w:after="0" w:line="237" w:lineRule="auto"/>
        <w:rPr>
          <w:sz w:val="20"/>
          <w:szCs w:val="20"/>
          <w:color w:val="auto"/>
        </w:rPr>
      </w:pPr>
      <w:r>
        <w:rPr>
          <w:rFonts w:ascii="Courier New" w:cs="Courier New" w:eastAsia="Courier New" w:hAnsi="Courier New"/>
          <w:sz w:val="15"/>
          <w:szCs w:val="15"/>
          <w:color w:val="auto"/>
        </w:rPr>
        <w:t>City 10</w:t>
      </w:r>
    </w:p>
    <w:p>
      <w:pPr>
        <w:spacing w:after="0" w:line="238" w:lineRule="auto"/>
        <w:rPr>
          <w:sz w:val="20"/>
          <w:szCs w:val="20"/>
          <w:color w:val="auto"/>
        </w:rPr>
      </w:pPr>
      <w:r>
        <w:rPr>
          <w:rFonts w:ascii="Courier New" w:cs="Courier New" w:eastAsia="Courier New" w:hAnsi="Courier New"/>
          <w:sz w:val="15"/>
          <w:szCs w:val="15"/>
          <w:color w:val="auto"/>
        </w:rPr>
        <w:t>OH 43271</w:t>
      </w:r>
    </w:p>
    <w:p>
      <w:pPr>
        <w:spacing w:after="0" w:line="237" w:lineRule="auto"/>
        <w:rPr>
          <w:sz w:val="20"/>
          <w:szCs w:val="20"/>
          <w:color w:val="auto"/>
        </w:rPr>
      </w:pPr>
      <w:r>
        <w:rPr>
          <w:rFonts w:ascii="Courier New" w:cs="Courier New" w:eastAsia="Courier New" w:hAnsi="Courier New"/>
          <w:sz w:val="15"/>
          <w:szCs w:val="15"/>
          <w:color w:val="auto"/>
        </w:rPr>
        <w:t>State Zip Code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FDIC Certificate Number - 21377</w:t>
      </w:r>
    </w:p>
    <w:p>
      <w:pPr>
        <w:spacing w:after="0" w:line="173" w:lineRule="exact"/>
        <w:rPr>
          <w:sz w:val="20"/>
          <w:szCs w:val="20"/>
          <w:color w:val="auto"/>
        </w:rPr>
      </w:pPr>
    </w:p>
    <w:p>
      <w:pPr>
        <w:ind w:right="3840"/>
        <w:spacing w:after="0" w:line="261" w:lineRule="auto"/>
        <w:rPr>
          <w:sz w:val="20"/>
          <w:szCs w:val="20"/>
          <w:color w:val="auto"/>
        </w:rPr>
      </w:pPr>
      <w:r>
        <w:rPr>
          <w:rFonts w:ascii="Courier New" w:cs="Courier New" w:eastAsia="Courier New" w:hAnsi="Courier New"/>
          <w:sz w:val="14"/>
          <w:szCs w:val="14"/>
          <w:color w:val="auto"/>
        </w:rPr>
        <w:t>Consolidated Report of Condition for Insured Commercial and State-Chartered Savings Banks for June 30, 2001</w:t>
      </w:r>
    </w:p>
    <w:p>
      <w:pPr>
        <w:spacing w:after="0" w:line="160" w:lineRule="exact"/>
        <w:rPr>
          <w:sz w:val="20"/>
          <w:szCs w:val="20"/>
          <w:color w:val="auto"/>
        </w:rPr>
      </w:pPr>
    </w:p>
    <w:p>
      <w:pPr>
        <w:jc w:val="both"/>
        <w:ind w:right="2100"/>
        <w:spacing w:after="0" w:line="235" w:lineRule="auto"/>
        <w:rPr>
          <w:sz w:val="20"/>
          <w:szCs w:val="20"/>
          <w:color w:val="auto"/>
        </w:rPr>
      </w:pPr>
      <w:r>
        <w:rPr>
          <w:rFonts w:ascii="Courier New" w:cs="Courier New" w:eastAsia="Courier New" w:hAnsi="Courier New"/>
          <w:sz w:val="15"/>
          <w:szCs w:val="15"/>
          <w:color w:val="auto"/>
        </w:rPr>
        <w:t>All schedules are to be reported in thousands of dollars. Unless otherwise indicated, report the amount outstanding as of the last business day of the quarter.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RC--Balance Sheet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320" w:val="left"/>
        </w:tabs>
        <w:rPr>
          <w:sz w:val="20"/>
          <w:szCs w:val="20"/>
          <w:color w:val="auto"/>
        </w:rPr>
      </w:pPr>
      <w:r>
        <w:rPr>
          <w:rFonts w:ascii="Courier New" w:cs="Courier New" w:eastAsia="Courier New" w:hAnsi="Courier New"/>
          <w:sz w:val="15"/>
          <w:szCs w:val="15"/>
          <w:color w:val="auto"/>
        </w:rPr>
        <w:t>Dollar Amounts in Thousands</w:t>
      </w:r>
      <w:r>
        <w:rPr>
          <w:sz w:val="20"/>
          <w:szCs w:val="20"/>
          <w:color w:val="auto"/>
        </w:rPr>
        <w:tab/>
      </w:r>
      <w:r>
        <w:rPr>
          <w:rFonts w:ascii="Courier New" w:cs="Courier New" w:eastAsia="Courier New" w:hAnsi="Courier New"/>
          <w:sz w:val="14"/>
          <w:szCs w:val="14"/>
          <w:color w:val="auto"/>
        </w:rPr>
        <w:t>RCON</w:t>
      </w:r>
    </w:p>
    <w:p>
      <w:pPr>
        <w:spacing w:after="0" w:line="237" w:lineRule="auto"/>
        <w:rPr>
          <w:sz w:val="20"/>
          <w:szCs w:val="20"/>
          <w:color w:val="auto"/>
        </w:rPr>
      </w:pPr>
      <w:r>
        <w:rPr>
          <w:rFonts w:ascii="Courier New" w:cs="Courier New" w:eastAsia="Courier New" w:hAnsi="Courier New"/>
          <w:sz w:val="15"/>
          <w:szCs w:val="15"/>
          <w:color w:val="auto"/>
        </w:rPr>
        <w:t>ASSETS</w:t>
      </w:r>
    </w:p>
    <w:p>
      <w:pPr>
        <w:spacing w:after="0" w:line="342" w:lineRule="exact"/>
        <w:rPr>
          <w:sz w:val="20"/>
          <w:szCs w:val="20"/>
          <w:color w:val="auto"/>
        </w:rPr>
      </w:pPr>
    </w:p>
    <w:p>
      <w:pPr>
        <w:ind w:left="440" w:right="4020" w:hanging="430"/>
        <w:spacing w:after="0" w:line="234" w:lineRule="auto"/>
        <w:tabs>
          <w:tab w:leader="none" w:pos="26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balances due from depository institutions (from Schedule RC-A):</w:t>
      </w:r>
    </w:p>
    <w:p>
      <w:pPr>
        <w:spacing w:after="0"/>
        <w:tabs>
          <w:tab w:leader="dot" w:pos="8300" w:val="left"/>
        </w:tabs>
        <w:rPr>
          <w:sz w:val="20"/>
          <w:szCs w:val="20"/>
          <w:color w:val="auto"/>
        </w:rPr>
      </w:pPr>
      <w:r>
        <w:rPr>
          <w:rFonts w:ascii="Courier New" w:cs="Courier New" w:eastAsia="Courier New" w:hAnsi="Courier New"/>
          <w:sz w:val="15"/>
          <w:szCs w:val="15"/>
          <w:color w:val="auto"/>
        </w:rPr>
        <w:t>a. Noninterest-bearing balances and currency and coin (1)</w:t>
      </w:r>
      <w:r>
        <w:rPr>
          <w:sz w:val="20"/>
          <w:szCs w:val="20"/>
          <w:color w:val="auto"/>
        </w:rPr>
        <w:tab/>
      </w:r>
      <w:r>
        <w:rPr>
          <w:rFonts w:ascii="Courier New" w:cs="Courier New" w:eastAsia="Courier New" w:hAnsi="Courier New"/>
          <w:sz w:val="14"/>
          <w:szCs w:val="14"/>
          <w:color w:val="auto"/>
        </w:rPr>
        <w:t>0081</w:t>
      </w:r>
    </w:p>
    <w:p>
      <w:pPr>
        <w:spacing w:after="0"/>
        <w:tabs>
          <w:tab w:leader="dot" w:pos="8300" w:val="left"/>
        </w:tabs>
        <w:rPr>
          <w:sz w:val="20"/>
          <w:szCs w:val="20"/>
          <w:color w:val="auto"/>
        </w:rPr>
      </w:pPr>
      <w:r>
        <w:rPr>
          <w:rFonts w:ascii="Courier New" w:cs="Courier New" w:eastAsia="Courier New" w:hAnsi="Courier New"/>
          <w:sz w:val="15"/>
          <w:szCs w:val="15"/>
          <w:color w:val="auto"/>
        </w:rPr>
        <w:t>b. Interest-bearing balances (2)</w:t>
      </w:r>
      <w:r>
        <w:rPr>
          <w:sz w:val="20"/>
          <w:szCs w:val="20"/>
          <w:color w:val="auto"/>
        </w:rPr>
        <w:tab/>
      </w:r>
      <w:r>
        <w:rPr>
          <w:rFonts w:ascii="Courier New" w:cs="Courier New" w:eastAsia="Courier New" w:hAnsi="Courier New"/>
          <w:sz w:val="14"/>
          <w:szCs w:val="14"/>
          <w:color w:val="auto"/>
        </w:rPr>
        <w:t>0071</w:t>
      </w:r>
    </w:p>
    <w:p>
      <w:pPr>
        <w:spacing w:after="0" w:line="238" w:lineRule="auto"/>
        <w:rPr>
          <w:sz w:val="20"/>
          <w:szCs w:val="20"/>
          <w:color w:val="auto"/>
        </w:rPr>
      </w:pPr>
      <w:r>
        <w:rPr>
          <w:rFonts w:ascii="Courier New" w:cs="Courier New" w:eastAsia="Courier New" w:hAnsi="Courier New"/>
          <w:sz w:val="15"/>
          <w:szCs w:val="15"/>
          <w:color w:val="auto"/>
        </w:rPr>
        <w:t>2. Securities:</w:t>
      </w:r>
    </w:p>
    <w:p>
      <w:pPr>
        <w:spacing w:after="0"/>
        <w:tabs>
          <w:tab w:leader="dot" w:pos="8300" w:val="left"/>
        </w:tabs>
        <w:rPr>
          <w:sz w:val="20"/>
          <w:szCs w:val="20"/>
          <w:color w:val="auto"/>
        </w:rPr>
      </w:pPr>
      <w:r>
        <w:rPr>
          <w:rFonts w:ascii="Courier New" w:cs="Courier New" w:eastAsia="Courier New" w:hAnsi="Courier New"/>
          <w:sz w:val="15"/>
          <w:szCs w:val="15"/>
          <w:color w:val="auto"/>
        </w:rPr>
        <w:t>a. Held-to-maturity securities (from Schedule RC-B, column A)</w:t>
      </w:r>
      <w:r>
        <w:rPr>
          <w:sz w:val="20"/>
          <w:szCs w:val="20"/>
          <w:color w:val="auto"/>
        </w:rPr>
        <w:tab/>
      </w:r>
      <w:r>
        <w:rPr>
          <w:rFonts w:ascii="Courier New" w:cs="Courier New" w:eastAsia="Courier New" w:hAnsi="Courier New"/>
          <w:sz w:val="14"/>
          <w:szCs w:val="14"/>
          <w:color w:val="auto"/>
        </w:rPr>
        <w:t>1754</w:t>
      </w:r>
    </w:p>
    <w:p>
      <w:pPr>
        <w:spacing w:after="0"/>
        <w:tabs>
          <w:tab w:leader="dot" w:pos="8300" w:val="left"/>
        </w:tabs>
        <w:rPr>
          <w:sz w:val="20"/>
          <w:szCs w:val="20"/>
          <w:color w:val="auto"/>
        </w:rPr>
      </w:pPr>
      <w:r>
        <w:rPr>
          <w:rFonts w:ascii="Courier New" w:cs="Courier New" w:eastAsia="Courier New" w:hAnsi="Courier New"/>
          <w:sz w:val="15"/>
          <w:szCs w:val="15"/>
          <w:color w:val="auto"/>
        </w:rPr>
        <w:t>b. Available-for-sale securities (from Schedule RC-B, column D)</w:t>
      </w:r>
      <w:r>
        <w:rPr>
          <w:sz w:val="20"/>
          <w:szCs w:val="20"/>
          <w:color w:val="auto"/>
        </w:rPr>
        <w:tab/>
      </w:r>
      <w:r>
        <w:rPr>
          <w:rFonts w:ascii="Courier New" w:cs="Courier New" w:eastAsia="Courier New" w:hAnsi="Courier New"/>
          <w:sz w:val="14"/>
          <w:szCs w:val="14"/>
          <w:color w:val="auto"/>
        </w:rPr>
        <w:t>1773</w:t>
      </w:r>
    </w:p>
    <w:p>
      <w:pPr>
        <w:spacing w:after="0"/>
        <w:tabs>
          <w:tab w:leader="dot" w:pos="8300" w:val="left"/>
        </w:tabs>
        <w:rPr>
          <w:sz w:val="20"/>
          <w:szCs w:val="20"/>
          <w:color w:val="auto"/>
        </w:rPr>
      </w:pPr>
      <w:r>
        <w:rPr>
          <w:rFonts w:ascii="Courier New" w:cs="Courier New" w:eastAsia="Courier New" w:hAnsi="Courier New"/>
          <w:sz w:val="15"/>
          <w:szCs w:val="15"/>
          <w:color w:val="auto"/>
        </w:rPr>
        <w:t>3. Federal funds sold and securities purchased under agreements to resell</w:t>
      </w:r>
      <w:r>
        <w:rPr>
          <w:sz w:val="20"/>
          <w:szCs w:val="20"/>
          <w:color w:val="auto"/>
        </w:rPr>
        <w:tab/>
      </w:r>
      <w:r>
        <w:rPr>
          <w:rFonts w:ascii="Courier New" w:cs="Courier New" w:eastAsia="Courier New" w:hAnsi="Courier New"/>
          <w:sz w:val="14"/>
          <w:szCs w:val="14"/>
          <w:color w:val="auto"/>
        </w:rPr>
        <w:t>1350</w:t>
      </w:r>
    </w:p>
    <w:p>
      <w:pPr>
        <w:spacing w:after="0" w:line="238" w:lineRule="auto"/>
        <w:rPr>
          <w:sz w:val="20"/>
          <w:szCs w:val="20"/>
          <w:color w:val="auto"/>
        </w:rPr>
      </w:pPr>
      <w:r>
        <w:rPr>
          <w:rFonts w:ascii="Courier New" w:cs="Courier New" w:eastAsia="Courier New" w:hAnsi="Courier New"/>
          <w:sz w:val="15"/>
          <w:szCs w:val="15"/>
          <w:color w:val="auto"/>
        </w:rPr>
        <w:t>4. Loans and lease financing receivables (from Schedule RC-C):</w:t>
      </w:r>
    </w:p>
    <w:p>
      <w:pPr>
        <w:spacing w:after="0"/>
        <w:tabs>
          <w:tab w:leader="dot" w:pos="8300" w:val="left"/>
        </w:tabs>
        <w:rPr>
          <w:sz w:val="20"/>
          <w:szCs w:val="20"/>
          <w:color w:val="auto"/>
        </w:rPr>
      </w:pPr>
      <w:r>
        <w:rPr>
          <w:rFonts w:ascii="Courier New" w:cs="Courier New" w:eastAsia="Courier New" w:hAnsi="Courier New"/>
          <w:sz w:val="15"/>
          <w:szCs w:val="15"/>
          <w:color w:val="auto"/>
        </w:rPr>
        <w:t>a. Loans and leases held for sale</w:t>
      </w:r>
      <w:r>
        <w:rPr>
          <w:sz w:val="20"/>
          <w:szCs w:val="20"/>
          <w:color w:val="auto"/>
        </w:rPr>
        <w:tab/>
      </w:r>
      <w:r>
        <w:rPr>
          <w:rFonts w:ascii="Courier New" w:cs="Courier New" w:eastAsia="Courier New" w:hAnsi="Courier New"/>
          <w:sz w:val="14"/>
          <w:szCs w:val="14"/>
          <w:color w:val="auto"/>
        </w:rPr>
        <w:t>5369</w:t>
      </w:r>
    </w:p>
    <w:p>
      <w:pPr>
        <w:spacing w:after="0"/>
        <w:tabs>
          <w:tab w:leader="dot" w:pos="8300" w:val="left"/>
        </w:tabs>
        <w:rPr>
          <w:sz w:val="20"/>
          <w:szCs w:val="20"/>
          <w:color w:val="auto"/>
        </w:rPr>
      </w:pPr>
      <w:r>
        <w:rPr>
          <w:rFonts w:ascii="Courier New" w:cs="Courier New" w:eastAsia="Courier New" w:hAnsi="Courier New"/>
          <w:sz w:val="15"/>
          <w:szCs w:val="15"/>
          <w:color w:val="auto"/>
        </w:rPr>
        <w:t>b. Loans and leases, net of unearned income</w:t>
      </w:r>
      <w:r>
        <w:rPr>
          <w:sz w:val="20"/>
          <w:szCs w:val="20"/>
          <w:color w:val="auto"/>
        </w:rPr>
        <w:tab/>
      </w:r>
      <w:r>
        <w:rPr>
          <w:rFonts w:ascii="Courier New" w:cs="Courier New" w:eastAsia="Courier New" w:hAnsi="Courier New"/>
          <w:sz w:val="14"/>
          <w:szCs w:val="14"/>
          <w:color w:val="auto"/>
        </w:rPr>
        <w:t>B528</w:t>
      </w:r>
    </w:p>
    <w:p>
      <w:pPr>
        <w:spacing w:after="0"/>
        <w:tabs>
          <w:tab w:leader="dot" w:pos="8300" w:val="left"/>
        </w:tabs>
        <w:rPr>
          <w:sz w:val="20"/>
          <w:szCs w:val="20"/>
          <w:color w:val="auto"/>
        </w:rPr>
      </w:pPr>
      <w:r>
        <w:rPr>
          <w:rFonts w:ascii="Courier New" w:cs="Courier New" w:eastAsia="Courier New" w:hAnsi="Courier New"/>
          <w:sz w:val="15"/>
          <w:szCs w:val="15"/>
          <w:color w:val="auto"/>
        </w:rPr>
        <w:t>c. LESS: Allowance for loan and lease losses</w:t>
      </w:r>
      <w:r>
        <w:rPr>
          <w:sz w:val="20"/>
          <w:szCs w:val="20"/>
          <w:color w:val="auto"/>
        </w:rPr>
        <w:tab/>
      </w:r>
      <w:r>
        <w:rPr>
          <w:rFonts w:ascii="Courier New" w:cs="Courier New" w:eastAsia="Courier New" w:hAnsi="Courier New"/>
          <w:sz w:val="14"/>
          <w:szCs w:val="14"/>
          <w:color w:val="auto"/>
        </w:rPr>
        <w:t>3123</w:t>
      </w:r>
    </w:p>
    <w:p>
      <w:pPr>
        <w:spacing w:after="0"/>
        <w:tabs>
          <w:tab w:leader="dot" w:pos="8300" w:val="left"/>
        </w:tabs>
        <w:rPr>
          <w:sz w:val="20"/>
          <w:szCs w:val="20"/>
          <w:color w:val="auto"/>
        </w:rPr>
      </w:pPr>
      <w:r>
        <w:rPr>
          <w:rFonts w:ascii="Courier New" w:cs="Courier New" w:eastAsia="Courier New" w:hAnsi="Courier New"/>
          <w:sz w:val="15"/>
          <w:szCs w:val="15"/>
          <w:color w:val="auto"/>
        </w:rPr>
        <w:t>d. Loans and leases, net of unearned income and allowance (item 4.b minus 4.c)</w:t>
      </w:r>
      <w:r>
        <w:rPr>
          <w:sz w:val="20"/>
          <w:szCs w:val="20"/>
          <w:color w:val="auto"/>
        </w:rPr>
        <w:tab/>
      </w:r>
      <w:r>
        <w:rPr>
          <w:rFonts w:ascii="Courier New" w:cs="Courier New" w:eastAsia="Courier New" w:hAnsi="Courier New"/>
          <w:sz w:val="14"/>
          <w:szCs w:val="14"/>
          <w:color w:val="auto"/>
        </w:rPr>
        <w:t>B529</w:t>
      </w:r>
    </w:p>
    <w:p>
      <w:pPr>
        <w:spacing w:after="0"/>
        <w:tabs>
          <w:tab w:leader="dot" w:pos="8300" w:val="left"/>
        </w:tabs>
        <w:rPr>
          <w:sz w:val="20"/>
          <w:szCs w:val="20"/>
          <w:color w:val="auto"/>
        </w:rPr>
      </w:pPr>
      <w:r>
        <w:rPr>
          <w:rFonts w:ascii="Courier New" w:cs="Courier New" w:eastAsia="Courier New" w:hAnsi="Courier New"/>
          <w:sz w:val="15"/>
          <w:szCs w:val="15"/>
          <w:color w:val="auto"/>
        </w:rPr>
        <w:t>5. Trading assets (from Schedule RC-D)</w:t>
      </w:r>
      <w:r>
        <w:rPr>
          <w:sz w:val="20"/>
          <w:szCs w:val="20"/>
          <w:color w:val="auto"/>
        </w:rPr>
        <w:tab/>
      </w:r>
      <w:r>
        <w:rPr>
          <w:rFonts w:ascii="Courier New" w:cs="Courier New" w:eastAsia="Courier New" w:hAnsi="Courier New"/>
          <w:sz w:val="14"/>
          <w:szCs w:val="14"/>
          <w:color w:val="auto"/>
        </w:rPr>
        <w:t>3545</w:t>
      </w:r>
    </w:p>
    <w:p>
      <w:pPr>
        <w:spacing w:after="0"/>
        <w:tabs>
          <w:tab w:leader="dot" w:pos="8300" w:val="left"/>
        </w:tabs>
        <w:rPr>
          <w:sz w:val="20"/>
          <w:szCs w:val="20"/>
          <w:color w:val="auto"/>
        </w:rPr>
      </w:pPr>
      <w:r>
        <w:rPr>
          <w:rFonts w:ascii="Courier New" w:cs="Courier New" w:eastAsia="Courier New" w:hAnsi="Courier New"/>
          <w:sz w:val="15"/>
          <w:szCs w:val="15"/>
          <w:color w:val="auto"/>
        </w:rPr>
        <w:t>6. Premises and fixed assets (including capitalized leases)</w:t>
      </w:r>
      <w:r>
        <w:rPr>
          <w:sz w:val="20"/>
          <w:szCs w:val="20"/>
          <w:color w:val="auto"/>
        </w:rPr>
        <w:tab/>
      </w:r>
      <w:r>
        <w:rPr>
          <w:rFonts w:ascii="Courier New" w:cs="Courier New" w:eastAsia="Courier New" w:hAnsi="Courier New"/>
          <w:sz w:val="14"/>
          <w:szCs w:val="14"/>
          <w:color w:val="auto"/>
        </w:rPr>
        <w:t>2145</w:t>
      </w:r>
    </w:p>
    <w:p>
      <w:pPr>
        <w:spacing w:after="0"/>
        <w:tabs>
          <w:tab w:leader="dot" w:pos="8300" w:val="left"/>
        </w:tabs>
        <w:rPr>
          <w:sz w:val="20"/>
          <w:szCs w:val="20"/>
          <w:color w:val="auto"/>
        </w:rPr>
      </w:pPr>
      <w:r>
        <w:rPr>
          <w:rFonts w:ascii="Courier New" w:cs="Courier New" w:eastAsia="Courier New" w:hAnsi="Courier New"/>
          <w:sz w:val="15"/>
          <w:szCs w:val="15"/>
          <w:color w:val="auto"/>
        </w:rPr>
        <w:t>7. Other real estate owned (from Schedule RC-M)</w:t>
      </w:r>
      <w:r>
        <w:rPr>
          <w:sz w:val="20"/>
          <w:szCs w:val="20"/>
          <w:color w:val="auto"/>
        </w:rPr>
        <w:tab/>
      </w:r>
      <w:r>
        <w:rPr>
          <w:rFonts w:ascii="Courier New" w:cs="Courier New" w:eastAsia="Courier New" w:hAnsi="Courier New"/>
          <w:sz w:val="14"/>
          <w:szCs w:val="14"/>
          <w:color w:val="auto"/>
        </w:rPr>
        <w:t>2150</w:t>
      </w:r>
    </w:p>
    <w:p>
      <w:pPr>
        <w:spacing w:after="0"/>
        <w:tabs>
          <w:tab w:leader="dot" w:pos="8300" w:val="left"/>
        </w:tabs>
        <w:rPr>
          <w:sz w:val="20"/>
          <w:szCs w:val="20"/>
          <w:color w:val="auto"/>
        </w:rPr>
      </w:pPr>
      <w:r>
        <w:rPr>
          <w:rFonts w:ascii="Courier New" w:cs="Courier New" w:eastAsia="Courier New" w:hAnsi="Courier New"/>
          <w:sz w:val="15"/>
          <w:szCs w:val="15"/>
          <w:color w:val="auto"/>
        </w:rPr>
        <w:t>8. Investments in unconsolidated subsidiaries and associated companies (from Schedule RC-M)</w:t>
      </w:r>
      <w:r>
        <w:rPr>
          <w:sz w:val="20"/>
          <w:szCs w:val="20"/>
          <w:color w:val="auto"/>
        </w:rPr>
        <w:tab/>
      </w:r>
      <w:r>
        <w:rPr>
          <w:rFonts w:ascii="Courier New" w:cs="Courier New" w:eastAsia="Courier New" w:hAnsi="Courier New"/>
          <w:sz w:val="14"/>
          <w:szCs w:val="14"/>
          <w:color w:val="auto"/>
        </w:rPr>
        <w:t>2130</w:t>
      </w:r>
    </w:p>
    <w:p>
      <w:pPr>
        <w:spacing w:after="0"/>
        <w:tabs>
          <w:tab w:leader="dot" w:pos="8300" w:val="left"/>
        </w:tabs>
        <w:rPr>
          <w:sz w:val="20"/>
          <w:szCs w:val="20"/>
          <w:color w:val="auto"/>
        </w:rPr>
      </w:pPr>
      <w:r>
        <w:rPr>
          <w:rFonts w:ascii="Courier New" w:cs="Courier New" w:eastAsia="Courier New" w:hAnsi="Courier New"/>
          <w:sz w:val="15"/>
          <w:szCs w:val="15"/>
          <w:color w:val="auto"/>
        </w:rPr>
        <w:t>9. Customers' liability to this bank on acceptances outstanding</w:t>
      </w:r>
      <w:r>
        <w:rPr>
          <w:sz w:val="20"/>
          <w:szCs w:val="20"/>
          <w:color w:val="auto"/>
        </w:rPr>
        <w:tab/>
      </w:r>
      <w:r>
        <w:rPr>
          <w:rFonts w:ascii="Courier New" w:cs="Courier New" w:eastAsia="Courier New" w:hAnsi="Courier New"/>
          <w:sz w:val="14"/>
          <w:szCs w:val="14"/>
          <w:color w:val="auto"/>
        </w:rPr>
        <w:t>2155</w:t>
      </w:r>
    </w:p>
    <w:p>
      <w:pPr>
        <w:spacing w:after="0" w:line="238" w:lineRule="auto"/>
        <w:rPr>
          <w:sz w:val="20"/>
          <w:szCs w:val="20"/>
          <w:color w:val="auto"/>
        </w:rPr>
      </w:pPr>
      <w:r>
        <w:rPr>
          <w:rFonts w:ascii="Courier New" w:cs="Courier New" w:eastAsia="Courier New" w:hAnsi="Courier New"/>
          <w:sz w:val="15"/>
          <w:szCs w:val="15"/>
          <w:color w:val="auto"/>
        </w:rPr>
        <w:t>10. Intangible assets</w:t>
      </w:r>
    </w:p>
    <w:p>
      <w:pPr>
        <w:spacing w:after="0"/>
        <w:tabs>
          <w:tab w:leader="dot" w:pos="8300" w:val="left"/>
        </w:tabs>
        <w:rPr>
          <w:sz w:val="20"/>
          <w:szCs w:val="20"/>
          <w:color w:val="auto"/>
        </w:rPr>
      </w:pPr>
      <w:r>
        <w:rPr>
          <w:rFonts w:ascii="Courier New" w:cs="Courier New" w:eastAsia="Courier New" w:hAnsi="Courier New"/>
          <w:sz w:val="15"/>
          <w:szCs w:val="15"/>
          <w:color w:val="auto"/>
        </w:rPr>
        <w:t>a. Goodwill</w:t>
      </w:r>
      <w:r>
        <w:rPr>
          <w:sz w:val="20"/>
          <w:szCs w:val="20"/>
          <w:color w:val="auto"/>
        </w:rPr>
        <w:tab/>
      </w:r>
      <w:r>
        <w:rPr>
          <w:rFonts w:ascii="Courier New" w:cs="Courier New" w:eastAsia="Courier New" w:hAnsi="Courier New"/>
          <w:sz w:val="14"/>
          <w:szCs w:val="14"/>
          <w:color w:val="auto"/>
        </w:rPr>
        <w:t>3163</w:t>
      </w:r>
    </w:p>
    <w:p>
      <w:pPr>
        <w:spacing w:after="0"/>
        <w:tabs>
          <w:tab w:leader="dot" w:pos="8300" w:val="left"/>
        </w:tabs>
        <w:rPr>
          <w:sz w:val="20"/>
          <w:szCs w:val="20"/>
          <w:color w:val="auto"/>
        </w:rPr>
      </w:pPr>
      <w:r>
        <w:rPr>
          <w:rFonts w:ascii="Courier New" w:cs="Courier New" w:eastAsia="Courier New" w:hAnsi="Courier New"/>
          <w:sz w:val="15"/>
          <w:szCs w:val="15"/>
          <w:color w:val="auto"/>
        </w:rPr>
        <w:t>b. Other intangible assets (from Schedule RC-M)</w:t>
      </w:r>
      <w:r>
        <w:rPr>
          <w:sz w:val="20"/>
          <w:szCs w:val="20"/>
          <w:color w:val="auto"/>
        </w:rPr>
        <w:tab/>
      </w:r>
      <w:r>
        <w:rPr>
          <w:rFonts w:ascii="Courier New" w:cs="Courier New" w:eastAsia="Courier New" w:hAnsi="Courier New"/>
          <w:sz w:val="14"/>
          <w:szCs w:val="14"/>
          <w:color w:val="auto"/>
        </w:rPr>
        <w:t>0426</w:t>
      </w:r>
    </w:p>
    <w:p>
      <w:pPr>
        <w:spacing w:after="0"/>
        <w:tabs>
          <w:tab w:leader="dot" w:pos="8300" w:val="left"/>
        </w:tabs>
        <w:rPr>
          <w:sz w:val="20"/>
          <w:szCs w:val="20"/>
          <w:color w:val="auto"/>
        </w:rPr>
      </w:pPr>
      <w:r>
        <w:rPr>
          <w:rFonts w:ascii="Courier New" w:cs="Courier New" w:eastAsia="Courier New" w:hAnsi="Courier New"/>
          <w:sz w:val="15"/>
          <w:szCs w:val="15"/>
          <w:color w:val="auto"/>
        </w:rPr>
        <w:t>11. Other assets (from Schedule RC-F)</w:t>
      </w:r>
      <w:r>
        <w:rPr>
          <w:sz w:val="20"/>
          <w:szCs w:val="20"/>
          <w:color w:val="auto"/>
        </w:rPr>
        <w:tab/>
      </w:r>
      <w:r>
        <w:rPr>
          <w:rFonts w:ascii="Courier New" w:cs="Courier New" w:eastAsia="Courier New" w:hAnsi="Courier New"/>
          <w:sz w:val="14"/>
          <w:szCs w:val="14"/>
          <w:color w:val="auto"/>
        </w:rPr>
        <w:t>2160</w:t>
      </w:r>
    </w:p>
    <w:p>
      <w:pPr>
        <w:spacing w:after="0"/>
        <w:tabs>
          <w:tab w:leader="dot" w:pos="8300" w:val="left"/>
        </w:tabs>
        <w:rPr>
          <w:sz w:val="20"/>
          <w:szCs w:val="20"/>
          <w:color w:val="auto"/>
        </w:rPr>
      </w:pPr>
      <w:r>
        <w:rPr>
          <w:rFonts w:ascii="Courier New" w:cs="Courier New" w:eastAsia="Courier New" w:hAnsi="Courier New"/>
          <w:sz w:val="15"/>
          <w:szCs w:val="15"/>
          <w:color w:val="auto"/>
        </w:rPr>
        <w:t>12. Total assets (sum of items 1 through 11)</w:t>
      </w:r>
      <w:r>
        <w:rPr>
          <w:sz w:val="20"/>
          <w:szCs w:val="20"/>
          <w:color w:val="auto"/>
        </w:rPr>
        <w:tab/>
      </w:r>
      <w:r>
        <w:rPr>
          <w:rFonts w:ascii="Courier New" w:cs="Courier New" w:eastAsia="Courier New" w:hAnsi="Courier New"/>
          <w:sz w:val="14"/>
          <w:szCs w:val="14"/>
          <w:color w:val="auto"/>
        </w:rPr>
        <w:t>2170</w:t>
      </w:r>
    </w:p>
    <w:p>
      <w:pPr>
        <w:spacing w:after="0" w:line="335" w:lineRule="exact"/>
        <w:rPr>
          <w:sz w:val="20"/>
          <w:szCs w:val="20"/>
          <w:color w:val="auto"/>
        </w:rPr>
      </w:pPr>
    </w:p>
    <w:p>
      <w:pPr>
        <w:ind w:left="360" w:hanging="350"/>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items in process of collection and unposted debits.</w:t>
      </w:r>
    </w:p>
    <w:p>
      <w:pPr>
        <w:ind w:left="360" w:hanging="350"/>
        <w:spacing w:after="0" w:line="237" w:lineRule="auto"/>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time certificates of deposit not held for trading.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 | Mil | Thou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5"/>
          <w:szCs w:val="15"/>
          <w:color w:val="auto"/>
        </w:rPr>
        <w:t>212,836 1.a</w:t>
      </w:r>
    </w:p>
    <w:p>
      <w:pPr>
        <w:jc w:val="right"/>
        <w:ind w:right="100"/>
        <w:spacing w:after="0" w:line="237" w:lineRule="auto"/>
        <w:rPr>
          <w:sz w:val="20"/>
          <w:szCs w:val="20"/>
          <w:color w:val="auto"/>
        </w:rPr>
      </w:pPr>
      <w:r>
        <w:rPr>
          <w:rFonts w:ascii="Courier New" w:cs="Courier New" w:eastAsia="Courier New" w:hAnsi="Courier New"/>
          <w:sz w:val="15"/>
          <w:szCs w:val="15"/>
          <w:color w:val="auto"/>
        </w:rPr>
        <w:t>0 1.b</w:t>
      </w:r>
    </w:p>
    <w:p>
      <w:pPr>
        <w:spacing w:after="0" w:line="16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0 2.a</w:t>
      </w:r>
    </w:p>
    <w:p>
      <w:pPr>
        <w:ind w:left="620"/>
        <w:spacing w:after="0" w:line="237" w:lineRule="auto"/>
        <w:rPr>
          <w:sz w:val="20"/>
          <w:szCs w:val="20"/>
          <w:color w:val="auto"/>
        </w:rPr>
      </w:pPr>
      <w:r>
        <w:rPr>
          <w:rFonts w:ascii="Courier New" w:cs="Courier New" w:eastAsia="Courier New" w:hAnsi="Courier New"/>
          <w:sz w:val="15"/>
          <w:szCs w:val="15"/>
          <w:color w:val="auto"/>
        </w:rPr>
        <w:t>1,700 2.b</w:t>
      </w:r>
    </w:p>
    <w:p>
      <w:pPr>
        <w:ind w:left="260"/>
        <w:spacing w:after="0" w:line="238" w:lineRule="auto"/>
        <w:rPr>
          <w:sz w:val="20"/>
          <w:szCs w:val="20"/>
          <w:color w:val="auto"/>
        </w:rPr>
      </w:pPr>
      <w:r>
        <w:rPr>
          <w:rFonts w:ascii="Courier New" w:cs="Courier New" w:eastAsia="Courier New" w:hAnsi="Courier New"/>
          <w:sz w:val="15"/>
          <w:szCs w:val="15"/>
          <w:color w:val="auto"/>
        </w:rPr>
        <w:t>1,160,732 3</w:t>
      </w:r>
    </w:p>
    <w:p>
      <w:pPr>
        <w:spacing w:after="0" w:line="16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0 4.a</w:t>
      </w:r>
    </w:p>
    <w:p>
      <w:pPr>
        <w:ind w:left="440"/>
        <w:spacing w:after="0" w:line="237" w:lineRule="auto"/>
        <w:rPr>
          <w:sz w:val="20"/>
          <w:szCs w:val="20"/>
          <w:color w:val="auto"/>
        </w:rPr>
      </w:pPr>
      <w:r>
        <w:rPr>
          <w:rFonts w:ascii="Courier New" w:cs="Courier New" w:eastAsia="Courier New" w:hAnsi="Courier New"/>
          <w:sz w:val="15"/>
          <w:szCs w:val="15"/>
          <w:color w:val="auto"/>
        </w:rPr>
        <w:t>224,872 4.b</w:t>
      </w:r>
    </w:p>
    <w:p>
      <w:pPr>
        <w:ind w:left="800"/>
        <w:spacing w:after="0" w:line="238" w:lineRule="auto"/>
        <w:rPr>
          <w:sz w:val="20"/>
          <w:szCs w:val="20"/>
          <w:color w:val="auto"/>
        </w:rPr>
      </w:pPr>
      <w:r>
        <w:rPr>
          <w:rFonts w:ascii="Courier New" w:cs="Courier New" w:eastAsia="Courier New" w:hAnsi="Courier New"/>
          <w:sz w:val="15"/>
          <w:szCs w:val="15"/>
          <w:color w:val="auto"/>
        </w:rPr>
        <w:t>253 4.c</w:t>
      </w:r>
    </w:p>
    <w:p>
      <w:pPr>
        <w:ind w:left="440"/>
        <w:spacing w:after="0" w:line="237" w:lineRule="auto"/>
        <w:rPr>
          <w:sz w:val="20"/>
          <w:szCs w:val="20"/>
          <w:color w:val="auto"/>
        </w:rPr>
      </w:pPr>
      <w:r>
        <w:rPr>
          <w:rFonts w:ascii="Courier New" w:cs="Courier New" w:eastAsia="Courier New" w:hAnsi="Courier New"/>
          <w:sz w:val="15"/>
          <w:szCs w:val="15"/>
          <w:color w:val="auto"/>
        </w:rPr>
        <w:t>224,619 4.d</w:t>
      </w:r>
    </w:p>
    <w:p>
      <w:pPr>
        <w:ind w:left="960"/>
        <w:spacing w:after="0" w:line="238" w:lineRule="auto"/>
        <w:rPr>
          <w:sz w:val="20"/>
          <w:szCs w:val="20"/>
          <w:color w:val="auto"/>
        </w:rPr>
      </w:pPr>
      <w:r>
        <w:rPr>
          <w:rFonts w:ascii="Courier New" w:cs="Courier New" w:eastAsia="Courier New" w:hAnsi="Courier New"/>
          <w:sz w:val="15"/>
          <w:szCs w:val="15"/>
          <w:color w:val="auto"/>
        </w:rPr>
        <w:t>0 5</w:t>
      </w:r>
    </w:p>
    <w:p>
      <w:pPr>
        <w:ind w:left="540"/>
        <w:spacing w:after="0" w:line="237" w:lineRule="auto"/>
        <w:rPr>
          <w:sz w:val="20"/>
          <w:szCs w:val="20"/>
          <w:color w:val="auto"/>
        </w:rPr>
      </w:pPr>
      <w:r>
        <w:rPr>
          <w:rFonts w:ascii="Courier New" w:cs="Courier New" w:eastAsia="Courier New" w:hAnsi="Courier New"/>
          <w:sz w:val="15"/>
          <w:szCs w:val="15"/>
          <w:color w:val="auto"/>
        </w:rPr>
        <w:t>19,688 6</w:t>
      </w:r>
    </w:p>
    <w:p>
      <w:pPr>
        <w:ind w:left="960"/>
        <w:spacing w:after="0" w:line="238" w:lineRule="auto"/>
        <w:rPr>
          <w:sz w:val="20"/>
          <w:szCs w:val="20"/>
          <w:color w:val="auto"/>
        </w:rPr>
      </w:pPr>
      <w:r>
        <w:rPr>
          <w:rFonts w:ascii="Courier New" w:cs="Courier New" w:eastAsia="Courier New" w:hAnsi="Courier New"/>
          <w:sz w:val="15"/>
          <w:szCs w:val="15"/>
          <w:color w:val="auto"/>
        </w:rPr>
        <w:t>0 7</w:t>
      </w:r>
    </w:p>
    <w:p>
      <w:pPr>
        <w:ind w:left="960"/>
        <w:spacing w:after="0" w:line="237" w:lineRule="auto"/>
        <w:rPr>
          <w:sz w:val="20"/>
          <w:szCs w:val="20"/>
          <w:color w:val="auto"/>
        </w:rPr>
      </w:pPr>
      <w:r>
        <w:rPr>
          <w:rFonts w:ascii="Courier New" w:cs="Courier New" w:eastAsia="Courier New" w:hAnsi="Courier New"/>
          <w:sz w:val="15"/>
          <w:szCs w:val="15"/>
          <w:color w:val="auto"/>
        </w:rPr>
        <w:t>0 8</w:t>
      </w:r>
    </w:p>
    <w:p>
      <w:pPr>
        <w:ind w:left="960"/>
        <w:spacing w:after="0" w:line="238" w:lineRule="auto"/>
        <w:rPr>
          <w:sz w:val="20"/>
          <w:szCs w:val="20"/>
          <w:color w:val="auto"/>
        </w:rPr>
      </w:pPr>
      <w:r>
        <w:rPr>
          <w:rFonts w:ascii="Courier New" w:cs="Courier New" w:eastAsia="Courier New" w:hAnsi="Courier New"/>
          <w:sz w:val="15"/>
          <w:szCs w:val="15"/>
          <w:color w:val="auto"/>
        </w:rPr>
        <w:t>0 9</w:t>
      </w:r>
    </w:p>
    <w:p>
      <w:pPr>
        <w:spacing w:after="0" w:line="167"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0 10.a</w:t>
      </w:r>
    </w:p>
    <w:p>
      <w:pPr>
        <w:jc w:val="right"/>
        <w:spacing w:after="0" w:line="237" w:lineRule="auto"/>
        <w:rPr>
          <w:sz w:val="20"/>
          <w:szCs w:val="20"/>
          <w:color w:val="auto"/>
        </w:rPr>
      </w:pPr>
      <w:r>
        <w:rPr>
          <w:rFonts w:ascii="Courier New" w:cs="Courier New" w:eastAsia="Courier New" w:hAnsi="Courier New"/>
          <w:sz w:val="15"/>
          <w:szCs w:val="15"/>
          <w:color w:val="auto"/>
        </w:rPr>
        <w:t>12,246 10.b</w:t>
      </w:r>
    </w:p>
    <w:p>
      <w:pPr>
        <w:ind w:left="440"/>
        <w:spacing w:after="0" w:line="238" w:lineRule="auto"/>
        <w:rPr>
          <w:sz w:val="20"/>
          <w:szCs w:val="20"/>
          <w:color w:val="auto"/>
        </w:rPr>
      </w:pPr>
      <w:r>
        <w:rPr>
          <w:rFonts w:ascii="Courier New" w:cs="Courier New" w:eastAsia="Courier New" w:hAnsi="Courier New"/>
          <w:sz w:val="15"/>
          <w:szCs w:val="15"/>
          <w:color w:val="auto"/>
        </w:rPr>
        <w:t>235,123 11</w:t>
      </w:r>
    </w:p>
    <w:p>
      <w:pPr>
        <w:ind w:left="260"/>
        <w:spacing w:after="0" w:line="237" w:lineRule="auto"/>
        <w:rPr>
          <w:sz w:val="20"/>
          <w:szCs w:val="20"/>
          <w:color w:val="auto"/>
        </w:rPr>
      </w:pPr>
      <w:r>
        <w:rPr>
          <w:rFonts w:ascii="Courier New" w:cs="Courier New" w:eastAsia="Courier New" w:hAnsi="Courier New"/>
          <w:sz w:val="15"/>
          <w:szCs w:val="15"/>
          <w:color w:val="auto"/>
        </w:rPr>
        <w:t>1,866,944 12</w:t>
      </w:r>
    </w:p>
    <w:p>
      <w:pPr>
        <w:sectPr>
          <w:pgSz w:w="11900" w:h="16838" w:orient="portrait"/>
          <w:cols w:equalWidth="0" w:num="2">
            <w:col w:w="8660" w:space="440"/>
            <w:col w:w="1500"/>
          </w:cols>
          <w:pgMar w:left="220" w:top="617" w:right="107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Bank One Trust Company, N.A. FFIEC 041</w:t>
      </w:r>
    </w:p>
    <w:p>
      <w:pPr>
        <w:spacing w:after="0" w:line="237" w:lineRule="auto"/>
        <w:rPr>
          <w:sz w:val="20"/>
          <w:szCs w:val="20"/>
          <w:color w:val="auto"/>
        </w:rPr>
      </w:pPr>
      <w:r>
        <w:rPr>
          <w:rFonts w:ascii="Courier New" w:cs="Courier New" w:eastAsia="Courier New" w:hAnsi="Courier New"/>
          <w:sz w:val="15"/>
          <w:szCs w:val="15"/>
          <w:color w:val="auto"/>
        </w:rPr>
        <w:t>Legal Title of Bank RC-2</w:t>
      </w:r>
    </w:p>
    <w:p>
      <w:pPr>
        <w:spacing w:after="0" w:line="238" w:lineRule="auto"/>
        <w:rPr>
          <w:sz w:val="20"/>
          <w:szCs w:val="20"/>
          <w:color w:val="auto"/>
        </w:rPr>
      </w:pPr>
      <w:r>
        <w:rPr>
          <w:rFonts w:ascii="Courier New" w:cs="Courier New" w:eastAsia="Courier New" w:hAnsi="Courier New"/>
          <w:sz w:val="15"/>
          <w:szCs w:val="15"/>
          <w:color w:val="auto"/>
        </w:rPr>
        <w:t>FDIC Certificate Number - 21377 11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RC - 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7960" w:type="dxa"/>
            <w:vAlign w:val="bottom"/>
          </w:tcPr>
          <w:p>
            <w:pPr>
              <w:ind w:left="5120"/>
              <w:spacing w:after="0"/>
              <w:rPr>
                <w:sz w:val="20"/>
                <w:szCs w:val="20"/>
                <w:color w:val="auto"/>
              </w:rPr>
            </w:pPr>
            <w:r>
              <w:rPr>
                <w:rFonts w:ascii="Courier New" w:cs="Courier New" w:eastAsia="Courier New" w:hAnsi="Courier New"/>
                <w:sz w:val="15"/>
                <w:szCs w:val="15"/>
                <w:color w:val="auto"/>
              </w:rPr>
              <w:t>Dollar Amounts in Thousands</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RCON</w:t>
            </w:r>
          </w:p>
        </w:tc>
        <w:tc>
          <w:tcPr>
            <w:tcW w:w="1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Bil | Mil | Thou</w:t>
            </w:r>
          </w:p>
        </w:tc>
      </w:tr>
      <w:tr>
        <w:trPr>
          <w:trHeight w:val="505"/>
        </w:trPr>
        <w:tc>
          <w:tcPr>
            <w:tcW w:w="8280" w:type="dxa"/>
            <w:vAlign w:val="bottom"/>
            <w:gridSpan w:val="2"/>
          </w:tcPr>
          <w:p>
            <w:pPr>
              <w:spacing w:after="0"/>
              <w:rPr>
                <w:sz w:val="20"/>
                <w:szCs w:val="20"/>
                <w:color w:val="auto"/>
              </w:rPr>
            </w:pPr>
            <w:r>
              <w:rPr>
                <w:rFonts w:ascii="Courier New" w:cs="Courier New" w:eastAsia="Courier New" w:hAnsi="Courier New"/>
                <w:sz w:val="15"/>
                <w:szCs w:val="15"/>
                <w:color w:val="auto"/>
              </w:rPr>
              <w:t>LIABILITIES</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13.</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Deposits:</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 In domestic offices (sum of totals of columns A and C from</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7"/>
              </w:rPr>
              <w:t>Schedule RC-E)...........................................................................</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1,674,033</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13.a</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Noninterest-bearing (1)...................................................................</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6631</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1,078,249</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13.a.1</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Interest-bearing..........................................................................</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6636</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595,784</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13.a.2</w:t>
            </w:r>
          </w:p>
        </w:tc>
      </w:tr>
      <w:tr>
        <w:trPr>
          <w:trHeight w:val="168"/>
        </w:trPr>
        <w:tc>
          <w:tcPr>
            <w:tcW w:w="8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 Not applicable</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Federal funds purchased and securities sold under agreements to repurchase................</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Trading liabilities (from Schedule RC-D)..................................................</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3548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16.</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borrowed money (includes mortgage indebtedness and obligations under</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capitalized leases) (from Schedule RC-M):.....................................................</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3190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17.</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 applicable</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Bank's liability on acceptances executed and outstanding..................................</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2920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19.</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Subordinated notes and debentures (2).....................................................</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3200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Other liabilities (from Schedule RC-G)....................................................</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2930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53,279</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21.</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Total liabilities (sum of items 13 through 20)............................................</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2948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1,727,312</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22.</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Minority interest in consolidated subsidiaries............................................</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8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CAPITAL</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Perpetual preferred stock and related surplus.............................................</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3838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Common stock..............................................................................</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3230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25.</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Surplus (exclude all surplus related to preferred stock)..................................</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3839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45,157</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26.</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 Retained earnings......................................................................</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3632</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93,650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26.a</w:t>
            </w:r>
          </w:p>
        </w:tc>
      </w:tr>
      <w:tr>
        <w:trPr>
          <w:trHeight w:val="168"/>
        </w:trPr>
        <w:tc>
          <w:tcPr>
            <w:tcW w:w="8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b. Accumulated other comprehensive income (3).................................................</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B530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26.b</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27.</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Other equity capital components (4).......................................................</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A130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28.</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Total equity capital (sum of items 23 through 27).........................................</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3210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139,632</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29.</w:t>
            </w:r>
          </w:p>
        </w:tc>
        <w:tc>
          <w:tcPr>
            <w:tcW w:w="7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Total liabilities, minority interest, and equity capital (sum of items 21, 22, and 28)....</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1,866,944</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8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Memorandum</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 be reported with the March Report of Condition.</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 Indicate in the box at the right the number of the statement below that best describes the</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most comprehensive level of auditing work performed for the bank by independent external</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RCON</w:t>
            </w:r>
          </w:p>
        </w:tc>
        <w:tc>
          <w:tcPr>
            <w:tcW w:w="188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Number</w:t>
            </w:r>
          </w:p>
        </w:tc>
      </w:tr>
      <w:tr>
        <w:trPr>
          <w:trHeight w:val="168"/>
        </w:trPr>
        <w:tc>
          <w:tcPr>
            <w:tcW w:w="8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auditors as of any date during 2000...........................................................</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6724</w:t>
            </w:r>
          </w:p>
        </w:tc>
        <w:tc>
          <w:tcPr>
            <w:tcW w:w="1880" w:type="dxa"/>
            <w:vAlign w:val="bottom"/>
            <w:gridSpan w:val="2"/>
          </w:tcPr>
          <w:p>
            <w:pPr>
              <w:ind w:left="1020"/>
              <w:spacing w:after="0" w:line="168" w:lineRule="exact"/>
              <w:rPr>
                <w:sz w:val="20"/>
                <w:szCs w:val="20"/>
                <w:color w:val="auto"/>
              </w:rPr>
            </w:pPr>
            <w:r>
              <w:rPr>
                <w:rFonts w:ascii="Courier New" w:cs="Courier New" w:eastAsia="Courier New" w:hAnsi="Courier New"/>
                <w:sz w:val="15"/>
                <w:szCs w:val="15"/>
                <w:color w:val="auto"/>
              </w:rPr>
              <w:t>N/A M. 1</w:t>
            </w:r>
          </w:p>
        </w:tc>
      </w:tr>
    </w:tbl>
    <w:p>
      <w:pPr>
        <w:spacing w:after="0" w:line="173" w:lineRule="exact"/>
        <w:rPr>
          <w:sz w:val="20"/>
          <w:szCs w:val="20"/>
          <w:color w:val="auto"/>
        </w:rPr>
      </w:pPr>
    </w:p>
    <w:p>
      <w:pPr>
        <w:sectPr>
          <w:pgSz w:w="11900" w:h="16838" w:orient="portrait"/>
          <w:cols w:equalWidth="0" w:num="1">
            <w:col w:w="10760"/>
          </w:cols>
          <w:pgMar w:left="220" w:top="617" w:right="919" w:bottom="1440" w:gutter="0" w:footer="0" w:header="0"/>
        </w:sectPr>
      </w:pPr>
    </w:p>
    <w:p>
      <w:pPr>
        <w:jc w:val="both"/>
        <w:ind w:right="180"/>
        <w:spacing w:after="0" w:line="254" w:lineRule="auto"/>
        <w:rPr>
          <w:sz w:val="20"/>
          <w:szCs w:val="20"/>
          <w:color w:val="auto"/>
        </w:rPr>
      </w:pPr>
      <w:r>
        <w:rPr>
          <w:rFonts w:ascii="Courier New" w:cs="Courier New" w:eastAsia="Courier New" w:hAnsi="Courier New"/>
          <w:sz w:val="14"/>
          <w:szCs w:val="14"/>
          <w:color w:val="auto"/>
        </w:rPr>
        <w:t>1 = Independent audit of the bank conducted in accordance with generally accepted auditing standards by a certified public accounting firm which submits a report on the bank</w:t>
      </w:r>
    </w:p>
    <w:p>
      <w:pPr>
        <w:spacing w:after="0" w:line="1" w:lineRule="exact"/>
        <w:rPr>
          <w:sz w:val="20"/>
          <w:szCs w:val="20"/>
          <w:color w:val="auto"/>
        </w:rPr>
      </w:pPr>
    </w:p>
    <w:p>
      <w:pPr>
        <w:ind w:right="100"/>
        <w:spacing w:after="0" w:line="236" w:lineRule="auto"/>
        <w:rPr>
          <w:sz w:val="20"/>
          <w:szCs w:val="20"/>
          <w:color w:val="auto"/>
        </w:rPr>
      </w:pPr>
      <w:r>
        <w:rPr>
          <w:rFonts w:ascii="Courier New" w:cs="Courier New" w:eastAsia="Courier New" w:hAnsi="Courier New"/>
          <w:sz w:val="15"/>
          <w:szCs w:val="15"/>
          <w:color w:val="auto"/>
        </w:rPr>
        <w:t>2 = Independent audit of the bank's parent holding company conducted in accordance with generally accepted auditing standards by a certified public accounting firm which submits a report on the consolidated holding company (but not on the bank separately)</w:t>
      </w:r>
    </w:p>
    <w:p>
      <w:pPr>
        <w:spacing w:after="0" w:line="6"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3 = Attestation on bank management's assertion on the effectiveness of the bank's internal control over financial reporting by a certified public accounting firm</w:t>
      </w:r>
    </w:p>
    <w:p>
      <w:pPr>
        <w:spacing w:after="0" w:line="20" w:lineRule="exact"/>
        <w:rPr>
          <w:sz w:val="20"/>
          <w:szCs w:val="20"/>
          <w:color w:val="auto"/>
        </w:rPr>
      </w:pPr>
      <w:r>
        <w:rPr>
          <w:sz w:val="20"/>
          <w:szCs w:val="20"/>
          <w:color w:val="auto"/>
        </w:rPr>
        <w:br w:type="column"/>
      </w:r>
    </w:p>
    <w:p>
      <w:pPr>
        <w:ind w:left="360" w:right="520" w:hanging="349"/>
        <w:spacing w:after="0" w:line="254" w:lineRule="auto"/>
        <w:rPr>
          <w:sz w:val="20"/>
          <w:szCs w:val="20"/>
          <w:color w:val="auto"/>
        </w:rPr>
      </w:pPr>
      <w:r>
        <w:rPr>
          <w:rFonts w:ascii="Courier New" w:cs="Courier New" w:eastAsia="Courier New" w:hAnsi="Courier New"/>
          <w:sz w:val="14"/>
          <w:szCs w:val="14"/>
          <w:color w:val="auto"/>
        </w:rPr>
        <w:t>4 = Directors' examination of the bank conducted in accordance with generally accepted auditing standards by a certified public accounting firm (may be required by state chartering authority)</w:t>
      </w:r>
    </w:p>
    <w:p>
      <w:pPr>
        <w:spacing w:after="0" w:line="1" w:lineRule="exact"/>
        <w:rPr>
          <w:sz w:val="20"/>
          <w:szCs w:val="20"/>
          <w:color w:val="auto"/>
        </w:rPr>
      </w:pPr>
    </w:p>
    <w:p>
      <w:pPr>
        <w:ind w:left="360" w:right="340" w:hanging="349"/>
        <w:spacing w:after="0" w:line="235" w:lineRule="auto"/>
        <w:rPr>
          <w:sz w:val="20"/>
          <w:szCs w:val="20"/>
          <w:color w:val="auto"/>
        </w:rPr>
      </w:pPr>
      <w:r>
        <w:rPr>
          <w:rFonts w:ascii="Courier New" w:cs="Courier New" w:eastAsia="Courier New" w:hAnsi="Courier New"/>
          <w:sz w:val="15"/>
          <w:szCs w:val="15"/>
          <w:color w:val="auto"/>
        </w:rPr>
        <w:t>5 = Directors' examination of the bank performed by other external auditors (may be required by state chartering authority)</w:t>
      </w:r>
    </w:p>
    <w:p>
      <w:pPr>
        <w:spacing w:after="0" w:line="5" w:lineRule="exact"/>
        <w:rPr>
          <w:sz w:val="20"/>
          <w:szCs w:val="20"/>
          <w:color w:val="auto"/>
        </w:rPr>
      </w:pPr>
    </w:p>
    <w:p>
      <w:pPr>
        <w:ind w:left="360" w:right="780" w:hanging="349"/>
        <w:spacing w:after="0" w:line="234" w:lineRule="auto"/>
        <w:rPr>
          <w:sz w:val="20"/>
          <w:szCs w:val="20"/>
          <w:color w:val="auto"/>
        </w:rPr>
      </w:pPr>
      <w:r>
        <w:rPr>
          <w:rFonts w:ascii="Courier New" w:cs="Courier New" w:eastAsia="Courier New" w:hAnsi="Courier New"/>
          <w:sz w:val="15"/>
          <w:szCs w:val="15"/>
          <w:color w:val="auto"/>
        </w:rPr>
        <w:t>6 = Review of the bank's financial statements by external auditors</w:t>
      </w:r>
    </w:p>
    <w:p>
      <w:pPr>
        <w:spacing w:after="0" w:line="5" w:lineRule="exact"/>
        <w:rPr>
          <w:sz w:val="20"/>
          <w:szCs w:val="20"/>
          <w:color w:val="auto"/>
        </w:rPr>
      </w:pPr>
    </w:p>
    <w:p>
      <w:pPr>
        <w:ind w:left="360" w:right="340" w:hanging="349"/>
        <w:spacing w:after="0" w:line="234" w:lineRule="auto"/>
        <w:rPr>
          <w:sz w:val="20"/>
          <w:szCs w:val="20"/>
          <w:color w:val="auto"/>
        </w:rPr>
      </w:pPr>
      <w:r>
        <w:rPr>
          <w:rFonts w:ascii="Courier New" w:cs="Courier New" w:eastAsia="Courier New" w:hAnsi="Courier New"/>
          <w:sz w:val="15"/>
          <w:szCs w:val="15"/>
          <w:color w:val="auto"/>
        </w:rPr>
        <w:t>7 = Compilation of the bank's financial statements by external auditors</w:t>
      </w:r>
    </w:p>
    <w:p>
      <w:pPr>
        <w:spacing w:after="0" w:line="5" w:lineRule="exact"/>
        <w:rPr>
          <w:sz w:val="20"/>
          <w:szCs w:val="20"/>
          <w:color w:val="auto"/>
        </w:rPr>
      </w:pPr>
    </w:p>
    <w:p>
      <w:pPr>
        <w:ind w:left="360" w:right="1400" w:hanging="349"/>
        <w:spacing w:after="0" w:line="234" w:lineRule="auto"/>
        <w:rPr>
          <w:sz w:val="20"/>
          <w:szCs w:val="20"/>
          <w:color w:val="auto"/>
        </w:rPr>
      </w:pPr>
      <w:r>
        <w:rPr>
          <w:rFonts w:ascii="Courier New" w:cs="Courier New" w:eastAsia="Courier New" w:hAnsi="Courier New"/>
          <w:sz w:val="15"/>
          <w:szCs w:val="15"/>
          <w:color w:val="auto"/>
        </w:rPr>
        <w:t>8 = Other audit procedures (excluding tax preparation work)</w:t>
      </w:r>
    </w:p>
    <w:p>
      <w:pPr>
        <w:spacing w:after="0" w:line="237" w:lineRule="auto"/>
        <w:rPr>
          <w:sz w:val="20"/>
          <w:szCs w:val="20"/>
          <w:color w:val="auto"/>
        </w:rPr>
      </w:pPr>
      <w:r>
        <w:rPr>
          <w:rFonts w:ascii="Courier New" w:cs="Courier New" w:eastAsia="Courier New" w:hAnsi="Courier New"/>
          <w:sz w:val="15"/>
          <w:szCs w:val="15"/>
          <w:color w:val="auto"/>
        </w:rPr>
        <w:t>9 = No external audit work</w:t>
      </w:r>
    </w:p>
    <w:p>
      <w:pPr>
        <w:spacing w:after="0" w:line="200" w:lineRule="exact"/>
        <w:rPr>
          <w:sz w:val="20"/>
          <w:szCs w:val="20"/>
          <w:color w:val="auto"/>
        </w:rPr>
      </w:pPr>
    </w:p>
    <w:p>
      <w:pPr>
        <w:sectPr>
          <w:pgSz w:w="11900" w:h="16838" w:orient="portrait"/>
          <w:cols w:equalWidth="0" w:num="2">
            <w:col w:w="5180" w:space="600"/>
            <w:col w:w="4980"/>
          </w:cols>
          <w:pgMar w:left="220" w:top="617" w:right="919" w:bottom="1440" w:gutter="0" w:footer="0" w:header="0"/>
          <w:type w:val="continuous"/>
        </w:sectPr>
      </w:pPr>
    </w:p>
    <w:p>
      <w:pPr>
        <w:spacing w:after="0" w:line="142" w:lineRule="exact"/>
        <w:rPr>
          <w:sz w:val="20"/>
          <w:szCs w:val="20"/>
          <w:color w:val="auto"/>
        </w:rPr>
      </w:pPr>
    </w:p>
    <w:p>
      <w:pPr>
        <w:ind w:left="440" w:right="4100"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total demand deposits and noninterest-bearing time and savings deposits.</w:t>
      </w:r>
    </w:p>
    <w:p>
      <w:pPr>
        <w:ind w:left="440" w:hanging="430"/>
        <w:spacing w:after="0" w:line="237"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limited-life preferred stock and related surplus.</w:t>
      </w:r>
    </w:p>
    <w:p>
      <w:pPr>
        <w:spacing w:after="0" w:line="5" w:lineRule="exact"/>
        <w:rPr>
          <w:rFonts w:ascii="Courier New" w:cs="Courier New" w:eastAsia="Courier New" w:hAnsi="Courier New"/>
          <w:sz w:val="15"/>
          <w:szCs w:val="15"/>
          <w:color w:val="auto"/>
        </w:rPr>
      </w:pPr>
    </w:p>
    <w:p>
      <w:pPr>
        <w:ind w:left="440" w:right="4360" w:hanging="430"/>
        <w:spacing w:after="0" w:line="235"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net unrealized holding gains (losses) on available-for-sale securities, accumulated net gains (losses) on cash flow hedges, and minimum pension liability adjustments.</w:t>
      </w:r>
    </w:p>
    <w:p>
      <w:pPr>
        <w:spacing w:after="0" w:line="5" w:lineRule="exact"/>
        <w:rPr>
          <w:rFonts w:ascii="Courier New" w:cs="Courier New" w:eastAsia="Courier New" w:hAnsi="Courier New"/>
          <w:sz w:val="15"/>
          <w:szCs w:val="15"/>
          <w:color w:val="auto"/>
        </w:rPr>
      </w:pPr>
    </w:p>
    <w:p>
      <w:pPr>
        <w:ind w:left="440" w:right="4540"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treasury stock and unearned Employee Stock Ownership Plan shares.</w:t>
      </w:r>
    </w:p>
    <w:sectPr>
      <w:pgSz w:w="11900" w:h="16838" w:orient="portrait"/>
      <w:cols w:equalWidth="0" w:num="1">
        <w:col w:w="10760"/>
      </w:cols>
      <w:pgMar w:left="220" w:top="617"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202"/>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o"/>
      <w:numFmt w:val="bullet"/>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2"/>
    </w:lvl>
  </w:abstractNum>
  <w:abstractNum w:abstractNumId="8">
    <w:nsid w:val="436C6125"/>
    <w:multiLevelType w:val="hybridMultilevel"/>
    <w:lvl w:ilvl="0">
      <w:lvlJc w:val="left"/>
      <w:lvlText w:val="(%1)"/>
      <w:numFmt w:val="lowerLetter"/>
      <w:start w:val="1"/>
    </w:lvl>
    <w:lvl w:ilvl="1">
      <w:lvlJc w:val="left"/>
      <w:lvlText w:val="(%2)"/>
      <w:numFmt w:val="lowerRoman"/>
      <w:start w:val="1"/>
    </w:lvl>
  </w:abstractNum>
  <w:abstractNum w:abstractNumId="9">
    <w:nsid w:val="628C895D"/>
    <w:multiLevelType w:val="hybridMultilevel"/>
    <w:lvl w:ilvl="0">
      <w:lvlJc w:val="left"/>
      <w:lvlText w:val="o"/>
      <w:numFmt w:val="bullet"/>
      <w:start w:val="1"/>
    </w:lvl>
  </w:abstractNum>
  <w:abstractNum w:abstractNumId="10">
    <w:nsid w:val="333AB105"/>
    <w:multiLevelType w:val="hybridMultilevel"/>
    <w:lvl w:ilvl="0">
      <w:lvlJc w:val="left"/>
      <w:lvlText w:val="o"/>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5"/>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1)"/>
      <w:numFmt w:val="decimal"/>
      <w:start w:val="24"/>
    </w:lvl>
  </w:abstractNum>
  <w:abstractNum w:abstractNumId="16">
    <w:nsid w:val="8EDBDAB"/>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17">
    <w:nsid w:val="79838CB2"/>
    <w:multiLevelType w:val="hybridMultilevel"/>
    <w:lvl w:ilvl="0">
      <w:lvlJc w:val="left"/>
      <w:lvlText w:val="(%1)"/>
      <w:numFmt w:val="decimal"/>
      <w:start w:val="2"/>
    </w:lvl>
  </w:abstractNum>
  <w:abstractNum w:abstractNumId="18">
    <w:nsid w:val="4353D0CD"/>
    <w:multiLevelType w:val="hybridMultilevel"/>
    <w:lvl w:ilvl="0">
      <w:lvlJc w:val="left"/>
      <w:lvlText w:val="(%1)"/>
      <w:numFmt w:val="decimal"/>
      <w:start w:val="3"/>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5"/>
    </w:lvl>
  </w:abstractNum>
  <w:abstractNum w:abstractNumId="21">
    <w:nsid w:val="54E49EB4"/>
    <w:multiLevelType w:val="hybridMultilevel"/>
    <w:lvl w:ilvl="0">
      <w:lvlJc w:val="left"/>
      <w:lvlText w:val="(%1)"/>
      <w:numFmt w:val="decimal"/>
      <w:start w:val="12"/>
    </w:lvl>
  </w:abstractNum>
  <w:abstractNum w:abstractNumId="22">
    <w:nsid w:val="71F32454"/>
    <w:multiLevelType w:val="hybridMultilevel"/>
    <w:lvl w:ilvl="0">
      <w:lvlJc w:val="left"/>
      <w:lvlText w:val="(%1)"/>
      <w:numFmt w:val="decimal"/>
      <w:start w:val="24"/>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2"/>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7"/>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2019-12-13T08:06:19Z</dcterms:created>
  <dcterms:modified xsi:type="dcterms:W3CDTF">2019-12-13T08:06:19Z</dcterms:modified>
</cp:coreProperties>
</file>