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22"/>
          <w:szCs w:val="22"/>
          <w:color w:val="auto"/>
        </w:rPr>
        <w:t>UNITED STATES SECURITIES AND EXCHANGE COMMISSION</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59"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2024</w:t>
      </w:r>
    </w:p>
    <w:p>
      <w:pPr>
        <w:jc w:val="center"/>
        <w:spacing w:after="0"/>
        <w:rPr>
          <w:sz w:val="20"/>
          <w:szCs w:val="20"/>
          <w:color w:val="auto"/>
        </w:rPr>
      </w:pPr>
      <w:r>
        <w:rPr>
          <w:rFonts w:ascii="Arial" w:cs="Arial" w:eastAsia="Arial" w:hAnsi="Arial"/>
          <w:sz w:val="18"/>
          <w:szCs w:val="18"/>
          <w:b w:val="1"/>
          <w:bCs w:val="1"/>
          <w:color w:val="auto"/>
        </w:rPr>
        <w:t>or</w:t>
      </w:r>
    </w:p>
    <w:p>
      <w:pPr>
        <w:spacing w:after="0" w:line="182"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b w:val="1"/>
                <w:bCs w:val="1"/>
                <w:color w:val="auto"/>
              </w:rPr>
              <w:t>53-0182885</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52"/>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b w:val="1"/>
                <w:bCs w:val="1"/>
                <w:color w:val="auto"/>
              </w:rPr>
              <w:t>22209</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Title of each class</w:t>
            </w:r>
          </w:p>
        </w:tc>
        <w:tc>
          <w:tcPr>
            <w:tcW w:w="222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Trading Symbol(s)</w:t>
            </w:r>
          </w:p>
        </w:tc>
        <w:tc>
          <w:tcPr>
            <w:tcW w:w="4640" w:type="dxa"/>
            <w:vAlign w:val="bottom"/>
          </w:tcPr>
          <w:p>
            <w:pPr>
              <w:jc w:val="center"/>
              <w:spacing w:after="0"/>
              <w:rPr>
                <w:sz w:val="20"/>
                <w:szCs w:val="20"/>
                <w:color w:val="auto"/>
              </w:rPr>
            </w:pPr>
            <w:r>
              <w:rPr>
                <w:rFonts w:ascii="Arial" w:cs="Arial" w:eastAsia="Arial" w:hAnsi="Arial"/>
                <w:sz w:val="17"/>
                <w:szCs w:val="17"/>
                <w:color w:val="auto"/>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160"/>
        </w:trPr>
        <w:tc>
          <w:tcPr>
            <w:tcW w:w="4160" w:type="dxa"/>
            <w:vAlign w:val="bottom"/>
          </w:tcPr>
          <w:p>
            <w:pPr>
              <w:jc w:val="center"/>
              <w:spacing w:after="0" w:line="160" w:lineRule="exact"/>
              <w:rPr>
                <w:sz w:val="20"/>
                <w:szCs w:val="20"/>
                <w:color w:val="auto"/>
              </w:rPr>
            </w:pPr>
            <w:r>
              <w:rPr>
                <w:rFonts w:ascii="Arial" w:cs="Arial" w:eastAsia="Arial" w:hAnsi="Arial"/>
                <w:sz w:val="17"/>
                <w:szCs w:val="17"/>
                <w:color w:val="auto"/>
              </w:rPr>
              <w:t>Class B Common Stock, par value</w:t>
            </w:r>
          </w:p>
        </w:tc>
        <w:tc>
          <w:tcPr>
            <w:tcW w:w="22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Arial" w:cs="Arial" w:eastAsia="Arial" w:hAnsi="Arial"/>
                <w:sz w:val="17"/>
                <w:szCs w:val="17"/>
                <w:color w:val="auto"/>
              </w:rPr>
              <w:t>GHC</w:t>
            </w:r>
          </w:p>
        </w:tc>
        <w:tc>
          <w:tcPr>
            <w:tcW w:w="240" w:type="dxa"/>
            <w:vAlign w:val="bottom"/>
          </w:tcPr>
          <w:p>
            <w:pPr>
              <w:spacing w:after="0"/>
              <w:rPr>
                <w:sz w:val="13"/>
                <w:szCs w:val="13"/>
                <w:color w:val="auto"/>
              </w:rPr>
            </w:pPr>
          </w:p>
        </w:tc>
        <w:tc>
          <w:tcPr>
            <w:tcW w:w="4640" w:type="dxa"/>
            <w:vAlign w:val="bottom"/>
          </w:tcPr>
          <w:p>
            <w:pPr>
              <w:jc w:val="center"/>
              <w:spacing w:after="0" w:line="160" w:lineRule="exact"/>
              <w:rPr>
                <w:sz w:val="20"/>
                <w:szCs w:val="20"/>
                <w:color w:val="auto"/>
              </w:rPr>
            </w:pPr>
            <w:r>
              <w:rPr>
                <w:rFonts w:ascii="Arial" w:cs="Arial" w:eastAsia="Arial" w:hAnsi="Arial"/>
                <w:sz w:val="17"/>
                <w:szCs w:val="17"/>
                <w:color w:val="auto"/>
                <w:w w:val="99"/>
              </w:rPr>
              <w:t>New York Stock Exchange</w:t>
            </w:r>
          </w:p>
        </w:tc>
      </w:t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rPr>
              <w:t>$1.00 per share</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r>
    </w:tbl>
    <w:p>
      <w:pPr>
        <w:spacing w:after="0" w:line="48" w:lineRule="exact"/>
        <w:rPr>
          <w:sz w:val="24"/>
          <w:szCs w:val="24"/>
          <w:color w:val="auto"/>
        </w:rPr>
      </w:pPr>
    </w:p>
    <w:p>
      <w:pPr>
        <w:ind w:right="1260"/>
        <w:spacing w:after="0" w:line="272"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right="300"/>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80"/>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0" w:type="dxa"/>
        <w:tblCellMar>
          <w:top w:w="0" w:type="dxa"/>
          <w:left w:w="0" w:type="dxa"/>
          <w:bottom w:w="0" w:type="dxa"/>
          <w:right w:w="0" w:type="dxa"/>
        </w:tblCellMar>
      </w:tblPr>
      <w:tr>
        <w:trPr>
          <w:trHeight w:val="195"/>
        </w:trPr>
        <w:tc>
          <w:tcPr>
            <w:tcW w:w="1540" w:type="dxa"/>
            <w:vAlign w:val="bottom"/>
          </w:tcPr>
          <w:p>
            <w:pPr>
              <w:jc w:val="center"/>
              <w:ind w:right="55"/>
              <w:spacing w:after="0"/>
              <w:rPr>
                <w:sz w:val="20"/>
                <w:szCs w:val="20"/>
                <w:color w:val="auto"/>
              </w:rPr>
            </w:pPr>
            <w:r>
              <w:rPr>
                <w:rFonts w:ascii="Arial" w:cs="Arial" w:eastAsia="Arial" w:hAnsi="Arial"/>
                <w:sz w:val="17"/>
                <w:szCs w:val="17"/>
                <w:color w:val="auto"/>
              </w:rPr>
              <w:t>Large Accelerated</w:t>
            </w:r>
          </w:p>
        </w:tc>
        <w:tc>
          <w:tcPr>
            <w:tcW w:w="60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80" w:type="dxa"/>
            <w:vAlign w:val="bottom"/>
          </w:tcPr>
          <w:p>
            <w:pPr>
              <w:jc w:val="center"/>
              <w:spacing w:after="0"/>
              <w:rPr>
                <w:sz w:val="20"/>
                <w:szCs w:val="20"/>
                <w:color w:val="auto"/>
              </w:rPr>
            </w:pPr>
            <w:r>
              <w:rPr>
                <w:rFonts w:ascii="Arial" w:cs="Arial" w:eastAsia="Arial" w:hAnsi="Arial"/>
                <w:sz w:val="17"/>
                <w:szCs w:val="17"/>
                <w:color w:val="auto"/>
              </w:rPr>
              <w:t>Accelerated</w:t>
            </w:r>
          </w:p>
        </w:tc>
        <w:tc>
          <w:tcPr>
            <w:tcW w:w="62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Non-accelerated</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Arial" w:cs="Arial" w:eastAsia="Arial" w:hAnsi="Arial"/>
                <w:sz w:val="17"/>
                <w:szCs w:val="17"/>
                <w:color w:val="auto"/>
              </w:rPr>
              <w:t>Emerging growth</w:t>
            </w:r>
          </w:p>
        </w:tc>
        <w:tc>
          <w:tcPr>
            <w:tcW w:w="36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49"/>
        </w:trPr>
        <w:tc>
          <w:tcPr>
            <w:tcW w:w="1540" w:type="dxa"/>
            <w:vAlign w:val="bottom"/>
          </w:tcPr>
          <w:p>
            <w:pPr>
              <w:jc w:val="center"/>
              <w:ind w:right="55"/>
              <w:spacing w:after="0"/>
              <w:rPr>
                <w:sz w:val="20"/>
                <w:szCs w:val="20"/>
                <w:color w:val="auto"/>
              </w:rPr>
            </w:pPr>
            <w:r>
              <w:rPr>
                <w:rFonts w:ascii="Arial" w:cs="Arial" w:eastAsia="Arial" w:hAnsi="Arial"/>
                <w:sz w:val="17"/>
                <w:szCs w:val="17"/>
                <w:color w:val="auto"/>
                <w:w w:val="96"/>
              </w:rPr>
              <w:t>Filer</w:t>
            </w:r>
          </w:p>
        </w:tc>
        <w:tc>
          <w:tcPr>
            <w:tcW w:w="600" w:type="dxa"/>
            <w:vAlign w:val="bottom"/>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filer</w:t>
            </w:r>
          </w:p>
        </w:tc>
        <w:tc>
          <w:tcPr>
            <w:tcW w:w="62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filer</w:t>
            </w:r>
          </w:p>
        </w:tc>
        <w:tc>
          <w:tcPr>
            <w:tcW w:w="54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company</w:t>
            </w:r>
          </w:p>
        </w:tc>
        <w:tc>
          <w:tcPr>
            <w:tcW w:w="54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rPr>
              <w:t>company</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8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09"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19"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9" w:lineRule="exact"/>
        <w:rPr>
          <w:sz w:val="24"/>
          <w:szCs w:val="24"/>
          <w:color w:val="auto"/>
        </w:rPr>
      </w:pPr>
    </w:p>
    <w:p>
      <w:pPr>
        <w:ind w:right="160"/>
        <w:spacing w:after="0" w:line="219"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2" w:lineRule="exact"/>
        <w:rPr>
          <w:sz w:val="24"/>
          <w:szCs w:val="24"/>
          <w:color w:val="auto"/>
        </w:rPr>
      </w:pPr>
    </w:p>
    <w:p>
      <w:pPr>
        <w:ind w:right="360"/>
        <w:spacing w:after="0" w:line="251" w:lineRule="auto"/>
        <w:rPr>
          <w:sz w:val="20"/>
          <w:szCs w:val="20"/>
          <w:color w:val="auto"/>
        </w:rPr>
      </w:pPr>
      <w:r>
        <w:rPr>
          <w:rFonts w:ascii="Arial" w:cs="Arial" w:eastAsia="Arial" w:hAnsi="Arial"/>
          <w:sz w:val="17"/>
          <w:szCs w:val="17"/>
          <w:color w:val="auto"/>
        </w:rPr>
        <w:t>Aggregate market value of the registrant’s common equity held by non-affiliates on June 28, 2024, based on the closing price for the Company’s Class B Common Stock on the New York Stock Exchange on such date: approximately $2,356,000,000.</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Shares of common stock outstanding at February 21, 2025:</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A Common Stock – 964,001 shares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B Common Stock – 3,375,982 shares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partially incorporated by reference:</w:t>
      </w:r>
    </w:p>
    <w:p>
      <w:pPr>
        <w:spacing w:after="0" w:line="34" w:lineRule="exact"/>
        <w:rPr>
          <w:sz w:val="24"/>
          <w:szCs w:val="24"/>
          <w:color w:val="auto"/>
        </w:rPr>
      </w:pPr>
    </w:p>
    <w:p>
      <w:pPr>
        <w:jc w:val="both"/>
        <w:ind w:left="2420" w:right="2460" w:firstLine="48"/>
        <w:spacing w:after="0" w:line="267" w:lineRule="auto"/>
        <w:rPr>
          <w:sz w:val="20"/>
          <w:szCs w:val="20"/>
          <w:color w:val="auto"/>
        </w:rPr>
      </w:pPr>
      <w:r>
        <w:rPr>
          <w:rFonts w:ascii="Arial" w:cs="Arial" w:eastAsia="Arial" w:hAnsi="Arial"/>
          <w:sz w:val="17"/>
          <w:szCs w:val="17"/>
          <w:color w:val="auto"/>
        </w:rPr>
        <w:t>Definitive Proxy Statement for the registrant’s 2025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10000" w:type="dxa"/>
            <w:vAlign w:val="bottom"/>
          </w:tcPr>
          <w:p>
            <w:pPr>
              <w:ind w:left="2520"/>
              <w:spacing w:after="0"/>
              <w:rPr>
                <w:sz w:val="20"/>
                <w:szCs w:val="20"/>
                <w:color w:val="auto"/>
              </w:rPr>
            </w:pPr>
            <w:r>
              <w:rPr>
                <w:rFonts w:ascii="Arial" w:cs="Arial" w:eastAsia="Arial" w:hAnsi="Arial"/>
                <w:sz w:val="18"/>
                <w:szCs w:val="18"/>
                <w:color w:val="auto"/>
              </w:rPr>
              <w:t>GRAHAM HOLDINGS COMPANY 2024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0"/>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10000" w:type="dxa"/>
            <w:vAlign w:val="bottom"/>
          </w:tcPr>
          <w:p>
            <w:pPr>
              <w:spacing w:after="0"/>
              <w:rPr>
                <w:sz w:val="20"/>
                <w:szCs w:val="20"/>
                <w:color w:val="auto"/>
              </w:rPr>
            </w:pPr>
            <w:r>
              <w:rPr>
                <w:rFonts w:ascii="Arial" w:cs="Arial" w:eastAsia="Arial" w:hAnsi="Arial"/>
                <w:sz w:val="15"/>
                <w:szCs w:val="15"/>
                <w:color w:val="auto"/>
              </w:rPr>
              <w:t>Business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Education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9</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Manufacturing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Healthcare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Automotive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14</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Other Activities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14</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Competition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15</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19</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Human Capital</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19</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10000" w:type="dxa"/>
            <w:vAlign w:val="bottom"/>
          </w:tcPr>
          <w:p>
            <w:pPr>
              <w:spacing w:after="0"/>
              <w:rPr>
                <w:sz w:val="20"/>
                <w:szCs w:val="20"/>
                <w:color w:val="auto"/>
              </w:rPr>
            </w:pPr>
            <w:r>
              <w:rPr>
                <w:rFonts w:ascii="Arial" w:cs="Arial" w:eastAsia="Arial" w:hAnsi="Arial"/>
                <w:sz w:val="15"/>
                <w:szCs w:val="15"/>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100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1C.</w:t>
            </w:r>
          </w:p>
        </w:tc>
        <w:tc>
          <w:tcPr>
            <w:tcW w:w="10000" w:type="dxa"/>
            <w:vAlign w:val="bottom"/>
          </w:tcPr>
          <w:p>
            <w:pPr>
              <w:spacing w:after="0"/>
              <w:rPr>
                <w:sz w:val="20"/>
                <w:szCs w:val="20"/>
                <w:color w:val="auto"/>
              </w:rPr>
            </w:pPr>
            <w:r>
              <w:rPr>
                <w:rFonts w:ascii="Arial" w:cs="Arial" w:eastAsia="Arial" w:hAnsi="Arial"/>
                <w:sz w:val="15"/>
                <w:szCs w:val="15"/>
                <w:color w:val="auto"/>
              </w:rPr>
              <w:t>Cybersecurity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10000" w:type="dxa"/>
            <w:vAlign w:val="bottom"/>
          </w:tcPr>
          <w:p>
            <w:pPr>
              <w:spacing w:after="0"/>
              <w:rPr>
                <w:sz w:val="20"/>
                <w:szCs w:val="20"/>
                <w:color w:val="auto"/>
              </w:rPr>
            </w:pPr>
            <w:r>
              <w:rPr>
                <w:rFonts w:ascii="Arial" w:cs="Arial" w:eastAsia="Arial" w:hAnsi="Arial"/>
                <w:sz w:val="15"/>
                <w:szCs w:val="15"/>
                <w:color w:val="auto"/>
              </w:rPr>
              <w:t>Properties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10000" w:type="dxa"/>
            <w:vAlign w:val="bottom"/>
          </w:tcPr>
          <w:p>
            <w:pPr>
              <w:spacing w:after="0"/>
              <w:rPr>
                <w:sz w:val="20"/>
                <w:szCs w:val="20"/>
                <w:color w:val="auto"/>
              </w:rPr>
            </w:pPr>
            <w:r>
              <w:rPr>
                <w:rFonts w:ascii="Arial" w:cs="Arial" w:eastAsia="Arial" w:hAnsi="Arial"/>
                <w:sz w:val="15"/>
                <w:szCs w:val="15"/>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100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100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10000" w:type="dxa"/>
            <w:vAlign w:val="bottom"/>
          </w:tcPr>
          <w:p>
            <w:pPr>
              <w:spacing w:after="0"/>
              <w:rPr>
                <w:sz w:val="20"/>
                <w:szCs w:val="20"/>
                <w:color w:val="auto"/>
              </w:rPr>
            </w:pPr>
            <w:r>
              <w:rPr>
                <w:rFonts w:ascii="Arial" w:cs="Arial" w:eastAsia="Arial" w:hAnsi="Arial"/>
                <w:sz w:val="15"/>
                <w:szCs w:val="15"/>
                <w:color w:val="auto"/>
              </w:rPr>
              <w:t>Reserved</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100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100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100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100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100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10000" w:type="dxa"/>
            <w:vAlign w:val="bottom"/>
          </w:tcPr>
          <w:p>
            <w:pPr>
              <w:spacing w:after="0"/>
              <w:rPr>
                <w:sz w:val="20"/>
                <w:szCs w:val="20"/>
                <w:color w:val="auto"/>
              </w:rPr>
            </w:pPr>
            <w:r>
              <w:rPr>
                <w:rFonts w:ascii="Arial" w:cs="Arial" w:eastAsia="Arial" w:hAnsi="Arial"/>
                <w:sz w:val="15"/>
                <w:szCs w:val="15"/>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9C.</w:t>
            </w:r>
          </w:p>
        </w:tc>
        <w:tc>
          <w:tcPr>
            <w:tcW w:w="10000" w:type="dxa"/>
            <w:vAlign w:val="bottom"/>
          </w:tcPr>
          <w:p>
            <w:pPr>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100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100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100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100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10000" w:type="dxa"/>
            <w:vAlign w:val="bottom"/>
          </w:tcPr>
          <w:p>
            <w:pPr>
              <w:spacing w:after="0"/>
              <w:rPr>
                <w:sz w:val="20"/>
                <w:szCs w:val="20"/>
                <w:color w:val="auto"/>
              </w:rPr>
            </w:pPr>
            <w:r>
              <w:rPr>
                <w:rFonts w:ascii="Arial" w:cs="Arial" w:eastAsia="Arial" w:hAnsi="Arial"/>
                <w:sz w:val="15"/>
                <w:szCs w:val="15"/>
                <w:color w:val="auto"/>
              </w:rPr>
              <w:t>Principal Accounting Fees and Services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10000" w:type="dxa"/>
            <w:vAlign w:val="bottom"/>
          </w:tcPr>
          <w:p>
            <w:pPr>
              <w:spacing w:after="0"/>
              <w:rPr>
                <w:sz w:val="20"/>
                <w:szCs w:val="20"/>
                <w:color w:val="auto"/>
              </w:rPr>
            </w:pPr>
            <w:r>
              <w:rPr>
                <w:rFonts w:ascii="Arial" w:cs="Arial" w:eastAsia="Arial" w:hAnsi="Arial"/>
                <w:sz w:val="15"/>
                <w:szCs w:val="15"/>
                <w:color w:val="auto"/>
              </w:rPr>
              <w:t>Exhibits and Financial Statement Schedules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10000" w:type="dxa"/>
            <w:vAlign w:val="bottom"/>
          </w:tcPr>
          <w:p>
            <w:pPr>
              <w:spacing w:after="0"/>
              <w:rPr>
                <w:sz w:val="20"/>
                <w:szCs w:val="20"/>
                <w:color w:val="auto"/>
              </w:rPr>
            </w:pPr>
            <w:r>
              <w:rPr>
                <w:rFonts w:ascii="Arial" w:cs="Arial" w:eastAsia="Arial" w:hAnsi="Arial"/>
                <w:sz w:val="15"/>
                <w:szCs w:val="15"/>
                <w:color w:val="auto"/>
              </w:rPr>
              <w:t>Form 10-K Summary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48</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49</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10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51</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52</w:t>
            </w:r>
          </w:p>
        </w:tc>
        <w:tc>
          <w:tcPr>
            <w:tcW w:w="40" w:type="dxa"/>
            <w:vAlign w:val="bottom"/>
          </w:tcPr>
          <w:p>
            <w:pPr>
              <w:spacing w:after="0"/>
              <w:rPr>
                <w:sz w:val="17"/>
                <w:szCs w:val="17"/>
                <w:color w:val="auto"/>
              </w:rPr>
            </w:pPr>
          </w:p>
        </w:tc>
      </w:tr>
      <w:tr>
        <w:trPr>
          <w:trHeight w:val="999"/>
        </w:trPr>
        <w:tc>
          <w:tcPr>
            <w:tcW w:w="102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right="560"/>
        <w:spacing w:after="0" w:line="245"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 Through Kaplan, Inc. (Kaplan), the Company</w:t>
      </w:r>
    </w:p>
    <w:p>
      <w:pPr>
        <w:ind w:right="60"/>
        <w:spacing w:after="0" w:line="226" w:lineRule="auto"/>
        <w:rPr>
          <w:sz w:val="20"/>
          <w:szCs w:val="20"/>
          <w:color w:val="auto"/>
        </w:rPr>
      </w:pPr>
      <w:r>
        <w:rPr>
          <w:rFonts w:ascii="Arial" w:cs="Arial" w:eastAsia="Arial" w:hAnsi="Arial"/>
          <w:sz w:val="18"/>
          <w:szCs w:val="18"/>
          <w:color w:val="auto"/>
        </w:rPr>
        <w:t>provides a wide variety of educational services to students, schools, colleges, universities and businesses, both domestically and outside the United States (U.S.). Kaplan’s educational services include academic preparation programs for international students, English-language</w:t>
      </w:r>
    </w:p>
    <w:p>
      <w:pPr>
        <w:spacing w:after="0" w:line="236" w:lineRule="auto"/>
        <w:rPr>
          <w:sz w:val="20"/>
          <w:szCs w:val="20"/>
          <w:color w:val="auto"/>
        </w:rPr>
      </w:pPr>
      <w:r>
        <w:rPr>
          <w:rFonts w:ascii="Arial" w:cs="Arial" w:eastAsia="Arial" w:hAnsi="Arial"/>
          <w:sz w:val="18"/>
          <w:szCs w:val="18"/>
          <w:color w:val="auto"/>
        </w:rPr>
        <w:t>programs, operations support services for pre-college, certificate, undergraduate and graduate programs, exam preparation for high school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graduate students and for professional certifications and licensures, career and academic advisement services to businesses, and a United Kingdom (U.K.) sixth-form college that prepares students for A-level examinations. The Company’s television broadcasting segment</w:t>
      </w:r>
    </w:p>
    <w:p>
      <w:pPr>
        <w:spacing w:after="0" w:line="236" w:lineRule="auto"/>
        <w:rPr>
          <w:sz w:val="20"/>
          <w:szCs w:val="20"/>
          <w:color w:val="auto"/>
        </w:rPr>
      </w:pPr>
      <w:r>
        <w:rPr>
          <w:rFonts w:ascii="Arial" w:cs="Arial" w:eastAsia="Arial" w:hAnsi="Arial"/>
          <w:sz w:val="18"/>
          <w:szCs w:val="18"/>
          <w:color w:val="auto"/>
        </w:rPr>
        <w:t>owns and operates seven television broadcast stations and provides social media management tools designed to connect newsrooms with</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their users. The Company’s manufacturing companies include a supplier of pressure-treated wood, a manufacturer of electrical solutions, a manufacturer of lifting solutions, and a supplier of parts used in electric utilities and industrial systems. The Company’s healthcare segment</w:t>
      </w:r>
    </w:p>
    <w:p>
      <w:pPr>
        <w:spacing w:after="0" w:line="235" w:lineRule="auto"/>
        <w:rPr>
          <w:sz w:val="20"/>
          <w:szCs w:val="20"/>
          <w:color w:val="auto"/>
        </w:rPr>
      </w:pPr>
      <w:r>
        <w:rPr>
          <w:rFonts w:ascii="Arial" w:cs="Arial" w:eastAsia="Arial" w:hAnsi="Arial"/>
          <w:sz w:val="18"/>
          <w:szCs w:val="18"/>
          <w:color w:val="auto"/>
        </w:rPr>
        <w:t>provides home health, hospice and palliative services; in-home specialty pharmacy infusion therapies; applied behavior analysis therapy;</w:t>
      </w:r>
    </w:p>
    <w:p>
      <w:pPr>
        <w:ind w:right="220"/>
        <w:spacing w:after="0" w:line="226" w:lineRule="auto"/>
        <w:rPr>
          <w:sz w:val="20"/>
          <w:szCs w:val="20"/>
          <w:color w:val="auto"/>
        </w:rPr>
      </w:pPr>
      <w:r>
        <w:rPr>
          <w:rFonts w:ascii="Arial" w:cs="Arial" w:eastAsia="Arial" w:hAnsi="Arial"/>
          <w:sz w:val="18"/>
          <w:szCs w:val="18"/>
          <w:color w:val="auto"/>
        </w:rPr>
        <w:t>physician services for allergy, asthma and immunology patients; in-home aesthetics; and healthcare software-as-a-service technology. The Company’s automotive business comprises eight dealerships and valet repair services. The Company’s other businesses include</w:t>
      </w:r>
    </w:p>
    <w:p>
      <w:pPr>
        <w:spacing w:after="0" w:line="236" w:lineRule="auto"/>
        <w:rPr>
          <w:sz w:val="20"/>
          <w:szCs w:val="20"/>
          <w:color w:val="auto"/>
        </w:rPr>
      </w:pPr>
      <w:r>
        <w:rPr>
          <w:rFonts w:ascii="Arial" w:cs="Arial" w:eastAsia="Arial" w:hAnsi="Arial"/>
          <w:sz w:val="18"/>
          <w:szCs w:val="18"/>
          <w:color w:val="auto"/>
        </w:rPr>
        <w:t xml:space="preserve">restaurants; a custom framing company; a marketing 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i w:val="1"/>
          <w:iCs w:val="1"/>
          <w:color w:val="auto"/>
        </w:rPr>
        <w:t xml:space="preserve">Policy </w:t>
      </w:r>
      <w:r>
        <w:rPr>
          <w:rFonts w:ascii="Arial" w:cs="Arial" w:eastAsia="Arial" w:hAnsi="Arial"/>
          <w:sz w:val="17"/>
          <w:szCs w:val="17"/>
          <w:color w:val="auto"/>
        </w:rPr>
        <w:t>magazines; a daily local news podcast and newsletter company; a software-as-a-service platform provider that enables podcasters</w:t>
      </w:r>
      <w:r>
        <w:rPr>
          <w:rFonts w:ascii="Arial" w:cs="Arial" w:eastAsia="Arial" w:hAnsi="Arial"/>
          <w:sz w:val="17"/>
          <w:szCs w:val="17"/>
          <w:i w:val="1"/>
          <w:iCs w:val="1"/>
          <w:color w:val="auto"/>
        </w:rPr>
        <w:t xml:space="preserve"> </w:t>
      </w:r>
      <w:r>
        <w:rPr>
          <w:rFonts w:ascii="Arial" w:cs="Arial" w:eastAsia="Arial" w:hAnsi="Arial"/>
          <w:sz w:val="17"/>
          <w:szCs w:val="17"/>
          <w:color w:val="auto"/>
        </w:rPr>
        <w:t>and media companies to monetize audio content through paid subscriptions, memberships, and audiobooks; an online art gallery and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person art fair business; an online commerce platform featuring original art and designs on an array of consumer products; and an owner and operator of websites.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Company’s Consolidated Financial Statements appearing elsewhere in this Annual Report on Form 10-K. Revenues for each segment are shown in Note 19 gross of intersegment sales. Consolidated revenues are reported net of intersegment sales, which did not exceed 0.1%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consolidated operating revenues.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Company’s operations in geographic areas outside the U.S. consist primarily of Kaplan’s non-U.S. operations. During each of the fiscal years 2024, 2023 and 2022, these operations accounted for approximately 22%, 21% and 20%, respectively, of the Company’s consolidated</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revenues, and the identifiable assets attributable to non-U.S. operations represented approximately 18% and 20% of the Company’s consolidated assets at December 31, 2024 and 2023,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Kaplan provides an extensive range of education and related services worldwide for students, universities and businesses. Kaplan products</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and services reach learners directly or through Kaplan’s many relationships. These relationships include approximately 16,100 companies and approximately 2,770 universities, colleges, schools and school districts, which, along with individual students and professionals, pay for</w:t>
      </w:r>
    </w:p>
    <w:p>
      <w:pPr>
        <w:spacing w:after="0" w:line="235" w:lineRule="auto"/>
        <w:rPr>
          <w:sz w:val="20"/>
          <w:szCs w:val="20"/>
          <w:color w:val="auto"/>
        </w:rPr>
      </w:pPr>
      <w:r>
        <w:rPr>
          <w:rFonts w:ascii="Arial" w:cs="Arial" w:eastAsia="Arial" w:hAnsi="Arial"/>
          <w:sz w:val="18"/>
          <w:szCs w:val="18"/>
          <w:color w:val="auto"/>
        </w:rPr>
        <w:t>Kaplan’s products and services. In 2024, Kaplan was the provider for the educational needs of approximately 1,267,000 students and</w:t>
      </w:r>
    </w:p>
    <w:p>
      <w:pPr>
        <w:ind w:right="500"/>
        <w:spacing w:after="0"/>
        <w:rPr>
          <w:sz w:val="20"/>
          <w:szCs w:val="20"/>
          <w:color w:val="auto"/>
        </w:rPr>
      </w:pPr>
      <w:r>
        <w:rPr>
          <w:rFonts w:ascii="Arial" w:cs="Arial" w:eastAsia="Arial" w:hAnsi="Arial"/>
          <w:sz w:val="17"/>
          <w:szCs w:val="17"/>
          <w:color w:val="auto"/>
        </w:rPr>
        <w:t>professionals worldwide who engaged with Kaplan services and materials in-person, online, through their schools (K-12, college, or university) or through their employer education or coaching programs. In 2024, Kaplan’s reach also included sales of 1,700,000 units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book/study aid products to individuals, businesses, schools, colleges and universities.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Kaplan conducts its business through three operating segments: Kaplan International (KI), and the Kaplan Higher Education (KHE) and Supplemental Education segments under Kaplan North America (KNA). In addition, the results of Kaplan’s investment activities in education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sector-related companies are reflected in Kaplan Corporate.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KI operates businesses in Europe and the Middle East, North America and the Asia Pacific region, each of which is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Europe and the Middle East. </w:t>
      </w:r>
      <w:r>
        <w:rPr>
          <w:rFonts w:ascii="Arial" w:cs="Arial" w:eastAsia="Arial" w:hAnsi="Arial"/>
          <w:sz w:val="18"/>
          <w:szCs w:val="18"/>
          <w:color w:val="auto"/>
        </w:rPr>
        <w:t>In Europe, KI operates the following businesses, all of which are based in the U.K. and Ireland: Kaplan UK, KI</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Pathways, Kaplan Languages Group, Mander Portman Woodward (MPW), Dublin Business School, Kaplan Open Learning and BridgeU. In the Middle East, Kaplan Professional Middle East is based in the United Arab Emirates.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Kaplan UK business in Europe, through Kaplan Financial Limited, is a provider of apprenticeship training and test preparation services</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for accounting and financial services professionals, including those studying for ACCA, CIMA and ICAEW qualifications. Headquartered in London, England, Kaplan UK has 14 training centers located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throughout the U.K. In 2024, Kaplan UK provided courses to over 44,000 students in accountancy and financial services. In 2018,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Solicitors Regulation Authority (SRA) awarded Kaplan UK the contract to become the sole authorized assessment provider for the Solicitors Qualifying Examination (SQE) for all candidates seeking to become a solicitor in England and Wales. The first SQE assessments took place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2021.</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KI Pathways business offers academic preparation programs designed for international students who wish to study for degrees at universities in English-speaking countries. KI Pathways also recruits international students for enrollment in certain U.S., U.K. and Canadian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university partner programs. In 2024, university preparation programs were delivered in Australia, Japan, Singapore, and the U.K.</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Kaplan Languages Group (KLG) business is comprised of Kaplan International Languages, Alpadia Language Schools, and Azurlingua. In 2024, KLG served approximately 36,000 students in language training, academic preparation, and preparation for proficiency exams to</w:t>
      </w:r>
    </w:p>
    <w:p>
      <w:pPr>
        <w:spacing w:after="0" w:line="235" w:lineRule="auto"/>
        <w:rPr>
          <w:sz w:val="20"/>
          <w:szCs w:val="20"/>
          <w:color w:val="auto"/>
        </w:rPr>
      </w:pPr>
      <w:r>
        <w:rPr>
          <w:rFonts w:ascii="Arial" w:cs="Arial" w:eastAsia="Arial" w:hAnsi="Arial"/>
          <w:sz w:val="18"/>
          <w:szCs w:val="18"/>
          <w:color w:val="auto"/>
        </w:rPr>
        <w:t>help students advance their educational and professional goals. As of December 31, 2024, KLG operated 20 English-language Kaplan</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schools, with 13 located in the U.K., Ireland, and Canada and six in the U.S. and an online language school. Additionally, KLG operates four Alpadia schools, with one in France, two in Germany, and one in Switzerland, as well as Alpadia language camps for juniors (from 8+) and</w:t>
      </w:r>
    </w:p>
    <w:p>
      <w:pPr>
        <w:spacing w:after="0" w:line="235" w:lineRule="auto"/>
        <w:rPr>
          <w:sz w:val="20"/>
          <w:szCs w:val="20"/>
          <w:color w:val="auto"/>
        </w:rPr>
      </w:pPr>
      <w:r>
        <w:rPr>
          <w:rFonts w:ascii="Arial" w:cs="Arial" w:eastAsia="Arial" w:hAnsi="Arial"/>
          <w:sz w:val="18"/>
          <w:szCs w:val="18"/>
          <w:color w:val="auto"/>
        </w:rPr>
        <w:t>teens in the U.K., France, Germany and Switzerland. In 2024, KLG also acquired Azurlingua, a language school in Nice, France, offering</w:t>
      </w:r>
    </w:p>
    <w:p>
      <w:pPr>
        <w:ind w:right="260"/>
        <w:spacing w:after="0"/>
        <w:rPr>
          <w:sz w:val="20"/>
          <w:szCs w:val="20"/>
          <w:color w:val="auto"/>
        </w:rPr>
      </w:pPr>
      <w:r>
        <w:rPr>
          <w:rFonts w:ascii="Arial" w:cs="Arial" w:eastAsia="Arial" w:hAnsi="Arial"/>
          <w:sz w:val="17"/>
          <w:szCs w:val="17"/>
          <w:color w:val="auto"/>
        </w:rPr>
        <w:t>French-language programs for adults and juniors. KLG also includes ESL Education (ESL), a study abroad agency with offices throughout Europe. ESL connects students with partner schools including KLG’s schools. The language travel business is expected to encounter</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ongoing headwinds on several fronts, including price competition and uncertainty around immigration and student visa policy in some markets.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MPW is a U.K. independent sixth-form college that prepares domestic and international students for the A-level examinations that U.K.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universities require for admission. MPW comprises three fifth- and sixth-form colleges in London, Cambridge and Birmingham.</w:t>
      </w:r>
    </w:p>
    <w:p>
      <w:pPr>
        <w:spacing w:after="0" w:line="126"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working in partnership with the University of Essex and the University of Liverpool. At the end of 2024, these institutions enrolled an aggregate of approximately 11,100 students.</w:t>
      </w:r>
    </w:p>
    <w:p>
      <w:pPr>
        <w:spacing w:after="0" w:line="10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In 2024, Kaplan Professional Middle East, a financial training business operating in the United Arab Emirates and Saudi Arabia, taught approximately 4,500 students.</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it is critical that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are able to sponsor international students to come to the U.K. United Kingdom Visas and Immigration (UKVI) administers certain</w:t>
      </w:r>
    </w:p>
    <w:p>
      <w:pPr>
        <w:spacing w:after="0" w:line="235" w:lineRule="auto"/>
        <w:rPr>
          <w:sz w:val="20"/>
          <w:szCs w:val="20"/>
          <w:color w:val="auto"/>
        </w:rPr>
      </w:pPr>
      <w:r>
        <w:rPr>
          <w:rFonts w:ascii="Arial" w:cs="Arial" w:eastAsia="Arial" w:hAnsi="Arial"/>
          <w:sz w:val="18"/>
          <w:szCs w:val="18"/>
          <w:color w:val="auto"/>
        </w:rPr>
        <w:t>regulations pursuant to which education institutions in the U.K. that wish to enroll international students are required to hold Student Visa</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sponsor licenses. The KI Pathways business is required to hold Student Visa licenses for international students aged 16 and above who enter the U.K. on a Student Visa to enroll in the courses KI Pathways delivers.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Each Student Visa license holder is required to hold Educational Oversight accreditation, which requires the submission of statutory data</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returns, reviews and inspections by the appropriate regulatory body. Student Visa license holders are also required to pass the annual Basic Compliance Assessment (BCA). For the thirteenth consecutive year, all KI institutions have retained Educational Oversight accreditation. All</w:t>
      </w:r>
    </w:p>
    <w:p>
      <w:pPr>
        <w:spacing w:after="0" w:line="235" w:lineRule="auto"/>
        <w:rPr>
          <w:sz w:val="20"/>
          <w:szCs w:val="20"/>
          <w:color w:val="auto"/>
        </w:rPr>
      </w:pPr>
      <w:r>
        <w:rPr>
          <w:rFonts w:ascii="Arial" w:cs="Arial" w:eastAsia="Arial" w:hAnsi="Arial"/>
          <w:sz w:val="18"/>
          <w:szCs w:val="18"/>
          <w:color w:val="auto"/>
        </w:rPr>
        <w:t>Student Visa annual BCA renewals have been approved. Students at English language schools generally choose to enter the U.K. on a</w:t>
      </w:r>
    </w:p>
    <w:p>
      <w:pPr>
        <w:ind w:right="80"/>
        <w:spacing w:after="0" w:line="237" w:lineRule="auto"/>
        <w:rPr>
          <w:sz w:val="20"/>
          <w:szCs w:val="20"/>
          <w:color w:val="auto"/>
        </w:rPr>
      </w:pPr>
      <w:r>
        <w:rPr>
          <w:rFonts w:ascii="Arial" w:cs="Arial" w:eastAsia="Arial" w:hAnsi="Arial"/>
          <w:sz w:val="18"/>
          <w:szCs w:val="18"/>
          <w:color w:val="auto"/>
        </w:rPr>
        <w:t>Visitor or Short-Term Student visa. The MPW schools each hold current Student Visa and Child Student Visa (applicable to students aged 4-17) licenses and have performed well consistently, with good records in their inspections by their applicable oversight bodies.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Higher Education and Research Act 2017 created a regulator for higher education in England, the Office for Students (OfS). All of KI’s</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higher education businesses in the U.K., excluding Glasgow International College and University of York International Pathway College, retained registration with the OfS in 2024 to ensure that they could continue operating and retain their Student Visa sponsor licenses and/or</w:t>
      </w:r>
    </w:p>
    <w:p>
      <w:pPr>
        <w:spacing w:after="0" w:line="235" w:lineRule="auto"/>
        <w:rPr>
          <w:sz w:val="20"/>
          <w:szCs w:val="20"/>
          <w:color w:val="auto"/>
        </w:rPr>
      </w:pPr>
      <w:r>
        <w:rPr>
          <w:rFonts w:ascii="Arial" w:cs="Arial" w:eastAsia="Arial" w:hAnsi="Arial"/>
          <w:sz w:val="18"/>
          <w:szCs w:val="18"/>
          <w:color w:val="auto"/>
        </w:rPr>
        <w:t>continue to accept students funded by U.K. student loans. Glasgow International College, located in Scotland, is not regulated by the OfS</w:t>
      </w:r>
    </w:p>
    <w:p>
      <w:pPr>
        <w:spacing w:after="0"/>
        <w:rPr>
          <w:sz w:val="20"/>
          <w:szCs w:val="20"/>
          <w:color w:val="auto"/>
        </w:rPr>
      </w:pPr>
      <w:r>
        <w:rPr>
          <w:rFonts w:ascii="Arial" w:cs="Arial" w:eastAsia="Arial" w:hAnsi="Arial"/>
          <w:sz w:val="17"/>
          <w:szCs w:val="17"/>
          <w:color w:val="auto"/>
        </w:rPr>
        <w:t>and remains overseen by the Quality Assurance Agency for Higher Education (QAA). The University of York International Pathway College forms part of the University of York’s OfS registration. No assurance can be given that each KI business in the U.K. will be able to maintain its</w:t>
      </w:r>
    </w:p>
    <w:p>
      <w:pPr>
        <w:spacing w:after="0" w:line="235" w:lineRule="auto"/>
        <w:rPr>
          <w:sz w:val="20"/>
          <w:szCs w:val="20"/>
          <w:color w:val="auto"/>
        </w:rPr>
      </w:pPr>
      <w:r>
        <w:rPr>
          <w:rFonts w:ascii="Arial" w:cs="Arial" w:eastAsia="Arial" w:hAnsi="Arial"/>
          <w:sz w:val="18"/>
          <w:szCs w:val="18"/>
          <w:color w:val="auto"/>
        </w:rPr>
        <w:t>Student Visa or Child Student Visa license and Educational Oversight or OfS/QAA registration. Maintenance of each of these approvals</w:t>
      </w:r>
    </w:p>
    <w:p>
      <w:pPr>
        <w:ind w:right="60"/>
        <w:spacing w:after="0"/>
        <w:rPr>
          <w:sz w:val="20"/>
          <w:szCs w:val="20"/>
          <w:color w:val="auto"/>
        </w:rPr>
      </w:pPr>
      <w:r>
        <w:rPr>
          <w:rFonts w:ascii="Arial" w:cs="Arial" w:eastAsia="Arial" w:hAnsi="Arial"/>
          <w:sz w:val="17"/>
          <w:szCs w:val="17"/>
          <w:color w:val="auto"/>
        </w:rPr>
        <w:t>requires compliance with several core metrics that may be difficult to sustain. The loss by one or more institutions of the Student Visa or Child Student Visa license, Educational Oversight accreditation or OfS/QAA registration would have a material adverse effect on KI Europe’s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w:t>
      </w:r>
    </w:p>
    <w:p>
      <w:pPr>
        <w:spacing w:after="0" w:line="140"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Republic of China, including the Hong Kong Special Administrative Region (Hong Kong).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 xml:space="preserve">Singapore. </w:t>
      </w:r>
      <w:r>
        <w:rPr>
          <w:rFonts w:ascii="Arial" w:cs="Arial" w:eastAsia="Arial" w:hAnsi="Arial"/>
          <w:sz w:val="18"/>
          <w:szCs w:val="18"/>
          <w:color w:val="auto"/>
        </w:rPr>
        <w:t>In Singapore, Kaplan operates two businesses: Kaplan Higher Education and Kaplan Financial. During 2024, the Kaplan Higher</w:t>
      </w:r>
    </w:p>
    <w:p>
      <w:pPr>
        <w:spacing w:after="0" w:line="14" w:lineRule="exact"/>
        <w:rPr>
          <w:sz w:val="20"/>
          <w:szCs w:val="20"/>
          <w:color w:val="auto"/>
        </w:rPr>
      </w:pPr>
    </w:p>
    <w:p>
      <w:pPr>
        <w:jc w:val="both"/>
        <w:ind w:right="380"/>
        <w:spacing w:after="0" w:line="226" w:lineRule="auto"/>
        <w:rPr>
          <w:sz w:val="20"/>
          <w:szCs w:val="20"/>
          <w:color w:val="auto"/>
        </w:rPr>
      </w:pPr>
      <w:r>
        <w:rPr>
          <w:rFonts w:ascii="Arial" w:cs="Arial" w:eastAsia="Arial" w:hAnsi="Arial"/>
          <w:sz w:val="18"/>
          <w:szCs w:val="18"/>
          <w:color w:val="auto"/>
        </w:rPr>
        <w:t>Education and Kaplan Financial divisions served more than 5,900 students from Singapore and approximately 4,300 students from other countries throughout Asia and Western Europe. Kaplan Financial provided short courses to approximately 600 professionals, managers,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executives and businesspeople in 2024.</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Australia, Ireland and the U.K. In addition, this division offers pre-university and diploma programs.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Kaplan Singapore’s Kaplan Financial business provides preparatory courses for professional qualifications in accountancy and finance, such as the Association of Chartered Certified Accountants (ACCA), Chartered Financial Analyst (CFA) and Singapore Chartered Accountant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(SCA).</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 xml:space="preserve">Australia. </w:t>
      </w:r>
      <w:r>
        <w:rPr>
          <w:rFonts w:ascii="Arial" w:cs="Arial" w:eastAsia="Arial" w:hAnsi="Arial"/>
          <w:sz w:val="17"/>
          <w:szCs w:val="17"/>
          <w:color w:val="auto"/>
        </w:rPr>
        <w:t>In Australia, Kaplan delivers a broad range of financial services programs from certificate level through master’s level,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development offerings through Kaplan Professional, and higher education programs in business, accounting, business analytics,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hospitality, and information technology through Kaplan Business School. In 2024, Kaplan Business School provided courses to approximately</w:t>
      </w:r>
    </w:p>
    <w:p>
      <w:pPr>
        <w:spacing w:after="0" w:line="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10,800 students through face-to-face and online modalities. Kaplan Professional offered programs to approximately 25,000 students through online or distance-learning programs. In 2024, Kaplan Professional also had approximately 49,000 subscribers for Ontrack, its continuing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professional development platform for financial services professionals.</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Kaplan Australia Pathways business is also part of KI Pathways. In 2024, it consisted of Murdoch College, the University of Newcastle College of International Education and the University of Adelaide College, and offered face-to-face pathways and foundational education to</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approximately 2,100 students wishing to enter the associated universities. In October 2024, Kaplan received regulatory approval to be the registered provider for pathways programs transitioning into the newly established Adelaide University (formed by the merger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University of Adelaide and the University of South Australia).</w:t>
      </w:r>
    </w:p>
    <w:p>
      <w:pPr>
        <w:spacing w:after="0" w:line="140"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At the end of 2024, Australia introduced an indicative Student Visa approval allocation for post-secondary education providers. A slow down in Student Visa approvals will apply once the institution reaches 80% of its indicative visa approval allocation. These measures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impacting, and will continue to impact, Kaplan’s international student recruitment for its colleges and partner universities.</w:t>
      </w:r>
    </w:p>
    <w:p>
      <w:pPr>
        <w:spacing w:after="0" w:line="140"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Kaplan International New Zealand operates a pathways college in Auckland in partnership with Massey University, known as Massey University College.</w:t>
      </w:r>
    </w:p>
    <w:p>
      <w:pPr>
        <w:spacing w:after="0" w:line="11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Kaplan Australia sold Red Marker Pty Ltd., a machine learning and artificial intelligence-based provider of legal risk detection for digital, advertising and marketing content, in July 2024.</w:t>
      </w:r>
    </w:p>
    <w:p>
      <w:pPr>
        <w:spacing w:after="0" w:line="86"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 xml:space="preserve">Hong Kong. </w:t>
      </w:r>
      <w:r>
        <w:rPr>
          <w:rFonts w:ascii="Arial" w:cs="Arial" w:eastAsia="Arial" w:hAnsi="Arial"/>
          <w:sz w:val="18"/>
          <w:szCs w:val="18"/>
          <w:color w:val="auto"/>
        </w:rPr>
        <w:t>In Hong Kong, Kaplan operates three main business units: Kaplan Financial, Kaplan Language Training and Kaplan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serving approximately 5,100 students annually.</w:t>
      </w:r>
    </w:p>
    <w:p>
      <w:pPr>
        <w:spacing w:after="0" w:line="10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Kaplan Hong Kong’s Financial division delivers preparatory courses to students and business executives wishing to earn professional qualifications in accountancy, financial markets designations and other professional fields.</w:t>
      </w:r>
    </w:p>
    <w:p>
      <w:pPr>
        <w:spacing w:after="0" w:line="11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Kaplan Hong Kong’s Language Training division offers test preparation for both overseas study and college applications, including TOEFL, IELTS, SAT and GMAT.</w:t>
      </w:r>
    </w:p>
    <w:p>
      <w:pPr>
        <w:spacing w:after="0" w:line="8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Kaplan Hong Kong’s Higher Education division offers both part-time and full-time programs to local students in Hong Kong and international students from Europe, providing students with the opportunity to earn diplomas, bachelor’s and postgraduate degrees in various fields from affiliated educational institutions in Australia, the U.K. and Germany.</w:t>
      </w:r>
    </w:p>
    <w:p>
      <w:pPr>
        <w:spacing w:after="0" w:line="101"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In 2014, Kaplan Holdings Limited (Hong Kong) signed a joint venture agreement with CITIC Press Corporation. Under the terms of the agreement, the parties incorporated a joint venture company, Kaplan CITIC Education Co. Limited, 49% of which is owned by Kaplan</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Holdings Limited. The joint venture company carried out the publishing and distribution of Kaplan Financial training products in the People’s Republic of China. In 2024, the parties signed an agreement terminating the joint venture, and in its place have entered into licensing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arrangements for specified content in China. Kaplan CITIC Education Co. is in the process of voluntary liquidation.</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Kaplan North America</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KNA is comprised of two segments, Kaplan Higher Education and Kaplan Supplemental Education. Through its KHE segment, KNA provides operational support services to institutions of higher education for their online certificate and degree programs. KNA’s non-academic</w:t>
      </w:r>
    </w:p>
    <w:p>
      <w:pPr>
        <w:spacing w:after="0" w:line="235" w:lineRule="auto"/>
        <w:rPr>
          <w:sz w:val="20"/>
          <w:szCs w:val="20"/>
          <w:color w:val="auto"/>
        </w:rPr>
      </w:pPr>
      <w:r>
        <w:rPr>
          <w:rFonts w:ascii="Arial" w:cs="Arial" w:eastAsia="Arial" w:hAnsi="Arial"/>
          <w:sz w:val="18"/>
          <w:szCs w:val="18"/>
          <w:color w:val="auto"/>
        </w:rPr>
        <w:t>operational support services are provided to institutions such as Purdue University, Purdue University Global, Creighton University, Wake</w:t>
      </w:r>
    </w:p>
    <w:p>
      <w:pPr>
        <w:ind w:right="860"/>
        <w:spacing w:after="0" w:line="226" w:lineRule="auto"/>
        <w:rPr>
          <w:sz w:val="20"/>
          <w:szCs w:val="20"/>
          <w:color w:val="auto"/>
        </w:rPr>
      </w:pPr>
      <w:r>
        <w:rPr>
          <w:rFonts w:ascii="Arial" w:cs="Arial" w:eastAsia="Arial" w:hAnsi="Arial"/>
          <w:sz w:val="18"/>
          <w:szCs w:val="18"/>
          <w:color w:val="auto"/>
        </w:rPr>
        <w:t>Forest University, Lynn University and UMass Global. Through its Supplemental Education segment, KNA sells exam preparation, professional licensure, certification, and continuing education courses directly to students and professionals, and indirectly through</w:t>
      </w:r>
    </w:p>
    <w:p>
      <w:pPr>
        <w:spacing w:after="0" w:line="236" w:lineRule="auto"/>
        <w:rPr>
          <w:sz w:val="20"/>
          <w:szCs w:val="20"/>
          <w:color w:val="auto"/>
        </w:rPr>
      </w:pPr>
      <w:r>
        <w:rPr>
          <w:rFonts w:ascii="Arial" w:cs="Arial" w:eastAsia="Arial" w:hAnsi="Arial"/>
          <w:sz w:val="18"/>
          <w:szCs w:val="18"/>
          <w:color w:val="auto"/>
        </w:rPr>
        <w:t>agreements with institutions and corporations or governmental entities servicing public schools and institutions. This segment also develops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delivers online courses for high school students to explore careers and future study (Prelum). The Supplemental Education segment also provides career and education advisory services to corporations and state governments and their employees and, through a subsidiary,</w:t>
      </w:r>
    </w:p>
    <w:p>
      <w:pPr>
        <w:spacing w:after="0" w:line="2" w:lineRule="exact"/>
        <w:rPr>
          <w:sz w:val="20"/>
          <w:szCs w:val="20"/>
          <w:color w:val="auto"/>
        </w:rPr>
      </w:pPr>
    </w:p>
    <w:p>
      <w:pPr>
        <w:ind w:right="1660"/>
        <w:spacing w:after="0" w:line="404" w:lineRule="auto"/>
        <w:rPr>
          <w:sz w:val="20"/>
          <w:szCs w:val="20"/>
          <w:color w:val="auto"/>
        </w:rPr>
      </w:pPr>
      <w:r>
        <w:rPr>
          <w:rFonts w:ascii="Arial" w:cs="Arial" w:eastAsia="Arial" w:hAnsi="Arial"/>
          <w:sz w:val="18"/>
          <w:szCs w:val="18"/>
          <w:color w:val="auto"/>
        </w:rPr>
        <w:t xml:space="preserve">creates questions for the state bar exam for the state of California through an agreement with the State Bar of California. </w:t>
      </w:r>
      <w:r>
        <w:rPr>
          <w:rFonts w:ascii="Arial" w:cs="Arial" w:eastAsia="Arial" w:hAnsi="Arial"/>
          <w:sz w:val="18"/>
          <w:szCs w:val="18"/>
          <w:b w:val="1"/>
          <w:bCs w:val="1"/>
          <w:color w:val="auto"/>
        </w:rPr>
        <w:t>Kaplan Higher Education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Transition and Support Operations for Purdue University Global. </w:t>
      </w:r>
      <w:r>
        <w:rPr>
          <w:rFonts w:ascii="Arial" w:cs="Arial" w:eastAsia="Arial" w:hAnsi="Arial"/>
          <w:sz w:val="17"/>
          <w:szCs w:val="17"/>
          <w:color w:val="auto"/>
        </w:rPr>
        <w:t>KNA provides operations support functions to Purdue University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(Purdue Global), which operates largely online as an Indiana public university affiliated with Purdue University. The operations support</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activities that KNA provides to Purdue Global include technology support, helpdesk functions, admissions support, financial aid processing, back-office business functions, certain test preparation and other non-academic functions. KNA also provides similar functions for online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programs of other university partners such as Wake Forest University, University of Massachusetts, and Creighton University.</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The support functions provided to Purdue Global are provided under a Transition and Operations Support Agreement (TOSA), which was entered into in March 2018 at the time Kaplan transferred the institutional assets and academic operations of Kaplan University (its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postsecondary education operations) to Purdue Global. The TOSA was amended in July 2019. Pursuant to the TOSA, KNA is not entitled to receive any reimbursement of costs incurred in providing support functions, or any fee, unless and until Purdue Global has first covered all of</w:t>
      </w:r>
    </w:p>
    <w:p>
      <w:pPr>
        <w:spacing w:after="0" w:line="235" w:lineRule="auto"/>
        <w:rPr>
          <w:sz w:val="20"/>
          <w:szCs w:val="20"/>
          <w:color w:val="auto"/>
        </w:rPr>
      </w:pPr>
      <w:r>
        <w:rPr>
          <w:rFonts w:ascii="Arial" w:cs="Arial" w:eastAsia="Arial" w:hAnsi="Arial"/>
          <w:sz w:val="18"/>
          <w:szCs w:val="18"/>
          <w:color w:val="auto"/>
        </w:rPr>
        <w:t>its academic costs (subject to a cap). If Purdue Global achieves cost efficiencies in its operations, Purdue Global may be entitled to an</w:t>
      </w:r>
    </w:p>
    <w:p>
      <w:pPr>
        <w:ind w:right="60"/>
        <w:spacing w:after="0"/>
        <w:rPr>
          <w:sz w:val="20"/>
          <w:szCs w:val="20"/>
          <w:color w:val="auto"/>
        </w:rPr>
      </w:pPr>
      <w:r>
        <w:rPr>
          <w:rFonts w:ascii="Arial" w:cs="Arial" w:eastAsia="Arial" w:hAnsi="Arial"/>
          <w:sz w:val="17"/>
          <w:szCs w:val="17"/>
          <w:color w:val="auto"/>
        </w:rPr>
        <w:t>additional payment equal to 20% of such cost efficiencies (Purdue Efficiency Payment). In addition, during each of Purdue Global’s first five years until 2023, prior to any payment to KNA, Purdue Global was entitled to a priority payment of $10 million per year beyond costs (Purdue</w:t>
      </w:r>
    </w:p>
    <w:p>
      <w:pPr>
        <w:spacing w:after="0" w:line="235" w:lineRule="auto"/>
        <w:rPr>
          <w:sz w:val="20"/>
          <w:szCs w:val="20"/>
          <w:color w:val="auto"/>
        </w:rPr>
      </w:pPr>
      <w:r>
        <w:rPr>
          <w:rFonts w:ascii="Arial" w:cs="Arial" w:eastAsia="Arial" w:hAnsi="Arial"/>
          <w:sz w:val="18"/>
          <w:szCs w:val="18"/>
          <w:color w:val="auto"/>
        </w:rPr>
        <w:t>Priority Payment). Upon closing of the transaction, Kaplan paid to Purdue Global an advance in the amount of $20 million, representing, and</w:t>
      </w:r>
    </w:p>
    <w:p>
      <w:pPr>
        <w:ind w:right="1160"/>
        <w:spacing w:after="0" w:line="237" w:lineRule="auto"/>
        <w:rPr>
          <w:sz w:val="20"/>
          <w:szCs w:val="20"/>
          <w:color w:val="auto"/>
        </w:rPr>
      </w:pPr>
      <w:r>
        <w:rPr>
          <w:rFonts w:ascii="Arial" w:cs="Arial" w:eastAsia="Arial" w:hAnsi="Arial"/>
          <w:sz w:val="18"/>
          <w:szCs w:val="18"/>
          <w:color w:val="auto"/>
        </w:rPr>
        <w:t>in lieu of, a Purdue Priority Payment for each of the fiscal years ending June 30, 2019, and June 30, 2020. Kaplan is entitled to reimbursement of this advance, subject to available cash or upon termination of the TOSA.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there is remaining revenue, KNA is then reimbursed for its operating costs (subject to a cap) of providing the support</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functions. If KNA achieves cost efficiencies in its operations, then KNA may be entitled to an additional payment equal to 20% of such cost efficiencies (KNA Efficiency Payment). The TOSA, as amended, reflects the parties’ intent that, subject to available cash (calculated as cash</w:t>
      </w:r>
    </w:p>
    <w:p>
      <w:pPr>
        <w:spacing w:after="0" w:line="235" w:lineRule="auto"/>
        <w:rPr>
          <w:sz w:val="20"/>
          <w:szCs w:val="20"/>
          <w:color w:val="auto"/>
        </w:rPr>
      </w:pPr>
      <w:r>
        <w:rPr>
          <w:rFonts w:ascii="Arial" w:cs="Arial" w:eastAsia="Arial" w:hAnsi="Arial"/>
          <w:sz w:val="18"/>
          <w:szCs w:val="18"/>
          <w:color w:val="auto"/>
        </w:rPr>
        <w:t>balance minus cash deficiencies, if any, projected for the next six-month period based on applicable budget), KNA is entitled to receive a</w:t>
      </w:r>
    </w:p>
    <w:p>
      <w:pPr>
        <w:ind w:right="200"/>
        <w:spacing w:after="0"/>
        <w:rPr>
          <w:sz w:val="20"/>
          <w:szCs w:val="20"/>
          <w:color w:val="auto"/>
        </w:rPr>
      </w:pPr>
      <w:r>
        <w:rPr>
          <w:rFonts w:ascii="Arial" w:cs="Arial" w:eastAsia="Arial" w:hAnsi="Arial"/>
          <w:sz w:val="17"/>
          <w:szCs w:val="17"/>
          <w:color w:val="auto"/>
        </w:rPr>
        <w:t>payment equal to 12.5% (increased to 13% beginning on June 30, 2023 and through June 30, 2027) of Purdue Global’s revenue, which serves as the deferred purchase price for the transfer of Kaplan University to Purdue Global (Deferred Purchase Price). Separately, KNA is</w:t>
      </w:r>
    </w:p>
    <w:p>
      <w:pPr>
        <w:spacing w:after="0" w:line="235" w:lineRule="auto"/>
        <w:rPr>
          <w:sz w:val="20"/>
          <w:szCs w:val="20"/>
          <w:color w:val="auto"/>
        </w:rPr>
      </w:pPr>
      <w:r>
        <w:rPr>
          <w:rFonts w:ascii="Arial" w:cs="Arial" w:eastAsia="Arial" w:hAnsi="Arial"/>
          <w:sz w:val="18"/>
          <w:szCs w:val="18"/>
          <w:color w:val="auto"/>
        </w:rPr>
        <w:t>entitled to a fee for services provided equal to 8% of KNA’s costs of providing such services to Purdue Global (Contributor Service Fee).</w:t>
      </w:r>
    </w:p>
    <w:p>
      <w:pPr>
        <w:ind w:right="100"/>
        <w:spacing w:after="0"/>
        <w:rPr>
          <w:sz w:val="20"/>
          <w:szCs w:val="20"/>
          <w:color w:val="auto"/>
        </w:rPr>
      </w:pPr>
      <w:r>
        <w:rPr>
          <w:rFonts w:ascii="Arial" w:cs="Arial" w:eastAsia="Arial" w:hAnsi="Arial"/>
          <w:sz w:val="17"/>
          <w:szCs w:val="17"/>
          <w:color w:val="auto"/>
        </w:rPr>
        <w:t>KNA’s Contributor Service Fee is deducted from any amounts owed to KNA for the Deferred Purchase Price. Together, these payments are known as “Contributor Compensation.” In each case, the Contributor Compensation remains subject to available cash and certain limitations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unpaid amounts carrying over from year to year.</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In addition, beginning in 2023, to the extent that there are sufficient revenues after payment of the KNA Efficiency Payment (if any), Purdue Global is entitled to an annual payment equal to 10% of the remaining revenue after the KNA Efficiency Payment (if any) is paid,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other adjustments.</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an early termination fee equal to 125% of Purdue Global’s total revenue</w:t>
      </w:r>
    </w:p>
    <w:p>
      <w:pPr>
        <w:spacing w:after="0" w:line="235" w:lineRule="auto"/>
        <w:rPr>
          <w:sz w:val="20"/>
          <w:szCs w:val="20"/>
          <w:color w:val="auto"/>
        </w:rPr>
      </w:pPr>
      <w:r>
        <w:rPr>
          <w:rFonts w:ascii="Arial" w:cs="Arial" w:eastAsia="Arial" w:hAnsi="Arial"/>
          <w:sz w:val="18"/>
          <w:szCs w:val="18"/>
          <w:color w:val="auto"/>
        </w:rPr>
        <w:t>earned during the preceding 12-month period, which payment would be made pursuant to a 10-year note, and at the election of Purdue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Global, for no additional consideration, it may receive certain tangible assets used exclusively by KNA to provide the support functions pursuant to the TOSA. At the end of the 30-year term, if Purdue Global does not renew the TOSA, Purdue Global will be obligated to make a</w:t>
      </w:r>
    </w:p>
    <w:p>
      <w:pPr>
        <w:spacing w:after="0" w:line="235" w:lineRule="auto"/>
        <w:rPr>
          <w:sz w:val="20"/>
          <w:szCs w:val="20"/>
          <w:color w:val="auto"/>
        </w:rPr>
      </w:pPr>
      <w:r>
        <w:rPr>
          <w:rFonts w:ascii="Arial" w:cs="Arial" w:eastAsia="Arial" w:hAnsi="Arial"/>
          <w:sz w:val="18"/>
          <w:szCs w:val="18"/>
          <w:color w:val="auto"/>
        </w:rPr>
        <w:t>final payment of 75% of its total revenue earned during the preceding 12-month period, which payment will be made pursuant to a 10-year</w:t>
      </w:r>
    </w:p>
    <w:p>
      <w:pPr>
        <w:ind w:right="140"/>
        <w:spacing w:after="0"/>
        <w:rPr>
          <w:sz w:val="20"/>
          <w:szCs w:val="20"/>
          <w:color w:val="auto"/>
        </w:rPr>
      </w:pPr>
      <w:r>
        <w:rPr>
          <w:rFonts w:ascii="Arial" w:cs="Arial" w:eastAsia="Arial" w:hAnsi="Arial"/>
          <w:sz w:val="17"/>
          <w:szCs w:val="17"/>
          <w:color w:val="auto"/>
        </w:rPr>
        <w:t>note, and, at the election of Purdue Global, for no additional consideration, it may receive certain assets used exclusively by KNA to provide the support activities pursuant to the TOSA. Either party may terminate the TOSA at any time if Purdue Global generates (i) $25 million in</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cash operating losses for three consecutive years or (ii) aggregate cash operating losses greater than $ 75 million at any point during the initial term. Operating loss is defined as the amount by which the sum of (1) Purdue Global’s and KNA’s respective costs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performing academic and support functions and (2) the $10 million Purdue Priority Payment in each of the first five years following March 22,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2018, exceeds the revenue Purdue Global generates for the applicable fiscal year. Upon termination for any reason, Purdue Global will retain the assets that Kaplan contributed pursuant to the TOSA. Each party also has certain termination rights in connection with a material default</w:t>
      </w:r>
    </w:p>
    <w:p>
      <w:pPr>
        <w:spacing w:after="0" w:line="235" w:lineRule="auto"/>
        <w:rPr>
          <w:sz w:val="20"/>
          <w:szCs w:val="20"/>
          <w:color w:val="auto"/>
        </w:rPr>
      </w:pPr>
      <w:r>
        <w:rPr>
          <w:rFonts w:ascii="Arial" w:cs="Arial" w:eastAsia="Arial" w:hAnsi="Arial"/>
          <w:sz w:val="18"/>
          <w:szCs w:val="18"/>
          <w:color w:val="auto"/>
        </w:rPr>
        <w:t>or material breach of the TOSA by the other party. Short of termination, Purdue Global has the right to take over from Kaplan the provision of</w:t>
      </w:r>
    </w:p>
    <w:p>
      <w:pPr>
        <w:ind w:right="340"/>
        <w:spacing w:after="0"/>
        <w:rPr>
          <w:sz w:val="20"/>
          <w:szCs w:val="20"/>
          <w:color w:val="auto"/>
        </w:rPr>
      </w:pPr>
      <w:r>
        <w:rPr>
          <w:rFonts w:ascii="Arial" w:cs="Arial" w:eastAsia="Arial" w:hAnsi="Arial"/>
          <w:sz w:val="17"/>
          <w:szCs w:val="17"/>
          <w:color w:val="auto"/>
        </w:rPr>
        <w:t>certain back-office support functions at any time with nine months’ notice. Those functions include technology support, human resources, facility and property management, finance and accounting, communications, and default management. In 2022, pursuant to the TOSA,</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Purdue Global began providing certain functions previously provided by KNA in-house. Those functions include human resources, finance and accounting, facility management, and communications services.</w:t>
      </w:r>
    </w:p>
    <w:p>
      <w:pPr>
        <w:spacing w:after="0" w:line="104"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i w:val="1"/>
          <w:iCs w:val="1"/>
          <w:color w:val="auto"/>
        </w:rPr>
        <w:t>Postsecondary Online Managed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to services provided to Purdue Global through the TOSA, KNA provides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non-academic managed services to online university programs at institutions including Wake Forest University, Creighton University, Lynn University, University of Massachusetts Global, and Purdue University, serving 80,208 students in 2024. These services include analytics,</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technology support, marketing, student advising and admissions support, and curriculum development support. Kaplan receives payment from university clients for these services, which may be based in part on the revenue of the programs Kaplan supports.</w:t>
      </w:r>
    </w:p>
    <w:p>
      <w:pPr>
        <w:spacing w:after="0" w:line="1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i w:val="1"/>
          <w:iCs w:val="1"/>
          <w:color w:val="auto"/>
        </w:rPr>
        <w:t xml:space="preserve">Higher Education Regulatory Environment. </w:t>
      </w:r>
      <w:r>
        <w:rPr>
          <w:rFonts w:ascii="Arial" w:cs="Arial" w:eastAsia="Arial" w:hAnsi="Arial"/>
          <w:sz w:val="18"/>
          <w:szCs w:val="18"/>
          <w:color w:val="auto"/>
        </w:rPr>
        <w:t>KNA no longer owns or operates Kaplan University or any other institution participating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 financial aid programs created under Title IV of the U.S. Federal Higher Education Act of 1965 (Higher Education Act), as amended</w:t>
      </w:r>
    </w:p>
    <w:p>
      <w:pPr>
        <w:spacing w:after="0" w:line="235" w:lineRule="auto"/>
        <w:rPr>
          <w:sz w:val="20"/>
          <w:szCs w:val="20"/>
          <w:color w:val="auto"/>
        </w:rPr>
      </w:pPr>
      <w:r>
        <w:rPr>
          <w:rFonts w:ascii="Arial" w:cs="Arial" w:eastAsia="Arial" w:hAnsi="Arial"/>
          <w:sz w:val="18"/>
          <w:szCs w:val="18"/>
          <w:color w:val="auto"/>
        </w:rPr>
        <w:t>(Title IV). KNA provides services to Purdue Global, Purdue University, Wake Forest University, Lynn University, University of Massachusetts</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Global, Creighton University, and other Title IV participating institutions that may require KNA to comply with certain laws and regulations, including applicable statutory provisions of Title IV. Currently, KNA also provides financial aid services to Purdue Global (but no other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institution). Due to the provision of these services to Purdue Global, pursuant to current U.S. Department of Education (ED) guidance, KNA meets the definition of a “Third-Party Servicer” contained in the Title IV regulations. As a Third-Party Servicer, KNA is subject to applicable</w:t>
      </w:r>
    </w:p>
    <w:p>
      <w:pPr>
        <w:spacing w:after="0" w:line="235" w:lineRule="auto"/>
        <w:rPr>
          <w:sz w:val="20"/>
          <w:szCs w:val="20"/>
          <w:color w:val="auto"/>
        </w:rPr>
      </w:pPr>
      <w:r>
        <w:rPr>
          <w:rFonts w:ascii="Arial" w:cs="Arial" w:eastAsia="Arial" w:hAnsi="Arial"/>
          <w:sz w:val="18"/>
          <w:szCs w:val="18"/>
          <w:color w:val="auto"/>
        </w:rPr>
        <w:t>statutory provisions of Title IV and ED regulations that, among other things, require KNA to be jointly and severally liable with Purdue Global</w:t>
      </w:r>
    </w:p>
    <w:p>
      <w:pPr>
        <w:spacing w:after="0" w:line="226" w:lineRule="auto"/>
        <w:rPr>
          <w:sz w:val="20"/>
          <w:szCs w:val="20"/>
          <w:color w:val="auto"/>
        </w:rPr>
      </w:pPr>
      <w:r>
        <w:rPr>
          <w:rFonts w:ascii="Arial" w:cs="Arial" w:eastAsia="Arial" w:hAnsi="Arial"/>
          <w:sz w:val="18"/>
          <w:szCs w:val="18"/>
          <w:color w:val="auto"/>
        </w:rPr>
        <w:t>to the ED for any violation by KNA or Purdue Global of any Title IV statute or ED regulation or requirement. Changes to the ED’s guidance on Third-Party Servicers, including a change to the definition of what entity or services fall within the scope of the Third-Party Servicer</w:t>
      </w:r>
    </w:p>
    <w:p>
      <w:pPr>
        <w:spacing w:after="0" w:line="236" w:lineRule="auto"/>
        <w:rPr>
          <w:sz w:val="20"/>
          <w:szCs w:val="20"/>
          <w:color w:val="auto"/>
        </w:rPr>
      </w:pPr>
      <w:r>
        <w:rPr>
          <w:rFonts w:ascii="Arial" w:cs="Arial" w:eastAsia="Arial" w:hAnsi="Arial"/>
          <w:sz w:val="18"/>
          <w:szCs w:val="18"/>
          <w:color w:val="auto"/>
        </w:rPr>
        <w:t>regulations, could cause KNA to be considered a Third-Party Servicer for other university clients. KNA is also subject to other federal and</w:t>
      </w:r>
    </w:p>
    <w:p>
      <w:pPr>
        <w:spacing w:after="0" w:line="1"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state laws, including, but not limited to, federal and state consumer protection laws and rules prohibiting unfair or deceptive marketing practices, data privacy, data protection and information security requirements established by federal, state and foreign governments,</w:t>
      </w:r>
    </w:p>
    <w:p>
      <w:pPr>
        <w:spacing w:after="0" w:line="235" w:lineRule="auto"/>
        <w:rPr>
          <w:sz w:val="20"/>
          <w:szCs w:val="20"/>
          <w:color w:val="auto"/>
        </w:rPr>
      </w:pPr>
      <w:r>
        <w:rPr>
          <w:rFonts w:ascii="Arial" w:cs="Arial" w:eastAsia="Arial" w:hAnsi="Arial"/>
          <w:sz w:val="18"/>
          <w:szCs w:val="18"/>
          <w:color w:val="auto"/>
        </w:rPr>
        <w:t>including, for example, the Federal Trade Commission and the applicable provisions of the Family Educational Rights and Privacy Act</w:t>
      </w:r>
    </w:p>
    <w:p>
      <w:pPr>
        <w:ind w:right="180"/>
        <w:spacing w:after="0" w:line="237" w:lineRule="auto"/>
        <w:rPr>
          <w:sz w:val="20"/>
          <w:szCs w:val="20"/>
          <w:color w:val="auto"/>
        </w:rPr>
      </w:pPr>
      <w:r>
        <w:rPr>
          <w:rFonts w:ascii="Arial" w:cs="Arial" w:eastAsia="Arial" w:hAnsi="Arial"/>
          <w:sz w:val="18"/>
          <w:szCs w:val="18"/>
          <w:color w:val="auto"/>
        </w:rPr>
        <w:t>regarding the privacy of student records. KNA’s failure to comply with these and other federal and state laws and regulations could result in adverse consequences to KNA’s business, including, for example:</w:t>
      </w:r>
    </w:p>
    <w:p>
      <w:pPr>
        <w:spacing w:after="0" w:line="127" w:lineRule="exact"/>
        <w:rPr>
          <w:sz w:val="20"/>
          <w:szCs w:val="20"/>
          <w:color w:val="auto"/>
        </w:rPr>
      </w:pPr>
    </w:p>
    <w:p>
      <w:pPr>
        <w:ind w:left="660" w:right="8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22" w:lineRule="exact"/>
        <w:rPr>
          <w:rFonts w:ascii="Arial" w:cs="Arial" w:eastAsia="Arial" w:hAnsi="Arial"/>
          <w:sz w:val="18"/>
          <w:szCs w:val="18"/>
          <w:color w:val="auto"/>
        </w:rPr>
      </w:pPr>
    </w:p>
    <w:p>
      <w:pPr>
        <w:ind w:left="660" w:right="420" w:hanging="328"/>
        <w:spacing w:after="0" w:line="24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27" w:lineRule="exact"/>
        <w:rPr>
          <w:rFonts w:ascii="Arial" w:cs="Arial" w:eastAsia="Arial" w:hAnsi="Arial"/>
          <w:sz w:val="18"/>
          <w:szCs w:val="18"/>
          <w:color w:val="auto"/>
        </w:rPr>
      </w:pPr>
    </w:p>
    <w:p>
      <w:pPr>
        <w:ind w:left="660" w:right="3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111" w:lineRule="exact"/>
        <w:rPr>
          <w:rFonts w:ascii="Arial" w:cs="Arial" w:eastAsia="Arial" w:hAnsi="Arial"/>
          <w:sz w:val="18"/>
          <w:szCs w:val="18"/>
          <w:color w:val="auto"/>
        </w:rPr>
      </w:pPr>
    </w:p>
    <w:p>
      <w:pPr>
        <w:ind w:left="660" w:right="70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Kaplan University to Purdue.</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laws, regulations and other requirements applicable to KNA or any KNA client institutions are subject to change and to interpretation. For example, borrower defense to repayment (BDTR) regulations that allow students to discharge certain federal loans and provide a process for</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ED to recover the discharged amounts from the students’ school, and closed school loan discharges may create liability for Kaplan as a past owner of Title IV eligible institutions. The ED also finalized changes to the BDTR regulations which expand the types of claims that can</w:t>
      </w:r>
    </w:p>
    <w:p>
      <w:pPr>
        <w:spacing w:after="0" w:line="235" w:lineRule="auto"/>
        <w:rPr>
          <w:sz w:val="20"/>
          <w:szCs w:val="20"/>
          <w:color w:val="auto"/>
        </w:rPr>
      </w:pPr>
      <w:r>
        <w:rPr>
          <w:rFonts w:ascii="Arial" w:cs="Arial" w:eastAsia="Arial" w:hAnsi="Arial"/>
          <w:sz w:val="18"/>
          <w:szCs w:val="18"/>
          <w:color w:val="auto"/>
        </w:rPr>
        <w:t>be made by students, reinstating the ability of the ED to consider claims as a group, removing limitation periods on claims, and changing the</w:t>
      </w:r>
    </w:p>
    <w:p>
      <w:pPr>
        <w:ind w:right="220"/>
        <w:spacing w:after="0" w:line="226" w:lineRule="auto"/>
        <w:rPr>
          <w:sz w:val="20"/>
          <w:szCs w:val="20"/>
          <w:color w:val="auto"/>
        </w:rPr>
      </w:pPr>
      <w:r>
        <w:rPr>
          <w:rFonts w:ascii="Arial" w:cs="Arial" w:eastAsia="Arial" w:hAnsi="Arial"/>
          <w:sz w:val="18"/>
          <w:szCs w:val="18"/>
          <w:color w:val="auto"/>
        </w:rPr>
        <w:t>process for seeking recoupment from institutions. In addition, as part of a Negotiated Rulemaking, new rules and changes to existing rules were finalized by the ED in the fourth quarter of 2022 and became effective on July 1, 2023. Included in these new rules is a change to the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Title IV definition of “nonprofit” institution to generally exclude from that definition any institution that is an obligor on a debt owed to a former owner of the institution or that maintains a revenue-based service agreement with a former owner of the institution. The 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 w:name="page8"/>
    <w:bookmarkEnd w:id="7"/>
    <w:p>
      <w:pPr>
        <w:ind w:right="360"/>
        <w:spacing w:after="0" w:line="271" w:lineRule="auto"/>
        <w:rPr>
          <w:sz w:val="20"/>
          <w:szCs w:val="20"/>
          <w:color w:val="auto"/>
        </w:rPr>
      </w:pPr>
      <w:r>
        <w:rPr>
          <w:rFonts w:ascii="Arial" w:cs="Arial" w:eastAsia="Arial" w:hAnsi="Arial"/>
          <w:sz w:val="18"/>
          <w:szCs w:val="18"/>
          <w:color w:val="auto"/>
        </w:rPr>
        <w:t>intends to apply this new definition to public institutions as well as private nonprofit institutions. Such regulatory changes, including those described above, could subject Kaplan or its partner institutions to additional regulatory requirements and liabilities.</w:t>
      </w:r>
    </w:p>
    <w:p>
      <w:pPr>
        <w:spacing w:after="0" w:line="8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bonus or other incentive payment to any person or entity engaged in any student recruiting or admission activities or in making</w:t>
      </w:r>
    </w:p>
    <w:p>
      <w:pPr>
        <w:ind w:right="400"/>
        <w:spacing w:after="0" w:line="226" w:lineRule="auto"/>
        <w:rPr>
          <w:sz w:val="20"/>
          <w:szCs w:val="20"/>
          <w:color w:val="auto"/>
        </w:rPr>
      </w:pPr>
      <w:r>
        <w:rPr>
          <w:rFonts w:ascii="Arial" w:cs="Arial" w:eastAsia="Arial" w:hAnsi="Arial"/>
          <w:sz w:val="18"/>
          <w:szCs w:val="18"/>
          <w:color w:val="auto"/>
        </w:rPr>
        <w:t>decisions regarding the awarding of Title IV funds if such payment is based directly or indirectly on success in securing enrollments or financial aid. KNA is a third party providing bundled services to Title IV participating institutions that include recruiting and, in the case of</w:t>
      </w:r>
    </w:p>
    <w:p>
      <w:pPr>
        <w:spacing w:after="0" w:line="236" w:lineRule="auto"/>
        <w:rPr>
          <w:sz w:val="20"/>
          <w:szCs w:val="20"/>
          <w:color w:val="auto"/>
        </w:rPr>
      </w:pPr>
      <w:r>
        <w:rPr>
          <w:rFonts w:ascii="Arial" w:cs="Arial" w:eastAsia="Arial" w:hAnsi="Arial"/>
          <w:sz w:val="18"/>
          <w:szCs w:val="18"/>
          <w:color w:val="auto"/>
        </w:rPr>
        <w:t>Purdue Global, financial aid services. As such, KNA is also subject to the incentive compensation rules as applied to the institutions it serves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and cannot provide any commission, bonus or other incentive payment to any covered employees, subcontractors or other party engaged in certain student recruiting, admission or financial aid activities based on success in securing enrollments or financial aid. In addition, tuition</w:t>
      </w:r>
    </w:p>
    <w:p>
      <w:pPr>
        <w:spacing w:after="0" w:line="236" w:lineRule="auto"/>
        <w:rPr>
          <w:sz w:val="20"/>
          <w:szCs w:val="20"/>
          <w:color w:val="auto"/>
        </w:rPr>
      </w:pPr>
      <w:r>
        <w:rPr>
          <w:rFonts w:ascii="Arial" w:cs="Arial" w:eastAsia="Arial" w:hAnsi="Arial"/>
          <w:sz w:val="18"/>
          <w:szCs w:val="18"/>
          <w:color w:val="auto"/>
        </w:rPr>
        <w:t>revenue-sharing payments to KNA under the TOSA (as well as any other agreement with any Title IV participating institution) must comply</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 the ED’s revenue sharing guidance related to bundled services agreements. For more information, see Item 1A. Risk Factors. Failure to Comply with the ED’s Title IV Incentive Compensation Rule Could Subject Kaplan to Liabilities, Sanctions and Fines.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related federal and state laws. These laws and regulations are broad in scope and may extend to statements by servicers, such as KNA, that provide marketing or certain other services to such institutions. The laws and regulations may also apply to KNA’s employees and agents</w:t>
      </w:r>
    </w:p>
    <w:p>
      <w:pPr>
        <w:spacing w:after="0" w:line="236" w:lineRule="auto"/>
        <w:rPr>
          <w:sz w:val="20"/>
          <w:szCs w:val="20"/>
          <w:color w:val="auto"/>
        </w:rPr>
      </w:pPr>
      <w:r>
        <w:rPr>
          <w:rFonts w:ascii="Arial" w:cs="Arial" w:eastAsia="Arial" w:hAnsi="Arial"/>
          <w:sz w:val="18"/>
          <w:szCs w:val="18"/>
          <w:color w:val="auto"/>
        </w:rPr>
        <w:t>with respect to statements addressing the nature of an institution’s programs, financial charges or the employability of its graduates.</w:t>
      </w:r>
    </w:p>
    <w:p>
      <w:pPr>
        <w:spacing w:after="0" w:line="1" w:lineRule="exact"/>
        <w:rPr>
          <w:sz w:val="20"/>
          <w:szCs w:val="20"/>
          <w:color w:val="auto"/>
        </w:rPr>
      </w:pPr>
    </w:p>
    <w:p>
      <w:pPr>
        <w:jc w:val="both"/>
        <w:ind w:right="500"/>
        <w:spacing w:after="0"/>
        <w:rPr>
          <w:sz w:val="20"/>
          <w:szCs w:val="20"/>
          <w:color w:val="auto"/>
        </w:rPr>
      </w:pPr>
      <w:r>
        <w:rPr>
          <w:rFonts w:ascii="Arial" w:cs="Arial" w:eastAsia="Arial" w:hAnsi="Arial"/>
          <w:sz w:val="17"/>
          <w:szCs w:val="17"/>
          <w:color w:val="auto"/>
        </w:rPr>
        <w:t>Additionally, failure to comply with these and other federal and state laws and regulations regarding misrepresentations and marketing practices could result in the imposition on KNA or its client institutions of fines, other sanctions or liabilities, including, without limitation,</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federal student aid repayment obligations to the ED, the termination or limitation on KNA’s eligibility to provide services as a third-party servicer to Title IV participating institutions, the termination or limitation of a client institution’s eligibility to participate in the Title IV programs,</w:t>
      </w:r>
    </w:p>
    <w:p>
      <w:pPr>
        <w:spacing w:after="0" w:line="235" w:lineRule="auto"/>
        <w:rPr>
          <w:sz w:val="20"/>
          <w:szCs w:val="20"/>
          <w:color w:val="auto"/>
        </w:rPr>
      </w:pPr>
      <w:r>
        <w:rPr>
          <w:rFonts w:ascii="Arial" w:cs="Arial" w:eastAsia="Arial" w:hAnsi="Arial"/>
          <w:sz w:val="18"/>
          <w:szCs w:val="18"/>
          <w:color w:val="auto"/>
        </w:rPr>
        <w:t>or legal action by students or other third parties. A violation of misrepresentation regulations or other federal or state laws and regulations</w:t>
      </w:r>
    </w:p>
    <w:p>
      <w:pPr>
        <w:ind w:right="40"/>
        <w:spacing w:after="0" w:line="226" w:lineRule="auto"/>
        <w:rPr>
          <w:sz w:val="20"/>
          <w:szCs w:val="20"/>
          <w:color w:val="auto"/>
        </w:rPr>
      </w:pPr>
      <w:r>
        <w:rPr>
          <w:rFonts w:ascii="Arial" w:cs="Arial" w:eastAsia="Arial" w:hAnsi="Arial"/>
          <w:sz w:val="18"/>
          <w:szCs w:val="18"/>
          <w:color w:val="auto"/>
        </w:rPr>
        <w:t>applicable to the services KNA provides to its client institutions arising out of statements by KNA, its employees or agents could require KNA to pay the costs associated with indemnifying its client institutions from losses resulting from the violation and could result in fines,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sanctions or liabilities imposed on KNA.</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KNA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to education institutions that are subject to federal and state laws and regulations and extensive accrediting body</w:t>
      </w:r>
    </w:p>
    <w:p>
      <w:pPr>
        <w:spacing w:after="0" w:line="235" w:lineRule="auto"/>
        <w:rPr>
          <w:sz w:val="20"/>
          <w:szCs w:val="20"/>
          <w:color w:val="auto"/>
        </w:rPr>
      </w:pPr>
      <w:r>
        <w:rPr>
          <w:rFonts w:ascii="Arial" w:cs="Arial" w:eastAsia="Arial" w:hAnsi="Arial"/>
          <w:sz w:val="18"/>
          <w:szCs w:val="18"/>
          <w:color w:val="auto"/>
        </w:rPr>
        <w:t>requirements. A material portion of KNA’s revenues is attributable to deferred purchase price and service fees it receives under the TOSA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Purdue Global, which are dependent upon revenues generated by Purdue Global and Purdue Global’s eligibility to participate in the Title IV federal student aid program. To maintain Title IV eligibility, Purdue Global and KNA’s other client institutions must be certified by the ED as</w:t>
      </w:r>
    </w:p>
    <w:p>
      <w:pPr>
        <w:spacing w:after="0" w:line="235" w:lineRule="auto"/>
        <w:rPr>
          <w:sz w:val="20"/>
          <w:szCs w:val="20"/>
          <w:color w:val="auto"/>
        </w:rPr>
      </w:pPr>
      <w:r>
        <w:rPr>
          <w:rFonts w:ascii="Arial" w:cs="Arial" w:eastAsia="Arial" w:hAnsi="Arial"/>
          <w:sz w:val="18"/>
          <w:szCs w:val="18"/>
          <w:color w:val="auto"/>
        </w:rPr>
        <w:t>eligible institutions, maintain authorizations by applicable state education agencies and be accredited by an accrediting commission</w:t>
      </w:r>
    </w:p>
    <w:p>
      <w:pPr>
        <w:ind w:right="640"/>
        <w:spacing w:after="0"/>
        <w:rPr>
          <w:sz w:val="20"/>
          <w:szCs w:val="20"/>
          <w:color w:val="auto"/>
        </w:rPr>
      </w:pPr>
      <w:r>
        <w:rPr>
          <w:rFonts w:ascii="Arial" w:cs="Arial" w:eastAsia="Arial" w:hAnsi="Arial"/>
          <w:sz w:val="17"/>
          <w:szCs w:val="17"/>
          <w:color w:val="auto"/>
        </w:rPr>
        <w:t>recognized by the ED. Purdue Global and KNA’s other client institutions must also comply with the extensive statutory and regulatory requirements of the Higher Education Act and other state and federal laws and accrediting standards relating to their financial aid</w:t>
      </w:r>
    </w:p>
    <w:p>
      <w:pPr>
        <w:spacing w:after="0" w:line="235" w:lineRule="auto"/>
        <w:rPr>
          <w:sz w:val="20"/>
          <w:szCs w:val="20"/>
          <w:color w:val="auto"/>
        </w:rPr>
      </w:pPr>
      <w:r>
        <w:rPr>
          <w:rFonts w:ascii="Arial" w:cs="Arial" w:eastAsia="Arial" w:hAnsi="Arial"/>
          <w:sz w:val="18"/>
          <w:szCs w:val="18"/>
          <w:color w:val="auto"/>
        </w:rPr>
        <w:t>management, educational programs, financial strength, disbursement and return of Title IV funds, facilities, recruiting practices,</w:t>
      </w:r>
    </w:p>
    <w:p>
      <w:pPr>
        <w:ind w:right="60"/>
        <w:spacing w:after="0" w:line="226" w:lineRule="auto"/>
        <w:rPr>
          <w:sz w:val="20"/>
          <w:szCs w:val="20"/>
          <w:color w:val="auto"/>
        </w:rPr>
      </w:pPr>
      <w:r>
        <w:rPr>
          <w:rFonts w:ascii="Arial" w:cs="Arial" w:eastAsia="Arial" w:hAnsi="Arial"/>
          <w:sz w:val="18"/>
          <w:szCs w:val="18"/>
          <w:color w:val="auto"/>
        </w:rPr>
        <w:t>representations made by the school and other parties, and various other matters. Additionally, Purdue Global and other client institutions are subject to laws and regulations that, among other things, limit student default rates on the repayment of Title IV loans, permit borrower</w:t>
      </w:r>
    </w:p>
    <w:p>
      <w:pPr>
        <w:spacing w:after="0" w:line="236" w:lineRule="auto"/>
        <w:rPr>
          <w:sz w:val="20"/>
          <w:szCs w:val="20"/>
          <w:color w:val="auto"/>
        </w:rPr>
      </w:pPr>
      <w:r>
        <w:rPr>
          <w:rFonts w:ascii="Arial" w:cs="Arial" w:eastAsia="Arial" w:hAnsi="Arial"/>
          <w:sz w:val="18"/>
          <w:szCs w:val="18"/>
          <w:color w:val="auto"/>
        </w:rPr>
        <w:t>defenses to repayment of Title IV loans based on certain conduct of the institution, establish specific measures of financial responsibility and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programmatic accreditation. If the ED finds that Purdue Global or other client institutions have failed to comply with</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8" w:name="page9"/>
    <w:bookmarkEnd w:id="8"/>
    <w:p>
      <w:pPr>
        <w:ind w:right="240"/>
        <w:spacing w:after="0" w:line="271" w:lineRule="auto"/>
        <w:rPr>
          <w:sz w:val="20"/>
          <w:szCs w:val="20"/>
          <w:color w:val="auto"/>
        </w:rPr>
      </w:pPr>
      <w:r>
        <w:rPr>
          <w:rFonts w:ascii="Arial" w:cs="Arial" w:eastAsia="Arial" w:hAnsi="Arial"/>
          <w:sz w:val="18"/>
          <w:szCs w:val="18"/>
          <w:color w:val="auto"/>
        </w:rPr>
        <w:t>Title IV requirements or improperly disbursed or retained Title IV program funds, it may take one or more of a number of actions, including, but not limited to:</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right="54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99"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submit a letter of credit;</w:t>
      </w:r>
    </w:p>
    <w:p>
      <w:pPr>
        <w:spacing w:after="0" w:line="157" w:lineRule="exact"/>
        <w:rPr>
          <w:rFonts w:ascii="Arial" w:cs="Arial" w:eastAsia="Arial" w:hAnsi="Arial"/>
          <w:sz w:val="18"/>
          <w:szCs w:val="18"/>
          <w:color w:val="auto"/>
        </w:rPr>
      </w:pPr>
    </w:p>
    <w:p>
      <w:pPr>
        <w:ind w:left="660" w:right="4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w:t>
      </w:r>
    </w:p>
    <w:p>
      <w:pPr>
        <w:spacing w:after="0" w:line="235" w:lineRule="auto"/>
        <w:rPr>
          <w:sz w:val="20"/>
          <w:szCs w:val="20"/>
          <w:color w:val="auto"/>
        </w:rPr>
      </w:pPr>
      <w:r>
        <w:rPr>
          <w:rFonts w:ascii="Arial" w:cs="Arial" w:eastAsia="Arial" w:hAnsi="Arial"/>
          <w:sz w:val="18"/>
          <w:szCs w:val="18"/>
          <w:color w:val="auto"/>
        </w:rPr>
        <w:t>state agency requirements or other state or federal laws, KNA’s financial results of operations could be adversely affected. After acquiring</w:t>
      </w:r>
    </w:p>
    <w:p>
      <w:pPr>
        <w:ind w:right="60"/>
        <w:spacing w:after="0" w:line="226" w:lineRule="auto"/>
        <w:rPr>
          <w:sz w:val="20"/>
          <w:szCs w:val="20"/>
          <w:color w:val="auto"/>
        </w:rPr>
      </w:pPr>
      <w:r>
        <w:rPr>
          <w:rFonts w:ascii="Arial" w:cs="Arial" w:eastAsia="Arial" w:hAnsi="Arial"/>
          <w:sz w:val="18"/>
          <w:szCs w:val="18"/>
          <w:color w:val="auto"/>
        </w:rPr>
        <w:t>Kaplan University, on August 3, 2018, Purdue Global received an updated Provisional Program Participation Agreement (PPPA) from the ED which is necessary for continued participation in the federal Title IV programs after the change in ownership from Kaplan to Purdue. On</w:t>
      </w:r>
    </w:p>
    <w:p>
      <w:pPr>
        <w:spacing w:after="0" w:line="2"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November 25, 2024, the ED approved Purdue Global’s Application for Participation in the Title IV program and granted a full Program Participation Agreement. This Program Participation Agreement expires on December 31, 2028, and will need to be renewed prior to that</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date pursuant to federal regulations. Per the terms of the Program Participation Agreement, Purdue Global must report to the ED any accreditation or governmental agency action or class action lawsuit.</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Compliance, regulatory actions, reviews and litigation. </w:t>
      </w:r>
      <w:r>
        <w:rPr>
          <w:rFonts w:ascii="Arial" w:cs="Arial" w:eastAsia="Arial" w:hAnsi="Arial"/>
          <w:sz w:val="18"/>
          <w:szCs w:val="18"/>
          <w:color w:val="auto"/>
        </w:rPr>
        <w:t>KNA and its client institutions are subject to reviews, audits, investigations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reviews conducted by various regulatory agencies and auditors, including, among others, the ED, the ED’s Office of the Inspector</w:t>
      </w:r>
    </w:p>
    <w:p>
      <w:pPr>
        <w:ind w:right="600"/>
        <w:spacing w:after="0" w:line="226" w:lineRule="auto"/>
        <w:rPr>
          <w:sz w:val="20"/>
          <w:szCs w:val="20"/>
          <w:color w:val="auto"/>
        </w:rPr>
      </w:pPr>
      <w:r>
        <w:rPr>
          <w:rFonts w:ascii="Arial" w:cs="Arial" w:eastAsia="Arial" w:hAnsi="Arial"/>
          <w:sz w:val="18"/>
          <w:szCs w:val="18"/>
          <w:color w:val="auto"/>
        </w:rPr>
        <w:t>General, accrediting bodies and state and various other federal agencies. These compliance reviews could result in findings of noncompliance with statutory and regulatory requirements that could, in turn, result in the imposition of fines, liabilities, civil or criminal</w:t>
      </w:r>
    </w:p>
    <w:p>
      <w:pPr>
        <w:spacing w:after="0" w:line="236" w:lineRule="auto"/>
        <w:rPr>
          <w:sz w:val="20"/>
          <w:szCs w:val="20"/>
          <w:color w:val="auto"/>
        </w:rPr>
      </w:pPr>
      <w:r>
        <w:rPr>
          <w:rFonts w:ascii="Arial" w:cs="Arial" w:eastAsia="Arial" w:hAnsi="Arial"/>
          <w:sz w:val="18"/>
          <w:szCs w:val="18"/>
          <w:color w:val="auto"/>
        </w:rPr>
        <w:t>penalties or other sanctions against KNA and its client institutions. Separately, if KNA provides financial aid services to more than one Title IV</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participating institution (i.e., one or more participating institutions in addition to Purdue Global), or if the ED expands the current interpretation of the definition of Third-Party Servicer to include services in addition to providing financial aid services, KNA will be required to arrange for</w:t>
      </w:r>
    </w:p>
    <w:p>
      <w:pPr>
        <w:spacing w:after="0" w:line="236" w:lineRule="auto"/>
        <w:rPr>
          <w:sz w:val="20"/>
          <w:szCs w:val="20"/>
          <w:color w:val="auto"/>
        </w:rPr>
      </w:pPr>
      <w:r>
        <w:rPr>
          <w:rFonts w:ascii="Arial" w:cs="Arial" w:eastAsia="Arial" w:hAnsi="Arial"/>
          <w:sz w:val="18"/>
          <w:szCs w:val="18"/>
          <w:color w:val="auto"/>
        </w:rPr>
        <w:t>an independent auditor to conduct an annual Title IV compliance audit of KNA’s compliance with applicable ED requirements. KNA’s client</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institutions are also required to arrange for an independent auditor to conduct an annual Title IV compliance audit of their compliance with applicable ED requirements, including requirements related to services provided by KNA.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May 2021, Kaplan received notice from the ED that it would be conducting a fact-finding process pursuant to the BDTR regulations to</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determine the validity of BDTR claims and a request for documents related to several of Kaplan’s previously owned schools. In 2021, Kaplan received BDTR applications from the ED seeking discharge of approximately $35 million in loans, excluding interest, from former Kaplan</w:t>
      </w:r>
    </w:p>
    <w:p>
      <w:pPr>
        <w:spacing w:after="0" w:line="236" w:lineRule="auto"/>
        <w:rPr>
          <w:sz w:val="20"/>
          <w:szCs w:val="20"/>
          <w:color w:val="auto"/>
        </w:rPr>
      </w:pPr>
      <w:r>
        <w:rPr>
          <w:rFonts w:ascii="Arial" w:cs="Arial" w:eastAsia="Arial" w:hAnsi="Arial"/>
          <w:sz w:val="18"/>
          <w:szCs w:val="18"/>
          <w:color w:val="auto"/>
        </w:rPr>
        <w:t>University students. It is not clear to what extent the ED will exclude claims based on the underlying statutes of limitations, evidence provided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by Kaplan, prior settlements with these students relieving their debt outside of the BDTR process, or any prior investigation related to schools attended by the student applicants. The ED’s process for adjudicating these claims is subject to the borrower defense regulations including</w:t>
      </w:r>
    </w:p>
    <w:p>
      <w:pPr>
        <w:spacing w:after="0" w:line="236" w:lineRule="auto"/>
        <w:rPr>
          <w:sz w:val="20"/>
          <w:szCs w:val="20"/>
          <w:color w:val="auto"/>
        </w:rPr>
      </w:pPr>
      <w:r>
        <w:rPr>
          <w:rFonts w:ascii="Arial" w:cs="Arial" w:eastAsia="Arial" w:hAnsi="Arial"/>
          <w:sz w:val="18"/>
          <w:szCs w:val="18"/>
          <w:color w:val="auto"/>
        </w:rPr>
        <w:t>those finalized in 2022 and effective July 1, 2023. Compared to the previous rule, the new rule in part, expands actions that can give rise to</w:t>
      </w:r>
    </w:p>
    <w:p>
      <w:pPr>
        <w:spacing w:after="0" w:line="1" w:lineRule="exact"/>
        <w:rPr>
          <w:sz w:val="20"/>
          <w:szCs w:val="20"/>
          <w:color w:val="auto"/>
        </w:rPr>
      </w:pPr>
    </w:p>
    <w:p>
      <w:pPr>
        <w:jc w:val="both"/>
        <w:ind w:right="360"/>
        <w:spacing w:after="0" w:line="226" w:lineRule="auto"/>
        <w:rPr>
          <w:sz w:val="20"/>
          <w:szCs w:val="20"/>
          <w:color w:val="auto"/>
        </w:rPr>
      </w:pPr>
      <w:r>
        <w:rPr>
          <w:rFonts w:ascii="Arial" w:cs="Arial" w:eastAsia="Arial" w:hAnsi="Arial"/>
          <w:sz w:val="18"/>
          <w:szCs w:val="18"/>
          <w:color w:val="auto"/>
        </w:rPr>
        <w:t>claims for discharge; provides that the borrower’s claim will be presumed true if the institution does not provide any responsive evidence; provides an easier process for group claims; and relies on current program review penalty hearing processes for discharge recoupment.</w:t>
      </w:r>
    </w:p>
    <w:p>
      <w:pPr>
        <w:spacing w:after="0" w:line="2"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Under the rule, the recoupment process applies only to loans first disbursed after July 1, 2023; however, the discharge process and standards apply to any pending application regardless of the loan date.</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w:t>
      </w:r>
    </w:p>
    <w:p>
      <w:pPr>
        <w:ind w:right="500"/>
        <w:spacing w:after="0" w:line="226" w:lineRule="auto"/>
        <w:rPr>
          <w:sz w:val="20"/>
          <w:szCs w:val="20"/>
          <w:color w:val="auto"/>
        </w:rPr>
      </w:pPr>
      <w:r>
        <w:rPr>
          <w:rFonts w:ascii="Arial" w:cs="Arial" w:eastAsia="Arial" w:hAnsi="Arial"/>
          <w:sz w:val="18"/>
          <w:szCs w:val="18"/>
          <w:color w:val="auto"/>
        </w:rPr>
        <w:t>regulatory filing requirements. Kaplan expects to vigorously defend any attempt by the ED to hold Kaplan liable for any ultimate student discharges. Kaplan responded to the initial set of claims in 2021 with documentary and narrative evidence to refute the allegations,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demonstrate their lack of merit,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and support the denial of all such claims by the ED. Kaplan intends to similarly respond to any new claims that apply to Kaplan University or</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other prior Kaplan-owned schools. If the claims are successful, the ED may seek reimbursement for the amount discharged from Kaplan. If the ED initiates a reimbursement action against Kaplan following approval of former students’ BDTR applications, Kaplan may be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liability.</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 xml:space="preserve">As part of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described below, the ED agreed to review any BDTR applications submitted between June 23, 2022 and November 15, 2022 on an expedited basis. In January 2024, Kaplan was informed that the ED received applications during this</w:t>
      </w:r>
    </w:p>
    <w:p>
      <w:pPr>
        <w:spacing w:after="0" w:line="235" w:lineRule="auto"/>
        <w:rPr>
          <w:sz w:val="20"/>
          <w:szCs w:val="20"/>
          <w:color w:val="auto"/>
        </w:rPr>
      </w:pPr>
      <w:r>
        <w:rPr>
          <w:rFonts w:ascii="Arial" w:cs="Arial" w:eastAsia="Arial" w:hAnsi="Arial"/>
          <w:sz w:val="18"/>
          <w:szCs w:val="18"/>
          <w:color w:val="auto"/>
        </w:rPr>
        <w:t>time period regarding former Kaplan University and Purdue Global students. Kaplan received those applications and believes none of the</w:t>
      </w:r>
    </w:p>
    <w:p>
      <w:pPr>
        <w:ind w:right="40"/>
        <w:spacing w:after="0" w:line="226" w:lineRule="auto"/>
        <w:rPr>
          <w:sz w:val="20"/>
          <w:szCs w:val="20"/>
          <w:color w:val="auto"/>
        </w:rPr>
      </w:pPr>
      <w:r>
        <w:rPr>
          <w:rFonts w:ascii="Arial" w:cs="Arial" w:eastAsia="Arial" w:hAnsi="Arial"/>
          <w:sz w:val="18"/>
          <w:szCs w:val="18"/>
          <w:color w:val="auto"/>
        </w:rPr>
        <w:t>applications has merit and that the applications are far outside any statute of limitations period and accordingly Kaplan responded similarly to responses for prior claims. The total discharge amount sought or how much of that amount would apply to Kaplan University students is not</w:t>
      </w:r>
    </w:p>
    <w:p>
      <w:pPr>
        <w:spacing w:after="0" w:line="236" w:lineRule="auto"/>
        <w:rPr>
          <w:sz w:val="20"/>
          <w:szCs w:val="20"/>
          <w:color w:val="auto"/>
        </w:rPr>
      </w:pPr>
      <w:r>
        <w:rPr>
          <w:rFonts w:ascii="Arial" w:cs="Arial" w:eastAsia="Arial" w:hAnsi="Arial"/>
          <w:sz w:val="18"/>
          <w:szCs w:val="18"/>
          <w:color w:val="auto"/>
        </w:rPr>
        <w:t xml:space="preserve">fully known.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requires the ED to adjudicate applications received during the designated time period pursuant</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to the requirements of the 2016 Borrower Defense Regulation. As noted, if the claims are successful, the ED may seek reimbursement for the amount discharged from Kaplan. Kaplan believes it has significant defenses against any attempt by the ED at recoupment including the</w:t>
      </w:r>
    </w:p>
    <w:p>
      <w:pPr>
        <w:spacing w:after="0" w:line="236" w:lineRule="auto"/>
        <w:rPr>
          <w:sz w:val="20"/>
          <w:szCs w:val="20"/>
          <w:color w:val="auto"/>
        </w:rPr>
      </w:pPr>
      <w:r>
        <w:rPr>
          <w:rFonts w:ascii="Arial" w:cs="Arial" w:eastAsia="Arial" w:hAnsi="Arial"/>
          <w:sz w:val="18"/>
          <w:szCs w:val="18"/>
          <w:color w:val="auto"/>
        </w:rPr>
        <w:t xml:space="preserve">claims’ collective lack of merit, the applicable statute of limitations periods, and the ED’s standing for recoupment given the </w:t>
      </w:r>
      <w:r>
        <w:rPr>
          <w:rFonts w:ascii="Arial" w:cs="Arial" w:eastAsia="Arial" w:hAnsi="Arial"/>
          <w:sz w:val="18"/>
          <w:szCs w:val="18"/>
          <w:i w:val="1"/>
          <w:iCs w:val="1"/>
          <w:color w:val="auto"/>
        </w:rPr>
        <w:t>Sweet</w:t>
      </w:r>
      <w:r>
        <w:rPr>
          <w:rFonts w:ascii="Arial" w:cs="Arial" w:eastAsia="Arial" w:hAnsi="Arial"/>
          <w:sz w:val="18"/>
          <w:szCs w:val="18"/>
          <w:color w:val="auto"/>
        </w:rPr>
        <w:t xml:space="preserve"> settlement</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described below. Regardless, if the ED initiates a reimbursement action against Kaplan following approval of former students’ BDTR applications, Kaplan may be subject to significant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November 2022, the Northern District of California approved the settlement agreement in the lawsuit </w:t>
      </w:r>
      <w:r>
        <w:rPr>
          <w:rFonts w:ascii="Arial" w:cs="Arial" w:eastAsia="Arial" w:hAnsi="Arial"/>
          <w:sz w:val="18"/>
          <w:szCs w:val="18"/>
          <w:i w:val="1"/>
          <w:iCs w:val="1"/>
          <w:color w:val="auto"/>
        </w:rPr>
        <w:t>Sweet v. Cardona</w:t>
      </w:r>
      <w:r>
        <w:rPr>
          <w:rFonts w:ascii="Arial" w:cs="Arial" w:eastAsia="Arial" w:hAnsi="Arial"/>
          <w:sz w:val="18"/>
          <w:szCs w:val="18"/>
          <w:color w:val="auto"/>
        </w:rPr>
        <w:t>. The Plaintiffs in</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that lawsuit claimed that the ED failed to properly consider and decide pending BDTR claims. As part of the settlement, the ED agreed to discharge loans of borrowers who attended 150 specific schools, including all schools formerly owned by Kaplan, and who had BDTR claims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pending as of the June 22, 2022 settlement execution date. This discharge will likely cover each of the first set of applications the ED sent to Kaplan and to which Kaplan previously responded. The ED and the Court made clear that these discharges as part of a settlement are not</w:t>
      </w:r>
    </w:p>
    <w:p>
      <w:pPr>
        <w:spacing w:after="0" w:line="236" w:lineRule="auto"/>
        <w:rPr>
          <w:sz w:val="20"/>
          <w:szCs w:val="20"/>
          <w:color w:val="auto"/>
        </w:rPr>
      </w:pPr>
      <w:r>
        <w:rPr>
          <w:rFonts w:ascii="Arial" w:cs="Arial" w:eastAsia="Arial" w:hAnsi="Arial"/>
          <w:sz w:val="18"/>
          <w:szCs w:val="18"/>
          <w:color w:val="auto"/>
        </w:rPr>
        <w:t>determinations that the pending BDTR claims are valid and the fact of the settlement discharge cannot be used as evidence of any</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determination of wrongdoing by the institutions. However, despite the fact that the loans are discharged per the settlement, the ED may still attempt to separately adjudicate the associated BDTR claims and follow the regulatory process for seeking recoupment from the institutions</w:t>
      </w:r>
    </w:p>
    <w:p>
      <w:pPr>
        <w:spacing w:after="0" w:line="236" w:lineRule="auto"/>
        <w:rPr>
          <w:sz w:val="20"/>
          <w:szCs w:val="20"/>
          <w:color w:val="auto"/>
        </w:rPr>
      </w:pPr>
      <w:r>
        <w:rPr>
          <w:rFonts w:ascii="Arial" w:cs="Arial" w:eastAsia="Arial" w:hAnsi="Arial"/>
          <w:sz w:val="18"/>
          <w:szCs w:val="18"/>
          <w:color w:val="auto"/>
        </w:rPr>
        <w:t>for such claims. As noted above, this settlement likely also applies to the resolution, future adjudication, and possible discharge of the newly</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noticed claims. As also noted, the ED could attempt to recoup from Kaplan some or all of any discharged amount for the newly noticed claims.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addition, Kaplan could be the subject of future compliance reviews or lawsuits related to formerly owned Kaplan University and KHE</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schools in connection with the pre-sale conduct of such schools that could result in monetary liabilities or fines or other sanctions against Kaplan.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Education</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KNA’s Supplemental Education segment includes exam preparation, professional licensure and certification, corporate training, career advising, and continuing education as well as Prelum programs. KNA offers a wide array of programs and services across various markets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focusing on lifetime value creation and professional lifecycles. These markets are discussed below.</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2024, KNA served over 713,951 students through its exam preparation, professional licensure and certification, and corporate training and continuing education programs and related products (such as tutoring, online question banks and online practice tests), excluding sales of</w:t>
      </w:r>
    </w:p>
    <w:p>
      <w:pPr>
        <w:spacing w:after="0" w:line="235" w:lineRule="auto"/>
        <w:rPr>
          <w:sz w:val="20"/>
          <w:szCs w:val="20"/>
          <w:color w:val="auto"/>
        </w:rPr>
      </w:pPr>
      <w:r>
        <w:rPr>
          <w:rFonts w:ascii="Arial" w:cs="Arial" w:eastAsia="Arial" w:hAnsi="Arial"/>
          <w:sz w:val="18"/>
          <w:szCs w:val="18"/>
          <w:color w:val="auto"/>
        </w:rPr>
        <w:t>test prep books by third-party retailers. KNA also publishes test preparation and reference resources sold through retail channels. At the end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2024, KNA published approximately 1,197 titles available in digital and print formats, including approximately 339 digital products, and sold approximately 1,317,333 books in 2024. Virtually all KNA exam preparation programs are offered online, typically in a live online classroom</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or a self-study format, although some programs are offered in person. Private tutoring services are provided online. In 2024, KNA served approximately 3,261 business-to-business clients, including approximately 161 Fortune 500 companies.</w:t>
      </w:r>
    </w:p>
    <w:p>
      <w:pPr>
        <w:spacing w:after="0" w:line="104"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b w:val="1"/>
          <w:bCs w:val="1"/>
          <w:i w:val="1"/>
          <w:iCs w:val="1"/>
          <w:color w:val="auto"/>
        </w:rPr>
        <w:t xml:space="preserve">High School Segment. </w:t>
      </w:r>
      <w:r>
        <w:rPr>
          <w:rFonts w:ascii="Arial" w:cs="Arial" w:eastAsia="Arial" w:hAnsi="Arial"/>
          <w:sz w:val="18"/>
          <w:szCs w:val="18"/>
          <w:color w:val="auto"/>
        </w:rPr>
        <w:t>KNA provides exam preparation for high school students under the Kaplan Test Prep and Barron’s Educational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brands for a broad range of standardized, high-stakes tests, including the SAT, ACT, and AP Exams. KNA also provides college advising, admissions consulting, tutoring and other advisory services.</w:t>
      </w:r>
    </w:p>
    <w:p>
      <w:pPr>
        <w:spacing w:after="0" w:line="10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b w:val="1"/>
          <w:bCs w:val="1"/>
          <w:i w:val="1"/>
          <w:iCs w:val="1"/>
          <w:color w:val="auto"/>
        </w:rPr>
        <w:t xml:space="preserve">Pre-college Programs. </w:t>
      </w:r>
      <w:r>
        <w:rPr>
          <w:rFonts w:ascii="Arial" w:cs="Arial" w:eastAsia="Arial" w:hAnsi="Arial"/>
          <w:sz w:val="17"/>
          <w:szCs w:val="17"/>
          <w:color w:val="auto"/>
        </w:rPr>
        <w:t>KNA provides online Prelum programs for high school students to explore careers and courses in partnership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postsecondary institutions. The programs also enable KNA’s university partners to build a relationship with prospective students and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to introduce them to their academic offerings, unique educational approach and culture. KNA’s Prelum programs have served thousands of students all over the world and in all 50 states, and include more than 75 programs in partnership with 11 highly ranked and respected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universities.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 xml:space="preserve">College Segment. </w:t>
      </w:r>
      <w:r>
        <w:rPr>
          <w:rFonts w:ascii="Arial" w:cs="Arial" w:eastAsia="Arial" w:hAnsi="Arial"/>
          <w:sz w:val="18"/>
          <w:szCs w:val="18"/>
          <w:color w:val="auto"/>
        </w:rPr>
        <w:t>KNA provides exam preparation for students under Kaplan Test Prep and Manhattan Prep including the law school</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admissions test (LSAT), the medical college admissions test (MCAT), graduate admissions tests (GMAT and GRE), and licensing exam preparation for engineers, architects and designers. This segment also provides preparation for Engineering &amp; Architecture certification</w:t>
      </w:r>
    </w:p>
    <w:p>
      <w:pPr>
        <w:spacing w:after="0" w:line="235" w:lineRule="auto"/>
        <w:rPr>
          <w:sz w:val="20"/>
          <w:szCs w:val="20"/>
          <w:color w:val="auto"/>
        </w:rPr>
      </w:pPr>
      <w:r>
        <w:rPr>
          <w:rFonts w:ascii="Arial" w:cs="Arial" w:eastAsia="Arial" w:hAnsi="Arial"/>
          <w:sz w:val="18"/>
          <w:szCs w:val="18"/>
          <w:color w:val="auto"/>
        </w:rPr>
        <w:t>exams under the PPI brand and for state attorney licensure exams in 50 jurisdictions through Kaplan Bar Review and Preliminary Multistate</w:t>
      </w:r>
    </w:p>
    <w:p>
      <w:pPr>
        <w:ind w:right="40"/>
        <w:spacing w:after="0"/>
        <w:rPr>
          <w:sz w:val="20"/>
          <w:szCs w:val="20"/>
          <w:color w:val="auto"/>
        </w:rPr>
      </w:pPr>
      <w:r>
        <w:rPr>
          <w:rFonts w:ascii="Arial" w:cs="Arial" w:eastAsia="Arial" w:hAnsi="Arial"/>
          <w:sz w:val="17"/>
          <w:szCs w:val="17"/>
          <w:color w:val="auto"/>
        </w:rPr>
        <w:t>Bar Review (PMBR). In 2024, KNA began exam development for state bar examinations. Also in 2024, KNA was awarded a contract with the State of Illinois to provide graduate school and licensure test preparation for the LSAT, MCAT, GMAT and GRE and license and certificate</w:t>
      </w:r>
    </w:p>
    <w:p>
      <w:pPr>
        <w:spacing w:after="0" w:line="235" w:lineRule="auto"/>
        <w:rPr>
          <w:sz w:val="20"/>
          <w:szCs w:val="20"/>
          <w:color w:val="auto"/>
        </w:rPr>
      </w:pPr>
      <w:r>
        <w:rPr>
          <w:rFonts w:ascii="Arial" w:cs="Arial" w:eastAsia="Arial" w:hAnsi="Arial"/>
          <w:sz w:val="18"/>
          <w:szCs w:val="18"/>
          <w:color w:val="auto"/>
        </w:rPr>
        <w:t>courses in nursing, financial services, real estate, and engineering to all Illinois public university students and all students at five community</w:t>
      </w:r>
    </w:p>
    <w:p>
      <w:pPr>
        <w:ind w:right="80"/>
        <w:spacing w:after="0" w:line="237" w:lineRule="auto"/>
        <w:rPr>
          <w:sz w:val="20"/>
          <w:szCs w:val="20"/>
          <w:color w:val="auto"/>
        </w:rPr>
      </w:pPr>
      <w:r>
        <w:rPr>
          <w:rFonts w:ascii="Arial" w:cs="Arial" w:eastAsia="Arial" w:hAnsi="Arial"/>
          <w:sz w:val="18"/>
          <w:szCs w:val="18"/>
          <w:color w:val="auto"/>
        </w:rPr>
        <w:t>colleges in Illinois. The contract has a five-year initial term, which is subject to annual reappropriation of funds and has one optional five-year renewal term for a total contract term of 10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Health Segment. </w:t>
      </w:r>
      <w:r>
        <w:rPr>
          <w:rFonts w:ascii="Arial" w:cs="Arial" w:eastAsia="Arial" w:hAnsi="Arial"/>
          <w:sz w:val="18"/>
          <w:szCs w:val="18"/>
          <w:color w:val="auto"/>
        </w:rPr>
        <w:t>KNA provides professional licensure exam preparation for physicians (USMLE), nurses (NCLEX), pharmacists (NAPLEX),</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dentists (NBDE) and physician assistants (PANCE). Under the brand i-Human Patients, KNA offers online, simulated patient interaction training for medical health professionals, which is typically purchased by medical, nursing and physician assistant schools. KNA’s USMLE in-</w:t>
      </w:r>
    </w:p>
    <w:p>
      <w:pPr>
        <w:spacing w:after="0" w:line="235" w:lineRule="auto"/>
        <w:rPr>
          <w:sz w:val="20"/>
          <w:szCs w:val="20"/>
          <w:color w:val="auto"/>
        </w:rPr>
      </w:pPr>
      <w:r>
        <w:rPr>
          <w:rFonts w:ascii="Arial" w:cs="Arial" w:eastAsia="Arial" w:hAnsi="Arial"/>
          <w:sz w:val="18"/>
          <w:szCs w:val="18"/>
          <w:color w:val="auto"/>
        </w:rPr>
        <w:t>person programs are accredited and the Student and Exchange Visitor Program (SEVP) is approved for F-1 students and operates under the</w:t>
      </w:r>
    </w:p>
    <w:p>
      <w:pPr>
        <w:ind w:right="300"/>
        <w:spacing w:after="0" w:line="237" w:lineRule="auto"/>
        <w:rPr>
          <w:sz w:val="20"/>
          <w:szCs w:val="20"/>
          <w:color w:val="auto"/>
        </w:rPr>
      </w:pPr>
      <w:r>
        <w:rPr>
          <w:rFonts w:ascii="Arial" w:cs="Arial" w:eastAsia="Arial" w:hAnsi="Arial"/>
          <w:sz w:val="18"/>
          <w:szCs w:val="18"/>
          <w:color w:val="auto"/>
        </w:rPr>
        <w:t>Kaplan Medical Prep brand. Under the brand, Projects in Knowledge, KNA offers continuing medical education for physicians, nurses and pharmacists which is accredited by Joint Accreditation for Interprofessional Continuing Education.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Finance and Real Estate Segment. </w:t>
      </w:r>
      <w:r>
        <w:rPr>
          <w:rFonts w:ascii="Arial" w:cs="Arial" w:eastAsia="Arial" w:hAnsi="Arial"/>
          <w:sz w:val="18"/>
          <w:szCs w:val="18"/>
          <w:color w:val="auto"/>
        </w:rPr>
        <w:t>Through live and online instruction, KNA provides professional license test preparation, licensing and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continuing education, as well as leadership and professional development programs to businesses and individuals in accounting, insurance, securities, real estate, financial services and wealth management. Programs are operated under the brands Dearborn Real Estate Education,</w:t>
      </w:r>
    </w:p>
    <w:p>
      <w:pPr>
        <w:spacing w:after="0" w:line="2"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Kaplan Real Estate Education, Bob Hogue School of Real Estate, Kaplan Financial Education and Kaplan Schweser. Additionally, KNA collaborates with organizations to solve their talent management challenges through customized corporate learning and development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solutions.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i w:val="1"/>
          <w:iCs w:val="1"/>
          <w:color w:val="auto"/>
        </w:rPr>
        <w:t xml:space="preserve">Government Segment. </w:t>
      </w:r>
      <w:r>
        <w:rPr>
          <w:rFonts w:ascii="Arial" w:cs="Arial" w:eastAsia="Arial" w:hAnsi="Arial"/>
          <w:sz w:val="17"/>
          <w:szCs w:val="17"/>
          <w:color w:val="auto"/>
        </w:rPr>
        <w:t>KNA offers preparation programs for the Armed Services Vocational Aptitude Battery (ASVAB) that measures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abilities and helps predict future academic and occupational success in the military. It also offers practice test questions for Navy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advancement exams on a subscription basis through the brand, Bluejacketeer.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 News Desk, a provider of social media management tools for news, government, education, and enterprise sectors. The following table sets forth certain information with respect to each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television stations: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jc w:val="center"/>
              <w:ind w:left="222"/>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48"/>
        </w:trPr>
        <w:tc>
          <w:tcPr>
            <w:tcW w:w="31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Network</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Stations</w:t>
            </w:r>
          </w:p>
        </w:tc>
      </w:tr>
      <w:tr>
        <w:trPr>
          <w:trHeight w:val="205"/>
        </w:trPr>
        <w:tc>
          <w:tcPr>
            <w:tcW w:w="316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KPRC, Houston, TX, 1949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rPr>
              <w:t>6th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14</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WDIV, Detroit, MI,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14th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WKMG, Orlando, FL, 1954</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15th</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12</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KSAT, San Antonio, TX, 1957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31st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13</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WJXT, Jacksonville, FL,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None</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WCWJ, Jacksonville, FL, 1966</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CW</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Aug.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WSLS, Roanoke, VA, 1952</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70th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2028</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10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Source: 2024/2025 Local Television Market Universe Estimates, the Nielsen Company, September 2024 and effective January 1, 2025, based on television homes in DMA (see note (b) below).</w:t>
      </w:r>
    </w:p>
    <w:p>
      <w:pPr>
        <w:spacing w:after="0" w:line="51" w:lineRule="exact"/>
        <w:rPr>
          <w:rFonts w:ascii="Arial" w:cs="Arial" w:eastAsia="Arial" w:hAnsi="Arial"/>
          <w:sz w:val="12"/>
          <w:szCs w:val="12"/>
          <w:color w:val="auto"/>
        </w:rPr>
      </w:pPr>
    </w:p>
    <w:p>
      <w:pPr>
        <w:ind w:right="280" w:firstLine="8"/>
        <w:spacing w:after="0" w:line="243"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28" w:lineRule="exact"/>
        <w:rPr>
          <w:sz w:val="20"/>
          <w:szCs w:val="20"/>
          <w:color w:val="auto"/>
        </w:rPr>
      </w:pPr>
    </w:p>
    <w:p>
      <w:pPr>
        <w:jc w:val="both"/>
        <w:ind w:right="300"/>
        <w:spacing w:after="0" w:line="251" w:lineRule="auto"/>
        <w:rPr>
          <w:sz w:val="20"/>
          <w:szCs w:val="20"/>
          <w:color w:val="auto"/>
        </w:rPr>
      </w:pPr>
      <w:r>
        <w:rPr>
          <w:rFonts w:ascii="Arial" w:cs="Arial" w:eastAsia="Arial" w:hAnsi="Arial"/>
          <w:sz w:val="17"/>
          <w:szCs w:val="17"/>
          <w:color w:val="auto"/>
        </w:rPr>
        <w:t>Revenue from broadcasting operations is derived primarily from the sale of advertising to local, regional and national advertisers. In 2024, advertising revenue accounted for 62% of the total revenue for GMG’s operations. Advertising revenue is sensitive to a number of factors,</w:t>
      </w:r>
    </w:p>
    <w:p>
      <w:pPr>
        <w:spacing w:after="0" w:line="235" w:lineRule="auto"/>
        <w:rPr>
          <w:sz w:val="20"/>
          <w:szCs w:val="20"/>
          <w:color w:val="auto"/>
        </w:rPr>
      </w:pPr>
      <w:r>
        <w:rPr>
          <w:rFonts w:ascii="Arial" w:cs="Arial" w:eastAsia="Arial" w:hAnsi="Arial"/>
          <w:sz w:val="18"/>
          <w:szCs w:val="18"/>
          <w:color w:val="auto"/>
        </w:rPr>
        <w:t>some specific to a particular station or market and others more general in nature. These factors include a station’s audience share and</w:t>
      </w:r>
    </w:p>
    <w:p>
      <w:pPr>
        <w:ind w:right="200"/>
        <w:spacing w:after="0" w:line="237" w:lineRule="auto"/>
        <w:rPr>
          <w:sz w:val="20"/>
          <w:szCs w:val="20"/>
          <w:color w:val="auto"/>
        </w:rPr>
      </w:pPr>
      <w:r>
        <w:rPr>
          <w:rFonts w:ascii="Arial" w:cs="Arial" w:eastAsia="Arial" w:hAnsi="Arial"/>
          <w:sz w:val="18"/>
          <w:szCs w:val="18"/>
          <w:color w:val="auto"/>
        </w:rPr>
        <w:t>market ranking; seasonal fluctuations in demand for airtime; annual or biannual events, such as sporting events and political elections; and broader economic and other market trends, including alternative advertising platforms (e.g., digital advertising), among others.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GMG also derives significant revenue from retransmission agreements with traditional cable, satellite and other multichannel video program</w:t>
      </w:r>
    </w:p>
    <w:p>
      <w:pPr>
        <w:spacing w:after="0" w:line="14"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distributors (MVPDs), which typically provide for payment to GMG on a per-subscriber basis, as well as agreements with various digital platforms.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GMG’s television broadcasting operations are subject to the jurisdiction of the U.S. Federal Communications Commission (FCC) under the U.S. Federal Communications Act of 1934, as amended (Communications Act). Each GMG television station holds an FCC license that is</w:t>
      </w:r>
    </w:p>
    <w:p>
      <w:pPr>
        <w:spacing w:after="0" w:line="235" w:lineRule="auto"/>
        <w:rPr>
          <w:sz w:val="20"/>
          <w:szCs w:val="20"/>
          <w:color w:val="auto"/>
        </w:rPr>
      </w:pPr>
      <w:r>
        <w:rPr>
          <w:rFonts w:ascii="Arial" w:cs="Arial" w:eastAsia="Arial" w:hAnsi="Arial"/>
          <w:sz w:val="18"/>
          <w:szCs w:val="18"/>
          <w:color w:val="auto"/>
        </w:rPr>
        <w:t>renewable upon application for an eight-year period. As shown in the table above, the current terms of the GMG station licenses expire</w:t>
      </w:r>
    </w:p>
    <w:p>
      <w:pPr>
        <w:ind w:right="40"/>
        <w:spacing w:after="0" w:line="237" w:lineRule="auto"/>
        <w:rPr>
          <w:sz w:val="20"/>
          <w:szCs w:val="20"/>
          <w:color w:val="auto"/>
        </w:rPr>
      </w:pPr>
      <w:r>
        <w:rPr>
          <w:rFonts w:ascii="Arial" w:cs="Arial" w:eastAsia="Arial" w:hAnsi="Arial"/>
          <w:sz w:val="18"/>
          <w:szCs w:val="18"/>
          <w:color w:val="auto"/>
        </w:rPr>
        <w:t>between 2028 and 2030. GMG expects the FCC to grant future license renewal applications for its stations in due course, but cannot provide any assurances that the FCC will do 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threshold established by the FCC. That interference could limit viewers’ ability to receive television stations’ signals. The amount of interference received by television stations could increase in the future based on the FCC’s decision to allow electronic devices, known as</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“white space,” devices, to operate in the television frequency band on an unlicensed basis on channels not used by nearby television stations.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standard, called Next Generation TV (NextGenTV) or ATSC 3.0. The new standard is designed to allow broadcasters to provide consumers with better sound and picture quality; hyper-localized programming, including news and weather; enhanced emergency alerts; and improved</w:t>
      </w:r>
    </w:p>
    <w:p>
      <w:pPr>
        <w:spacing w:after="0" w:line="236" w:lineRule="auto"/>
        <w:rPr>
          <w:sz w:val="20"/>
          <w:szCs w:val="20"/>
          <w:color w:val="auto"/>
        </w:rPr>
      </w:pPr>
      <w:r>
        <w:rPr>
          <w:rFonts w:ascii="Arial" w:cs="Arial" w:eastAsia="Arial" w:hAnsi="Arial"/>
          <w:sz w:val="18"/>
          <w:szCs w:val="18"/>
          <w:color w:val="auto"/>
        </w:rPr>
        <w:t>mobile reception. The ATSC 3.0 standard allows for the use of targeted advertising and more efficient use of spectrum by, for example,</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allowing for more multicast streams to be aired on the same six-megahertz channel. ATSC 3.0 is not backward compatible with existing television equipment (although certain adapters/converter boxes are now commercially available), and the FCC’s rules require full-power</w:t>
      </w:r>
    </w:p>
    <w:p>
      <w:pPr>
        <w:spacing w:after="0" w:line="236" w:lineRule="auto"/>
        <w:rPr>
          <w:sz w:val="20"/>
          <w:szCs w:val="20"/>
          <w:color w:val="auto"/>
        </w:rPr>
      </w:pPr>
      <w:r>
        <w:rPr>
          <w:rFonts w:ascii="Arial" w:cs="Arial" w:eastAsia="Arial" w:hAnsi="Arial"/>
          <w:sz w:val="18"/>
          <w:szCs w:val="18"/>
          <w:color w:val="auto"/>
        </w:rPr>
        <w:t>television stations that transition to the new standard to continue broadcasting a signal in the existing DTV standard (ATSC 1.0) until the FCC</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phases out the requirement in a future order. A transitioning station’s DTV-formatted content must be substantially similar to the programming aired on its ATSC 3.0 channel until July 17, 2027, to ensure that viewers continue to have access to the same DTV-formatted programming</w:t>
      </w:r>
    </w:p>
    <w:p>
      <w:pPr>
        <w:spacing w:after="0" w:line="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during the transition to the NextGenTV standard. As of December 31, 2024, GMG is broadcasting in the ATSC 3.0 standard on all of its stations. It is too soon to predict precisely how the use of broadcast spectrum for ATSC 3.0 services could impact the broadcast industry.</w:t>
      </w:r>
    </w:p>
    <w:p>
      <w:pPr>
        <w:spacing w:after="0" w:line="8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recent years, the FCC has authorized the use by wireless broadband providers and other unlicensed devices of certain bands of spectrum that have historically been used by broadcast stations and satellite operators. Broadcasters continue to urge the FCC to ensure that</w:t>
      </w:r>
    </w:p>
    <w:p>
      <w:pPr>
        <w:ind w:right="180"/>
        <w:spacing w:after="0" w:line="226" w:lineRule="auto"/>
        <w:rPr>
          <w:sz w:val="20"/>
          <w:szCs w:val="20"/>
          <w:color w:val="auto"/>
        </w:rPr>
      </w:pPr>
      <w:r>
        <w:rPr>
          <w:rFonts w:ascii="Arial" w:cs="Arial" w:eastAsia="Arial" w:hAnsi="Arial"/>
          <w:sz w:val="18"/>
          <w:szCs w:val="18"/>
          <w:color w:val="auto"/>
        </w:rPr>
        <w:t>broadcast operations are protected against interference from unlicensed devices operating in those bands. In November 2023, GMG timely filed a certification identifying all of its current, active authorizations in the 12.7-13.25 GHz band of spectrum, as required by the FCC as it</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considers whether to allow unlicensed devices to operate in that band. The extent to which GMG’s broadcast business will be affected by FCC action allowing unlicensed devices to operate in bands of spectrum used by broadcasters is not yet known.</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 xml:space="preserve">Carriage of Local Broadcast Signals. </w:t>
      </w:r>
      <w:r>
        <w:rPr>
          <w:rFonts w:ascii="Arial" w:cs="Arial" w:eastAsia="Arial" w:hAnsi="Arial"/>
          <w:sz w:val="17"/>
          <w:szCs w:val="17"/>
          <w:color w:val="auto"/>
        </w:rPr>
        <w:t>Congress has established, and periodically extended or otherwise modified, various statutory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copyright licensing regimes governing the local and distant carriage of broadcast television signals on traditional cable and satellite systems.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At present, the statutory copyright license does not extend to so-called “virtual” MVPDs (vMVPDs) that distribute programming via the internet. GMG cannot predict whether or how Congress may maintain or modify these regimes in the future, or what effect such decisions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would have on its broadcast operations.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Communications Act and FCC rules allow a commercial television broadcast station, under certain circumstances, to insist on mandatory carriage of its signal on cable systems serving the station’s market area (referred to as “must carry”). Alternatively, stations may elect, at</w:t>
      </w:r>
    </w:p>
    <w:p>
      <w:pPr>
        <w:spacing w:after="0" w:line="235" w:lineRule="auto"/>
        <w:rPr>
          <w:sz w:val="20"/>
          <w:szCs w:val="20"/>
          <w:color w:val="auto"/>
        </w:rPr>
      </w:pPr>
      <w:r>
        <w:rPr>
          <w:rFonts w:ascii="Arial" w:cs="Arial" w:eastAsia="Arial" w:hAnsi="Arial"/>
          <w:sz w:val="18"/>
          <w:szCs w:val="18"/>
          <w:color w:val="auto"/>
        </w:rPr>
        <w:t>three-year intervals, to forgo must-carry rights and allow their signals to be carried by cable systems only pursuant to a “retransmission</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consent” agreement negotiated by the broadcaster and the cable provider. A station that fails to make a timely carriage election is presumed to have elected “must carry.”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Commercial television stations may also elect either mandatory carriage or retransmission consent with respect to the carriage of their</w:t>
      </w:r>
    </w:p>
    <w:p>
      <w:pPr>
        <w:spacing w:after="0" w:line="14"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signals on direct broadcast satellite (DBS) systems that provide “local-into-local” service (i.e., systems that distribute the signals of local television stations to viewers in the local market area). A station that fails to make a timely carriage election on a DBS system has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mandatory carriage right and retains only its retransmission consent rights.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Stations that elect retransmission consent may negotiate for compensation from cable and DBS systems in exchange for the right to carry</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their signals. Retransmission consent elections must be made every three years. The most recent election deadline was October 1, 2023. Each of GMG’s television stations has elected retransmission consent for both cable and DBS operators, and each is carried on all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major cable and DBS systems serving each station’s respective local market pursuant to retransmission consent agreements.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Statutory changes over the last several years have resulted in changes to certain FCC rules governing retransmission consent negotiations. Pursuant to the Television Viewer Protection Act, enacted on December 20, 2019, the FCC made changes to the “good faith” standards that</w:t>
      </w:r>
    </w:p>
    <w:p>
      <w:pPr>
        <w:spacing w:after="0" w:line="235" w:lineRule="auto"/>
        <w:rPr>
          <w:sz w:val="20"/>
          <w:szCs w:val="20"/>
          <w:color w:val="auto"/>
        </w:rPr>
      </w:pPr>
      <w:r>
        <w:rPr>
          <w:rFonts w:ascii="Arial" w:cs="Arial" w:eastAsia="Arial" w:hAnsi="Arial"/>
          <w:sz w:val="18"/>
          <w:szCs w:val="18"/>
          <w:color w:val="auto"/>
        </w:rPr>
        <w:t>govern retransmission consent negotiations, as a result of which “large station groups” (groups of television broadcast stations that have a</w:t>
      </w:r>
    </w:p>
    <w:p>
      <w:pPr>
        <w:ind w:right="440"/>
        <w:spacing w:after="0" w:line="226" w:lineRule="auto"/>
        <w:rPr>
          <w:sz w:val="20"/>
          <w:szCs w:val="20"/>
          <w:color w:val="auto"/>
        </w:rPr>
      </w:pPr>
      <w:r>
        <w:rPr>
          <w:rFonts w:ascii="Arial" w:cs="Arial" w:eastAsia="Arial" w:hAnsi="Arial"/>
          <w:sz w:val="18"/>
          <w:szCs w:val="18"/>
          <w:color w:val="auto"/>
        </w:rPr>
        <w:t>national audience reach of more than 20%) are required to negotiate in good faith with MVPD “buying groups” (entities that negotiate on behalf of multiple small MVPDs). GMG does not qualify as a “large station group” under the statute and therefore is not subject to this</w:t>
      </w:r>
    </w:p>
    <w:p>
      <w:pPr>
        <w:spacing w:after="0" w:line="236" w:lineRule="auto"/>
        <w:rPr>
          <w:sz w:val="20"/>
          <w:szCs w:val="20"/>
          <w:color w:val="auto"/>
        </w:rPr>
      </w:pPr>
      <w:r>
        <w:rPr>
          <w:rFonts w:ascii="Arial" w:cs="Arial" w:eastAsia="Arial" w:hAnsi="Arial"/>
          <w:sz w:val="18"/>
          <w:szCs w:val="18"/>
          <w:color w:val="auto"/>
        </w:rPr>
        <w:t>obligation. While GMG does not anticipate that these rules will materially affect its bargaining position in retransmission consent negotiations,</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if Congress or the FCC were to enact further changes to the retransmission consent rules (such as by requiring small station groups like GMG to negotiate with MVPD buying groups, mandating continued carriage of a station’s signal by an MVPD during a retransmission</w:t>
      </w:r>
    </w:p>
    <w:p>
      <w:pPr>
        <w:spacing w:after="0" w:line="1"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color w:val="auto"/>
        </w:rPr>
        <w:t>consent dispute, or otherwise giving MVPDs heightened bargaining power), such changes could have a material effect on GMG’s retransmission consent revenues.</w:t>
      </w:r>
    </w:p>
    <w:p>
      <w:pPr>
        <w:spacing w:after="0" w:line="104"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In 2014, the FCC opened a proceeding to consider whether certain vMVPDs should be classified as MVPDs and thus subject to the retransmission consent rules. More than 10 years later, the FCC has taken no action in that proceeding, despite broadcasters’ sustained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advocacy efforts. Because the retransmission consent rules at present do not apply to vMVPDs such as YouTube TV, Hulu + Live TV, FuboTV, and DIRECTV Stream, the national broadcast networks negotiate agreements with vMVPDs that are presented to their affiliates as</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“opt-in” agreements, and local affiliates of the broadcast networks are unable to negotiate directly with vMVPDs to reach agreements for the carriage of their signals. Unless the FCC enacts rules (or Congress enacts legislation) that classify vMVPDs as MVPDs subject to the</w:t>
      </w:r>
    </w:p>
    <w:p>
      <w:pPr>
        <w:spacing w:after="0" w:line="236" w:lineRule="auto"/>
        <w:rPr>
          <w:sz w:val="20"/>
          <w:szCs w:val="20"/>
          <w:color w:val="auto"/>
        </w:rPr>
      </w:pPr>
      <w:r>
        <w:rPr>
          <w:rFonts w:ascii="Arial" w:cs="Arial" w:eastAsia="Arial" w:hAnsi="Arial"/>
          <w:sz w:val="18"/>
          <w:szCs w:val="18"/>
          <w:color w:val="auto"/>
        </w:rPr>
        <w:t>retransmission consent rules, GMG may be unable to negotiate carriage agreements with these distribution services that include the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payment of market-based retransmission fees. At the same time, broadcasters have no “must carry” rights with respect to vMVPDs and thus often cannot secure carriage of non-network-affiliated commercial television stations on vMVPD platforms. As one example, WJXT-TV is not</w:t>
      </w:r>
    </w:p>
    <w:p>
      <w:pPr>
        <w:spacing w:after="0" w:line="1"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carried on Hulu + Live TV. The current rules are significant to GMG stations as vMVPD subscriber numbers continue to increase. vMVPD YouTube TV is predicted to be the largest pay-TV provider by 2026, surpassing traditional facilities-based cable and satellite distributors.</w:t>
      </w:r>
    </w:p>
    <w:p>
      <w:pPr>
        <w:spacing w:after="0" w:line="8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FCC has also considered proposals to alter its rules governing network non-duplication and syndicated exclusivity. More than 10 years ago, in March 2014, the FCC solicited comments on a proposal to eliminate its network non-duplication and syndicated exclusivity rules,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which restrict the ability of cable operators, DBS systems and other distributors classified by the FCC as MVPDs to import the signals of out-of-market television stations with duplicate programming during retransmission consent disputes or otherwise. The FCC has not acted on</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that proposal. If Congress or the FCC were to enact further changes to the exclusivity rules, such changes could materially affect the GMG stations’ bargaining position in future retransmission consent negotiations.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Ownership Limits. </w:t>
      </w:r>
      <w:r>
        <w:rPr>
          <w:rFonts w:ascii="Arial" w:cs="Arial" w:eastAsia="Arial" w:hAnsi="Arial"/>
          <w:sz w:val="17"/>
          <w:szCs w:val="17"/>
          <w:color w:val="161616"/>
        </w:rPr>
        <w:t>The Communications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161616"/>
        </w:rPr>
        <w:t>the FCC</w:t>
      </w:r>
      <w:r>
        <w:rPr>
          <w:rFonts w:ascii="Arial" w:cs="Arial" w:eastAsia="Arial" w:hAnsi="Arial"/>
          <w:sz w:val="17"/>
          <w:szCs w:val="17"/>
          <w:color w:val="auto"/>
        </w:rPr>
        <w:t>’</w:t>
      </w:r>
      <w:r>
        <w:rPr>
          <w:rFonts w:ascii="Arial" w:cs="Arial" w:eastAsia="Arial" w:hAnsi="Arial"/>
          <w:sz w:val="17"/>
          <w:szCs w:val="17"/>
          <w:color w:val="161616"/>
        </w:rPr>
        <w:t>s rules limit the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161616"/>
        </w:rPr>
        <w:t>types of media outlets in which a single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 xml:space="preserve">entity </w:t>
      </w:r>
      <w:r>
        <w:rPr>
          <w:rFonts w:ascii="Arial" w:cs="Arial" w:eastAsia="Arial" w:hAnsi="Arial"/>
          <w:sz w:val="17"/>
          <w:szCs w:val="17"/>
          <w:color w:val="161616"/>
        </w:rPr>
        <w:t>may have an attributable interest.</w:t>
      </w:r>
      <w:r>
        <w:rPr>
          <w:rFonts w:ascii="Arial" w:cs="Arial" w:eastAsia="Arial" w:hAnsi="Arial"/>
          <w:sz w:val="17"/>
          <w:szCs w:val="17"/>
          <w:color w:val="262826"/>
        </w:rPr>
        <w:t xml:space="preserve"> </w:t>
      </w:r>
      <w:r>
        <w:rPr>
          <w:rFonts w:ascii="Arial" w:cs="Arial" w:eastAsia="Arial" w:hAnsi="Arial"/>
          <w:sz w:val="17"/>
          <w:szCs w:val="17"/>
          <w:color w:val="000000"/>
        </w:rPr>
        <w:t>The FCC is required by statute to review its media ownership rules (with the exception of the national</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television ownership rule, discussed below) every four years to determine whether those rules remain necessary in the public interest as a result of competition. This process is referred to as the quadrennial review. The media </w:t>
      </w:r>
      <w:r>
        <w:rPr>
          <w:rFonts w:ascii="Arial" w:cs="Arial" w:eastAsia="Arial" w:hAnsi="Arial"/>
          <w:sz w:val="18"/>
          <w:szCs w:val="18"/>
          <w:color w:val="161616"/>
        </w:rPr>
        <w:t>ownership rule most relevant to GMG is the local</w:t>
      </w:r>
    </w:p>
    <w:p>
      <w:pPr>
        <w:spacing w:after="0" w:line="236" w:lineRule="auto"/>
        <w:rPr>
          <w:sz w:val="20"/>
          <w:szCs w:val="20"/>
          <w:color w:val="auto"/>
        </w:rPr>
      </w:pPr>
      <w:r>
        <w:rPr>
          <w:rFonts w:ascii="Arial" w:cs="Arial" w:eastAsia="Arial" w:hAnsi="Arial"/>
          <w:sz w:val="18"/>
          <w:szCs w:val="18"/>
          <w:color w:val="161616"/>
        </w:rPr>
        <w:t>television ownership rule. The rule prohibits one broadcaster from owning (or having an attributable interest in) two full-power television</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161616"/>
        </w:rPr>
        <w:t>stations licensed in the same Nielsen DMA if both of them are ranked among the top four stations in the market, unless the broadcaster can demonstrate to the FCC that the combination serves the public interest. Ownership of more than two, full-power television stations in a single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61616"/>
        </w:rPr>
        <w:t>market is generally prohibited.</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Commission initiated the 2018 quadrennial review in December 2018 and completed it via a Report and Order dated December 26, 2023 (2023 Order). The 2023 Order largely retains the current local television ownership rule without significant substantive change, with one</w:t>
      </w:r>
    </w:p>
    <w:p>
      <w:pPr>
        <w:spacing w:after="0" w:line="235" w:lineRule="auto"/>
        <w:rPr>
          <w:sz w:val="20"/>
          <w:szCs w:val="20"/>
          <w:color w:val="auto"/>
        </w:rPr>
      </w:pPr>
      <w:r>
        <w:rPr>
          <w:rFonts w:ascii="Arial" w:cs="Arial" w:eastAsia="Arial" w:hAnsi="Arial"/>
          <w:sz w:val="18"/>
          <w:szCs w:val="18"/>
          <w:color w:val="auto"/>
        </w:rPr>
        <w:t>exception: going forward, the rule generally will prohibit a broadcaster from acquiring a second (or additional) top-four network affiliation and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placing it on a station’s multicast stream or on a commonly owned low power television station in the same market. The 2023 Order exempts from this restriction ownership of two or more top-four network affiliations resulting from organic growth of a station’s market share or from a</w:t>
      </w:r>
    </w:p>
    <w:p>
      <w:pPr>
        <w:spacing w:after="0" w:line="235" w:lineRule="auto"/>
        <w:rPr>
          <w:sz w:val="20"/>
          <w:szCs w:val="20"/>
          <w:color w:val="auto"/>
        </w:rPr>
      </w:pPr>
      <w:r>
        <w:rPr>
          <w:rFonts w:ascii="Arial" w:cs="Arial" w:eastAsia="Arial" w:hAnsi="Arial"/>
          <w:sz w:val="18"/>
          <w:szCs w:val="18"/>
          <w:color w:val="auto"/>
        </w:rPr>
        <w:t>network’s choice to move an affiliation between stations in a market. In March 2024, the National Association of Broadcasters and several</w:t>
      </w:r>
    </w:p>
    <w:p>
      <w:pPr>
        <w:ind w:right="20"/>
        <w:spacing w:after="0" w:line="226" w:lineRule="auto"/>
        <w:rPr>
          <w:sz w:val="20"/>
          <w:szCs w:val="20"/>
          <w:color w:val="auto"/>
        </w:rPr>
      </w:pPr>
      <w:r>
        <w:rPr>
          <w:rFonts w:ascii="Arial" w:cs="Arial" w:eastAsia="Arial" w:hAnsi="Arial"/>
          <w:sz w:val="18"/>
          <w:szCs w:val="18"/>
          <w:color w:val="auto"/>
        </w:rPr>
        <w:t>broadcast groups filed petitions for review of the 2023 Order, challenging the 2023 Order as contrary to the Communications Act. The litigation has been consolidated in the Eighth Circuit Court of Appeals in St. Louis, Missouri. Briefing has been completed, but no date for oral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argument has yet been set.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2022 quadrennial review, which the FCC initiated in December 2022, is pending.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 remains to be seen whether and how the pending litigation challenging the FCC’s 2023 Order might affect the FCC’s action in the 2022</w:t>
      </w:r>
    </w:p>
    <w:p>
      <w:pPr>
        <w:spacing w:after="0" w:line="14"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quadrennial review proceeding. GMG’s ability to enter into certain transactions in the future may be affected by resolution of the legal challenge to the ownership rules articulated in the 2023 Order and/or by the resolution of the 2022 quadrennial review proceeding.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stations nationwide, as long as the aggregate audience reach of such stations does not exceed 39% of nationwide television households and as long as such interest complies with the FCC’s other ownership restrictions. That calculation takes into account the 50% Ultra High</w:t>
      </w:r>
    </w:p>
    <w:p>
      <w:pPr>
        <w:spacing w:after="0" w:line="236" w:lineRule="auto"/>
        <w:rPr>
          <w:sz w:val="20"/>
          <w:szCs w:val="20"/>
          <w:color w:val="auto"/>
        </w:rPr>
      </w:pPr>
      <w:r>
        <w:rPr>
          <w:rFonts w:ascii="Arial" w:cs="Arial" w:eastAsia="Arial" w:hAnsi="Arial"/>
          <w:sz w:val="18"/>
          <w:szCs w:val="18"/>
          <w:color w:val="auto"/>
        </w:rPr>
        <w:t>Frequency (UHF) discount, under which stations broadcasting on UHF channels are credited with only half the number of households in their</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market. In December 2017, the FCC initiated a rule-making proceeding seeking comments regarding its authority to modify or eliminate the national television ownership cap, as well as the potential elimination of the UHF discount. That proceeding remains open.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on their primary stream with one of the national television networks that provides a</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substantial amount of programming to their television station affiliates. The expiration dates of GMG’s affiliation agreements are set forth in the table at the beginning of this Television Broadcasting section. WJXT, one of GMG’s Jacksonville stations, has operated as an</w:t>
      </w:r>
    </w:p>
    <w:p>
      <w:pPr>
        <w:spacing w:after="0" w:line="236" w:lineRule="auto"/>
        <w:rPr>
          <w:sz w:val="20"/>
          <w:szCs w:val="20"/>
          <w:color w:val="auto"/>
        </w:rPr>
      </w:pPr>
      <w:r>
        <w:rPr>
          <w:rFonts w:ascii="Arial" w:cs="Arial" w:eastAsia="Arial" w:hAnsi="Arial"/>
          <w:sz w:val="18"/>
          <w:szCs w:val="18"/>
          <w:color w:val="auto"/>
        </w:rPr>
        <w:t>independent station since 2002. In addition, each of the GMG stations receives programming from syndicators and other third-party</w:t>
      </w:r>
    </w:p>
    <w:p>
      <w:pPr>
        <w:spacing w:after="0" w:line="1"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programming providers. GMG’s performance depends in part on the quality and availability of third-party programming broadcast by its stations, and any substantial decline in the quality or availability of this programming could materially affect the ability of GMG and its</w:t>
      </w:r>
    </w:p>
    <w:p>
      <w:pPr>
        <w:spacing w:after="0" w:line="236" w:lineRule="auto"/>
        <w:rPr>
          <w:sz w:val="20"/>
          <w:szCs w:val="20"/>
          <w:color w:val="auto"/>
        </w:rPr>
      </w:pPr>
      <w:r>
        <w:rPr>
          <w:rFonts w:ascii="Arial" w:cs="Arial" w:eastAsia="Arial" w:hAnsi="Arial"/>
          <w:sz w:val="18"/>
          <w:szCs w:val="18"/>
          <w:color w:val="auto"/>
        </w:rPr>
        <w:t>competitors to attract viewers, generate advertising and distribution revenues, or enter into certain transactions in the future. In addition,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advent of network direct-to-consumer platforms such as Paramount+ and Peacock potentially impacts the value of programming provided by the national networks, much of which is also available on the network-owned streaming platforms. The availability of network programming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subscribers on those platforms could affect GMG’s leverage in its retransmission consent negotiations.</w:t>
      </w:r>
    </w:p>
    <w:p>
      <w:pPr>
        <w:spacing w:after="0" w:line="12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are generally expected to air a specified number of hours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intended to serve the educational and informational needs of children and to complete reports on an annual basis concerning</w:t>
      </w:r>
    </w:p>
    <w:p>
      <w:pPr>
        <w:spacing w:after="0" w:line="226" w:lineRule="auto"/>
        <w:rPr>
          <w:sz w:val="20"/>
          <w:szCs w:val="20"/>
          <w:color w:val="auto"/>
        </w:rPr>
      </w:pPr>
      <w:r>
        <w:rPr>
          <w:rFonts w:ascii="Arial" w:cs="Arial" w:eastAsia="Arial" w:hAnsi="Arial"/>
          <w:sz w:val="18"/>
          <w:szCs w:val="18"/>
          <w:color w:val="auto"/>
        </w:rPr>
        <w:t>children’s programming. At present, the rules require stations to air at least 156 hours annually of “core programs,” including at least 26 hours per quarter of regularly scheduled weekly programs. In July 2019, the FCC modified the children’s programming rules to provide</w:t>
      </w:r>
    </w:p>
    <w:p>
      <w:pPr>
        <w:spacing w:after="0" w:line="236" w:lineRule="auto"/>
        <w:rPr>
          <w:sz w:val="20"/>
          <w:szCs w:val="20"/>
          <w:color w:val="auto"/>
        </w:rPr>
      </w:pPr>
      <w:r>
        <w:rPr>
          <w:rFonts w:ascii="Arial" w:cs="Arial" w:eastAsia="Arial" w:hAnsi="Arial"/>
          <w:sz w:val="18"/>
          <w:szCs w:val="18"/>
          <w:color w:val="auto"/>
        </w:rPr>
        <w:t>broadcasters with more flexibility in meeting their public interest obligations. Among other things, the current rules allow up to 52 hours per</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year of children’s programming to consist of educational specials and/or short-form programming. The prior rules required all qualifying programming to be regularly scheduled and aired in 30-minute blocks. While stations are required to air the substantial majority of their</w:t>
      </w:r>
    </w:p>
    <w:p>
      <w:pPr>
        <w:spacing w:after="0" w:line="235" w:lineRule="auto"/>
        <w:rPr>
          <w:sz w:val="20"/>
          <w:szCs w:val="20"/>
          <w:color w:val="auto"/>
        </w:rPr>
      </w:pPr>
      <w:r>
        <w:rPr>
          <w:rFonts w:ascii="Arial" w:cs="Arial" w:eastAsia="Arial" w:hAnsi="Arial"/>
          <w:sz w:val="18"/>
          <w:szCs w:val="18"/>
          <w:color w:val="auto"/>
        </w:rPr>
        <w:t>educational and informational children’s programming on their primary program stream, under the current rules they may now air up to 13</w:t>
      </w:r>
    </w:p>
    <w:p>
      <w:pPr>
        <w:ind w:right="640"/>
        <w:spacing w:after="0" w:line="237" w:lineRule="auto"/>
        <w:rPr>
          <w:sz w:val="20"/>
          <w:szCs w:val="20"/>
          <w:color w:val="auto"/>
        </w:rPr>
      </w:pPr>
      <w:r>
        <w:rPr>
          <w:rFonts w:ascii="Arial" w:cs="Arial" w:eastAsia="Arial" w:hAnsi="Arial"/>
          <w:sz w:val="18"/>
          <w:szCs w:val="18"/>
          <w:color w:val="auto"/>
        </w:rPr>
        <w:t>hours per quarter of regularly scheduled weekly programming on a multicast stream. In addition, the FCC requires stations to limit the amount of advertising that appears during certain children’s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FCC regulations and policies ensure that broadcast licensees operate in the public interest, including rules requiring the disclosure of</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w:t>
      </w:r>
    </w:p>
    <w:p>
      <w:pPr>
        <w:spacing w:after="0" w:line="235" w:lineRule="auto"/>
        <w:rPr>
          <w:sz w:val="20"/>
          <w:szCs w:val="20"/>
          <w:color w:val="auto"/>
        </w:rPr>
      </w:pPr>
      <w:r>
        <w:rPr>
          <w:rFonts w:ascii="Arial" w:cs="Arial" w:eastAsia="Arial" w:hAnsi="Arial"/>
          <w:sz w:val="18"/>
          <w:szCs w:val="18"/>
          <w:color w:val="auto"/>
        </w:rPr>
        <w:t>of video programming distributed via the internet; rules governing the broadcast of emergency alerts; rules requiring broadcasters to maintain</w:t>
      </w:r>
    </w:p>
    <w:p>
      <w:pPr>
        <w:ind w:right="240"/>
        <w:spacing w:after="0"/>
        <w:rPr>
          <w:sz w:val="20"/>
          <w:szCs w:val="20"/>
          <w:color w:val="auto"/>
        </w:rPr>
      </w:pPr>
      <w:r>
        <w:rPr>
          <w:rFonts w:ascii="Arial" w:cs="Arial" w:eastAsia="Arial" w:hAnsi="Arial"/>
          <w:sz w:val="17"/>
          <w:szCs w:val="17"/>
          <w:color w:val="auto"/>
        </w:rPr>
        <w:t>equal employment opportunity recruitment programs; rules imposing certain inquiry, disclosure, and recordkeeping requirements related to programming sponsored by foreign governmental entities; and rules concerning the volume of commercials. Compliance with these rules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imposes additional costs on the GMG stations that could affect GMG’s operations.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 xml:space="preserve">Political Advertising. </w:t>
      </w:r>
      <w:r>
        <w:rPr>
          <w:rFonts w:ascii="Arial" w:cs="Arial" w:eastAsia="Arial" w:hAnsi="Arial"/>
          <w:sz w:val="17"/>
          <w:szCs w:val="17"/>
          <w:color w:val="auto"/>
        </w:rPr>
        <w:t>The FCC regulates the sale of advertising by GMG’s stations to candidates for public office and imposes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regarding the broadcast of political announcements more generally, including the disclosure of certain information related to such</w:t>
      </w:r>
    </w:p>
    <w:p>
      <w:pPr>
        <w:spacing w:after="0" w:line="235" w:lineRule="auto"/>
        <w:rPr>
          <w:sz w:val="20"/>
          <w:szCs w:val="20"/>
          <w:color w:val="auto"/>
        </w:rPr>
      </w:pPr>
      <w:r>
        <w:rPr>
          <w:rFonts w:ascii="Arial" w:cs="Arial" w:eastAsia="Arial" w:hAnsi="Arial"/>
          <w:sz w:val="18"/>
          <w:szCs w:val="18"/>
          <w:color w:val="auto"/>
        </w:rPr>
        <w:t>advertising in the station’s online public inspection file. The application of these regulations may limit the advertising revenues of GMG’s</w:t>
      </w:r>
    </w:p>
    <w:p>
      <w:pPr>
        <w:ind w:right="340"/>
        <w:spacing w:after="0" w:line="226" w:lineRule="auto"/>
        <w:rPr>
          <w:sz w:val="20"/>
          <w:szCs w:val="20"/>
          <w:color w:val="auto"/>
        </w:rPr>
      </w:pPr>
      <w:r>
        <w:rPr>
          <w:rFonts w:ascii="Arial" w:cs="Arial" w:eastAsia="Arial" w:hAnsi="Arial"/>
          <w:sz w:val="18"/>
          <w:szCs w:val="18"/>
          <w:color w:val="auto"/>
        </w:rPr>
        <w:t>television stations during the periods preceding elections. Failure to comply with the political advertising rules may result in enforcement actions by the FCC. The Company has procedures in place regarding compliance with the FCC’s political advertising rules and seeks the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advice and guidance of outside counsel as appropriate, but cannot predict how the FCC’s future application of these rules will affect GMG’s stations.</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w:t>
      </w:r>
    </w:p>
    <w:p>
      <w:pPr>
        <w:ind w:right="380"/>
        <w:spacing w:after="0"/>
        <w:rPr>
          <w:sz w:val="20"/>
          <w:szCs w:val="20"/>
          <w:color w:val="auto"/>
        </w:rPr>
      </w:pPr>
      <w:r>
        <w:rPr>
          <w:rFonts w:ascii="Arial" w:cs="Arial" w:eastAsia="Arial" w:hAnsi="Arial"/>
          <w:sz w:val="17"/>
          <w:szCs w:val="17"/>
          <w:color w:val="auto"/>
        </w:rPr>
        <w:t>challenged these rules, arguing, among other things, that the FCC has failed to justify its indecency decisions adequately, that the FCC’s policy is too subjective to guide broadcasters’ programming decisions, and that its enforcement approach otherwise violates the First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ind w:right="600"/>
        <w:spacing w:after="0" w:line="271" w:lineRule="auto"/>
        <w:rPr>
          <w:sz w:val="20"/>
          <w:szCs w:val="20"/>
          <w:color w:val="auto"/>
        </w:rPr>
      </w:pPr>
      <w:r>
        <w:rPr>
          <w:rFonts w:ascii="Arial" w:cs="Arial" w:eastAsia="Arial" w:hAnsi="Arial"/>
          <w:sz w:val="18"/>
          <w:szCs w:val="18"/>
          <w:color w:val="auto"/>
        </w:rPr>
        <w:t>The Company cannot predict how GMG’s stations may be affected by the FCC’s current or future interpretation and enforcement of its indecency policies.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Hoover Treated Wood Products, Inc. (Hoover) is a supplier of pressure-impregnated kiln-dried lumber and plywood products for fire-retardant and preservative applications. Hoover, founded in 1955 and acquired by the Company in 2017, is headquartered in Augusta, GA. It operates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 facilities across the country and services a stocking distributor network of more than 100 locations spanning the U.S. and Canada.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industrial and appliance products. Dekko, founded in 1952, is headquartered in Fort Wayne, IN, and operates 10 facilities in four states and Mexico.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markets, including renewable energy, metals and metalworking, oil and gas, satellite antennae and material handling sectors.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industrial applications. Forney is headquartered in Addison, TX, and its manufacturing plant is in Monterrey, Mexico. Forney’s customers include power plants and industrial systems around the world.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Graham Healthcare Group (GHG) provides healthcare services through six businesses, the largest of which is home infusions through CSI Pharmacy and home health, hospice and palliative care. GHG served approximately 120,000 patients in 2024.</w:t>
      </w:r>
    </w:p>
    <w:p>
      <w:pPr>
        <w:spacing w:after="0" w:line="10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GHG’s home health, palliative and hospice operations provide services to approximately 85,000 patients annually across the states of Michigan, Illinois, Pennsylvania, Kansas, Missouri, Ohio, and Florida. GHG’s brands include Residential Home Health, Residential Hospice,</w:t>
      </w:r>
    </w:p>
    <w:p>
      <w:pPr>
        <w:spacing w:after="0" w:line="235" w:lineRule="auto"/>
        <w:rPr>
          <w:sz w:val="20"/>
          <w:szCs w:val="20"/>
          <w:color w:val="auto"/>
        </w:rPr>
      </w:pPr>
      <w:r>
        <w:rPr>
          <w:rFonts w:ascii="Arial" w:cs="Arial" w:eastAsia="Arial" w:hAnsi="Arial"/>
          <w:sz w:val="18"/>
          <w:szCs w:val="18"/>
          <w:color w:val="auto"/>
        </w:rPr>
        <w:t>Allegheny (AHN) Healthcare@Home, and Mary Free Bed at Home, and across these companies there are 19 home health, 11 hospice, and</w:t>
      </w:r>
    </w:p>
    <w:p>
      <w:pPr>
        <w:ind w:right="100"/>
        <w:spacing w:after="0"/>
        <w:rPr>
          <w:sz w:val="20"/>
          <w:szCs w:val="20"/>
          <w:color w:val="auto"/>
        </w:rPr>
      </w:pPr>
      <w:r>
        <w:rPr>
          <w:rFonts w:ascii="Arial" w:cs="Arial" w:eastAsia="Arial" w:hAnsi="Arial"/>
          <w:sz w:val="17"/>
          <w:szCs w:val="17"/>
          <w:color w:val="auto"/>
        </w:rPr>
        <w:t>six palliative care operating units. Eleven of GHG’s 35 operating units are operated through joint ventures with health systems and physician groups and the remainder are wholly-owned. Home health, palliative and hospice services include a wide range of health care services that</w:t>
      </w:r>
    </w:p>
    <w:p>
      <w:pPr>
        <w:spacing w:after="0" w:line="235" w:lineRule="auto"/>
        <w:rPr>
          <w:sz w:val="20"/>
          <w:szCs w:val="20"/>
          <w:color w:val="auto"/>
        </w:rPr>
      </w:pPr>
      <w:r>
        <w:rPr>
          <w:rFonts w:ascii="Arial" w:cs="Arial" w:eastAsia="Arial" w:hAnsi="Arial"/>
          <w:sz w:val="18"/>
          <w:szCs w:val="18"/>
          <w:color w:val="auto"/>
        </w:rPr>
        <w:t>are provided wherever home may be and are tailored to the unique needs and goals of the patients. Home health care helps patients gain</w:t>
      </w:r>
    </w:p>
    <w:p>
      <w:pPr>
        <w:ind w:right="220"/>
        <w:spacing w:after="0" w:line="226" w:lineRule="auto"/>
        <w:rPr>
          <w:sz w:val="20"/>
          <w:szCs w:val="20"/>
          <w:color w:val="auto"/>
        </w:rPr>
      </w:pPr>
      <w:r>
        <w:rPr>
          <w:rFonts w:ascii="Arial" w:cs="Arial" w:eastAsia="Arial" w:hAnsi="Arial"/>
          <w:sz w:val="18"/>
          <w:szCs w:val="18"/>
          <w:color w:val="auto"/>
        </w:rPr>
        <w:t>independence and remain safe at home as active community members. Hospice care supports patients and their families’ unique physical, emotional, and spiritual needs, while focusing on optimizing quality of life, comfort, and dignity. Palliative care complements curative</w:t>
      </w:r>
    </w:p>
    <w:p>
      <w:pPr>
        <w:spacing w:after="0" w:line="236" w:lineRule="auto"/>
        <w:rPr>
          <w:sz w:val="20"/>
          <w:szCs w:val="20"/>
          <w:color w:val="auto"/>
        </w:rPr>
      </w:pPr>
      <w:r>
        <w:rPr>
          <w:rFonts w:ascii="Arial" w:cs="Arial" w:eastAsia="Arial" w:hAnsi="Arial"/>
          <w:sz w:val="18"/>
          <w:szCs w:val="18"/>
          <w:color w:val="auto"/>
        </w:rPr>
        <w:t>treatments and is provided by in-home nurse practitioners who aim to treat advanced pain and uncomfortable symptoms of disease. All home</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health, palliative, and hospice operating units are Medicare certified and accredited. GHG generates over 90% of its revenues for home health, palliative, and hospice services from Medicare and Medicare Advantage payors. The remaining sources of revenue are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Medicaid, commercial insurance, and private payors.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CSI Pharmacy, headquartered in Dallas, TX, is a nationwide specialty home infusion pharmacy licensed in 49 states serving patients suffering from chronic and rare illness. CSI Pharmacy specializes in treating rare diseases with biologics and plasma-derived therapies, with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revenues derived primarily from intravenous immunoglobulin (IVIG) therapy. CSI Pharmacy delivers products to patients’ homes and employs nurses to provide the specialized infusion therapies to patients.</w:t>
      </w:r>
    </w:p>
    <w:p>
      <w:pPr>
        <w:spacing w:after="0" w:line="10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Clarus, based in Nashville, TN, provides call management solutions to physician groups and hospitals. Clarus replaces traditional human-staffed answering services with a SaaS-based solution. Clarus streamlines call handling, provider call coverage management, eliminates</w:t>
      </w:r>
    </w:p>
    <w:p>
      <w:pPr>
        <w:ind w:right="360"/>
        <w:spacing w:after="0" w:line="237" w:lineRule="auto"/>
        <w:rPr>
          <w:sz w:val="20"/>
          <w:szCs w:val="20"/>
          <w:color w:val="auto"/>
        </w:rPr>
      </w:pPr>
      <w:r>
        <w:rPr>
          <w:rFonts w:ascii="Arial" w:cs="Arial" w:eastAsia="Arial" w:hAnsi="Arial"/>
          <w:sz w:val="18"/>
          <w:szCs w:val="18"/>
          <w:color w:val="auto"/>
        </w:rPr>
        <w:t>patient hold times, and manages referrals and new appointments. The solution eliminates delays, call routing errors, and malpractice risk inherent with traditional call centers.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220"/>
        <w:spacing w:after="0" w:line="271" w:lineRule="auto"/>
        <w:rPr>
          <w:sz w:val="20"/>
          <w:szCs w:val="20"/>
          <w:color w:val="auto"/>
        </w:rPr>
      </w:pPr>
      <w:r>
        <w:rPr>
          <w:rFonts w:ascii="Arial" w:cs="Arial" w:eastAsia="Arial" w:hAnsi="Arial"/>
          <w:sz w:val="18"/>
          <w:szCs w:val="18"/>
          <w:color w:val="auto"/>
        </w:rPr>
        <w:t>Impact Medical operates a full-service physician practice dedicated to providing advanced care for allergies, asthma, and immunology with four locations in New Jersey and New York.</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Skin Clique is a concierge aesthetic medicine and product practice. Skin Clique generates much of its revenue from neurotoxin injections and the remaining revenue from GLP-1, skin peels, skin consultations, Ultherapy, dermal fillers, microneedling, and medical-grade skin care products. Skin Clique, based in Charleston, SC, serves clients across approximately 40 states.</w:t>
      </w:r>
    </w:p>
    <w:p>
      <w:pPr>
        <w:spacing w:after="0" w:line="101"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Surpass Behavioral Health operates 14 Applied Behavior Analysis (ABA) clinics throughout Kentucky, South Carolina and Georgia, as well as a school program in Pennsylvania and Illinois, and a positive behavior support program in Kentucky. Surpass Behavioral Health is</w:t>
      </w:r>
    </w:p>
    <w:p>
      <w:pPr>
        <w:ind w:right="100"/>
        <w:spacing w:after="0" w:line="237" w:lineRule="auto"/>
        <w:rPr>
          <w:sz w:val="20"/>
          <w:szCs w:val="20"/>
          <w:color w:val="auto"/>
        </w:rPr>
      </w:pPr>
      <w:r>
        <w:rPr>
          <w:rFonts w:ascii="Arial" w:cs="Arial" w:eastAsia="Arial" w:hAnsi="Arial"/>
          <w:sz w:val="18"/>
          <w:szCs w:val="18"/>
          <w:color w:val="auto"/>
        </w:rPr>
        <w:t>headquartered in Nashville, TN. Approximately 75% of its revenue is generated across the 14 clinics, with a smaller portion coming from the school settings, and the remaining generated through the Kentucky positive behavior support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owns a 90% interest in eight automotive dealerships in the Washington, D.C. area: Honda of Tysons Corner in Virginia, Lexus of Rockville in Maryland, Jeep in Bethesda, Maryland, Ford of Manassas in Virginia, Toyota of Woodbridge and Chrysler-Dodge-Jeep-Ram of</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Woodbridge in Virginia, Toyota in Henrico, Virginia, and Kia in Bethesda, Maryland. The Company has a management services agreement with an entity affiliated with Christopher J. Ourisman, a member of the Ourisman Automotive Group family of dealerships, to operate and</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manage the operations of the dealerships. The Company also owns Roda (formerly CarCare To Go), which provides valet repair services in the Washington, D.C. metropolitan area.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Saatchi Online, Inc. (Saatchi Art) including SaatchiArt.com and its art fair event brand, The Other Art Fair, provides an online art gallery where a global community of artists exhibit and sell their original artwork directly to consumers through an online gallery as well as through</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virtual reality and in-person art fairs hosted in the U.S., U.K. and Australia. Saatchi Art’s online art gallery features a wide selection of original paintings, drawings, sculptures and photography.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Society6, LLC</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Society6, LLC (Society6) is an online art and design marketplace where a curated community of artists and designers can market and sell their original art and designs printed on a wide variety of products. Its made-to-order marketplaces, consisting of Society6.com and its</w:t>
      </w:r>
    </w:p>
    <w:p>
      <w:pPr>
        <w:spacing w:after="0" w:line="235" w:lineRule="auto"/>
        <w:rPr>
          <w:sz w:val="20"/>
          <w:szCs w:val="20"/>
          <w:color w:val="auto"/>
        </w:rPr>
      </w:pPr>
      <w:r>
        <w:rPr>
          <w:rFonts w:ascii="Arial" w:cs="Arial" w:eastAsia="Arial" w:hAnsi="Arial"/>
          <w:sz w:val="18"/>
          <w:szCs w:val="18"/>
          <w:color w:val="auto"/>
        </w:rPr>
        <w:t>wholesale channel Deny Designs, provide its artists and designers with an online commerce platform to feature and sell their original art and</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designs on an array of consumer products primarily in the home décor category. Deny Designs sells products to trade and hospitality clients, as well as retail distribution partners.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of Good Brands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World of Good Brands (WGB) consists of a diverse portfolio of media properties that educate and inform consumers across a wide variety of life topics, including fitness and wellness brands such as Well+Good and Livestrong.com and Only In Your State in the travel sector. Together</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with these premium brands, WGB owns and operates or hosts and operates websites focused on specific categories or interests. WGB generates the majority of its media revenue from the sale of advertising.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Clyde’s Restaurant Group (Clyde’s), founded in 1963, owns and operates 14 restaurants and entertainment venues in the Washington, D.C.</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metropolitan area, including six Clyde’s locations, Old Ebbitt Grill, The Hamilton, Hamilton Live, Rye Street Tavern, Cordelia Fishbar, 1789 Restaurant, Fitzgerald’s and The Tombs. Clyde’s has another restaurant under construction with the planned opening in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Framebridge, Inc. (Framebridge) provides high-quality, affordable and fast custom framing directly to consumers. Through its website, app and retail locations, Framebridge offers consumers the option to drop off or ship artwork, pictures and other personal objects directly to</w:t>
      </w:r>
    </w:p>
    <w:p>
      <w:pPr>
        <w:spacing w:after="0" w:line="1" w:lineRule="exact"/>
        <w:rPr>
          <w:sz w:val="20"/>
          <w:szCs w:val="20"/>
          <w:color w:val="auto"/>
        </w:rPr>
      </w:pPr>
    </w:p>
    <w:p>
      <w:pPr>
        <w:ind w:right="1140"/>
        <w:spacing w:after="0" w:line="250" w:lineRule="auto"/>
        <w:rPr>
          <w:sz w:val="20"/>
          <w:szCs w:val="20"/>
          <w:color w:val="auto"/>
        </w:rPr>
      </w:pPr>
      <w:r>
        <w:rPr>
          <w:rFonts w:ascii="Arial" w:cs="Arial" w:eastAsia="Arial" w:hAnsi="Arial"/>
          <w:sz w:val="18"/>
          <w:szCs w:val="18"/>
          <w:color w:val="auto"/>
        </w:rPr>
        <w:t>Framebridge to be custom framed and then delivered directly to a customer or a retail store for in-store pick up. Framebridge is headquartered in Washington, D.C., with 32 retail locations and two manufacturing facilities in Kentucky and Virginia.</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Code3</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Code3 is a marketing and insights company that manages digital advertising for global and mid-market brands and early-stage companies. It delivers media, creative and data services to transform consumer and performance data into planning, content, media activation and</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measurement to maximize return on investment. Code3 works across platforms such as Facebook, Instagram, Amazon, Google, TikTok, X, Pinterest, Snapchat and YouTube, as well as direct digital media relationships and streaming TV and audio solutions.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Decile LLC (Decile) is a customer data and analytics software company that helps marketers extract value from their proprietary first-party</w:t>
      </w:r>
    </w:p>
    <w:p>
      <w:pPr>
        <w:spacing w:after="0" w:line="1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customer, product and sales data. Decile provides software and services to help its business clients better understand customer personas, customer acquisition and retention, product analytics and how to increase profitable growth</w:t>
      </w:r>
      <w:r>
        <w:rPr>
          <w:rFonts w:ascii="Arial" w:cs="Arial" w:eastAsia="Arial" w:hAnsi="Arial"/>
          <w:sz w:val="18"/>
          <w:szCs w:val="18"/>
          <w:b w:val="1"/>
          <w:bCs w:val="1"/>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w:t>
      </w:r>
    </w:p>
    <w:p>
      <w:pPr>
        <w:spacing w:after="0" w:line="235" w:lineRule="auto"/>
        <w:rPr>
          <w:sz w:val="20"/>
          <w:szCs w:val="20"/>
          <w:color w:val="auto"/>
        </w:rPr>
      </w:pPr>
      <w:r>
        <w:rPr>
          <w:rFonts w:ascii="Arial" w:cs="Arial" w:eastAsia="Arial" w:hAnsi="Arial"/>
          <w:sz w:val="18"/>
          <w:szCs w:val="18"/>
          <w:color w:val="auto"/>
        </w:rPr>
        <w:t xml:space="preserve">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10 million unique visitors per month and</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 xml:space="preserve">averaged more than 31 million page views per month across desktop and mobile platforms in 2024. The Slate Group owns an interest in E2J2 SAS, a company incorporated in France that produces a French-language news magazine website at </w:t>
      </w:r>
      <w:r>
        <w:rPr>
          <w:rFonts w:ascii="Arial" w:cs="Arial" w:eastAsia="Arial" w:hAnsi="Arial"/>
          <w:sz w:val="18"/>
          <w:szCs w:val="18"/>
          <w:i w:val="1"/>
          <w:iCs w:val="1"/>
          <w:color w:val="auto"/>
        </w:rPr>
        <w:t>slate.fr</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58" w:lineRule="exact"/>
        <w:rPr>
          <w:sz w:val="20"/>
          <w:szCs w:val="20"/>
          <w:color w:val="auto"/>
        </w:rPr>
      </w:pPr>
    </w:p>
    <w:p>
      <w:pPr>
        <w:ind w:right="600"/>
        <w:spacing w:after="0" w:line="251" w:lineRule="auto"/>
        <w:rPr>
          <w:sz w:val="20"/>
          <w:szCs w:val="20"/>
          <w:color w:val="auto"/>
        </w:rPr>
      </w:pPr>
      <w:r>
        <w:rPr>
          <w:rFonts w:ascii="Arial" w:cs="Arial" w:eastAsia="Arial" w:hAnsi="Arial"/>
          <w:sz w:val="17"/>
          <w:szCs w:val="17"/>
          <w:color w:val="auto"/>
        </w:rPr>
        <w:t xml:space="preserve">The FP Group produces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 and the </w:t>
      </w:r>
      <w:r>
        <w:rPr>
          <w:rFonts w:ascii="Arial" w:cs="Arial" w:eastAsia="Arial" w:hAnsi="Arial"/>
          <w:sz w:val="17"/>
          <w:szCs w:val="17"/>
          <w:i w:val="1"/>
          <w:iCs w:val="1"/>
          <w:color w:val="auto"/>
        </w:rPr>
        <w:t>ForeignPolicy.com</w:t>
      </w:r>
      <w:r>
        <w:rPr>
          <w:rFonts w:ascii="Arial" w:cs="Arial" w:eastAsia="Arial" w:hAnsi="Arial"/>
          <w:sz w:val="17"/>
          <w:szCs w:val="17"/>
          <w:color w:val="auto"/>
        </w:rPr>
        <w:t xml:space="preserve"> website, which cover developments in national security, international politics, global economics and related issues. The site features analysis, unique news content, specialized channels and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newsletters, and podcasts focusing on regions and topics of interest. The FP Group provides insight and analysis into global affairs for government, military, business, media and academic leaders. FP Events also produces a growing number of live and virtual events, bringing</w:t>
      </w:r>
    </w:p>
    <w:p>
      <w:pPr>
        <w:spacing w:after="0" w:line="1" w:lineRule="exact"/>
        <w:rPr>
          <w:sz w:val="20"/>
          <w:szCs w:val="20"/>
          <w:color w:val="auto"/>
        </w:rPr>
      </w:pPr>
    </w:p>
    <w:p>
      <w:pPr>
        <w:ind w:right="980"/>
        <w:spacing w:after="0" w:line="250" w:lineRule="auto"/>
        <w:rPr>
          <w:sz w:val="20"/>
          <w:szCs w:val="20"/>
          <w:color w:val="auto"/>
        </w:rPr>
      </w:pPr>
      <w:r>
        <w:rPr>
          <w:rFonts w:ascii="Arial" w:cs="Arial" w:eastAsia="Arial" w:hAnsi="Arial"/>
          <w:sz w:val="18"/>
          <w:szCs w:val="18"/>
          <w:color w:val="auto"/>
        </w:rPr>
        <w:t>together government, military, business and investment leaders to discuss important regional and topical developments and their implications.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5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City Cast LLC (City Cast) is a network of daily local news podcasts currently in 13 cities around the country, accompanied by a daily email newsletter about local communities. The podcasts and newsletters cover local news, events and places.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Cast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Supporting Cast provides a software-as-a-service platform that enables podcasters and media companies to monetize premium audio</w:t>
      </w:r>
    </w:p>
    <w:p>
      <w:pPr>
        <w:spacing w:after="0" w:line="1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content through paid subscriptions, memberships, and audiobooks. The platform's distinctive approach eliminates the need for native apps, delivering exclusive content to subscribers through mainstream podcast players including Spotify, Apple Podcasts, and YouTube Music.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Kaplan’s businesses operate in fragmented and competitive markets. Each of KI’s businesses competes in disaggregated markets with for-profit institutions and companies (ranging in size from large for-profit universities to small competitors offering English-language courses)</w:t>
      </w:r>
    </w:p>
    <w:p>
      <w:pPr>
        <w:ind w:right="580"/>
        <w:spacing w:after="0"/>
        <w:rPr>
          <w:sz w:val="20"/>
          <w:szCs w:val="20"/>
          <w:color w:val="auto"/>
        </w:rPr>
      </w:pPr>
      <w:r>
        <w:rPr>
          <w:rFonts w:ascii="Arial" w:cs="Arial" w:eastAsia="Arial" w:hAnsi="Arial"/>
          <w:sz w:val="17"/>
          <w:szCs w:val="17"/>
          <w:color w:val="auto"/>
        </w:rPr>
        <w:t>and, in certain instances, with government-supported schools and institutions that provide similar training and educational programs. Competitive factors vary by business and include program offerings, ranking of university partners, convenience, quality of instruction,</w:t>
      </w:r>
    </w:p>
    <w:p>
      <w:pPr>
        <w:spacing w:after="0" w:line="235" w:lineRule="auto"/>
        <w:rPr>
          <w:sz w:val="20"/>
          <w:szCs w:val="20"/>
          <w:color w:val="auto"/>
        </w:rPr>
      </w:pPr>
      <w:r>
        <w:rPr>
          <w:rFonts w:ascii="Arial" w:cs="Arial" w:eastAsia="Arial" w:hAnsi="Arial"/>
          <w:sz w:val="18"/>
          <w:szCs w:val="18"/>
          <w:color w:val="auto"/>
        </w:rPr>
        <w:t>reputation, placement rates, student services and cost. KI derives its competitive advantage from, among other things, delivering high-quality</w:t>
      </w:r>
    </w:p>
    <w:p>
      <w:pPr>
        <w:spacing w:after="0" w:line="226" w:lineRule="auto"/>
        <w:rPr>
          <w:sz w:val="20"/>
          <w:szCs w:val="20"/>
          <w:color w:val="auto"/>
        </w:rPr>
      </w:pPr>
      <w:r>
        <w:rPr>
          <w:rFonts w:ascii="Arial" w:cs="Arial" w:eastAsia="Arial" w:hAnsi="Arial"/>
          <w:sz w:val="18"/>
          <w:szCs w:val="18"/>
          <w:color w:val="auto"/>
        </w:rPr>
        <w:t>education and training experiences to students, having name-brand recognition across multiple markets, developing strong relationships with corporate clients and recruitment partners and offering competitive pricing. KNA competes with companies that provide various education</w:t>
      </w:r>
    </w:p>
    <w:p>
      <w:pPr>
        <w:spacing w:after="0" w:line="236" w:lineRule="auto"/>
        <w:rPr>
          <w:sz w:val="20"/>
          <w:szCs w:val="20"/>
          <w:color w:val="auto"/>
        </w:rPr>
      </w:pPr>
      <w:r>
        <w:rPr>
          <w:rFonts w:ascii="Arial" w:cs="Arial" w:eastAsia="Arial" w:hAnsi="Arial"/>
          <w:sz w:val="18"/>
          <w:szCs w:val="18"/>
          <w:color w:val="auto"/>
        </w:rPr>
        <w:t>technology solutions, consumer test and licensure preparation and course delivery, corporate training, university administrative support for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online programs and courses, curriculum development, overall online program development and analytics for colleges and universities, as well as support for corporate, employer and employee education programs. The market for KNA’s services and products, and especially its</w:t>
      </w:r>
    </w:p>
    <w:p>
      <w:pPr>
        <w:spacing w:after="0" w:line="235" w:lineRule="auto"/>
        <w:rPr>
          <w:sz w:val="20"/>
          <w:szCs w:val="20"/>
          <w:color w:val="auto"/>
        </w:rPr>
      </w:pPr>
      <w:r>
        <w:rPr>
          <w:rFonts w:ascii="Arial" w:cs="Arial" w:eastAsia="Arial" w:hAnsi="Arial"/>
          <w:sz w:val="18"/>
          <w:szCs w:val="18"/>
          <w:color w:val="auto"/>
        </w:rPr>
        <w:t>higher education services and products, is dynamic and rapidly evolving, and several competitors offer a mix of some of the same products</w:t>
      </w:r>
    </w:p>
    <w:p>
      <w:pPr>
        <w:ind w:right="40"/>
        <w:spacing w:after="0" w:line="237" w:lineRule="auto"/>
        <w:rPr>
          <w:sz w:val="20"/>
          <w:szCs w:val="20"/>
          <w:color w:val="auto"/>
        </w:rPr>
      </w:pPr>
      <w:r>
        <w:rPr>
          <w:rFonts w:ascii="Arial" w:cs="Arial" w:eastAsia="Arial" w:hAnsi="Arial"/>
          <w:sz w:val="18"/>
          <w:szCs w:val="18"/>
          <w:color w:val="auto"/>
        </w:rPr>
        <w:t>and services or are seeking to move into the markets in which KNA operates. Competitive factors in these KNA markets include 1) the ability to deliver a wide range of educational</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services and programs to clients across all levels of programs and administrative functions; 2) cost effectiveness; 3) expertise in marketing,</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recruitment and program delivery; 4) student outcomes and satisfaction; 5) the ability to invest in start-up and scaling initiatives; 6) reputation; and 7) compliance with laws and the ability to navigate complex regulatory requirements. KNA’s ability to effectively compete in the higher</w:t>
      </w:r>
    </w:p>
    <w:p>
      <w:pPr>
        <w:spacing w:after="0" w:line="235" w:lineRule="auto"/>
        <w:rPr>
          <w:sz w:val="20"/>
          <w:szCs w:val="20"/>
          <w:color w:val="auto"/>
        </w:rPr>
      </w:pPr>
      <w:r>
        <w:rPr>
          <w:rFonts w:ascii="Arial" w:cs="Arial" w:eastAsia="Arial" w:hAnsi="Arial"/>
          <w:sz w:val="18"/>
          <w:szCs w:val="18"/>
          <w:color w:val="auto"/>
        </w:rPr>
        <w:t>education services markets will depend in large part on its successful delivery and navigation of these factors. While the competitive</w:t>
      </w:r>
    </w:p>
    <w:p>
      <w:pPr>
        <w:ind w:right="80"/>
        <w:spacing w:after="0" w:line="226" w:lineRule="auto"/>
        <w:rPr>
          <w:sz w:val="20"/>
          <w:szCs w:val="20"/>
          <w:color w:val="auto"/>
        </w:rPr>
      </w:pPr>
      <w:r>
        <w:rPr>
          <w:rFonts w:ascii="Arial" w:cs="Arial" w:eastAsia="Arial" w:hAnsi="Arial"/>
          <w:sz w:val="18"/>
          <w:szCs w:val="18"/>
          <w:color w:val="auto"/>
        </w:rPr>
        <w:t xml:space="preserve">landscape is expanding, KNA’s resources, capabilities and experience are key differentiators in the market. Similarly, KNA’s supplemental education products and services </w:t>
      </w:r>
      <w:r>
        <w:rPr>
          <w:rFonts w:ascii="Arial" w:cs="Arial" w:eastAsia="Arial" w:hAnsi="Arial"/>
          <w:sz w:val="18"/>
          <w:szCs w:val="18"/>
          <w:color w:val="222222"/>
        </w:rPr>
        <w:t>compete with a wide range of national, regional, local, online and location-based competitors. In the area of</w:t>
      </w:r>
    </w:p>
    <w:p>
      <w:pPr>
        <w:spacing w:after="0" w:line="236" w:lineRule="auto"/>
        <w:rPr>
          <w:sz w:val="20"/>
          <w:szCs w:val="20"/>
          <w:color w:val="auto"/>
        </w:rPr>
      </w:pPr>
      <w:r>
        <w:rPr>
          <w:rFonts w:ascii="Arial" w:cs="Arial" w:eastAsia="Arial" w:hAnsi="Arial"/>
          <w:sz w:val="18"/>
          <w:szCs w:val="18"/>
          <w:color w:val="222222"/>
        </w:rPr>
        <w:t>test prep, competitors vary by test, with many focused on preparing students for a single high-stakes test. For its curricular and assessment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222222"/>
        </w:rPr>
        <w:t>services, KNA has a number of national competitors as well as competitors focused on preparation for particular tests. Competitive factors for the supplemental education products vary by product line and include price, features, modality, schedule and reputation. Although KNA faces</w:t>
      </w:r>
    </w:p>
    <w:p>
      <w:pPr>
        <w:spacing w:after="0" w:line="236" w:lineRule="auto"/>
        <w:rPr>
          <w:sz w:val="20"/>
          <w:szCs w:val="20"/>
          <w:color w:val="auto"/>
        </w:rPr>
      </w:pPr>
      <w:r>
        <w:rPr>
          <w:rFonts w:ascii="Arial" w:cs="Arial" w:eastAsia="Arial" w:hAnsi="Arial"/>
          <w:sz w:val="18"/>
          <w:szCs w:val="18"/>
          <w:color w:val="222222"/>
        </w:rPr>
        <w:t>intense competition and shifting consumer preferences in these areas, particularly with respect to online test preparation, where some new</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222222"/>
        </w:rPr>
        <w:t>competitors are offering lower-cost and free test preparation products, KNA and Kaplan remain leading names in test preparation owing in part to their technical expertise and capabilities, quality of instructors, content, curricula, longevity and reputation in the industry. KNA’s</w:t>
      </w:r>
    </w:p>
    <w:p>
      <w:pPr>
        <w:spacing w:after="0" w:line="236" w:lineRule="auto"/>
        <w:rPr>
          <w:sz w:val="20"/>
          <w:szCs w:val="20"/>
          <w:color w:val="auto"/>
        </w:rPr>
      </w:pPr>
      <w:r>
        <w:rPr>
          <w:rFonts w:ascii="Arial" w:cs="Arial" w:eastAsia="Arial" w:hAnsi="Arial"/>
          <w:sz w:val="18"/>
          <w:szCs w:val="18"/>
          <w:color w:val="222222"/>
        </w:rPr>
        <w:t xml:space="preserve">professional </w:t>
      </w:r>
      <w:r>
        <w:rPr>
          <w:rFonts w:ascii="Arial" w:cs="Arial" w:eastAsia="Arial" w:hAnsi="Arial"/>
          <w:sz w:val="18"/>
          <w:szCs w:val="18"/>
          <w:color w:val="000000"/>
        </w:rPr>
        <w:t>licensure training and preparation and corporate training products and services offer a broad portfolio of products, many within</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highly regulated and mature industries, including securities, insurance, real estate and wealth management, where competition includes a wide variety of national, regional and local companies seeking the same market share and resulting in deep price discounting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commoditization of offerings.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44"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w:t>
      </w:r>
    </w:p>
    <w:p>
      <w:pPr>
        <w:spacing w:after="0" w:line="235" w:lineRule="auto"/>
        <w:rPr>
          <w:sz w:val="20"/>
          <w:szCs w:val="20"/>
          <w:color w:val="auto"/>
        </w:rPr>
      </w:pPr>
      <w:r>
        <w:rPr>
          <w:rFonts w:ascii="Arial" w:cs="Arial" w:eastAsia="Arial" w:hAnsi="Arial"/>
          <w:sz w:val="18"/>
          <w:szCs w:val="18"/>
          <w:color w:val="auto"/>
        </w:rPr>
        <w:t>other media providers, such as newspapers and magazines. Cable systems operate in substantially all of the areas served by the Company’s</w:t>
      </w:r>
    </w:p>
    <w:p>
      <w:pPr>
        <w:ind w:right="160"/>
        <w:spacing w:after="0"/>
        <w:rPr>
          <w:sz w:val="20"/>
          <w:szCs w:val="20"/>
          <w:color w:val="auto"/>
        </w:rPr>
      </w:pPr>
      <w:r>
        <w:rPr>
          <w:rFonts w:ascii="Arial" w:cs="Arial" w:eastAsia="Arial" w:hAnsi="Arial"/>
          <w:sz w:val="17"/>
          <w:szCs w:val="17"/>
          <w:color w:val="auto"/>
        </w:rPr>
        <w:t>television stations, where they compete for television viewers by importing out-of-market television signals; by distributing pay-cable, advertiser-supported, and other programming that is originated for cable systems; and by offering movies and other programming on an on-</w:t>
      </w:r>
    </w:p>
    <w:p>
      <w:pPr>
        <w:spacing w:after="0" w:line="235" w:lineRule="auto"/>
        <w:rPr>
          <w:sz w:val="20"/>
          <w:szCs w:val="20"/>
          <w:color w:val="auto"/>
        </w:rPr>
      </w:pPr>
      <w:r>
        <w:rPr>
          <w:rFonts w:ascii="Arial" w:cs="Arial" w:eastAsia="Arial" w:hAnsi="Arial"/>
          <w:sz w:val="18"/>
          <w:szCs w:val="18"/>
          <w:color w:val="auto"/>
        </w:rPr>
        <w:t>demand, digital, or pay-per-view basis. In addition, DBS services provide nationwide distribution of television programming, including pay-</w:t>
      </w:r>
    </w:p>
    <w:p>
      <w:pPr>
        <w:ind w:right="220"/>
        <w:spacing w:after="0"/>
        <w:rPr>
          <w:sz w:val="20"/>
          <w:szCs w:val="20"/>
          <w:color w:val="auto"/>
        </w:rPr>
      </w:pPr>
      <w:r>
        <w:rPr>
          <w:rFonts w:ascii="Arial" w:cs="Arial" w:eastAsia="Arial" w:hAnsi="Arial"/>
          <w:sz w:val="17"/>
          <w:szCs w:val="17"/>
          <w:color w:val="auto"/>
        </w:rPr>
        <w:t>per-view programming and programming packages unique to DBS, using digital transmission technologies. Moreover, to the extent that competing television stations in the Company’s television markets continue to transition to ATSC 3.0, such stations may pose an increased</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competitive challenge to the Company’s stations in the future, such as by offering an increased number of multicast channels or by offering advanced features.</w:t>
      </w:r>
    </w:p>
    <w:p>
      <w:pPr>
        <w:spacing w:after="0" w:line="10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Competition continues to increase from established and emerging online distribution platforms. Movies and other video programming are increasingly available on an on-demand basis through a variety of online platforms, including ad-supported viewing on platforms such as</w:t>
      </w:r>
    </w:p>
    <w:p>
      <w:pPr>
        <w:ind w:right="340"/>
        <w:spacing w:after="0" w:line="226" w:lineRule="auto"/>
        <w:rPr>
          <w:sz w:val="20"/>
          <w:szCs w:val="20"/>
          <w:color w:val="auto"/>
        </w:rPr>
      </w:pPr>
      <w:r>
        <w:rPr>
          <w:rFonts w:ascii="Arial" w:cs="Arial" w:eastAsia="Arial" w:hAnsi="Arial"/>
          <w:sz w:val="18"/>
          <w:szCs w:val="18"/>
          <w:color w:val="auto"/>
        </w:rPr>
        <w:t>Pluto TV and Tubi and subscription-based access through services such as Netflix and Amazon Prime Video. In addition, internet-based subscription services offering live television services have been launched both by traditional pay-TV service providers (such as DISH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DIRECTV) and other entrants (such as YouTube TV, Hulu and Fubo). The national broadcast networks have also launched proprietary direct-</w:t>
      </w:r>
    </w:p>
    <w:p>
      <w:pPr>
        <w:spacing w:after="0" w:line="7"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to-consumer digital platforms, such as Peacock (NBC) and Paramount+ (CBS), which include both access to network programming and, in some cases, the live linear programming of local network-affiliated stations. The Company has entered into agreements for some of its</w:t>
      </w:r>
    </w:p>
    <w:p>
      <w:pPr>
        <w:spacing w:after="0" w:line="236" w:lineRule="auto"/>
        <w:rPr>
          <w:sz w:val="20"/>
          <w:szCs w:val="20"/>
          <w:color w:val="auto"/>
        </w:rPr>
      </w:pPr>
      <w:r>
        <w:rPr>
          <w:rFonts w:ascii="Arial" w:cs="Arial" w:eastAsia="Arial" w:hAnsi="Arial"/>
          <w:sz w:val="18"/>
          <w:szCs w:val="18"/>
          <w:color w:val="auto"/>
        </w:rPr>
        <w:t>stations to be distributed via certain of these services, typically (with respect to vMVPDs) through opt-in agreements negotiated by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stations’ affiliated networks. Participation in these services has given the Company’s stations access to new distribution platforms. At the same time, competition from these various platforms could adversely affect the viewership of the Company’s television stations via traditional</w:t>
      </w:r>
    </w:p>
    <w:p>
      <w:pPr>
        <w:spacing w:after="0" w:line="236" w:lineRule="auto"/>
        <w:rPr>
          <w:sz w:val="20"/>
          <w:szCs w:val="20"/>
          <w:color w:val="auto"/>
        </w:rPr>
      </w:pPr>
      <w:r>
        <w:rPr>
          <w:rFonts w:ascii="Arial" w:cs="Arial" w:eastAsia="Arial" w:hAnsi="Arial"/>
          <w:sz w:val="18"/>
          <w:szCs w:val="18"/>
          <w:color w:val="auto"/>
        </w:rPr>
        <w:t>platforms and/or the Company’s strategic position in negotiations with pay-TV services. In addition, the networks’ increased role in</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negotiating online distribution arrangements for their affiliated stations, together with the networks’ imposition of higher fees on affiliated stations in exchange for the right to distribute network programming in their markets and for broadcast and traditional pay-TV retransmission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rights, may have broader effects on the overall network-affiliate relationship, the extent to which the Company cannot now predict.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Hoover’s predominant product line is fire-retardant-treated wood products for building interior applications that are specified by architects in</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accordance with building code requirements for multi-family residential, commercial and institutional nonresidential buildings. Hoover’s fire-retardant product lines are sold through a stocking distributor network of more than 100 locations spanning the U.S. and Canada. Hoover’s</w:t>
      </w:r>
    </w:p>
    <w:p>
      <w:pPr>
        <w:spacing w:after="0" w:line="236" w:lineRule="auto"/>
        <w:rPr>
          <w:sz w:val="20"/>
          <w:szCs w:val="20"/>
          <w:color w:val="auto"/>
        </w:rPr>
      </w:pPr>
      <w:r>
        <w:rPr>
          <w:rFonts w:ascii="Arial" w:cs="Arial" w:eastAsia="Arial" w:hAnsi="Arial"/>
          <w:sz w:val="18"/>
          <w:szCs w:val="18"/>
          <w:color w:val="auto"/>
        </w:rPr>
        <w:t>competitors are licensees of other chemical suppliers to the wood-treating industry who compete with Hoover’s stocking distributors on a</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local basis. The primary areas of competition are product availability and price, although brand loyalty due to product quality is significant. Wood products are commodities with volatile market pricing; however, Hoover’s reputation for quality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ind w:right="180"/>
        <w:spacing w:after="0" w:line="271" w:lineRule="auto"/>
        <w:rPr>
          <w:sz w:val="20"/>
          <w:szCs w:val="20"/>
          <w:color w:val="auto"/>
        </w:rPr>
      </w:pPr>
      <w:r>
        <w:rPr>
          <w:rFonts w:ascii="Arial" w:cs="Arial" w:eastAsia="Arial" w:hAnsi="Arial"/>
          <w:sz w:val="18"/>
          <w:szCs w:val="18"/>
          <w:color w:val="auto"/>
        </w:rPr>
        <w:t>products and its unique distribution model, which provides superior product availability, enable Hoover to maintain a leading position across the continent.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three distinct product categories that compete in fragmented, competitive global markets: power and data distribution for office</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furniture products, lighting solutions, and electrical harness manufacturing. These products are sold through dealer and distribution channels and original equipment manufacturer customers, focused primarily on the North American market. While all markets and products</w:t>
      </w:r>
    </w:p>
    <w:p>
      <w:pPr>
        <w:spacing w:after="0" w:line="236" w:lineRule="auto"/>
        <w:rPr>
          <w:sz w:val="20"/>
          <w:szCs w:val="20"/>
          <w:color w:val="auto"/>
        </w:rPr>
      </w:pPr>
      <w:r>
        <w:rPr>
          <w:rFonts w:ascii="Arial" w:cs="Arial" w:eastAsia="Arial" w:hAnsi="Arial"/>
          <w:sz w:val="18"/>
          <w:szCs w:val="18"/>
          <w:color w:val="auto"/>
        </w:rPr>
        <w:t>are price sensitive, technology, engineering solutions, quality and delivery performance are critical in purchase decisions. Dekko’s multiple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long-term relationships, high-quality manufacturing facilities, engineering support and reputation as a solutions provider, in addition to being a product supplier, all contribute to sustaining its competitive advantages.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home health and hospice industries are extremely competitive and fragmented, consisting of both for-profit and nonprofit companies. According to the Medicare Payment Advisory Commission’s July 2024 Data Book, there are approximately 12,057 Medicare-certified home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health agencies and approximately 5,899 hospices in the U.S. GHG markets its services to physicians, discharge planners and social workers at hospitals, nursing homes, senior living communities and physicians’ offices through a direct sales model. GHG differentiates its</w:t>
      </w:r>
    </w:p>
    <w:p>
      <w:pPr>
        <w:spacing w:after="0" w:line="235" w:lineRule="auto"/>
        <w:rPr>
          <w:sz w:val="20"/>
          <w:szCs w:val="20"/>
          <w:color w:val="auto"/>
        </w:rPr>
      </w:pPr>
      <w:r>
        <w:rPr>
          <w:rFonts w:ascii="Arial" w:cs="Arial" w:eastAsia="Arial" w:hAnsi="Arial"/>
          <w:sz w:val="18"/>
          <w:szCs w:val="18"/>
          <w:color w:val="auto"/>
        </w:rPr>
        <w:t>offerings based on response time, clinical programming, clinical outcomes and patient satisfaction. Throughout the states in which it</w:t>
      </w:r>
    </w:p>
    <w:p>
      <w:pPr>
        <w:ind w:right="720"/>
        <w:spacing w:after="0" w:line="226" w:lineRule="auto"/>
        <w:rPr>
          <w:sz w:val="20"/>
          <w:szCs w:val="20"/>
          <w:color w:val="auto"/>
        </w:rPr>
      </w:pPr>
      <w:r>
        <w:rPr>
          <w:rFonts w:ascii="Arial" w:cs="Arial" w:eastAsia="Arial" w:hAnsi="Arial"/>
          <w:sz w:val="18"/>
          <w:szCs w:val="18"/>
          <w:color w:val="auto"/>
        </w:rPr>
        <w:t>operates, GHG competes primarily with both privately owned and hospital-operated home health and hospice service providers. The competitive landscape for other healthcare services provided by GHG is highly fragmented, with competition from a number of small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providers and a few national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w:t>
      </w:r>
    </w:p>
    <w:p>
      <w:pPr>
        <w:spacing w:after="0" w:line="235" w:lineRule="auto"/>
        <w:rPr>
          <w:sz w:val="20"/>
          <w:szCs w:val="20"/>
          <w:color w:val="auto"/>
        </w:rPr>
      </w:pPr>
      <w:r>
        <w:rPr>
          <w:rFonts w:ascii="Arial" w:cs="Arial" w:eastAsia="Arial" w:hAnsi="Arial"/>
          <w:sz w:val="18"/>
          <w:szCs w:val="18"/>
          <w:color w:val="auto"/>
        </w:rPr>
        <w:t>automotive dealership groups. In addition to competition for vehicle sales, dealerships compete for parts and service business with other</w:t>
      </w:r>
    </w:p>
    <w:p>
      <w:pPr>
        <w:ind w:right="180"/>
        <w:spacing w:after="0" w:line="226" w:lineRule="auto"/>
        <w:rPr>
          <w:sz w:val="20"/>
          <w:szCs w:val="20"/>
          <w:color w:val="auto"/>
        </w:rPr>
      </w:pPr>
      <w:r>
        <w:rPr>
          <w:rFonts w:ascii="Arial" w:cs="Arial" w:eastAsia="Arial" w:hAnsi="Arial"/>
          <w:sz w:val="18"/>
          <w:szCs w:val="18"/>
          <w:color w:val="auto"/>
        </w:rPr>
        <w:t>dealerships, automotive parts retailers and independent mechanics. The principal competitive factors in vehicle sales are price, selection of vehicles, location of dealerships and quality of customer service. The principal competitive factors in parts and service sales are price,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use of factory-approved replacement parts, factory-trained technicians and the quality of customer service.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Saatchi Art competes with a wide variety of online and brick-and-mortar companies selling comparable products. Its online art gallery and in-</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person art fair business compete with traditional offline art galleries, art consultants and online platforms selling original artwork, such as Artfinder, Artspace, Rise Art, Singulart, eBay and Amazon Art; home retailers that sell wall art such as West Elm, Crate and Barrel, and</w:t>
      </w:r>
    </w:p>
    <w:p>
      <w:pPr>
        <w:spacing w:after="0" w:line="2" w:lineRule="exact"/>
        <w:rPr>
          <w:sz w:val="20"/>
          <w:szCs w:val="20"/>
          <w:color w:val="auto"/>
        </w:rPr>
      </w:pPr>
    </w:p>
    <w:p>
      <w:pPr>
        <w:ind w:right="360"/>
        <w:spacing w:after="0" w:line="404" w:lineRule="auto"/>
        <w:rPr>
          <w:sz w:val="20"/>
          <w:szCs w:val="20"/>
          <w:color w:val="auto"/>
        </w:rPr>
      </w:pPr>
      <w:r>
        <w:rPr>
          <w:rFonts w:ascii="Arial" w:cs="Arial" w:eastAsia="Arial" w:hAnsi="Arial"/>
          <w:sz w:val="18"/>
          <w:szCs w:val="18"/>
          <w:color w:val="auto"/>
        </w:rPr>
        <w:t xml:space="preserve">Restoration Hardware; and various art fairs that feature reasonably priced artwork from emerging artists, such as The Affordable Art Fair. </w:t>
      </w:r>
      <w:r>
        <w:rPr>
          <w:rFonts w:ascii="Arial" w:cs="Arial" w:eastAsia="Arial" w:hAnsi="Arial"/>
          <w:sz w:val="18"/>
          <w:szCs w:val="18"/>
          <w:b w:val="1"/>
          <w:bCs w:val="1"/>
          <w:color w:val="auto"/>
        </w:rPr>
        <w:t>Society6, LLC</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Operating an e-commerce marketplace is highly competitive, and Society6 expects competition to increase in the future. Society6 competes with a wide variety of online and brick-and-mortar companies selling comparable products. Its made-to-order marketplace business primarily</w:t>
      </w:r>
    </w:p>
    <w:p>
      <w:pPr>
        <w:spacing w:after="0" w:line="226" w:lineRule="auto"/>
        <w:rPr>
          <w:sz w:val="20"/>
          <w:szCs w:val="20"/>
          <w:color w:val="auto"/>
        </w:rPr>
      </w:pPr>
      <w:r>
        <w:rPr>
          <w:rFonts w:ascii="Arial" w:cs="Arial" w:eastAsia="Arial" w:hAnsi="Arial"/>
          <w:sz w:val="18"/>
          <w:szCs w:val="18"/>
          <w:color w:val="auto"/>
        </w:rPr>
        <w:t>competes with companies that also utilize a made-to-order business model whereby consumer products featuring artist designs are produced by third-party fulfillment partners and shipped directly to customers, such as Redbubble, Zazzle, Art.com, Shutterfly and Minted, as well as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companies that offer broader home décor and apparel products, such as Amazon, Etsy, and Wayfair. Additionally, Society6 is facing, and will likely continue to face, increased international competition from brands offering ultra-low-cost goods, such as Shein and Temu.</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of Good Brands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WGB faces intense competition from a wide range of competitors, including those of much larger scale. Principal competitors in this space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currently include various online media companies ranging from large internet media companies to specialized and enthusiast properties that focus on particular areas of consumer interest, as well as social media outlets such as Facebook, TikTok, YouTube, Snapchat, Instagram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Pinterest, where brands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advertisers are focusing a significant portion of their online advertising spend in order to connect with their customers. Many of its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competitors have larger audiences and more financial and marketing resources and many of them are making significant investments in order to compete with various aspects of this business. WGB competes for advertisers on the basis of a number of factors, including return</w:t>
      </w:r>
    </w:p>
    <w:p>
      <w:pPr>
        <w:spacing w:after="0" w:line="1" w:lineRule="exact"/>
        <w:rPr>
          <w:sz w:val="20"/>
          <w:szCs w:val="20"/>
          <w:color w:val="auto"/>
        </w:rPr>
      </w:pPr>
    </w:p>
    <w:p>
      <w:pPr>
        <w:ind w:right="740"/>
        <w:spacing w:after="0" w:line="404" w:lineRule="auto"/>
        <w:rPr>
          <w:sz w:val="20"/>
          <w:szCs w:val="20"/>
          <w:color w:val="auto"/>
        </w:rPr>
      </w:pPr>
      <w:r>
        <w:rPr>
          <w:rFonts w:ascii="Arial" w:cs="Arial" w:eastAsia="Arial" w:hAnsi="Arial"/>
          <w:sz w:val="18"/>
          <w:szCs w:val="18"/>
          <w:color w:val="auto"/>
        </w:rPr>
        <w:t xml:space="preserve">on marketing expenditures, price of its offerings, and the ability to deliver large audiences or precise types of segmented audiences. </w:t>
      </w:r>
      <w:r>
        <w:rPr>
          <w:rFonts w:ascii="Arial" w:cs="Arial" w:eastAsia="Arial" w:hAnsi="Arial"/>
          <w:sz w:val="18"/>
          <w:szCs w:val="18"/>
          <w:b w:val="1"/>
          <w:bCs w:val="1"/>
          <w:color w:val="auto"/>
        </w:rPr>
        <w:t>Clyde’s Restaurant Group</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 for customers and personnel. The principal bases for competition are types of food and service, quality, price, location, brand and attractiveness of facilities.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competitive factors in the framing industry are price, selection and convenience. Framebridge’s centralized manufacturing, clear and transparent pricing, retail stores that are optimized for foot traffic and a curated buying experience rather than framing workshops, and strong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e-commerce and digital capabilities contribute to its competitive advantages.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private advertising technology companies, digital media agencies and newer market entrants such as consulting firms also compete on price, service and technology offerings. Code3 seeks to maintain a competitive advantage and maximize its clients’ return on advertising budgets</w:t>
      </w:r>
    </w:p>
    <w:p>
      <w:pPr>
        <w:spacing w:after="0" w:line="1"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by utilizing a combination of best-in-class third-party technologies, artificial intelligence (AI), and the deep expertise of its employees, who manage media spending on the largest digital platforms and a full-service creative team with a nuanced understanding of digital media.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Decile faces competition from lower-cost providers that provide a narrower data analytics and reporting offering. In addition, at higher price points aimed at larger marketers ($100M+ annual revenue), there are several large customer data platform competitors or in-house solutions</w:t>
      </w:r>
    </w:p>
    <w:p>
      <w:pPr>
        <w:spacing w:after="0" w:line="235" w:lineRule="auto"/>
        <w:rPr>
          <w:sz w:val="20"/>
          <w:szCs w:val="20"/>
          <w:color w:val="auto"/>
        </w:rPr>
      </w:pPr>
      <w:r>
        <w:rPr>
          <w:rFonts w:ascii="Arial" w:cs="Arial" w:eastAsia="Arial" w:hAnsi="Arial"/>
          <w:sz w:val="18"/>
          <w:szCs w:val="18"/>
          <w:color w:val="auto"/>
        </w:rPr>
        <w:t>that attempt to unify many disparate sources of data to improve omnichannel advertising outcomes. Decile seeks to maintain a competitive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advantage by providing a better view of high-value customers and personas and their associated value and making it easier for clients to activate those customers in a more personalized way. Decile’s third-party data enrichment capabilities and advanced analytics serve as key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differentiators in the mid-market space where those capabilities are not available at a competitive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a digital media company, Slate operates in highly competitive markets for subscribers, audiences and advertisers. For written work, Slate faces competition from other online publishers, especially magazines and newspapers. In podcasting, Slate faces competition from other</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podcast networks, as well as traditional radio networks. In the face of stiff competition, Slate is able to attract and retain a large educated, affluent audience and subscriber base by creating high-quality content, and is then able to compete for advertisers who wish to reach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audience on trusted, brand-safe properties.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44"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City Cast is the only national network of daily local podcasts and newsletters. City Cast faces significant competition in all aspects of its business. Several companies operate large national networks of local daily newsletters, notably Axios and 6am City, both of which have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many more subscribers than City Cast. There are also single-city daily newsletters–often created by the local newspaper–in every city where City Cast is located. On the podcasting side, public radio stations in most City Cast markets create local podcasts, as do some commercial</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radio stations. City Cast competes for advertising dollars with all these newsletter and podcast competitors, as well as with local radio, newspaper, TV and digital outlets.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Cast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growing creator monetization landscape, Supporting Cast differentiates itself from competitors like Patreon and Apple Podcasts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Subscriptions through its white-label service model. While most platforms maintain direct control of subscriber data and payment information, Supporting Cast empowers clients to own their customer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0" w:name="page21"/>
    <w:bookmarkEnd w:id="20"/>
    <w:p>
      <w:pPr>
        <w:ind w:right="20"/>
        <w:spacing w:after="0" w:line="271" w:lineRule="auto"/>
        <w:rPr>
          <w:sz w:val="20"/>
          <w:szCs w:val="20"/>
          <w:color w:val="auto"/>
        </w:rPr>
      </w:pPr>
      <w:r>
        <w:rPr>
          <w:rFonts w:ascii="Arial" w:cs="Arial" w:eastAsia="Arial" w:hAnsi="Arial"/>
          <w:sz w:val="18"/>
          <w:szCs w:val="18"/>
          <w:color w:val="auto"/>
        </w:rPr>
        <w:t>relationships. The platform has carved out a strong market position by specializing in complex subscription architectures, multi-show network capabilities, and customizable enterprise solutions that meet the needs of major media organizations.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Donald E. Graham, age 79, Chairman Emeritus, served as Chairman of the Board of the Company from September 1993 until May 2023 and served as Chief Executive Officer of the Company from May 1991 until November 2015. Mr. Graham served as President of the Company</w:t>
      </w:r>
    </w:p>
    <w:p>
      <w:pPr>
        <w:spacing w:after="0" w:line="235" w:lineRule="auto"/>
        <w:rPr>
          <w:sz w:val="20"/>
          <w:szCs w:val="20"/>
          <w:color w:val="auto"/>
        </w:rPr>
      </w:pPr>
      <w:r>
        <w:rPr>
          <w:rFonts w:ascii="Arial" w:cs="Arial" w:eastAsia="Arial" w:hAnsi="Arial"/>
          <w:sz w:val="18"/>
          <w:szCs w:val="18"/>
          <w:color w:val="auto"/>
        </w:rPr>
        <w:t>from May 1991 until September 1993 and prior to that had been a Vice President of the Company for more than five years. Mr. Graham also</w:t>
      </w:r>
    </w:p>
    <w:p>
      <w:pPr>
        <w:ind w:right="80"/>
        <w:spacing w:after="0" w:line="237" w:lineRule="auto"/>
        <w:rPr>
          <w:sz w:val="20"/>
          <w:szCs w:val="20"/>
          <w:color w:val="auto"/>
        </w:rPr>
      </w:pPr>
      <w:r>
        <w:rPr>
          <w:rFonts w:ascii="Arial" w:cs="Arial" w:eastAsia="Arial" w:hAnsi="Arial"/>
          <w:sz w:val="18"/>
          <w:szCs w:val="18"/>
          <w:color w:val="auto"/>
        </w:rPr>
        <w:t xml:space="preserve">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 age 43, became Chief Executive Officer of the Company in November 2015. From November 2014 until</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November 2015, he served as President of the Company. He was elected to the Board of Directors in November 2014. From 2007 to August 2014, Mr. O’Shaughnessy served as chief executive officer of LivingSocial, an e-commerce and marketing company that he co-founded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2007. Mr. O’Shaughnessy is the son-in-law of Donald E. Graham, Chairman Emeritus of the Company.</w:t>
      </w:r>
    </w:p>
    <w:p>
      <w:pPr>
        <w:spacing w:after="0" w:line="140"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color w:val="auto"/>
        </w:rPr>
        <w:t>Andrew S. Rosen, age 64, became Executive Vice President of the Company in April 2014. He became Chairman of Kaplan, Inc. in November 2008 and served as Chief Executive Officer of Kaplan, Inc. from November 2008 to April 2014 and from August 2015 to the</w:t>
      </w:r>
    </w:p>
    <w:p>
      <w:pPr>
        <w:spacing w:after="0" w:line="235" w:lineRule="auto"/>
        <w:rPr>
          <w:sz w:val="20"/>
          <w:szCs w:val="20"/>
          <w:color w:val="auto"/>
        </w:rPr>
      </w:pPr>
      <w:r>
        <w:rPr>
          <w:rFonts w:ascii="Arial" w:cs="Arial" w:eastAsia="Arial" w:hAnsi="Arial"/>
          <w:sz w:val="18"/>
          <w:szCs w:val="18"/>
          <w:color w:val="auto"/>
        </w:rPr>
        <w:t>present. Mr. Rosen has spent more than 38 years at the Company and its affiliates. He joined the Company in 1986 as a staff attorney with</w:t>
      </w:r>
    </w:p>
    <w:p>
      <w:pPr>
        <w:ind w:right="340"/>
        <w:spacing w:after="0" w:line="23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w:t>
      </w:r>
      <w:r>
        <w:rPr>
          <w:rFonts w:ascii="Arial" w:cs="Arial" w:eastAsia="Arial" w:hAnsi="Arial"/>
          <w:sz w:val="18"/>
          <w:szCs w:val="18"/>
          <w:i w:val="1"/>
          <w:iCs w:val="1"/>
          <w:color w:val="auto"/>
        </w:rPr>
        <w:t>Newsweek</w:t>
      </w:r>
      <w:r>
        <w:rPr>
          <w:rFonts w:ascii="Arial" w:cs="Arial" w:eastAsia="Arial" w:hAnsi="Arial"/>
          <w:sz w:val="18"/>
          <w:szCs w:val="18"/>
          <w:color w:val="auto"/>
        </w:rPr>
        <w:t>. He moved to Kaplan in 1992 and held numerous leadership positions there before being named Chairman and Chief Executive Officer of Kaplan, Inc.</w:t>
      </w:r>
    </w:p>
    <w:p>
      <w:pPr>
        <w:spacing w:after="0" w:line="127"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Wallace R. Cooney, age 62, became Senior Vice President–Finance and Chief Financial Officer of the Company in April 2017. Mr. Cooney served as the Company’s Vice President–Finance and Chief Accounting Officer from 2008 to 2017. He joined the Company in 2001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Controller.</w:t>
      </w:r>
    </w:p>
    <w:p>
      <w:pPr>
        <w:spacing w:after="0" w:line="140"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color w:val="auto"/>
        </w:rPr>
        <w:t>Jacob M. Maas, age 48, became Executive Vice President of the Company in January 2022, prior to which he served as Senior Vice President–Planning and Development beginning October 2015. Prior to joining the Company, he served as executive vice president of</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operations and head of corporate development at LivingSocial, an e-commerce and marketing company that he joined as chief financial officer in 2008.</w:t>
      </w:r>
    </w:p>
    <w:p>
      <w:pPr>
        <w:spacing w:after="0" w:line="10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Nicole M. Maddrey, age 60,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1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Marcel A. Snyman, age 50,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1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Sandra M. Stonesifer, age 40, became Vice President–Chief Human Resources Officer of the Company in January 2021. Prior to joining the Company, Mrs. Stonesifer was a consultant with S-Squared Consulting, an organization development consulting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4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employs approximately 21,446 people worldwide, of which approximately 12,871 are employed in the U.S. and approximately 8,575 are employed outside the U.S. Employment across each of the Company’s businesses is further discussed below.</w:t>
      </w:r>
    </w:p>
    <w:p>
      <w:pPr>
        <w:spacing w:after="0" w:line="10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Worldwide, Kaplan employs approximately 7,056 people on a full-time basis in 27 countries. Kaplan also employs substantial numbers of part-time employees who serve in instructional and administrative capacities. Kaplan’s part-time workforce comprises approximately 3,591</w:t>
      </w:r>
    </w:p>
    <w:p>
      <w:pPr>
        <w:spacing w:after="0" w:line="235" w:lineRule="auto"/>
        <w:rPr>
          <w:sz w:val="20"/>
          <w:szCs w:val="20"/>
          <w:color w:val="auto"/>
        </w:rPr>
      </w:pPr>
      <w:r>
        <w:rPr>
          <w:rFonts w:ascii="Arial" w:cs="Arial" w:eastAsia="Arial" w:hAnsi="Arial"/>
          <w:sz w:val="18"/>
          <w:szCs w:val="18"/>
          <w:color w:val="auto"/>
        </w:rPr>
        <w:t>individuals in 18 countries. Collectively, in the U.S. and Canada, approximately 91 Kaplan employees are represented by a union. In</w:t>
      </w:r>
    </w:p>
    <w:p>
      <w:pPr>
        <w:ind w:right="300"/>
        <w:spacing w:after="0" w:line="237" w:lineRule="auto"/>
        <w:rPr>
          <w:sz w:val="20"/>
          <w:szCs w:val="20"/>
          <w:color w:val="auto"/>
        </w:rPr>
      </w:pPr>
      <w:r>
        <w:rPr>
          <w:rFonts w:ascii="Arial" w:cs="Arial" w:eastAsia="Arial" w:hAnsi="Arial"/>
          <w:sz w:val="18"/>
          <w:szCs w:val="18"/>
          <w:color w:val="auto"/>
        </w:rPr>
        <w:t>countries where Kaplan has a presence but union membership is not disclosed to the employer–the U.K., Australia, and Singapore–there may be union-represented employees as well.</w:t>
      </w:r>
    </w:p>
    <w:p>
      <w:pPr>
        <w:spacing w:after="0" w:line="12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GMG has approximately 880 employees, including 859 full-time employees and 21 part-time employees, of whom approximately 86 are represented by a union.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 the manufacturing segment, Hoover has approximately 453 full-time employees, of whom 12 are represented by a union. Dekko has</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approximately 975 full-time employees, none of whom is represented by a union. Joyce/Dayton has approximately 178 full-time employees and five part-time employees, none of whom is represented by a union. Forney has approximately 109 full-time employees. Of those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employees, 46 are represented by a union, all of whom are employed in Mexico.</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healthcare segment, GHG has approximately 2,387 full-time employees and 579 part-time employees. None of these employees is represented by a union.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Graham Automotive employs approximately 938 full-time employees, none of whom is represented by a union.</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other businesses, Saatchi Art, Society6 and WGB employ approximately 240 full-time and part-time employees collectively, none of whom is represented by a union. Clyde’s has approximately 200 full-time employees and 1,796 part-time employees, none of whom is represented</w:t>
      </w:r>
    </w:p>
    <w:p>
      <w:pPr>
        <w:spacing w:after="0" w:line="235" w:lineRule="auto"/>
        <w:rPr>
          <w:sz w:val="20"/>
          <w:szCs w:val="20"/>
          <w:color w:val="auto"/>
        </w:rPr>
      </w:pPr>
      <w:r>
        <w:rPr>
          <w:rFonts w:ascii="Arial" w:cs="Arial" w:eastAsia="Arial" w:hAnsi="Arial"/>
          <w:sz w:val="18"/>
          <w:szCs w:val="18"/>
          <w:color w:val="auto"/>
        </w:rPr>
        <w:t>by a union. Framebridge has approximately 594 employees and 65 part-time employees, none of whom is represented by a union. Code3</w:t>
      </w:r>
    </w:p>
    <w:p>
      <w:pPr>
        <w:ind w:right="20"/>
        <w:spacing w:after="0" w:line="226" w:lineRule="auto"/>
        <w:rPr>
          <w:sz w:val="20"/>
          <w:szCs w:val="20"/>
          <w:color w:val="auto"/>
        </w:rPr>
      </w:pPr>
      <w:r>
        <w:rPr>
          <w:rFonts w:ascii="Arial" w:cs="Arial" w:eastAsia="Arial" w:hAnsi="Arial"/>
          <w:sz w:val="18"/>
          <w:szCs w:val="18"/>
          <w:color w:val="auto"/>
        </w:rPr>
        <w:t>has approximately 125 full-time employees, none of whom is represented by a union. Decile has 28 full-time employees, none of whom is represented by a union. Slate employs 129 full-time employees and four part-time employees, of whom approximately 54 are represented by</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 union. The FP Group has approximately 62 full-time employees, approximately 14 of whom are represented by a union. City Cast employs 88 full-time employees and three part-time employees, none of whom is represented by a union.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87 full-time employees, none of whom is represented by a union.</w:t>
      </w:r>
    </w:p>
    <w:p>
      <w:pPr>
        <w:spacing w:after="0" w:line="158"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Oversight and Management. </w:t>
      </w:r>
      <w:r>
        <w:rPr>
          <w:rFonts w:ascii="Arial" w:cs="Arial" w:eastAsia="Arial" w:hAnsi="Arial"/>
          <w:sz w:val="18"/>
          <w:szCs w:val="18"/>
          <w:color w:val="auto"/>
        </w:rPr>
        <w:t>The Company’s human resources organization and the human resource organizations of its various</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businesses manage employment-related matters, including recruiting and hiring qualified employees, training and development, compensation, workplace safety, performance management, support for specific needs including supporting employees who are caregivers</w:t>
      </w:r>
    </w:p>
    <w:p>
      <w:pPr>
        <w:spacing w:after="0" w:line="235" w:lineRule="auto"/>
        <w:rPr>
          <w:sz w:val="20"/>
          <w:szCs w:val="20"/>
          <w:color w:val="auto"/>
        </w:rPr>
      </w:pPr>
      <w:r>
        <w:rPr>
          <w:rFonts w:ascii="Arial" w:cs="Arial" w:eastAsia="Arial" w:hAnsi="Arial"/>
          <w:sz w:val="18"/>
          <w:szCs w:val="18"/>
          <w:color w:val="auto"/>
        </w:rPr>
        <w:t>or working remotely, and ensuring a talented and inclusive workforce where all employees can be successful. The Compensation Committee</w:t>
      </w:r>
    </w:p>
    <w:p>
      <w:pPr>
        <w:ind w:right="120"/>
        <w:spacing w:after="0" w:line="237" w:lineRule="auto"/>
        <w:rPr>
          <w:sz w:val="20"/>
          <w:szCs w:val="20"/>
          <w:color w:val="auto"/>
        </w:rPr>
      </w:pPr>
      <w:r>
        <w:rPr>
          <w:rFonts w:ascii="Arial" w:cs="Arial" w:eastAsia="Arial" w:hAnsi="Arial"/>
          <w:sz w:val="18"/>
          <w:szCs w:val="18"/>
          <w:color w:val="auto"/>
        </w:rPr>
        <w:t>of the Board of Directors provides oversight of certain human capital matters, including compensation and benefits, executive development, employee inclusion and retention initiatives, and succession planning.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culture of trust and integrity is led and driven by senior management and supported by our internal practices, regular</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communications, and ongoing training efforts. Employees and stakeholders are encouraged to address any concerns with their managers and business leaders. The Company also provides a dedicated communication channel, the Ethics Hotline, to report possible violations of</w:t>
      </w:r>
    </w:p>
    <w:p>
      <w:pPr>
        <w:spacing w:after="0" w:line="236" w:lineRule="auto"/>
        <w:rPr>
          <w:sz w:val="20"/>
          <w:szCs w:val="20"/>
          <w:color w:val="auto"/>
        </w:rPr>
      </w:pPr>
      <w:r>
        <w:rPr>
          <w:rFonts w:ascii="Arial" w:cs="Arial" w:eastAsia="Arial" w:hAnsi="Arial"/>
          <w:sz w:val="18"/>
          <w:szCs w:val="18"/>
          <w:color w:val="auto"/>
        </w:rPr>
        <w:t>the Code of Business Conduct or concerns about ethics or integrity in the workplace. The Company’s Ethics Hotline is independently</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operated by a third party and anonymity is ensured upon request. Reports are forwarded to appropriate individuals within the Company for investigation. Every allegation is professionally and confidentially handled.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The Company offers strong compensation and benefits programs to its employees. Depending on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business unit, employee benefits may include healthcare and insurance benefits, health savings and flexible spending accounts, paid time off, family leave, adoption assistance plans, employee assistance programs, tuition assistance programs, transportation benefits programs, a</w:t>
      </w:r>
    </w:p>
    <w:p>
      <w:pPr>
        <w:spacing w:after="0" w:line="236" w:lineRule="auto"/>
        <w:rPr>
          <w:sz w:val="20"/>
          <w:szCs w:val="20"/>
          <w:color w:val="auto"/>
        </w:rPr>
      </w:pPr>
      <w:r>
        <w:rPr>
          <w:rFonts w:ascii="Arial" w:cs="Arial" w:eastAsia="Arial" w:hAnsi="Arial"/>
          <w:sz w:val="18"/>
          <w:szCs w:val="18"/>
          <w:color w:val="auto"/>
        </w:rPr>
        <w:t>matching gifts program, bonuses, long-term incentive compensation plans, Company-paid pension contributions and a 401(k) Plan. The</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Company offers discounts on courses and programs offered by Purdue Global to all full-time employees through the Gift of Knowledge Program. The Company also offers a small group of eligible employees certain equity-based grants under the Company’s Incentive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Compensation Plan with vesting and performance conditions to facilitate the attraction, retention, motivation and reward of key employees and to align their interests with those of the Company’s stockholders.</w:t>
      </w:r>
    </w:p>
    <w:p>
      <w:pPr>
        <w:spacing w:after="0" w:line="104" w:lineRule="exact"/>
        <w:rPr>
          <w:sz w:val="20"/>
          <w:szCs w:val="20"/>
          <w:color w:val="auto"/>
        </w:rPr>
      </w:pPr>
    </w:p>
    <w:p>
      <w:pPr>
        <w:jc w:val="both"/>
        <w:ind w:right="560"/>
        <w:spacing w:after="0" w:line="259" w:lineRule="auto"/>
        <w:rPr>
          <w:sz w:val="20"/>
          <w:szCs w:val="20"/>
          <w:color w:val="auto"/>
        </w:rPr>
      </w:pPr>
      <w:r>
        <w:rPr>
          <w:rFonts w:ascii="Arial" w:cs="Arial" w:eastAsia="Arial" w:hAnsi="Arial"/>
          <w:sz w:val="17"/>
          <w:szCs w:val="17"/>
          <w:b w:val="1"/>
          <w:bCs w:val="1"/>
          <w:i w:val="1"/>
          <w:iCs w:val="1"/>
          <w:color w:val="auto"/>
        </w:rPr>
        <w:t xml:space="preserve">Training and Talent Development. </w:t>
      </w:r>
      <w:r>
        <w:rPr>
          <w:rFonts w:ascii="Arial" w:cs="Arial" w:eastAsia="Arial" w:hAnsi="Arial"/>
          <w:sz w:val="17"/>
          <w:szCs w:val="17"/>
          <w:color w:val="auto"/>
        </w:rPr>
        <w:t>The Company is committed to the continued growth and development of its employees across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While development opportunities vary across businesses, the Company seeks to offer a variety of learning opportunities,</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including virtual learning, on-the-job mentoring and coaching. U.S. employees complete core harassment and discrimination training and ethics training and all employees are offered specific skills training designed to support the growth and advancement of their professional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skills.</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For example, at GMG, employees have access to several development and training programs, including Boss School, a management training session, PROduce! for high potential producers to enhance their innovative mindset and leadership skills, and access to several</w:t>
      </w:r>
    </w:p>
    <w:p>
      <w:pPr>
        <w:spacing w:after="0" w:line="235" w:lineRule="auto"/>
        <w:rPr>
          <w:sz w:val="20"/>
          <w:szCs w:val="20"/>
          <w:color w:val="auto"/>
        </w:rPr>
      </w:pPr>
      <w:r>
        <w:rPr>
          <w:rFonts w:ascii="Arial" w:cs="Arial" w:eastAsia="Arial" w:hAnsi="Arial"/>
          <w:sz w:val="18"/>
          <w:szCs w:val="18"/>
          <w:color w:val="auto"/>
        </w:rPr>
        <w:t>other resources that provide individual learning and group activities on a variety of leadership and workplace collaboration topics. In 2024,</w:t>
      </w:r>
    </w:p>
    <w:p>
      <w:pPr>
        <w:ind w:right="440"/>
        <w:spacing w:after="0" w:line="263" w:lineRule="auto"/>
        <w:rPr>
          <w:sz w:val="20"/>
          <w:szCs w:val="20"/>
          <w:color w:val="auto"/>
        </w:rPr>
      </w:pPr>
      <w:r>
        <w:rPr>
          <w:rFonts w:ascii="Arial" w:cs="Arial" w:eastAsia="Arial" w:hAnsi="Arial"/>
          <w:sz w:val="17"/>
          <w:szCs w:val="17"/>
          <w:color w:val="auto"/>
        </w:rPr>
        <w:t>GMG continued with its organizational culture improvement program called Up Your Culture, providing all people leaders with monthly workshops and coaching sessions to effectively lead their teams. Additionally, leaders have access to tools in their survey management</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platform that provide actionable tactics that can be traced and aligned with employee survey score outcomes. At Joyce/Dayton, leadership</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teams attended a multi-day training program to focus on strategic planning. Executives attended training to focus on how to work together most effectively. Kaplan offers personalized and immersive learning experiences to support employees, managers, and leaders in building</w:t>
      </w:r>
    </w:p>
    <w:p>
      <w:pPr>
        <w:spacing w:after="0" w:line="235" w:lineRule="auto"/>
        <w:rPr>
          <w:sz w:val="20"/>
          <w:szCs w:val="20"/>
          <w:color w:val="auto"/>
        </w:rPr>
      </w:pPr>
      <w:r>
        <w:rPr>
          <w:rFonts w:ascii="Arial" w:cs="Arial" w:eastAsia="Arial" w:hAnsi="Arial"/>
          <w:sz w:val="18"/>
          <w:szCs w:val="18"/>
          <w:color w:val="auto"/>
        </w:rPr>
        <w:t>capabilities and driving personal and business growth. In 2024, Kaplan International Australia &amp; New Zealand ran a leadership basics</w:t>
      </w:r>
    </w:p>
    <w:p>
      <w:pPr>
        <w:ind w:right="200"/>
        <w:spacing w:after="0" w:line="237" w:lineRule="auto"/>
        <w:rPr>
          <w:sz w:val="20"/>
          <w:szCs w:val="20"/>
          <w:color w:val="auto"/>
        </w:rPr>
      </w:pPr>
      <w:r>
        <w:rPr>
          <w:rFonts w:ascii="Arial" w:cs="Arial" w:eastAsia="Arial" w:hAnsi="Arial"/>
          <w:sz w:val="18"/>
          <w:szCs w:val="18"/>
          <w:color w:val="auto"/>
        </w:rPr>
        <w:t>training for the Admission team leaders in Kaplan Business School. At Hoover, they held their Annual Leadership Development Training as well as their Annual Safety &amp; Leadership Conference.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Attracting and Retaining Employees. </w:t>
      </w:r>
      <w:r>
        <w:rPr>
          <w:rFonts w:ascii="Arial" w:cs="Arial" w:eastAsia="Arial" w:hAnsi="Arial"/>
          <w:sz w:val="18"/>
          <w:szCs w:val="18"/>
          <w:color w:val="auto"/>
        </w:rPr>
        <w:t>The Company strives to recruit, hire and promote the most talented and qualified individuals for roles</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in all its businesses. Focusing on identifying and considering a broad group of highly qualified applicants from all backgrounds for employment fosters a culture of excellence and drives positive outcomes for the Company’s businesses. The Company is committed to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culture in which its talented employee base can thrive in an inclusive and respectful environment.</w:t>
      </w:r>
    </w:p>
    <w:p>
      <w:pPr>
        <w:spacing w:after="0" w:line="140"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The Company’s businesses have various initiatives to support their inclusion strategies in ways that are tailored to their employees, customers, and products. These include training and other education opportunities, venues for employees to come together to create</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community, and efforts to continually gather feedback from our employees to ensure we are a workplace in which our diverse group of talented employees can thrive.</w:t>
      </w:r>
    </w:p>
    <w:p>
      <w:pPr>
        <w:spacing w:after="0" w:line="145"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i w:val="1"/>
          <w:iCs w:val="1"/>
          <w:color w:val="auto"/>
        </w:rPr>
        <w:t xml:space="preserve">Community Impact. </w:t>
      </w:r>
      <w:r>
        <w:rPr>
          <w:rFonts w:ascii="Arial" w:cs="Arial" w:eastAsia="Arial" w:hAnsi="Arial"/>
          <w:sz w:val="18"/>
          <w:szCs w:val="18"/>
          <w:color w:val="auto"/>
        </w:rPr>
        <w:t>The Company has a long history of investing in the communities it serves. In addition to philanthropy managed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level, the Company’s businesses engage in charitable works, community and civic activities, and volunteer projects in the</w:t>
      </w:r>
    </w:p>
    <w:p>
      <w:pPr>
        <w:ind w:right="360"/>
        <w:spacing w:after="0" w:line="237" w:lineRule="auto"/>
        <w:rPr>
          <w:sz w:val="20"/>
          <w:szCs w:val="20"/>
          <w:color w:val="auto"/>
        </w:rPr>
      </w:pPr>
      <w:r>
        <w:rPr>
          <w:rFonts w:ascii="Arial" w:cs="Arial" w:eastAsia="Arial" w:hAnsi="Arial"/>
          <w:sz w:val="18"/>
          <w:szCs w:val="18"/>
          <w:color w:val="auto"/>
        </w:rPr>
        <w:t>communities they serve. While the Company’s businesses operate in a variety of industries in markets around the world, the Company is unified in its connection to the places where its teams live and work.</w:t>
      </w:r>
    </w:p>
    <w:p>
      <w:pPr>
        <w:spacing w:after="0" w:line="12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In 2024, the Corporate office provided approximately $1.5 million in financial support to 77 nonprofit and civic organizations in the areas of education, health and human services, civics and community, and culture and art. Corporate philanthropy is primarily focused on providing</w:t>
      </w:r>
    </w:p>
    <w:p>
      <w:pPr>
        <w:spacing w:after="0" w:line="235" w:lineRule="auto"/>
        <w:rPr>
          <w:sz w:val="20"/>
          <w:szCs w:val="20"/>
          <w:color w:val="auto"/>
        </w:rPr>
      </w:pPr>
      <w:r>
        <w:rPr>
          <w:rFonts w:ascii="Arial" w:cs="Arial" w:eastAsia="Arial" w:hAnsi="Arial"/>
          <w:sz w:val="18"/>
          <w:szCs w:val="18"/>
          <w:color w:val="auto"/>
        </w:rPr>
        <w:t>resources, access and services to the most underserved members of the community. Corporate staff have also volunteered directly with</w:t>
      </w:r>
    </w:p>
    <w:p>
      <w:pPr>
        <w:spacing w:after="0" w:line="226" w:lineRule="auto"/>
        <w:rPr>
          <w:sz w:val="20"/>
          <w:szCs w:val="20"/>
          <w:color w:val="auto"/>
        </w:rPr>
      </w:pPr>
      <w:r>
        <w:rPr>
          <w:rFonts w:ascii="Arial" w:cs="Arial" w:eastAsia="Arial" w:hAnsi="Arial"/>
          <w:sz w:val="18"/>
          <w:szCs w:val="18"/>
          <w:color w:val="auto"/>
        </w:rPr>
        <w:t>organizations in the region such as College Track, organizing career development opportunities for students, and PathForward, packing lunches and care packages for Arlington residents experiencing homelessness. The Company has forged deep relationships with its partners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service and philanthropy, and it works closely in collaboration with them to support their very important work.</w:t>
      </w:r>
    </w:p>
    <w:p>
      <w:pPr>
        <w:spacing w:after="0" w:line="140"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The service-oriented nature of the Company’s businesses, along with its core values, enables its businesses to authentically engage in service through its normal business activities. For example, at the education segment, Kaplan continues to be the primary donor and</w:t>
      </w:r>
    </w:p>
    <w:p>
      <w:pPr>
        <w:spacing w:after="0" w:line="235" w:lineRule="auto"/>
        <w:rPr>
          <w:sz w:val="20"/>
          <w:szCs w:val="20"/>
          <w:color w:val="auto"/>
        </w:rPr>
      </w:pPr>
      <w:r>
        <w:rPr>
          <w:rFonts w:ascii="Arial" w:cs="Arial" w:eastAsia="Arial" w:hAnsi="Arial"/>
          <w:sz w:val="18"/>
          <w:szCs w:val="18"/>
          <w:color w:val="auto"/>
        </w:rPr>
        <w:t>supporter of The Kaplan Educational Foundation (KEF), an independent public charity founded by Kaplan executives to help promote equity</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through higher education. The Foundation relies on Kaplan grants, in-kind service, donations from the Kaplan community, and volunteers from Kaplan’s employee base. A number of KEF alumni have been hired by Kaplan as full-time employees or served as interns at Kaplan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over the years, and many have secured post-graduation employment with Fortune 500 and multinational corporations.</w:t>
      </w:r>
    </w:p>
    <w:p>
      <w:pPr>
        <w:spacing w:after="0" w:line="137" w:lineRule="exact"/>
        <w:rPr>
          <w:sz w:val="20"/>
          <w:szCs w:val="20"/>
          <w:color w:val="auto"/>
        </w:rPr>
      </w:pPr>
    </w:p>
    <w:p>
      <w:pPr>
        <w:ind w:right="180"/>
        <w:spacing w:after="0" w:line="209" w:lineRule="auto"/>
        <w:rPr>
          <w:sz w:val="20"/>
          <w:szCs w:val="20"/>
          <w:color w:val="auto"/>
        </w:rPr>
      </w:pPr>
      <w:r>
        <w:rPr>
          <w:rFonts w:ascii="Arial" w:cs="Arial" w:eastAsia="Arial" w:hAnsi="Arial"/>
          <w:sz w:val="18"/>
          <w:szCs w:val="18"/>
          <w:color w:val="auto"/>
        </w:rPr>
        <w:t>Additionally, Kaplan partners with ACT, Inc., to provide free ACT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prep for low-income students. In 2024, Kaplan enrolled approximately 150,136 students who qualified as such–according to eligibility in ACT’s fee waiver program–delivering over $22 million in free ACT prep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low-income students.</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Kaplan International supports various charitable organizations providing a broad range of education-related services to underserved communities. Kaplan Professional UK supports Breaking Barriers (formerly RefuAid), a specialist refugee employment charity, by providing</w:t>
      </w:r>
    </w:p>
    <w:p>
      <w:pPr>
        <w:spacing w:after="0" w:line="235" w:lineRule="auto"/>
        <w:rPr>
          <w:sz w:val="20"/>
          <w:szCs w:val="20"/>
          <w:color w:val="auto"/>
        </w:rPr>
      </w:pPr>
      <w:r>
        <w:rPr>
          <w:rFonts w:ascii="Arial" w:cs="Arial" w:eastAsia="Arial" w:hAnsi="Arial"/>
          <w:sz w:val="18"/>
          <w:szCs w:val="18"/>
          <w:color w:val="auto"/>
        </w:rPr>
        <w:t>free accountancy tuition through to qualification by the Association of Chartered Certified Accountants. Kaplan Languages Group also offers</w:t>
      </w:r>
    </w:p>
    <w:p>
      <w:pPr>
        <w:ind w:right="40"/>
        <w:spacing w:after="0"/>
        <w:rPr>
          <w:sz w:val="20"/>
          <w:szCs w:val="20"/>
          <w:color w:val="auto"/>
        </w:rPr>
      </w:pPr>
      <w:r>
        <w:rPr>
          <w:rFonts w:ascii="Arial" w:cs="Arial" w:eastAsia="Arial" w:hAnsi="Arial"/>
          <w:sz w:val="17"/>
          <w:szCs w:val="17"/>
          <w:color w:val="auto"/>
        </w:rPr>
        <w:t>the organization’s members, free of charge, online and in-person English classes, as well as the Kaplan Test of English, an online English proficiency assessment needed for entry to university, helping to improve access to education and career opportunities. Furthermore, Kaplan</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Professional UK provides internship, mentoring, and professional development opportunities through Career Ready, a social mobility charity, and runs skills workshops for The Rise Initiative, which serves youth from low socio-economic backgrounds.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At Graham Media Group, both the stations and their employees are committed to their local communities by providing educational, public affairs and special broadcasts addressing current affairs and issues related to their communities. Additionally, each media hub elevates the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work of several nonprofit and community organizations by spotlighting their work in the community, hosting community forums to voice and address community concerns, volunteering at local classrooms to conduct science experiments, and partnering with local organizations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assist people who have been impacted by natural disasters.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At the Company’s healthcare segment, Graham Healthcare Group partners with We Honor Veterans to serve the unique hospice needs of</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veterans and their families. GHG also created the Residential Hospice Foundation, an organization dedicated to educating the community, prospective hospice patients, and their families about end-of-life issues, grief, and the bereavement process. Contributions help families to</w:t>
      </w:r>
    </w:p>
    <w:p>
      <w:pPr>
        <w:spacing w:after="0" w:line="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receive the hospice care they need even when they are underinsured or do not have insurance. Additionally, GHG is proud to be a regional corporate sponsor for the Walk to End Alzheimer’s, a disease that directly impacts many of the communities and patients that GHG serves.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Company’s Annual Report on Form 10-K and in the Company’s 2024 Annual Report to Stockholders, are “forward-looking statements” within the meaning of the Private Securities Litigation Reform Act of 1995. Forward-looking statements are based on expectations, forecasts,</w:t>
      </w:r>
    </w:p>
    <w:p>
      <w:pPr>
        <w:spacing w:after="0" w:line="235" w:lineRule="auto"/>
        <w:rPr>
          <w:sz w:val="20"/>
          <w:szCs w:val="20"/>
          <w:color w:val="auto"/>
        </w:rPr>
      </w:pPr>
      <w:r>
        <w:rPr>
          <w:rFonts w:ascii="Arial" w:cs="Arial" w:eastAsia="Arial" w:hAnsi="Arial"/>
          <w:sz w:val="18"/>
          <w:szCs w:val="18"/>
          <w:color w:val="auto"/>
        </w:rPr>
        <w:t>and assumptions by the Company’s management and involve a number of risks, uncertainties, and other factors that could cause actual</w:t>
      </w:r>
    </w:p>
    <w:p>
      <w:pPr>
        <w:ind w:right="40"/>
        <w:spacing w:after="0" w:line="226" w:lineRule="auto"/>
        <w:rPr>
          <w:sz w:val="20"/>
          <w:szCs w:val="20"/>
          <w:color w:val="auto"/>
        </w:rPr>
      </w:pPr>
      <w:r>
        <w:rPr>
          <w:rFonts w:ascii="Arial" w:cs="Arial" w:eastAsia="Arial" w:hAnsi="Arial"/>
          <w:sz w:val="18"/>
          <w:szCs w:val="18"/>
          <w:color w:val="auto"/>
        </w:rPr>
        <w:t>results to differ from those stated, including, without limitation, comments about expectations related to acquisitions or dispositions or related business activities, the Company’s business strategies and objectives, the prospects for growth in the Company’s various business</w:t>
      </w:r>
    </w:p>
    <w:p>
      <w:pPr>
        <w:spacing w:after="0" w:line="236" w:lineRule="auto"/>
        <w:rPr>
          <w:sz w:val="20"/>
          <w:szCs w:val="20"/>
          <w:color w:val="auto"/>
        </w:rPr>
      </w:pPr>
      <w:r>
        <w:rPr>
          <w:rFonts w:ascii="Arial" w:cs="Arial" w:eastAsia="Arial" w:hAnsi="Arial"/>
          <w:sz w:val="18"/>
          <w:szCs w:val="18"/>
          <w:color w:val="auto"/>
        </w:rPr>
        <w:t>operations, the Company’s future financial performance, and the risks and uncertainties described in Item 1A of the Company’s Annual</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Report on Form 10-K. Accordingly, undue reliance should not be placed on any forward-looking statement made by or on behalf of the Company. Any forward-looking statements made in this Annual Report on Form 10-K speaks only as of the date on which it is made. The</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Company’s internet address is www.ghco.com. The Company makes available free of charge through its website its Annual Report on Form 10-K, quarterly reports on Form 10-Q, current reports on Form 8-K, definitive proxy statements on Schedule 14A and amendments to</w:t>
      </w:r>
    </w:p>
    <w:p>
      <w:pPr>
        <w:spacing w:after="0" w:line="235" w:lineRule="auto"/>
        <w:rPr>
          <w:sz w:val="20"/>
          <w:szCs w:val="20"/>
          <w:color w:val="auto"/>
        </w:rPr>
      </w:pPr>
      <w:r>
        <w:rPr>
          <w:rFonts w:ascii="Arial" w:cs="Arial" w:eastAsia="Arial" w:hAnsi="Arial"/>
          <w:sz w:val="18"/>
          <w:szCs w:val="18"/>
          <w:color w:val="auto"/>
        </w:rPr>
        <w:t>those reports filed or furnished pursuant to Section 13(a) or 15(d) of the Securities Exchange Act of 1934 (Exchange Act) as soon as</w:t>
      </w:r>
    </w:p>
    <w:p>
      <w:pPr>
        <w:ind w:right="260"/>
        <w:spacing w:after="0"/>
        <w:rPr>
          <w:sz w:val="20"/>
          <w:szCs w:val="20"/>
          <w:color w:val="auto"/>
        </w:rPr>
      </w:pPr>
      <w:r>
        <w:rPr>
          <w:rFonts w:ascii="Arial" w:cs="Arial" w:eastAsia="Arial" w:hAnsi="Arial"/>
          <w:sz w:val="17"/>
          <w:szCs w:val="17"/>
          <w:color w:val="auto"/>
        </w:rPr>
        <w:t>reasonably practicable after such documents are electronically filed with the Securities and Exchange Commission (SEC). In addition, the Company’s Certificate of Incorporation, its Corporate Governance Guidelines, the Charters of the Audit and Compensation Committees of</w:t>
      </w:r>
    </w:p>
    <w:p>
      <w:pPr>
        <w:spacing w:after="0" w:line="235" w:lineRule="auto"/>
        <w:rPr>
          <w:sz w:val="20"/>
          <w:szCs w:val="20"/>
          <w:color w:val="auto"/>
        </w:rPr>
      </w:pPr>
      <w:r>
        <w:rPr>
          <w:rFonts w:ascii="Arial" w:cs="Arial" w:eastAsia="Arial" w:hAnsi="Arial"/>
          <w:sz w:val="18"/>
          <w:szCs w:val="18"/>
          <w:color w:val="auto"/>
        </w:rPr>
        <w:t>the Company’s Board of Directors and the codes of conduct adopted by the Company and referred to in Item 10 of this Annual Report on</w:t>
      </w:r>
    </w:p>
    <w:p>
      <w:pPr>
        <w:ind w:right="140"/>
        <w:spacing w:after="0" w:line="226" w:lineRule="auto"/>
        <w:rPr>
          <w:sz w:val="20"/>
          <w:szCs w:val="20"/>
          <w:color w:val="auto"/>
        </w:rPr>
      </w:pPr>
      <w:r>
        <w:rPr>
          <w:rFonts w:ascii="Arial" w:cs="Arial" w:eastAsia="Arial" w:hAnsi="Arial"/>
          <w:sz w:val="18"/>
          <w:szCs w:val="18"/>
          <w:color w:val="auto"/>
        </w:rPr>
        <w:t>Form 10-K are all available on the Company’s website; printed copies of such documents may be obtained by any stockholder upon written request to the Secretary, Graham Holdings Company at 1812 North Moore Street, Arlington, VA 22209. We routinely post information that</w:t>
      </w:r>
    </w:p>
    <w:p>
      <w:pPr>
        <w:spacing w:after="0" w:line="236" w:lineRule="auto"/>
        <w:rPr>
          <w:sz w:val="20"/>
          <w:szCs w:val="20"/>
          <w:color w:val="auto"/>
        </w:rPr>
      </w:pPr>
      <w:r>
        <w:rPr>
          <w:rFonts w:ascii="Arial" w:cs="Arial" w:eastAsia="Arial" w:hAnsi="Arial"/>
          <w:sz w:val="18"/>
          <w:szCs w:val="18"/>
          <w:color w:val="auto"/>
        </w:rPr>
        <w:t>may be important to investors on our website at www.ghco.com, and we use this website address as a means of disclosing material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information to the public in a broad, non-exclusionary manner for purposes of the SEC’s Regulation Fair Disclosure (FD). The contents of the Company’s website are not incorporated by reference into this Form 10-K and shall not be deemed “filed” under the Exchange Act.</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as elsewhere in this Annual Report on Form 10-K. Additional risks, beyond those summarized below or discussed elsewhere in this Annual Report on Form 10-K, may apply to the Company’s business, activities or operations as currently conducted or as may be conducted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These risks include, but are not limited to,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International Laws and Regulations, Related Policy Announcements, Travel Restrictions and Sanctions.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Expenses in Managing Properties in England and Scotland.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Foreign Operations and Failure to Comply with Foreign Regulatory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U.K. and International Tax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Changes to the Department of Education.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as a Third-Party Servicer to Title IV Participating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Incentive Compensation Rule.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Misrepresentation Regulations.</w:t>
      </w:r>
    </w:p>
    <w:p>
      <w:pPr>
        <w:spacing w:after="0" w:line="157" w:lineRule="exact"/>
        <w:rPr>
          <w:rFonts w:ascii="Arial" w:cs="Arial" w:eastAsia="Arial" w:hAnsi="Arial"/>
          <w:sz w:val="18"/>
          <w:szCs w:val="18"/>
          <w:color w:val="auto"/>
        </w:rPr>
      </w:pPr>
    </w:p>
    <w:p>
      <w:pPr>
        <w:ind w:left="260" w:right="480" w:hanging="252"/>
        <w:spacing w:after="0" w:line="256"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Reviews, Program Reviews, Audits and Investigations, Including in Connection with Borrower Defense to Repayment Claims.</w:t>
      </w:r>
    </w:p>
    <w:p>
      <w:pPr>
        <w:spacing w:after="0" w:line="11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Regulations by KNA’s Client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Purdue Global Transaction.</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the Use of Standardized Tests and Increased Competition.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Extent to Which Licensing and Proficiency Examinations Are Used.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260" w:right="660" w:hanging="252"/>
        <w:spacing w:after="0" w:line="256"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Perceptions About the Effectiveness of Television Broadcasting in Delivering Advertising and Competition from Digital Platforms.</w:t>
      </w:r>
    </w:p>
    <w:p>
      <w:pPr>
        <w:spacing w:after="0" w:line="11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Resulting from Technological Innovations and Changing Consumer Behavior.</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Transition to New Technical Standards for Broadcast Television Stations.</w:t>
      </w:r>
    </w:p>
    <w:p>
      <w:pPr>
        <w:spacing w:after="0" w:line="157" w:lineRule="exact"/>
        <w:rPr>
          <w:rFonts w:ascii="Arial" w:cs="Arial" w:eastAsia="Arial" w:hAnsi="Arial"/>
          <w:sz w:val="18"/>
          <w:szCs w:val="18"/>
          <w:color w:val="auto"/>
        </w:rPr>
      </w:pPr>
    </w:p>
    <w:p>
      <w:pPr>
        <w:ind w:left="260" w:right="60" w:hanging="252"/>
        <w:spacing w:after="0" w:line="271"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MVPD Subscriber Numbers, Retransmission Consent Fees, “Reverse Retransmission Consent” Payments to the Networks, and Broadcast Exclusivity.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5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Recruit and Retain Production Staff Needed to Meet Customer Demand.</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Regulation of the Healthcare Industry.</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Changes to Reimbursement and Other Aspects of Medicare and Medicaid.</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Nursing Staffing Shortages.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Impact on Medicare Reimbursement from Value-based Purchasing Requirements.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Ability to Control Rates Received for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0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or Non-renewal of Dealership Agreements and Limitations on the Company’s Ability to Acquire Additional Dealerships.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Affecting Automobile Manufacturers.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State Dealer Franchise Laws and Technological Innovations.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 and Vehicle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44"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Failure by Saatchi Art to Attract and Retain Artists and Customers and Convert Visitors to Customers.</w:t>
      </w:r>
    </w:p>
    <w:p>
      <w:pPr>
        <w:spacing w:after="0" w:line="157" w:lineRule="exact"/>
        <w:rPr>
          <w:rFonts w:ascii="Arial" w:cs="Arial" w:eastAsia="Arial" w:hAnsi="Arial"/>
          <w:sz w:val="18"/>
          <w:szCs w:val="18"/>
          <w:b w:val="1"/>
          <w:bCs w:val="1"/>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Society6 to Attract and Retain Customers.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WGB to Attract Visitors and Drive Traffic to its Media Properties.</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Recruit and Retain Employees in the Company’s Restaurants.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Food-Borne Illness Concerns and Damage to the Company’s Reputation.</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Concentration of the Company’s Restaurants in the Washington, D.C. Region.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Controlled Company, the Rights of Class B Common Stockholders Are Limited.</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or Other Outbreaks of Disease.</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Environmental and Health and Safety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and Other Intangible Assets Impairment.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International Income Tax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Additional Tariffs.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Artificial Intelligence and Intellectual Property</w:t>
      </w:r>
    </w:p>
    <w:p>
      <w:pPr>
        <w:spacing w:after="0" w:line="9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Disruptions and Security Threats to the Company’s Information Technology Infrastructure or Those of Third Parties.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Privacy Laws or Regulations.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Artificial Intelligence Concerns.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Liability for Intellectual Property Infringement.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faces a number of risks and uncertainties in connection with its operations. Described below are the most material risks faced</w:t>
      </w:r>
    </w:p>
    <w:p>
      <w:pPr>
        <w:spacing w:after="0" w:line="25"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by the Company. These risks and uncertainties may not be the only ones faced by the Company. Additional risks and uncertainties not presently known, or currently deemed immaterial, may adversely affect the Company in the future. In addition to the other information</w:t>
      </w:r>
    </w:p>
    <w:p>
      <w:pPr>
        <w:spacing w:after="0" w:line="1"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included in this Annual Report on Form 10-K, investors should carefully consider the following risk factors. If any of the events or developments described below</w:t>
      </w:r>
    </w:p>
    <w:p>
      <w:pPr>
        <w:sectPr>
          <w:pgSz w:w="11900" w:h="16838" w:orient="portrait"/>
          <w:cols w:equalWidth="0" w:num="1">
            <w:col w:w="11140"/>
          </w:cols>
          <w:pgMar w:left="320" w:top="1039" w:right="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26" w:name="page27"/>
    <w:bookmarkEnd w:id="26"/>
    <w:p>
      <w:pPr>
        <w:ind w:right="1840"/>
        <w:spacing w:after="0" w:line="414" w:lineRule="auto"/>
        <w:rPr>
          <w:sz w:val="20"/>
          <w:szCs w:val="20"/>
          <w:color w:val="auto"/>
        </w:rPr>
      </w:pPr>
      <w:r>
        <w:rPr>
          <w:rFonts w:ascii="Arial" w:cs="Arial" w:eastAsia="Arial" w:hAnsi="Arial"/>
          <w:sz w:val="18"/>
          <w:szCs w:val="18"/>
          <w:color w:val="auto"/>
        </w:rPr>
        <w:t xml:space="preserve">occurs, it could have a material adverse effect on the Company’s business, financial condition or results of operations. </w:t>
      </w:r>
      <w:r>
        <w:rPr>
          <w:rFonts w:ascii="Arial" w:cs="Arial" w:eastAsia="Arial" w:hAnsi="Arial"/>
          <w:sz w:val="18"/>
          <w:szCs w:val="18"/>
          <w:b w:val="1"/>
          <w:bCs w:val="1"/>
          <w:color w:val="auto"/>
        </w:rPr>
        <w:t>Risks Related to the Company’s Education Business</w:t>
      </w:r>
    </w:p>
    <w:p>
      <w:pPr>
        <w:spacing w:after="0" w:line="1" w:lineRule="exact"/>
        <w:rPr>
          <w:sz w:val="20"/>
          <w:szCs w:val="20"/>
          <w:color w:val="auto"/>
        </w:rPr>
      </w:pPr>
    </w:p>
    <w:p>
      <w:pPr>
        <w:ind w:left="260" w:right="60" w:hanging="252"/>
        <w:spacing w:after="0" w:line="257" w:lineRule="auto"/>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Laws and Regulations and Travel Restrictions and Related Policy Announcements, Have Materially Adversely Affected and Together with Changes in Immigration Laws or Sanctions Could Continue to Materially Adversely Affect International Student Enrollments and Kaplan’s Business.</w:t>
      </w:r>
    </w:p>
    <w:p>
      <w:pPr>
        <w:spacing w:after="0" w:line="91"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Kaplan is subject to a wide range of laws and regulations relating to its international operations. These include domestic laws with extraterritorial reach, such as the U.S. Foreign Corrupt Practices Act, international laws such as the U.K. Bribery Act, as well as the local</w:t>
      </w:r>
    </w:p>
    <w:p>
      <w:pPr>
        <w:ind w:right="120"/>
        <w:spacing w:after="0" w:line="226" w:lineRule="auto"/>
        <w:rPr>
          <w:sz w:val="20"/>
          <w:szCs w:val="20"/>
          <w:color w:val="auto"/>
        </w:rPr>
      </w:pPr>
      <w:r>
        <w:rPr>
          <w:rFonts w:ascii="Arial" w:cs="Arial" w:eastAsia="Arial" w:hAnsi="Arial"/>
          <w:sz w:val="18"/>
          <w:szCs w:val="18"/>
          <w:color w:val="auto"/>
        </w:rPr>
        <w:t>regulatory regimes of the countries in which Kaplan operates. These laws and regulations change frequently. Failure to comply with these laws and regulations could result in significant penalties or the revocation of Kaplan’s authority to operate in the applicable jurisdiction,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which could have a material adverse effect on Kaplan’s operating results.</w:t>
      </w:r>
    </w:p>
    <w:p>
      <w:pPr>
        <w:spacing w:after="0" w:line="140" w:lineRule="exact"/>
        <w:rPr>
          <w:sz w:val="20"/>
          <w:szCs w:val="20"/>
          <w:color w:val="auto"/>
        </w:rPr>
      </w:pPr>
    </w:p>
    <w:p>
      <w:pPr>
        <w:ind w:right="800"/>
        <w:spacing w:after="0" w:line="251" w:lineRule="auto"/>
        <w:rPr>
          <w:sz w:val="20"/>
          <w:szCs w:val="20"/>
          <w:color w:val="auto"/>
        </w:rPr>
      </w:pPr>
      <w:r>
        <w:rPr>
          <w:rFonts w:ascii="Arial" w:cs="Arial" w:eastAsia="Arial" w:hAnsi="Arial"/>
          <w:sz w:val="17"/>
          <w:szCs w:val="17"/>
          <w:color w:val="auto"/>
        </w:rPr>
        <w:t>In response to the COVID-19 pandemic, many governments imposed student travel restrictions (applicable to exit and entry), made recommendations for their students to return home and closed physical campus locations, and many state and professional bodies</w:t>
      </w:r>
    </w:p>
    <w:p>
      <w:pPr>
        <w:spacing w:after="0" w:line="235" w:lineRule="auto"/>
        <w:rPr>
          <w:sz w:val="20"/>
          <w:szCs w:val="20"/>
          <w:color w:val="auto"/>
        </w:rPr>
      </w:pPr>
      <w:r>
        <w:rPr>
          <w:rFonts w:ascii="Arial" w:cs="Arial" w:eastAsia="Arial" w:hAnsi="Arial"/>
          <w:sz w:val="18"/>
          <w:szCs w:val="18"/>
          <w:color w:val="auto"/>
        </w:rPr>
        <w:t>postponed or canceled examination dates related to state examinations and professional education programs, all of which have materially</w:t>
      </w:r>
    </w:p>
    <w:p>
      <w:pPr>
        <w:ind w:right="60"/>
        <w:spacing w:after="0"/>
        <w:rPr>
          <w:sz w:val="20"/>
          <w:szCs w:val="20"/>
          <w:color w:val="auto"/>
        </w:rPr>
      </w:pPr>
      <w:r>
        <w:rPr>
          <w:rFonts w:ascii="Arial" w:cs="Arial" w:eastAsia="Arial" w:hAnsi="Arial"/>
          <w:sz w:val="17"/>
          <w:szCs w:val="17"/>
          <w:color w:val="auto"/>
        </w:rPr>
        <w:t>adversely affected Kaplan International’s operations and resulted in significant losses at Kaplan Languages Group during the pandemic. The emergence of new pandemics and consequential changes to travel and study arrangements in one or more countries could negatively affect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and its operating results.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Further changes to the regulatory environment, including changes to government policy or practice in oversight and enforcement, or other factors, including war, civil unrest, geopolitical instability, imposition or extension of international sanctions, a natural disaster or a pandemic</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in either the students’ countries of origin or countries in which they desire to study, could continue to negatively affect Kaplan’s ability to attract and retain students and negatively affect Kaplan’s operating results. Increasingly, governments have begun imposing sales taxes on</w:t>
      </w:r>
    </w:p>
    <w:p>
      <w:pPr>
        <w:spacing w:after="0" w:line="235" w:lineRule="auto"/>
        <w:rPr>
          <w:sz w:val="20"/>
          <w:szCs w:val="20"/>
          <w:color w:val="auto"/>
        </w:rPr>
      </w:pPr>
      <w:r>
        <w:rPr>
          <w:rFonts w:ascii="Arial" w:cs="Arial" w:eastAsia="Arial" w:hAnsi="Arial"/>
          <w:sz w:val="18"/>
          <w:szCs w:val="18"/>
          <w:color w:val="auto"/>
        </w:rPr>
        <w:t>digital services, such as education, offered in their jurisdictions by foreign providers. Any significant changes to the availability of government</w:t>
      </w:r>
    </w:p>
    <w:p>
      <w:pPr>
        <w:ind w:right="80"/>
        <w:spacing w:after="0"/>
        <w:rPr>
          <w:sz w:val="20"/>
          <w:szCs w:val="20"/>
          <w:color w:val="auto"/>
        </w:rPr>
      </w:pPr>
      <w:r>
        <w:rPr>
          <w:rFonts w:ascii="Arial" w:cs="Arial" w:eastAsia="Arial" w:hAnsi="Arial"/>
          <w:sz w:val="17"/>
          <w:szCs w:val="17"/>
          <w:color w:val="auto"/>
        </w:rPr>
        <w:t>funding for education or training, visa policies for students and their dependents, or other administrative immigration requirements, or the tax environment, including changes to tax laws, policies and practices, in any one or more countries in which KI operates or makes its services</w:t>
      </w:r>
    </w:p>
    <w:p>
      <w:pPr>
        <w:spacing w:after="0" w:line="235" w:lineRule="auto"/>
        <w:rPr>
          <w:sz w:val="20"/>
          <w:szCs w:val="20"/>
          <w:color w:val="auto"/>
        </w:rPr>
      </w:pPr>
      <w:r>
        <w:rPr>
          <w:rFonts w:ascii="Arial" w:cs="Arial" w:eastAsia="Arial" w:hAnsi="Arial"/>
          <w:sz w:val="18"/>
          <w:szCs w:val="18"/>
          <w:color w:val="auto"/>
        </w:rPr>
        <w:t>available could negatively affect its operating results. KI’s operations, institutions and programs in the U.S. may be subject to state-level</w:t>
      </w:r>
    </w:p>
    <w:p>
      <w:pPr>
        <w:spacing w:after="0"/>
        <w:rPr>
          <w:sz w:val="20"/>
          <w:szCs w:val="20"/>
          <w:color w:val="auto"/>
        </w:rPr>
      </w:pPr>
      <w:r>
        <w:rPr>
          <w:rFonts w:ascii="Arial" w:cs="Arial" w:eastAsia="Arial" w:hAnsi="Arial"/>
          <w:sz w:val="17"/>
          <w:szCs w:val="17"/>
          <w:color w:val="auto"/>
        </w:rPr>
        <w:t>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w:t>
      </w:r>
    </w:p>
    <w:p>
      <w:pPr>
        <w:spacing w:after="0" w:line="235" w:lineRule="auto"/>
        <w:rPr>
          <w:sz w:val="20"/>
          <w:szCs w:val="20"/>
          <w:color w:val="auto"/>
        </w:rPr>
      </w:pPr>
      <w:r>
        <w:rPr>
          <w:rFonts w:ascii="Arial" w:cs="Arial" w:eastAsia="Arial" w:hAnsi="Arial"/>
          <w:sz w:val="18"/>
          <w:szCs w:val="18"/>
          <w:color w:val="auto"/>
        </w:rPr>
        <w:t>policies and responsibilities and other operational matters. Institutions that seek to admit international students are required to be federally</w:t>
      </w:r>
    </w:p>
    <w:p>
      <w:pPr>
        <w:ind w:right="20"/>
        <w:spacing w:after="0" w:line="226" w:lineRule="auto"/>
        <w:rPr>
          <w:sz w:val="20"/>
          <w:szCs w:val="20"/>
          <w:color w:val="auto"/>
        </w:rPr>
      </w:pPr>
      <w:r>
        <w:rPr>
          <w:rFonts w:ascii="Arial" w:cs="Arial" w:eastAsia="Arial" w:hAnsi="Arial"/>
          <w:sz w:val="18"/>
          <w:szCs w:val="18"/>
          <w:color w:val="auto"/>
        </w:rPr>
        <w:t>certified and legally authorized to operate in the state in which the institution is physically located in order to be allowed to issue the relevant documentation to permit international students to obtain a visa. Agencies at both local and national levels in other countries may also impose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similar requirements on Kaplan International’s operations outside the U.S.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 substantial portion of KI’s revenue comes from programs that prepare international students to study and travel in English-speaking countries. In 2024, university preparation programs were principally delivered in Australia, New Zealand, Singapore and the U.K. KI’s 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enroll students in these programs is directly dependent on its ability to comply with complex regulatory environments.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KI’s ability to enroll international students in programs in the U.K., U.S., Singapore, Australia, New Zealand, Canada and other countries and to recruit students for study with KI’s partners is directly dependent on the laws and regulations governing student immigration. Changes to</w:t>
      </w:r>
    </w:p>
    <w:p>
      <w:pPr>
        <w:spacing w:after="0" w:line="235" w:lineRule="auto"/>
        <w:rPr>
          <w:sz w:val="20"/>
          <w:szCs w:val="20"/>
          <w:color w:val="auto"/>
        </w:rPr>
      </w:pPr>
      <w:r>
        <w:rPr>
          <w:rFonts w:ascii="Arial" w:cs="Arial" w:eastAsia="Arial" w:hAnsi="Arial"/>
          <w:sz w:val="18"/>
          <w:szCs w:val="18"/>
          <w:color w:val="auto"/>
        </w:rPr>
        <w:t>Australian and Canadian student immigration rules have impacted, and will continue to impact, KI’s ability to recruit students for study at its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 colleges and its partner universities. Overall, there is a trend of tightening of student immigration regulations and access to student visas worldwide, including, most recently, an Australian Government international indicative student visa approval target for post-secondary</w:t>
      </w:r>
    </w:p>
    <w:p>
      <w:pPr>
        <w:spacing w:after="0" w:line="236" w:lineRule="auto"/>
        <w:rPr>
          <w:sz w:val="20"/>
          <w:szCs w:val="20"/>
          <w:color w:val="auto"/>
        </w:rPr>
      </w:pPr>
      <w:r>
        <w:rPr>
          <w:rFonts w:ascii="Arial" w:cs="Arial" w:eastAsia="Arial" w:hAnsi="Arial"/>
          <w:sz w:val="18"/>
          <w:szCs w:val="18"/>
          <w:color w:val="auto"/>
        </w:rPr>
        <w:t>education providers. Since entering office in January 2025, the new U.S. presidential administration has issued executive orders and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announced policy changes that may affect international student entry to, or ability to study in, the U.S., including increased visa vetting for individuals seeking to enter the U.S. and restrictions on conduct while in the U.S. Negative perceptions regarding travel to the U.S., as well</w:t>
      </w:r>
    </w:p>
    <w:p>
      <w:pPr>
        <w:spacing w:after="0" w:line="236" w:lineRule="auto"/>
        <w:rPr>
          <w:sz w:val="20"/>
          <w:szCs w:val="20"/>
          <w:color w:val="auto"/>
        </w:rPr>
      </w:pPr>
      <w:r>
        <w:rPr>
          <w:rFonts w:ascii="Arial" w:cs="Arial" w:eastAsia="Arial" w:hAnsi="Arial"/>
          <w:sz w:val="18"/>
          <w:szCs w:val="18"/>
          <w:color w:val="auto"/>
        </w:rPr>
        <w:t>as the legal and regulatory environment’s susceptibility to change by the new administration, could have a negative impact on KI’s ability to</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recruit international students, which could materially adversely affect Kaplan’s U.S. Pathways business as well as the U.S.-based Kaplan Languages Group.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KI’s operations. For example, if access to student loans or other funding were to be lost for KI operations that admit students who are entitled to receive the benefit of this funding, Kaplan’s operating</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results could be materially adversely affected. The U.K. government is considering a reduction to funding for the Level 7 apprenticeship (L7)</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2025. Presently, these apprenticeships, equivalent to masters degree level study, can be funded from U.K. employer apprenticeship levy payments. The apprenticeship levy are payments to the government by U.K. employers of a certain minimum size calculated as a percentage</w:t>
      </w:r>
    </w:p>
    <w:p>
      <w:pPr>
        <w:spacing w:after="0" w:line="236" w:lineRule="auto"/>
        <w:rPr>
          <w:sz w:val="20"/>
          <w:szCs w:val="20"/>
          <w:color w:val="auto"/>
        </w:rPr>
      </w:pPr>
      <w:r>
        <w:rPr>
          <w:rFonts w:ascii="Arial" w:cs="Arial" w:eastAsia="Arial" w:hAnsi="Arial"/>
          <w:sz w:val="18"/>
          <w:szCs w:val="18"/>
          <w:color w:val="auto"/>
        </w:rPr>
        <w:t>of the employer’s tax bill. The U.K. government is proposing to restrict the ability of employers to access their levy funds so that these can no</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longer be used to fund apprenticeships at L7. If such a change were implemented, this would impact Kaplan Financial (a division of Kaplan Professional UK), an apprenticeship training provider whose U.K. apprenticeship business represents nearly 50% of Kaplan Professional</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UK’s total revenue. Kaplan anticipates that employers would fund a significant portion of L7 outside of the levy paid for apprenticeships. The extent and timing of the proposed funding changes is not yet clear.</w:t>
      </w:r>
    </w:p>
    <w:p>
      <w:pPr>
        <w:spacing w:after="0" w:line="104" w:lineRule="exact"/>
        <w:rPr>
          <w:sz w:val="20"/>
          <w:szCs w:val="20"/>
          <w:color w:val="auto"/>
        </w:rPr>
      </w:pPr>
    </w:p>
    <w:p>
      <w:pPr>
        <w:ind w:left="260" w:right="320" w:hanging="252"/>
        <w:spacing w:after="0" w:line="253" w:lineRule="auto"/>
        <w:tabs>
          <w:tab w:leader="none" w:pos="253" w:val="left"/>
        </w:tabs>
        <w:numPr>
          <w:ilvl w:val="0"/>
          <w:numId w:val="15"/>
        </w:numPr>
        <w:rPr>
          <w:rFonts w:ascii="Calibri" w:cs="Calibri" w:eastAsia="Calibri" w:hAnsi="Calibri"/>
          <w:sz w:val="20"/>
          <w:szCs w:val="20"/>
          <w:b w:val="1"/>
          <w:bCs w:val="1"/>
          <w:color w:val="auto"/>
        </w:rPr>
      </w:pPr>
      <w:r>
        <w:rPr>
          <w:rFonts w:ascii="Arial" w:cs="Arial" w:eastAsia="Arial" w:hAnsi="Arial"/>
          <w:sz w:val="18"/>
          <w:szCs w:val="18"/>
          <w:b w:val="1"/>
          <w:bCs w:val="1"/>
          <w:color w:val="auto"/>
        </w:rPr>
        <w:t>Difficulties and Expenses in Connection with Managing Properties in England and Scotland Could Materially Impact Kaplan’s Expenses.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Kaplan has a number of real estate investments in England and Scotland, usually on long-term leases. As the tenant, Kaplan is required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keep the buildings in repair. Kaplan usually benefits from a package of contractor and subcontractor arrangements in relation to defects in the buildings due to poor construction or failure to adhere to property regulations during construction of the properties. If, however, the entities</w:t>
      </w:r>
    </w:p>
    <w:p>
      <w:pPr>
        <w:spacing w:after="0" w:line="235" w:lineRule="auto"/>
        <w:rPr>
          <w:sz w:val="20"/>
          <w:szCs w:val="20"/>
          <w:color w:val="auto"/>
        </w:rPr>
      </w:pPr>
      <w:r>
        <w:rPr>
          <w:rFonts w:ascii="Arial" w:cs="Arial" w:eastAsia="Arial" w:hAnsi="Arial"/>
          <w:sz w:val="18"/>
          <w:szCs w:val="18"/>
          <w:color w:val="auto"/>
        </w:rPr>
        <w:t>who have entered into these collateral agreements become insolvent or successfully assert another defense to a claim from Kaplan under</w:t>
      </w:r>
    </w:p>
    <w:p>
      <w:pPr>
        <w:ind w:right="60"/>
        <w:spacing w:after="0" w:line="226" w:lineRule="auto"/>
        <w:rPr>
          <w:sz w:val="20"/>
          <w:szCs w:val="20"/>
          <w:color w:val="auto"/>
        </w:rPr>
      </w:pPr>
      <w:r>
        <w:rPr>
          <w:rFonts w:ascii="Arial" w:cs="Arial" w:eastAsia="Arial" w:hAnsi="Arial"/>
          <w:sz w:val="18"/>
          <w:szCs w:val="18"/>
          <w:color w:val="auto"/>
        </w:rPr>
        <w:t>the relevant agreement, Kaplan, as the tenant, may be expected to carry out work related to the relevant defect and/or bear the relevant cost of such work. The relevant costs may be material. Kaplan’s ability to enforce collateral agreements may also be impacted by other factors,</w:t>
      </w:r>
    </w:p>
    <w:p>
      <w:pPr>
        <w:spacing w:after="0" w:line="236" w:lineRule="auto"/>
        <w:rPr>
          <w:sz w:val="20"/>
          <w:szCs w:val="20"/>
          <w:color w:val="auto"/>
        </w:rPr>
      </w:pPr>
      <w:r>
        <w:rPr>
          <w:rFonts w:ascii="Arial" w:cs="Arial" w:eastAsia="Arial" w:hAnsi="Arial"/>
          <w:sz w:val="18"/>
          <w:szCs w:val="18"/>
          <w:color w:val="auto"/>
        </w:rPr>
        <w:t>including but not limited to, the operation of Scottish law on time periods permitted to bring a claim. Kaplan may be required to bear some or</w:t>
      </w:r>
    </w:p>
    <w:p>
      <w:pPr>
        <w:spacing w:after="0" w:line="1" w:lineRule="exact"/>
        <w:rPr>
          <w:sz w:val="20"/>
          <w:szCs w:val="20"/>
          <w:color w:val="auto"/>
        </w:rPr>
      </w:pPr>
    </w:p>
    <w:p>
      <w:pPr>
        <w:ind w:right="960"/>
        <w:spacing w:after="0" w:line="237" w:lineRule="auto"/>
        <w:rPr>
          <w:sz w:val="20"/>
          <w:szCs w:val="20"/>
          <w:color w:val="auto"/>
        </w:rPr>
      </w:pPr>
      <w:r>
        <w:rPr>
          <w:rFonts w:ascii="Arial" w:cs="Arial" w:eastAsia="Arial" w:hAnsi="Arial"/>
          <w:sz w:val="18"/>
          <w:szCs w:val="18"/>
          <w:color w:val="auto"/>
        </w:rPr>
        <w:t>all of the costs of work at two of its residences, the scope of which, and Kaplan’s legal responsibility for undertaking it, is yet to be established.</w:t>
      </w:r>
    </w:p>
    <w:p>
      <w:pPr>
        <w:spacing w:after="0" w:line="127" w:lineRule="exact"/>
        <w:rPr>
          <w:sz w:val="20"/>
          <w:szCs w:val="20"/>
          <w:color w:val="auto"/>
        </w:rPr>
      </w:pPr>
    </w:p>
    <w:p>
      <w:pPr>
        <w:ind w:left="260" w:right="520" w:hanging="252"/>
        <w:spacing w:after="0" w:line="281" w:lineRule="auto"/>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in Managing Foreign Operations and Failure to Comply with Foreign Regulatory Requirements Have Negatively Impacted and Could Continue to Negatively Affect Kaplan’s Business.</w:t>
      </w:r>
    </w:p>
    <w:p>
      <w:pPr>
        <w:spacing w:after="0" w:line="6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Kaplan has operations and investments in a growing number of foreign countries and regions, including Australia, Canada, the People’s Republic of China, Colombia, France, Germany, Hong Kong, India, Ireland, Japan, New Zealand, Nigeria, Saudi Arabia, Singapore, the U.K.</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and the United Arab Emirates. Operating in foreign countries and regions presents a number of inherent risks, including the difficulties of complying with unfamiliar laws and regulations, effectively managing and staffing foreign operations, successfully navigating local customs</w:t>
      </w:r>
    </w:p>
    <w:p>
      <w:pPr>
        <w:spacing w:after="0" w:line="236" w:lineRule="auto"/>
        <w:rPr>
          <w:sz w:val="20"/>
          <w:szCs w:val="20"/>
          <w:color w:val="auto"/>
        </w:rPr>
      </w:pPr>
      <w:r>
        <w:rPr>
          <w:rFonts w:ascii="Arial" w:cs="Arial" w:eastAsia="Arial" w:hAnsi="Arial"/>
          <w:sz w:val="18"/>
          <w:szCs w:val="18"/>
          <w:color w:val="auto"/>
        </w:rPr>
        <w:t>and practices, preparing for potential political and economic instability and adapting to currency exchange rate fluctuations. Countries have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also increasingly begun imposing national data protection laws, which increases compliance costs and creates additional legal risk in relation to operating internationally. New privacy or data protection legislation placing restrictions on the processing or export of personal information</w:t>
      </w:r>
    </w:p>
    <w:p>
      <w:pPr>
        <w:spacing w:after="0" w:line="236" w:lineRule="auto"/>
        <w:rPr>
          <w:sz w:val="20"/>
          <w:szCs w:val="20"/>
          <w:color w:val="auto"/>
        </w:rPr>
      </w:pPr>
      <w:r>
        <w:rPr>
          <w:rFonts w:ascii="Arial" w:cs="Arial" w:eastAsia="Arial" w:hAnsi="Arial"/>
          <w:sz w:val="18"/>
          <w:szCs w:val="18"/>
          <w:color w:val="auto"/>
        </w:rPr>
        <w:t>enacted in a jurisdiction where Kaplan operates could have a material and adverse effect should Kaplan be unable to process personal</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information needed to provide the services Kaplan offers or plans to offer. Failure to effectively manage these risks could have a material adverse effect on Kaplan’s operating results.</w:t>
      </w:r>
    </w:p>
    <w:p>
      <w:pPr>
        <w:spacing w:after="0" w:line="127"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and International Tax Laws Could Have a Material Adverse Effect on Kaplan International.</w:t>
      </w:r>
    </w:p>
    <w:p>
      <w:pPr>
        <w:spacing w:after="0" w:line="14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The UK Pathways Colleges located in England were required to register with the OfS to ensure they could continue operating as English higher education providers. The UK Pathways Colleges (excluding Glasgow and York) were entered on the OfS register of approved</w:t>
      </w:r>
    </w:p>
    <w:p>
      <w:pPr>
        <w:ind w:right="180"/>
        <w:spacing w:after="0"/>
        <w:rPr>
          <w:sz w:val="20"/>
          <w:szCs w:val="20"/>
          <w:color w:val="auto"/>
        </w:rPr>
      </w:pPr>
      <w:r>
        <w:rPr>
          <w:rFonts w:ascii="Arial" w:cs="Arial" w:eastAsia="Arial" w:hAnsi="Arial"/>
          <w:sz w:val="17"/>
          <w:szCs w:val="17"/>
          <w:color w:val="auto"/>
        </w:rPr>
        <w:t>providers with Approved Fee Cap Status in August 2020. These colleges now operate under the regulatory oversight of the OfS. Colleges registered with the OfS under Approved Fee Cap status do not charge students Value Added Tax (VAT) on tuition fees based on a statutory</w:t>
      </w:r>
    </w:p>
    <w:p>
      <w:pPr>
        <w:spacing w:after="0" w:line="235" w:lineRule="auto"/>
        <w:rPr>
          <w:sz w:val="20"/>
          <w:szCs w:val="20"/>
          <w:color w:val="auto"/>
        </w:rPr>
      </w:pPr>
      <w:r>
        <w:rPr>
          <w:rFonts w:ascii="Arial" w:cs="Arial" w:eastAsia="Arial" w:hAnsi="Arial"/>
          <w:sz w:val="18"/>
          <w:szCs w:val="18"/>
          <w:color w:val="auto"/>
        </w:rPr>
        <w:t>exemption available to Approved Fee Cap providers. The York College forms part of the University of York’s Approved Fee Cap registration.</w:t>
      </w:r>
    </w:p>
    <w:p>
      <w:pPr>
        <w:ind w:right="260"/>
        <w:spacing w:after="0" w:line="237" w:lineRule="auto"/>
        <w:rPr>
          <w:sz w:val="20"/>
          <w:szCs w:val="20"/>
          <w:color w:val="auto"/>
        </w:rPr>
      </w:pPr>
      <w:r>
        <w:rPr>
          <w:rFonts w:ascii="Arial" w:cs="Arial" w:eastAsia="Arial" w:hAnsi="Arial"/>
          <w:sz w:val="18"/>
          <w:szCs w:val="18"/>
          <w:color w:val="auto"/>
        </w:rPr>
        <w:t>If KI Pathways were to lose its Approved Fee Cap status with the OfS, KI Pathways Colleges’ financial results may be materially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Glasgow College is not currently included in the OfS registration as it is located in Scotland. Under a different statutory VAT exemption,</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bodies that qualify for VAT purposes as “colleges of a university” are able to exempt their tuition fees from VAT, and UK Pathways Glasgow International College applies this status. In 2019, a tax case was determined by the U.K. Supreme Court on the meaning of “college of a</w:t>
      </w:r>
    </w:p>
    <w:p>
      <w:pPr>
        <w:spacing w:after="0" w:line="235" w:lineRule="auto"/>
        <w:rPr>
          <w:sz w:val="20"/>
          <w:szCs w:val="20"/>
          <w:color w:val="auto"/>
        </w:rPr>
      </w:pPr>
      <w:r>
        <w:rPr>
          <w:rFonts w:ascii="Arial" w:cs="Arial" w:eastAsia="Arial" w:hAnsi="Arial"/>
          <w:sz w:val="18"/>
          <w:szCs w:val="18"/>
          <w:color w:val="auto"/>
        </w:rPr>
        <w:t>university.” The U.K. Supreme Court decided the case in the college’s favor. The result was more favorable to private providers working in</w:t>
      </w:r>
    </w:p>
    <w:p>
      <w:pPr>
        <w:ind w:right="100"/>
        <w:spacing w:after="0"/>
        <w:rPr>
          <w:sz w:val="20"/>
          <w:szCs w:val="20"/>
          <w:color w:val="auto"/>
        </w:rPr>
      </w:pPr>
      <w:r>
        <w:rPr>
          <w:rFonts w:ascii="Arial" w:cs="Arial" w:eastAsia="Arial" w:hAnsi="Arial"/>
          <w:sz w:val="17"/>
          <w:szCs w:val="17"/>
          <w:color w:val="auto"/>
        </w:rPr>
        <w:t>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w:t>
      </w:r>
    </w:p>
    <w:p>
      <w:pPr>
        <w:spacing w:after="0" w:line="235" w:lineRule="auto"/>
        <w:rPr>
          <w:sz w:val="20"/>
          <w:szCs w:val="20"/>
          <w:color w:val="auto"/>
        </w:rPr>
      </w:pPr>
      <w:r>
        <w:rPr>
          <w:rFonts w:ascii="Arial" w:cs="Arial" w:eastAsia="Arial" w:hAnsi="Arial"/>
          <w:sz w:val="18"/>
          <w:szCs w:val="18"/>
          <w:color w:val="auto"/>
        </w:rPr>
        <w:t>focus on these five tests has now been incorporated into official His Majesty’s Revenue and Customs (HMRC) guidance, it is not yet clear</w:t>
      </w:r>
    </w:p>
    <w:p>
      <w:pPr>
        <w:ind w:right="180"/>
        <w:spacing w:after="0" w:line="237" w:lineRule="auto"/>
        <w:rPr>
          <w:sz w:val="20"/>
          <w:szCs w:val="20"/>
          <w:color w:val="auto"/>
        </w:rPr>
      </w:pPr>
      <w:r>
        <w:rPr>
          <w:rFonts w:ascii="Arial" w:cs="Arial" w:eastAsia="Arial" w:hAnsi="Arial"/>
          <w:sz w:val="18"/>
          <w:szCs w:val="18"/>
          <w:color w:val="auto"/>
        </w:rPr>
        <w:t>how HMRC will apply the Supreme Court judgment and the five key tests in practice. If HMRC’s application of the Supreme Court judgment and the five key tests deem Glasgow International College not to constitute a “college of a university” and not entitled to a VAT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exemption, KI Pathways Colleges’ financial results may be materially adversely impacted if they are not able to meet any new requirements.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Following the departure of the U.K. from the European Union (EU) on December 31, 2020, the U.K. may further develop its VAT rules in this complex area separate from the EU rules. Kaplan continues to closely monitor this area.</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U.K. general election in July 2024, the Labour party formed a new government. Effective January 1, 2025, the new government</w:t>
      </w:r>
    </w:p>
    <w:p>
      <w:pPr>
        <w:spacing w:after="0" w:line="25"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ended the VAT exemption for private schools. The resulting 20% effective increase in tuition, boarding and other costs will materially impact enrollment of new and existing students at MPW. Kaplan believes the change currently only affects MPW but continues to carefully review</w:t>
      </w:r>
    </w:p>
    <w:p>
      <w:pPr>
        <w:spacing w:after="0" w:line="235" w:lineRule="auto"/>
        <w:rPr>
          <w:sz w:val="20"/>
          <w:szCs w:val="20"/>
          <w:color w:val="auto"/>
        </w:rPr>
      </w:pPr>
      <w:r>
        <w:rPr>
          <w:rFonts w:ascii="Arial" w:cs="Arial" w:eastAsia="Arial" w:hAnsi="Arial"/>
          <w:sz w:val="18"/>
          <w:szCs w:val="18"/>
          <w:color w:val="auto"/>
        </w:rPr>
        <w:t>the implementation of this policy. The new government has also increased employer’s national insurance contributions, a tax paid by U.K.</w:t>
      </w:r>
    </w:p>
    <w:p>
      <w:pPr>
        <w:ind w:right="80"/>
        <w:spacing w:after="0" w:line="237" w:lineRule="auto"/>
        <w:rPr>
          <w:sz w:val="20"/>
          <w:szCs w:val="20"/>
          <w:color w:val="auto"/>
        </w:rPr>
      </w:pPr>
      <w:r>
        <w:rPr>
          <w:rFonts w:ascii="Arial" w:cs="Arial" w:eastAsia="Arial" w:hAnsi="Arial"/>
          <w:sz w:val="18"/>
          <w:szCs w:val="18"/>
          <w:color w:val="auto"/>
        </w:rPr>
        <w:t>employers to fund government benefits programs that increases the costs of employment for all U.K. businesses. The new government may make other changes to U.K. tax laws which increase the tax costs of KI’s activities in the U.K.</w:t>
      </w:r>
    </w:p>
    <w:p>
      <w:pPr>
        <w:spacing w:after="0" w:line="127"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Possible Changes to the Department of Education Could Negatively Impact the Company’s Operations and Businesses.</w:t>
      </w:r>
    </w:p>
    <w:p>
      <w:pPr>
        <w:spacing w:after="0" w:line="158"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It has been reported that the current U.S. presidential administration is drafting an order aiming to eliminate the Department of Education. The order could involve reassigning functions to other federal agencies or state governments or eliminating or downsizing functions. It is</w:t>
      </w:r>
    </w:p>
    <w:p>
      <w:pPr>
        <w:spacing w:after="0" w:line="235" w:lineRule="auto"/>
        <w:rPr>
          <w:sz w:val="20"/>
          <w:szCs w:val="20"/>
          <w:color w:val="auto"/>
        </w:rPr>
      </w:pPr>
      <w:r>
        <w:rPr>
          <w:rFonts w:ascii="Arial" w:cs="Arial" w:eastAsia="Arial" w:hAnsi="Arial"/>
          <w:sz w:val="18"/>
          <w:szCs w:val="18"/>
          <w:color w:val="auto"/>
        </w:rPr>
        <w:t>unclear which functions will be deemed critical, and which could be phased out or downsized. Such changes could lead to operational</w:t>
      </w:r>
    </w:p>
    <w:p>
      <w:pPr>
        <w:spacing w:after="0" w:line="219" w:lineRule="auto"/>
        <w:rPr>
          <w:sz w:val="20"/>
          <w:szCs w:val="20"/>
          <w:color w:val="auto"/>
        </w:rPr>
      </w:pPr>
      <w:r>
        <w:rPr>
          <w:rFonts w:ascii="Arial" w:cs="Arial" w:eastAsia="Arial" w:hAnsi="Arial"/>
          <w:sz w:val="18"/>
          <w:szCs w:val="18"/>
          <w:color w:val="auto"/>
        </w:rPr>
        <w:t>interruptions to systems relied upon by Kaplan's partner institutions that could impact their ability to comply with obligations to Kaplan.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Operational interruptions could also interfere with Kaplan's ability to deliver services.</w:t>
      </w:r>
    </w:p>
    <w:p>
      <w:pPr>
        <w:spacing w:after="0" w:line="140" w:lineRule="exact"/>
        <w:rPr>
          <w:sz w:val="20"/>
          <w:szCs w:val="20"/>
          <w:color w:val="auto"/>
        </w:rPr>
      </w:pPr>
    </w:p>
    <w:p>
      <w:pPr>
        <w:ind w:left="260" w:right="360" w:hanging="252"/>
        <w:spacing w:after="0" w:line="281" w:lineRule="auto"/>
        <w:tabs>
          <w:tab w:leader="none" w:pos="2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KNA provides services to Purdue Global, including financial aid services, and as such, KNA is a “Third-Party Servicer” for Purdue Global 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currently defined by the ED and in the Title IV regulations. As a result, KNA is subject to applicable statutory provisions of Title IV and ED regulations that, among other things, require Kaplan to be jointly and severally liable with its Title IV participating client institution(s) to the ED</w:t>
      </w:r>
    </w:p>
    <w:p>
      <w:pPr>
        <w:spacing w:after="0" w:line="235" w:lineRule="auto"/>
        <w:rPr>
          <w:sz w:val="20"/>
          <w:szCs w:val="20"/>
          <w:color w:val="auto"/>
        </w:rPr>
      </w:pPr>
      <w:r>
        <w:rPr>
          <w:rFonts w:ascii="Arial" w:cs="Arial" w:eastAsia="Arial" w:hAnsi="Arial"/>
          <w:sz w:val="18"/>
          <w:szCs w:val="18"/>
          <w:color w:val="auto"/>
        </w:rPr>
        <w:t>for any violation by such client institution(s) of any Title IV statute or ED regulation or requirement. Separately, if the ED expands the</w:t>
      </w:r>
    </w:p>
    <w:p>
      <w:pPr>
        <w:ind w:right="80"/>
        <w:spacing w:after="0"/>
        <w:rPr>
          <w:sz w:val="20"/>
          <w:szCs w:val="20"/>
          <w:color w:val="auto"/>
        </w:rPr>
      </w:pPr>
      <w:r>
        <w:rPr>
          <w:rFonts w:ascii="Arial" w:cs="Arial" w:eastAsia="Arial" w:hAnsi="Arial"/>
          <w:sz w:val="17"/>
          <w:szCs w:val="17"/>
          <w:color w:val="auto"/>
        </w:rPr>
        <w:t>definition of what services or entities fall within the Third-Party Servicer regulations, and/or, if KNA provides financial aid services to more than one Title IV participating institution, it will be required to arrange for an independent auditor to conduct an annual Title IV audit of KNA’s</w:t>
      </w:r>
    </w:p>
    <w:p>
      <w:pPr>
        <w:spacing w:after="0" w:line="235" w:lineRule="auto"/>
        <w:rPr>
          <w:sz w:val="20"/>
          <w:szCs w:val="20"/>
          <w:color w:val="auto"/>
        </w:rPr>
      </w:pPr>
      <w:r>
        <w:rPr>
          <w:rFonts w:ascii="Arial" w:cs="Arial" w:eastAsia="Arial" w:hAnsi="Arial"/>
          <w:sz w:val="18"/>
          <w:szCs w:val="18"/>
          <w:color w:val="auto"/>
        </w:rPr>
        <w:t>compliance with applicable ED requirements. KNA provides non-financial aid services to institutions such as Purdue University, Wake Forest</w:t>
      </w:r>
    </w:p>
    <w:p>
      <w:pPr>
        <w:spacing w:after="0" w:line="237" w:lineRule="auto"/>
        <w:rPr>
          <w:sz w:val="20"/>
          <w:szCs w:val="20"/>
          <w:color w:val="auto"/>
        </w:rPr>
      </w:pPr>
      <w:r>
        <w:rPr>
          <w:rFonts w:ascii="Arial" w:cs="Arial" w:eastAsia="Arial" w:hAnsi="Arial"/>
          <w:sz w:val="18"/>
          <w:szCs w:val="18"/>
          <w:color w:val="auto"/>
        </w:rPr>
        <w:t>University, and other Title IV participating institutions. As such, if the Third-Party Servicer regulations or the interpretation of those regulations by the ED change, KNA could be considered a Third-Party Servicer to its multiple client institutions as well.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KNA is also subject to other federal and state laws, including federal and state consumer protection laws and rules prohibiting unfair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deceptive marketing practices; data privacy, data protection and information security requirements established by federal, state and foreign governments, including, for example, the Federal Trade Commission; and applicable provisions of the Family Educational Rights and Privacy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 regarding the privacy of student records.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44" w:lineRule="exact"/>
        <w:rPr>
          <w:sz w:val="20"/>
          <w:szCs w:val="20"/>
          <w:color w:val="auto"/>
        </w:rPr>
      </w:pPr>
    </w:p>
    <w:p>
      <w:pPr>
        <w:jc w:val="both"/>
        <w:ind w:left="660" w:right="320" w:hanging="328"/>
        <w:spacing w:after="0" w:line="25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01" w:lineRule="exact"/>
        <w:rPr>
          <w:rFonts w:ascii="Arial" w:cs="Arial" w:eastAsia="Arial" w:hAnsi="Arial"/>
          <w:sz w:val="18"/>
          <w:szCs w:val="18"/>
          <w:color w:val="auto"/>
        </w:rPr>
      </w:pPr>
    </w:p>
    <w:p>
      <w:pPr>
        <w:ind w:left="660" w:right="520" w:hanging="328"/>
        <w:spacing w:after="0" w:line="24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27" w:lineRule="exact"/>
        <w:rPr>
          <w:rFonts w:ascii="Arial" w:cs="Arial" w:eastAsia="Arial" w:hAnsi="Arial"/>
          <w:sz w:val="18"/>
          <w:szCs w:val="18"/>
          <w:color w:val="auto"/>
        </w:rPr>
      </w:pPr>
    </w:p>
    <w:p>
      <w:pPr>
        <w:ind w:left="660" w:right="34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86"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Kaplan University to Purdue.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relevant rules will be upheld by the ED or other agencies or upon judicial review. The laws, regulations and other requirements applicable to KNA and its client institutions are subject to change and to interpretation. In addition, there are other factors related to KNA’s client</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institutions’ compliance with federal, state and accrediting agency requirements, some of which are outside of KNA’s control, that could have a material adverse effect on KNA’s client institutions’ revenues and, in turn, on KNA’s operating results.</w:t>
      </w:r>
    </w:p>
    <w:p>
      <w:pPr>
        <w:spacing w:after="0" w:line="104"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incentive payment to any person or entity engaged in any student recruiting or admission activities or in making decisions regarding the awarding of Title IV funds if such payment is based directly or indirectly on success in securing enrollments or financial aid. KNA is a third</w:t>
      </w:r>
    </w:p>
    <w:p>
      <w:pPr>
        <w:spacing w:after="0" w:line="236" w:lineRule="auto"/>
        <w:rPr>
          <w:sz w:val="20"/>
          <w:szCs w:val="20"/>
          <w:color w:val="auto"/>
        </w:rPr>
      </w:pPr>
      <w:r>
        <w:rPr>
          <w:rFonts w:ascii="Arial" w:cs="Arial" w:eastAsia="Arial" w:hAnsi="Arial"/>
          <w:sz w:val="18"/>
          <w:szCs w:val="18"/>
          <w:color w:val="auto"/>
        </w:rPr>
        <w:t>party providing bundled services to Title IV participating institutions, including recruiting and, in the case of Purdue Global, financial aid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services. As such, KNA is also subject to the incentive compensation rule and cannot provide any commission, bonus or other incentive payment to any covered employees, subcontractors or other parties engaged in certain student recruiting, admission or financial aid activities</w:t>
      </w:r>
    </w:p>
    <w:p>
      <w:pPr>
        <w:spacing w:after="0" w:line="235" w:lineRule="auto"/>
        <w:rPr>
          <w:sz w:val="20"/>
          <w:szCs w:val="20"/>
          <w:color w:val="auto"/>
        </w:rPr>
      </w:pPr>
      <w:r>
        <w:rPr>
          <w:rFonts w:ascii="Arial" w:cs="Arial" w:eastAsia="Arial" w:hAnsi="Arial"/>
          <w:sz w:val="18"/>
          <w:szCs w:val="18"/>
          <w:color w:val="auto"/>
        </w:rPr>
        <w:t>based on success in securing enrollments or financial aid. In addition, KNA’s client Title IV institutions’ payments to KNA (including payments</w:t>
      </w:r>
    </w:p>
    <w:p>
      <w:pPr>
        <w:ind w:right="260"/>
        <w:spacing w:after="0"/>
        <w:rPr>
          <w:sz w:val="20"/>
          <w:szCs w:val="20"/>
          <w:color w:val="auto"/>
        </w:rPr>
      </w:pPr>
      <w:r>
        <w:rPr>
          <w:rFonts w:ascii="Arial" w:cs="Arial" w:eastAsia="Arial" w:hAnsi="Arial"/>
          <w:sz w:val="17"/>
          <w:szCs w:val="17"/>
          <w:color w:val="auto"/>
        </w:rPr>
        <w:t>under the TOSA with Purdue Global) must comply with revenue sharing guidance provided by the ED related to bundled services agreements. In 2011 guidance, the ED provided that in certain arrangements with Title IV participating institutions where student recruiting</w:t>
      </w:r>
    </w:p>
    <w:p>
      <w:pPr>
        <w:spacing w:after="0" w:line="235" w:lineRule="auto"/>
        <w:rPr>
          <w:sz w:val="20"/>
          <w:szCs w:val="20"/>
          <w:color w:val="auto"/>
        </w:rPr>
      </w:pPr>
      <w:r>
        <w:rPr>
          <w:rFonts w:ascii="Arial" w:cs="Arial" w:eastAsia="Arial" w:hAnsi="Arial"/>
          <w:sz w:val="18"/>
          <w:szCs w:val="18"/>
          <w:color w:val="auto"/>
        </w:rPr>
        <w:t>services are “bundled” with other non-recruiting services, revenue sharing may be allowable despite the incentive compensation rule’s</w:t>
      </w:r>
    </w:p>
    <w:p>
      <w:pPr>
        <w:ind w:right="60"/>
        <w:spacing w:after="0" w:line="226" w:lineRule="auto"/>
        <w:rPr>
          <w:sz w:val="20"/>
          <w:szCs w:val="20"/>
          <w:color w:val="auto"/>
        </w:rPr>
      </w:pPr>
      <w:r>
        <w:rPr>
          <w:rFonts w:ascii="Arial" w:cs="Arial" w:eastAsia="Arial" w:hAnsi="Arial"/>
          <w:sz w:val="18"/>
          <w:szCs w:val="18"/>
          <w:color w:val="auto"/>
        </w:rPr>
        <w:t>general prohibition on such revenue sharing with entities or individuals that provide recruiting services. Because this guidance is not codified in any rule or law but is instead ED guidance on the applicability of the incentive compensation rule, such guidance can be revoked at any</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time and without notice. The ED has indicated it is considering a change to this guidance as some lawmakers and states, such as California, have publicly called for the revocation of this guidance or sought to introduce federal and state legislation seeking to prevent any such</w:t>
      </w:r>
    </w:p>
    <w:p>
      <w:pPr>
        <w:spacing w:after="0" w:line="236" w:lineRule="auto"/>
        <w:rPr>
          <w:sz w:val="20"/>
          <w:szCs w:val="20"/>
          <w:color w:val="auto"/>
        </w:rPr>
      </w:pPr>
      <w:r>
        <w:rPr>
          <w:rFonts w:ascii="Arial" w:cs="Arial" w:eastAsia="Arial" w:hAnsi="Arial"/>
          <w:sz w:val="18"/>
          <w:szCs w:val="18"/>
          <w:color w:val="auto"/>
        </w:rPr>
        <w:t>revenue sharing with entities that engage in recruiting students. The change of control of the executive branch in 2025 decreased the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likelihood of changes to this guidance and to the incentive compensation rule or limitations on the bundled service allowance through additional federal rulemaking. As previously described, the TOSA revenue sharing provisions are deferred purchase price payments rather</w:t>
      </w:r>
    </w:p>
    <w:p>
      <w:pPr>
        <w:spacing w:after="0" w:line="235" w:lineRule="auto"/>
        <w:rPr>
          <w:sz w:val="20"/>
          <w:szCs w:val="20"/>
          <w:color w:val="auto"/>
        </w:rPr>
      </w:pPr>
      <w:r>
        <w:rPr>
          <w:rFonts w:ascii="Arial" w:cs="Arial" w:eastAsia="Arial" w:hAnsi="Arial"/>
          <w:sz w:val="18"/>
          <w:szCs w:val="18"/>
          <w:color w:val="auto"/>
        </w:rPr>
        <w:t>than payments for services. KNA’s services under the TOSA are paid for as a percentage of KNA’s costs of delivering those services to</w:t>
      </w:r>
    </w:p>
    <w:p>
      <w:pPr>
        <w:ind w:right="20"/>
        <w:spacing w:after="0"/>
        <w:rPr>
          <w:sz w:val="20"/>
          <w:szCs w:val="20"/>
          <w:color w:val="auto"/>
        </w:rPr>
      </w:pPr>
      <w:r>
        <w:rPr>
          <w:rFonts w:ascii="Arial" w:cs="Arial" w:eastAsia="Arial" w:hAnsi="Arial"/>
          <w:sz w:val="17"/>
          <w:szCs w:val="17"/>
          <w:color w:val="auto"/>
        </w:rPr>
        <w:t>Purdue Global. KNA cannot predict how the ED or a federal court will interpret, revise or enforce all aspects of the incentive compensation rule or the bundled service revenue sharing guidance in the future or how they would be applied to the TOSA or any of KNA’s agreements by</w:t>
      </w:r>
    </w:p>
    <w:p>
      <w:pPr>
        <w:spacing w:after="0" w:line="235" w:lineRule="auto"/>
        <w:rPr>
          <w:sz w:val="20"/>
          <w:szCs w:val="20"/>
          <w:color w:val="auto"/>
        </w:rPr>
      </w:pPr>
      <w:r>
        <w:rPr>
          <w:rFonts w:ascii="Arial" w:cs="Arial" w:eastAsia="Arial" w:hAnsi="Arial"/>
          <w:sz w:val="18"/>
          <w:szCs w:val="18"/>
          <w:color w:val="auto"/>
        </w:rPr>
        <w:t>the ED or in any litigation. Any revisions or changes in interpretation or enforcement could require KNA and its client institutions to change</w:t>
      </w:r>
    </w:p>
    <w:p>
      <w:pPr>
        <w:ind w:right="200"/>
        <w:spacing w:after="0"/>
        <w:rPr>
          <w:sz w:val="20"/>
          <w:szCs w:val="20"/>
          <w:color w:val="auto"/>
        </w:rPr>
      </w:pPr>
      <w:r>
        <w:rPr>
          <w:rFonts w:ascii="Arial" w:cs="Arial" w:eastAsia="Arial" w:hAnsi="Arial"/>
          <w:sz w:val="17"/>
          <w:szCs w:val="17"/>
          <w:color w:val="auto"/>
        </w:rPr>
        <w:t>their practices or renegotiate the tuition revenue sharing payment terms of KNA’s agreements with such client institutions and could have a material adverse effect on Kaplan’s business and results of operations. Additionally, failure to comply with the incentive compensation rule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104"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Misrepresentation Regulations Could Subject Kaplan to Liabilities, Sanctions and Fines.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state laws. These laws and regulations are broad in scope and may extend to statements by servicers, such as KNA, that provide marketing or certain other services to such institutions. These laws and regulations may also apply to KNA’s employees and agents, with respect to</w:t>
      </w:r>
    </w:p>
    <w:p>
      <w:pPr>
        <w:spacing w:after="0" w:line="235" w:lineRule="auto"/>
        <w:rPr>
          <w:sz w:val="20"/>
          <w:szCs w:val="20"/>
          <w:color w:val="auto"/>
        </w:rPr>
      </w:pPr>
      <w:r>
        <w:rPr>
          <w:rFonts w:ascii="Arial" w:cs="Arial" w:eastAsia="Arial" w:hAnsi="Arial"/>
          <w:sz w:val="18"/>
          <w:szCs w:val="18"/>
          <w:color w:val="auto"/>
        </w:rPr>
        <w:t>statements addressing the nature of an institution’s programs, financial charges or the employability of its graduates. KNA provides</w:t>
      </w:r>
    </w:p>
    <w:p>
      <w:pPr>
        <w:ind w:right="520"/>
        <w:spacing w:after="0" w:line="226" w:lineRule="auto"/>
        <w:rPr>
          <w:sz w:val="20"/>
          <w:szCs w:val="20"/>
          <w:color w:val="auto"/>
        </w:rPr>
      </w:pPr>
      <w:r>
        <w:rPr>
          <w:rFonts w:ascii="Arial" w:cs="Arial" w:eastAsia="Arial" w:hAnsi="Arial"/>
          <w:sz w:val="18"/>
          <w:szCs w:val="18"/>
          <w:color w:val="auto"/>
        </w:rPr>
        <w:t>marketing and other services to Title IV participating institutions. On October 31, 2022, the ED published a new final rule governing the “Borrower Defense to Repayment” rules that became effective July 1, 2023. Among other things, the final rule refines the standard for</w:t>
      </w:r>
    </w:p>
    <w:p>
      <w:pPr>
        <w:spacing w:after="0" w:line="236" w:lineRule="auto"/>
        <w:rPr>
          <w:sz w:val="20"/>
          <w:szCs w:val="20"/>
          <w:color w:val="auto"/>
        </w:rPr>
      </w:pPr>
      <w:r>
        <w:rPr>
          <w:rFonts w:ascii="Arial" w:cs="Arial" w:eastAsia="Arial" w:hAnsi="Arial"/>
          <w:sz w:val="18"/>
          <w:szCs w:val="18"/>
          <w:color w:val="auto"/>
        </w:rPr>
        <w:t>aggressive and deceptive recruitment tactics that might constitute misrepresentation and provides additional bases for future borrowers’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defense claims against their current or former institutions. The failure to comply with these or other federal and state laws and regulations regarding misrepresentation and marketing practices could result in the imposition on KNA or its client institutions of fines, other sanctions or</w:t>
      </w:r>
    </w:p>
    <w:p>
      <w:pPr>
        <w:spacing w:after="0" w:line="235" w:lineRule="auto"/>
        <w:rPr>
          <w:sz w:val="20"/>
          <w:szCs w:val="20"/>
          <w:color w:val="auto"/>
        </w:rPr>
      </w:pPr>
      <w:r>
        <w:rPr>
          <w:rFonts w:ascii="Arial" w:cs="Arial" w:eastAsia="Arial" w:hAnsi="Arial"/>
          <w:sz w:val="18"/>
          <w:szCs w:val="18"/>
          <w:color w:val="auto"/>
        </w:rPr>
        <w:t>liabilities, including federal student aid repayment obligations to the ED, the termination or limitation of Kaplan’s eligibility to provide services</w:t>
      </w:r>
    </w:p>
    <w:p>
      <w:pPr>
        <w:ind w:right="120"/>
        <w:spacing w:after="0" w:line="226" w:lineRule="auto"/>
        <w:rPr>
          <w:sz w:val="20"/>
          <w:szCs w:val="20"/>
          <w:color w:val="auto"/>
        </w:rPr>
      </w:pPr>
      <w:r>
        <w:rPr>
          <w:rFonts w:ascii="Arial" w:cs="Arial" w:eastAsia="Arial" w:hAnsi="Arial"/>
          <w:sz w:val="18"/>
          <w:szCs w:val="18"/>
          <w:color w:val="auto"/>
        </w:rPr>
        <w:t>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w:t>
      </w:r>
    </w:p>
    <w:p>
      <w:pPr>
        <w:spacing w:after="0" w:line="236" w:lineRule="auto"/>
        <w:rPr>
          <w:sz w:val="20"/>
          <w:szCs w:val="20"/>
          <w:color w:val="auto"/>
        </w:rPr>
      </w:pPr>
      <w:r>
        <w:rPr>
          <w:rFonts w:ascii="Arial" w:cs="Arial" w:eastAsia="Arial" w:hAnsi="Arial"/>
          <w:sz w:val="18"/>
          <w:szCs w:val="18"/>
          <w:color w:val="auto"/>
        </w:rPr>
        <w:t>and regulations applicable to the services KNA provides to its client institutions arising out of statements by KNA, its employees or agents</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could require KNA to pay the costs associated with indemnifying its client institutions from applicable losses resulting from the violation or could result in termination by such client institutions of their services agreements with KNA.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0" w:name="page31"/>
    <w:bookmarkEnd w:id="30"/>
    <w:p>
      <w:pPr>
        <w:ind w:left="260" w:right="480" w:hanging="252"/>
        <w:spacing w:after="0" w:line="250" w:lineRule="auto"/>
        <w:tabs>
          <w:tab w:leader="none" w:pos="2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KNA and its client institutions are subject to reviews, audits, investigations and other compliance reviews conducted by various regulatory</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agencies and auditors, including, among others, the ED, the ED’s Office of the Inspector General, accrediting bodies and state and various other federal agencies. These compliance reviews can result in findings of noncompliance with statutory and regulatory requirements that</w:t>
      </w:r>
    </w:p>
    <w:p>
      <w:pPr>
        <w:spacing w:after="0" w:line="235" w:lineRule="auto"/>
        <w:rPr>
          <w:sz w:val="20"/>
          <w:szCs w:val="20"/>
          <w:color w:val="auto"/>
        </w:rPr>
      </w:pPr>
      <w:r>
        <w:rPr>
          <w:rFonts w:ascii="Arial" w:cs="Arial" w:eastAsia="Arial" w:hAnsi="Arial"/>
          <w:sz w:val="18"/>
          <w:szCs w:val="18"/>
          <w:color w:val="auto"/>
        </w:rPr>
        <w:t>can, in turn, result in the imposition of fines, liabilities, civil or criminal penalties or other sanctions against KNA and its client institutions,</w:t>
      </w:r>
    </w:p>
    <w:p>
      <w:pPr>
        <w:ind w:right="220"/>
        <w:spacing w:after="0"/>
        <w:rPr>
          <w:sz w:val="20"/>
          <w:szCs w:val="20"/>
          <w:color w:val="auto"/>
        </w:rPr>
      </w:pPr>
      <w:r>
        <w:rPr>
          <w:rFonts w:ascii="Arial" w:cs="Arial" w:eastAsia="Arial" w:hAnsi="Arial"/>
          <w:sz w:val="17"/>
          <w:szCs w:val="17"/>
          <w:color w:val="auto"/>
        </w:rPr>
        <w:t>which could have an adverse effect on Kaplan’s financial results and operations. Separately, if KNA provides financial aid services to more than one Title IV participating institution, it will be required to arrange for an independent auditor to conduct an annual Title IV compliance</w:t>
      </w:r>
    </w:p>
    <w:p>
      <w:pPr>
        <w:spacing w:after="0" w:line="235" w:lineRule="auto"/>
        <w:rPr>
          <w:sz w:val="20"/>
          <w:szCs w:val="20"/>
          <w:color w:val="auto"/>
        </w:rPr>
      </w:pPr>
      <w:r>
        <w:rPr>
          <w:rFonts w:ascii="Arial" w:cs="Arial" w:eastAsia="Arial" w:hAnsi="Arial"/>
          <w:sz w:val="18"/>
          <w:szCs w:val="18"/>
          <w:color w:val="auto"/>
        </w:rPr>
        <w:t>audit of KNA’s compliance with applicable ED requirements. KNA’s client institutions are also required to arrange for an independent auditor</w:t>
      </w:r>
    </w:p>
    <w:p>
      <w:pPr>
        <w:ind w:right="120"/>
        <w:spacing w:after="0" w:line="237" w:lineRule="auto"/>
        <w:rPr>
          <w:sz w:val="20"/>
          <w:szCs w:val="20"/>
          <w:color w:val="auto"/>
        </w:rPr>
      </w:pPr>
      <w:r>
        <w:rPr>
          <w:rFonts w:ascii="Arial" w:cs="Arial" w:eastAsia="Arial" w:hAnsi="Arial"/>
          <w:sz w:val="18"/>
          <w:szCs w:val="18"/>
          <w:color w:val="auto"/>
        </w:rPr>
        <w:t>to conduct an annual Title IV audit of their compliance with applicable ED requirements, including requirements related to services provided by KNA.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3, 2015, Kaplan sold substantially all of the assets of the former Kaplan Higher Education Campuses (KHE Campuses). As</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part of the transaction, similar to the transfer of Kaplan University, Kaplan retained liability for the pre-sale conduct of the KHE schools. Although Kaplan no longer owns Kaplan University or the former KHE Campuses, Kaplan may be liable to the current owners of Kaplan</w:t>
      </w:r>
    </w:p>
    <w:p>
      <w:pPr>
        <w:spacing w:after="0" w:line="236" w:lineRule="auto"/>
        <w:rPr>
          <w:sz w:val="20"/>
          <w:szCs w:val="20"/>
          <w:color w:val="auto"/>
        </w:rPr>
      </w:pPr>
      <w:r>
        <w:rPr>
          <w:rFonts w:ascii="Arial" w:cs="Arial" w:eastAsia="Arial" w:hAnsi="Arial"/>
          <w:sz w:val="18"/>
          <w:szCs w:val="18"/>
          <w:color w:val="auto"/>
        </w:rPr>
        <w:t>University and the former KHE Campuses, for the pre-sale conduct of the schools, and the pre-sale conduct of the schools has been and</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could be the subject of future compliance reviews, regulatory proceedings or lawsuits that could result in monetary liabilities or fines or other sanctions.</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May 2021, Kaplan received notice from the ED that it would be conducting a fact-finding process pursuant to the BDTR regulations to determine the validity of BDTR claims and a request for documents related to several of Kaplan’s previously owned schools. In 2021, Kaplan</w:t>
      </w:r>
    </w:p>
    <w:p>
      <w:pPr>
        <w:spacing w:after="0" w:line="235" w:lineRule="auto"/>
        <w:rPr>
          <w:sz w:val="20"/>
          <w:szCs w:val="20"/>
          <w:color w:val="auto"/>
        </w:rPr>
      </w:pPr>
      <w:r>
        <w:rPr>
          <w:rFonts w:ascii="Arial" w:cs="Arial" w:eastAsia="Arial" w:hAnsi="Arial"/>
          <w:sz w:val="18"/>
          <w:szCs w:val="18"/>
          <w:color w:val="auto"/>
        </w:rPr>
        <w:t>received claims and related information requests seeking discharge of approximately $35 million in loans, excluding interest, from former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Kaplan University students. Kaplan believes it has defenses that would bar any student discharge or school liability including that the claims are barred by the applicable statute of limitations, unproven, incomplete and fail to meet regulatory filing requirements. The ED’s process for</w:t>
      </w:r>
    </w:p>
    <w:p>
      <w:pPr>
        <w:spacing w:after="0" w:line="235" w:lineRule="auto"/>
        <w:rPr>
          <w:sz w:val="20"/>
          <w:szCs w:val="20"/>
          <w:color w:val="auto"/>
        </w:rPr>
      </w:pPr>
      <w:r>
        <w:rPr>
          <w:rFonts w:ascii="Arial" w:cs="Arial" w:eastAsia="Arial" w:hAnsi="Arial"/>
          <w:sz w:val="18"/>
          <w:szCs w:val="18"/>
          <w:color w:val="auto"/>
        </w:rPr>
        <w:t>adjudicating these claims is subject to the borrower defense regulations but it is not clear to what extent the ED will exclude claims based on</w:t>
      </w:r>
    </w:p>
    <w:p>
      <w:pPr>
        <w:ind w:right="40"/>
        <w:spacing w:after="0" w:line="226" w:lineRule="auto"/>
        <w:rPr>
          <w:sz w:val="20"/>
          <w:szCs w:val="20"/>
          <w:color w:val="auto"/>
        </w:rPr>
      </w:pPr>
      <w:r>
        <w:rPr>
          <w:rFonts w:ascii="Arial" w:cs="Arial" w:eastAsia="Arial" w:hAnsi="Arial"/>
          <w:sz w:val="18"/>
          <w:szCs w:val="18"/>
          <w:color w:val="auto"/>
        </w:rPr>
        <w:t>the underlying statutes of limitations, evidence provided by Kaplan, or any prior investigation related to schools attended by the student applicants. On August 16, 2022, the ED announced the approval of discharges for just under 100 borrowers who had enrolled in the medical</w:t>
      </w:r>
    </w:p>
    <w:p>
      <w:pPr>
        <w:spacing w:after="0" w:line="236" w:lineRule="auto"/>
        <w:rPr>
          <w:sz w:val="20"/>
          <w:szCs w:val="20"/>
          <w:color w:val="auto"/>
        </w:rPr>
      </w:pPr>
      <w:r>
        <w:rPr>
          <w:rFonts w:ascii="Arial" w:cs="Arial" w:eastAsia="Arial" w:hAnsi="Arial"/>
          <w:sz w:val="18"/>
          <w:szCs w:val="18"/>
          <w:color w:val="auto"/>
        </w:rPr>
        <w:t>assistant  or medical billing and coding program at Kaplan Career Institute’s Kenmore Square location in Massachusetts from July 1, 2011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February 16, 2012, when the institution stopped enrolling new students. These are borrowers the Massachusetts Attorney General identified as part of an investigation in 2013-2015. The location closed in February 2013. To date, the ED has not sought to recoup any discharged</w:t>
      </w:r>
    </w:p>
    <w:p>
      <w:pPr>
        <w:spacing w:after="0" w:line="236" w:lineRule="auto"/>
        <w:rPr>
          <w:sz w:val="20"/>
          <w:szCs w:val="20"/>
          <w:color w:val="auto"/>
        </w:rPr>
      </w:pPr>
      <w:r>
        <w:rPr>
          <w:rFonts w:ascii="Arial" w:cs="Arial" w:eastAsia="Arial" w:hAnsi="Arial"/>
          <w:sz w:val="18"/>
          <w:szCs w:val="18"/>
          <w:color w:val="auto"/>
        </w:rPr>
        <w:t>amount from Kaplan. Although the ED did not announce the total amount discharged, Kaplan believes it to be approximately $200,000.</w:t>
      </w:r>
    </w:p>
    <w:p>
      <w:pPr>
        <w:spacing w:after="0" w:line="1" w:lineRule="exact"/>
        <w:rPr>
          <w:sz w:val="20"/>
          <w:szCs w:val="20"/>
          <w:color w:val="auto"/>
        </w:rPr>
      </w:pPr>
    </w:p>
    <w:p>
      <w:pPr>
        <w:ind w:right="940"/>
        <w:spacing w:after="0" w:line="237" w:lineRule="auto"/>
        <w:rPr>
          <w:sz w:val="20"/>
          <w:szCs w:val="20"/>
          <w:color w:val="auto"/>
        </w:rPr>
      </w:pPr>
      <w:r>
        <w:rPr>
          <w:rFonts w:ascii="Arial" w:cs="Arial" w:eastAsia="Arial" w:hAnsi="Arial"/>
          <w:sz w:val="18"/>
          <w:szCs w:val="18"/>
          <w:color w:val="auto"/>
        </w:rPr>
        <w:t>Kaplan believes that each of the students subject to discharge was likely previously covered by Kaplan’s prior settlement with the Massachusetts Attorney General through which they should have received refunds of all or part of their tuition.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described below, the ED agreed to review any borrower defense applications submitted between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June 23, 2022, and November 15, 2022 on an expedited basis. In January 2024, Kaplan was informed that the ED received applications during this time period regarding former Kaplan University and Purdue Global students and Kaplan has begun to receive them. Unknown at</w:t>
      </w:r>
    </w:p>
    <w:p>
      <w:pPr>
        <w:spacing w:after="0" w:line="236" w:lineRule="auto"/>
        <w:rPr>
          <w:sz w:val="20"/>
          <w:szCs w:val="20"/>
          <w:color w:val="auto"/>
        </w:rPr>
      </w:pPr>
      <w:r>
        <w:rPr>
          <w:rFonts w:ascii="Arial" w:cs="Arial" w:eastAsia="Arial" w:hAnsi="Arial"/>
          <w:sz w:val="18"/>
          <w:szCs w:val="18"/>
          <w:color w:val="auto"/>
        </w:rPr>
        <w:t xml:space="preserve">this time is the total discharge amount sought or how much of that amount would apply to Kaplan University students. The </w:t>
      </w:r>
      <w:r>
        <w:rPr>
          <w:rFonts w:ascii="Arial" w:cs="Arial" w:eastAsia="Arial" w:hAnsi="Arial"/>
          <w:sz w:val="18"/>
          <w:szCs w:val="18"/>
          <w:i w:val="1"/>
          <w:iCs w:val="1"/>
          <w:color w:val="auto"/>
        </w:rPr>
        <w:t>Sweet v. Cardona</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settlement requires the ED to adjudicate applications received during the designated time period pursuant to the requirements of the 2016 Borrower Defense Regulation. To the extent these applications apply to Kaplan University, Kaplan anticipates that it will have defenses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similar to those described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settlement agreement in </w:t>
      </w:r>
      <w:r>
        <w:rPr>
          <w:rFonts w:ascii="Arial" w:cs="Arial" w:eastAsia="Arial" w:hAnsi="Arial"/>
          <w:sz w:val="18"/>
          <w:szCs w:val="18"/>
          <w:i w:val="1"/>
          <w:iCs w:val="1"/>
          <w:color w:val="auto"/>
        </w:rPr>
        <w:t>Sweet v. Cardona</w:t>
      </w:r>
      <w:r>
        <w:rPr>
          <w:rFonts w:ascii="Arial" w:cs="Arial" w:eastAsia="Arial" w:hAnsi="Arial"/>
          <w:sz w:val="18"/>
          <w:szCs w:val="18"/>
          <w:color w:val="auto"/>
        </w:rPr>
        <w:t>, a case brought by plaintiffs against the ED and discharges all pending BDTR claims against</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Kaplan filed through the date of the settlement agreement in June 2022. Although the ED may argue that it has the right to separately adjudicate those BDTR claims to attempt to seek recoupment from Kaplan, it is not clear whether a federal court would hold that the Sweet</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settlement resolves or moots all such claims. As noted above, the Sweet settlement also applies to claims filed prior to November 15, 2022. Although those post-June 23, 2022 claims were not automatically discharged, the settlement commits the ED to adjudicate those claims prior to January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any case, Kaplan expects to vigorously defend any attempt by the ED to hold Kaplan liable for any ultimate student discharges and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responded to the prior claims with documentary and narrative evidence to refute the allegations, demonstrate their lack of merit and support the denial of all such claims by the ED. Kaplan will similarly respond to all future claims it receives. As noted, if the claims are successful, the</w:t>
      </w:r>
    </w:p>
    <w:p>
      <w:pPr>
        <w:spacing w:after="0" w:line="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1" w:name="page32"/>
    <w:bookmarkEnd w:id="31"/>
    <w:p>
      <w:pPr>
        <w:ind w:left="280" w:hanging="272"/>
        <w:spacing w:after="0"/>
        <w:tabs>
          <w:tab w:leader="none" w:pos="2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KNA currently provides services to higher education institutions that are heavily regulated by federal and state laws and regulations and by accrediting bodies. Currently, a substantial portion of KNA’s revenue is attributable to service fees and deferred purchase price payments it</w:t>
      </w:r>
    </w:p>
    <w:p>
      <w:pPr>
        <w:spacing w:after="0" w:line="235" w:lineRule="auto"/>
        <w:rPr>
          <w:sz w:val="20"/>
          <w:szCs w:val="20"/>
          <w:color w:val="auto"/>
        </w:rPr>
      </w:pPr>
      <w:r>
        <w:rPr>
          <w:rFonts w:ascii="Arial" w:cs="Arial" w:eastAsia="Arial" w:hAnsi="Arial"/>
          <w:sz w:val="18"/>
          <w:szCs w:val="18"/>
          <w:color w:val="auto"/>
        </w:rPr>
        <w:t>receives under its agreement with Purdue Global, which, in the case of the deferred purchase price, are dependent upon revenue generated</w:t>
      </w:r>
    </w:p>
    <w:p>
      <w:pPr>
        <w:ind w:right="180"/>
        <w:spacing w:after="0"/>
        <w:rPr>
          <w:sz w:val="20"/>
          <w:szCs w:val="20"/>
          <w:color w:val="auto"/>
        </w:rPr>
      </w:pPr>
      <w:r>
        <w:rPr>
          <w:rFonts w:ascii="Arial" w:cs="Arial" w:eastAsia="Arial" w:hAnsi="Arial"/>
          <w:sz w:val="17"/>
          <w:szCs w:val="17"/>
          <w:color w:val="auto"/>
        </w:rPr>
        <w:t>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w:t>
      </w:r>
    </w:p>
    <w:p>
      <w:pPr>
        <w:spacing w:after="0" w:line="235" w:lineRule="auto"/>
        <w:rPr>
          <w:sz w:val="20"/>
          <w:szCs w:val="20"/>
          <w:color w:val="auto"/>
        </w:rPr>
      </w:pPr>
      <w:r>
        <w:rPr>
          <w:rFonts w:ascii="Arial" w:cs="Arial" w:eastAsia="Arial" w:hAnsi="Arial"/>
          <w:sz w:val="18"/>
          <w:szCs w:val="18"/>
          <w:color w:val="auto"/>
        </w:rPr>
        <w:t>state education agencies and be accredited by an accrediting commission recognized by the ED. Purdue Global and KNA’s other client</w:t>
      </w:r>
    </w:p>
    <w:p>
      <w:pPr>
        <w:spacing w:after="0" w:line="226" w:lineRule="auto"/>
        <w:rPr>
          <w:sz w:val="20"/>
          <w:szCs w:val="20"/>
          <w:color w:val="auto"/>
        </w:rPr>
      </w:pPr>
      <w:r>
        <w:rPr>
          <w:rFonts w:ascii="Arial" w:cs="Arial" w:eastAsia="Arial" w:hAnsi="Arial"/>
          <w:sz w:val="18"/>
          <w:szCs w:val="18"/>
          <w:color w:val="auto"/>
        </w:rPr>
        <w:t>institutions must also comply with the extensive statutory and regulatory requirements of the Higher Education Act and other state and federal laws and accrediting standards relating to their financial aid management, educational programs, financial strength, disbursement and</w:t>
      </w:r>
    </w:p>
    <w:p>
      <w:pPr>
        <w:spacing w:after="0" w:line="236" w:lineRule="auto"/>
        <w:rPr>
          <w:sz w:val="20"/>
          <w:szCs w:val="20"/>
          <w:color w:val="auto"/>
        </w:rPr>
      </w:pPr>
      <w:r>
        <w:rPr>
          <w:rFonts w:ascii="Arial" w:cs="Arial" w:eastAsia="Arial" w:hAnsi="Arial"/>
          <w:sz w:val="18"/>
          <w:szCs w:val="18"/>
          <w:color w:val="auto"/>
        </w:rPr>
        <w:t>return of Title IV funds, facilities, recruiting practices, representations made by the school and other parties, and various other matters.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Additionally, Purdue Global and other client institutions are subject to laws and regulations that, among other things, limit student default rates on the repayment of Title IV loans; permit BDTR of Title IV loans based on certain conduct of the institution; establish specific measures</w:t>
      </w:r>
    </w:p>
    <w:p>
      <w:pPr>
        <w:spacing w:after="0" w:line="235" w:lineRule="auto"/>
        <w:rPr>
          <w:sz w:val="20"/>
          <w:szCs w:val="20"/>
          <w:color w:val="auto"/>
        </w:rPr>
      </w:pPr>
      <w:r>
        <w:rPr>
          <w:rFonts w:ascii="Arial" w:cs="Arial" w:eastAsia="Arial" w:hAnsi="Arial"/>
          <w:sz w:val="18"/>
          <w:szCs w:val="18"/>
          <w:color w:val="auto"/>
        </w:rPr>
        <w:t>of financial responsibility and administrative capability; regulate the addition of new campuses and programs and other institutional changes;</w:t>
      </w:r>
    </w:p>
    <w:p>
      <w:pPr>
        <w:ind w:right="20"/>
        <w:spacing w:after="0" w:line="226" w:lineRule="auto"/>
        <w:rPr>
          <w:sz w:val="20"/>
          <w:szCs w:val="20"/>
          <w:color w:val="auto"/>
        </w:rPr>
      </w:pPr>
      <w:r>
        <w:rPr>
          <w:rFonts w:ascii="Arial" w:cs="Arial" w:eastAsia="Arial" w:hAnsi="Arial"/>
          <w:sz w:val="18"/>
          <w:szCs w:val="18"/>
          <w:color w:val="auto"/>
        </w:rPr>
        <w:t>require compliance with state professional licensure board requirements to the extent applicable to institutional programs; require compliance with the Title IV definition of nonprofit institution; and require state authorization and institutional and programmatic accreditation. In addition,</w:t>
      </w:r>
    </w:p>
    <w:p>
      <w:pPr>
        <w:spacing w:after="0" w:line="236" w:lineRule="auto"/>
        <w:rPr>
          <w:sz w:val="20"/>
          <w:szCs w:val="20"/>
          <w:color w:val="auto"/>
        </w:rPr>
      </w:pPr>
      <w:r>
        <w:rPr>
          <w:rFonts w:ascii="Arial" w:cs="Arial" w:eastAsia="Arial" w:hAnsi="Arial"/>
          <w:sz w:val="18"/>
          <w:szCs w:val="18"/>
          <w:color w:val="auto"/>
        </w:rPr>
        <w:t>the Coronavirus Aid, Relief, and Economic Security (CARES) Act, the Consolidated Appropriations Act of 2021 and subsequent guidance</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from the ED have created changes in the administration of federal financial assistance programs, the interpretation of which may not yet be fully understood.</w:t>
      </w:r>
    </w:p>
    <w:p>
      <w:pPr>
        <w:spacing w:after="0" w:line="12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w:t>
      </w:r>
    </w:p>
    <w:p>
      <w:pPr>
        <w:spacing w:after="0" w:line="235" w:lineRule="auto"/>
        <w:rPr>
          <w:sz w:val="20"/>
          <w:szCs w:val="20"/>
          <w:color w:val="auto"/>
        </w:rPr>
      </w:pPr>
      <w:r>
        <w:rPr>
          <w:rFonts w:ascii="Arial" w:cs="Arial" w:eastAsia="Arial" w:hAnsi="Arial"/>
          <w:sz w:val="18"/>
          <w:szCs w:val="18"/>
          <w:color w:val="auto"/>
        </w:rPr>
        <w:t>Title IV program funds, limiting or terminating the school’s eligibility to participate in Title IV programs, initiating an emergency action to</w:t>
      </w:r>
    </w:p>
    <w:p>
      <w:pPr>
        <w:ind w:right="160"/>
        <w:spacing w:after="0"/>
        <w:rPr>
          <w:sz w:val="20"/>
          <w:szCs w:val="20"/>
          <w:color w:val="auto"/>
        </w:rPr>
      </w:pPr>
      <w:r>
        <w:rPr>
          <w:rFonts w:ascii="Arial" w:cs="Arial" w:eastAsia="Arial" w:hAnsi="Arial"/>
          <w:sz w:val="17"/>
          <w:szCs w:val="17"/>
          <w:color w:val="auto"/>
        </w:rPr>
        <w:t>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w:t>
      </w:r>
    </w:p>
    <w:p>
      <w:pPr>
        <w:spacing w:after="0" w:line="235" w:lineRule="auto"/>
        <w:rPr>
          <w:sz w:val="20"/>
          <w:szCs w:val="20"/>
          <w:color w:val="auto"/>
        </w:rPr>
      </w:pPr>
      <w:r>
        <w:rPr>
          <w:rFonts w:ascii="Arial" w:cs="Arial" w:eastAsia="Arial" w:hAnsi="Arial"/>
          <w:sz w:val="18"/>
          <w:szCs w:val="18"/>
          <w:color w:val="auto"/>
        </w:rPr>
        <w:t>letter of credit, denying or refusing to consider the school’s application for renewal of its certification to participate in the Title IV programs or</w:t>
      </w:r>
    </w:p>
    <w:p>
      <w:pPr>
        <w:spacing w:after="0" w:line="226" w:lineRule="auto"/>
        <w:rPr>
          <w:sz w:val="20"/>
          <w:szCs w:val="20"/>
          <w:color w:val="auto"/>
        </w:rPr>
      </w:pPr>
      <w:r>
        <w:rPr>
          <w:rFonts w:ascii="Arial" w:cs="Arial" w:eastAsia="Arial" w:hAnsi="Arial"/>
          <w:sz w:val="18"/>
          <w:szCs w:val="18"/>
          <w:color w:val="auto"/>
        </w:rPr>
        <w:t>for approval to add a new campus or educational program, requiring the institution to comply with additional regulatory requirements reserved for schools not meeting the definition of a nonprofit institution including 90/10 and Gainful Employment requirements, and/or referring the</w:t>
      </w:r>
    </w:p>
    <w:p>
      <w:pPr>
        <w:spacing w:after="0" w:line="236" w:lineRule="auto"/>
        <w:rPr>
          <w:sz w:val="20"/>
          <w:szCs w:val="20"/>
          <w:color w:val="auto"/>
        </w:rPr>
      </w:pPr>
      <w:r>
        <w:rPr>
          <w:rFonts w:ascii="Arial" w:cs="Arial" w:eastAsia="Arial" w:hAnsi="Arial"/>
          <w:sz w:val="18"/>
          <w:szCs w:val="18"/>
          <w:color w:val="auto"/>
        </w:rPr>
        <w:t>matter for possible civil or criminal investigation. There can be no assurance that the ED will not take any of these or other actions in the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future, whether as a result of lawsuits, program reviews or otherwise. On November 25, 2024, the ED approved Purdue Global’s Application for Participation in the Title IV program and granted a full Program Participation Agreement. This Program Participation Agreement expires</w:t>
      </w:r>
    </w:p>
    <w:p>
      <w:pPr>
        <w:spacing w:after="0" w:line="236" w:lineRule="auto"/>
        <w:rPr>
          <w:sz w:val="20"/>
          <w:szCs w:val="20"/>
          <w:color w:val="auto"/>
        </w:rPr>
      </w:pPr>
      <w:r>
        <w:rPr>
          <w:rFonts w:ascii="Arial" w:cs="Arial" w:eastAsia="Arial" w:hAnsi="Arial"/>
          <w:sz w:val="18"/>
          <w:szCs w:val="18"/>
          <w:color w:val="auto"/>
        </w:rPr>
        <w:t>on December 31, 2028 and will need to be renewed prior to that date pursuant to federal regulations. Pursuant to the terms of the Program</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Participation Agreement Purdue Global must report to the ED any accreditation or governmental agency action or class action lawsuit. If Purdue Global or another KNA client institution loses or has limits placed on its Title IV eligibility, accreditation or state licensure, or if Purdue</w:t>
      </w:r>
    </w:p>
    <w:p>
      <w:pPr>
        <w:spacing w:after="0" w:line="235" w:lineRule="auto"/>
        <w:rPr>
          <w:sz w:val="20"/>
          <w:szCs w:val="20"/>
          <w:color w:val="auto"/>
        </w:rPr>
      </w:pPr>
      <w:r>
        <w:rPr>
          <w:rFonts w:ascii="Arial" w:cs="Arial" w:eastAsia="Arial" w:hAnsi="Arial"/>
          <w:sz w:val="18"/>
          <w:szCs w:val="18"/>
          <w:color w:val="auto"/>
        </w:rPr>
        <w:t>Global or another KNA client institution is subject to fines, repayment obligations or other adverse actions owing to its or Kaplan’s</w:t>
      </w:r>
    </w:p>
    <w:p>
      <w:pPr>
        <w:ind w:right="140"/>
        <w:spacing w:after="0"/>
        <w:rPr>
          <w:sz w:val="20"/>
          <w:szCs w:val="20"/>
          <w:color w:val="auto"/>
        </w:rPr>
      </w:pPr>
      <w:r>
        <w:rPr>
          <w:rFonts w:ascii="Arial" w:cs="Arial" w:eastAsia="Arial" w:hAnsi="Arial"/>
          <w:sz w:val="17"/>
          <w:szCs w:val="17"/>
          <w:color w:val="auto"/>
        </w:rPr>
        <w:t>noncompliance with Title IV regulations, accreditor or state agency requirements, or other state or federal laws, Kaplan’s financial results of operations could be adversely affected. Additionally, as a prior owner of Title IV institutions, KNA may retain certain liability for student loans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current or future BDTR applications described above or future similar applications.</w:t>
      </w:r>
    </w:p>
    <w:p>
      <w:pPr>
        <w:spacing w:after="0" w:line="14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12" w:lineRule="exact"/>
        <w:rPr>
          <w:sz w:val="20"/>
          <w:szCs w:val="20"/>
          <w:color w:val="auto"/>
        </w:rPr>
      </w:pPr>
    </w:p>
    <w:p>
      <w:pPr>
        <w:ind w:left="660" w:right="60" w:hanging="328"/>
        <w:spacing w:after="0" w:line="27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86" w:lineRule="exact"/>
        <w:rPr>
          <w:rFonts w:ascii="Arial" w:cs="Arial" w:eastAsia="Arial" w:hAnsi="Arial"/>
          <w:sz w:val="18"/>
          <w:szCs w:val="18"/>
          <w:color w:val="auto"/>
        </w:rPr>
      </w:pPr>
    </w:p>
    <w:p>
      <w:pPr>
        <w:jc w:val="both"/>
        <w:ind w:left="660" w:right="2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01" w:lineRule="exact"/>
        <w:rPr>
          <w:rFonts w:ascii="Arial" w:cs="Arial" w:eastAsia="Arial" w:hAnsi="Arial"/>
          <w:sz w:val="18"/>
          <w:szCs w:val="18"/>
          <w:color w:val="auto"/>
        </w:rPr>
      </w:pPr>
    </w:p>
    <w:p>
      <w:pPr>
        <w:ind w:left="660" w:right="380" w:hanging="328"/>
        <w:spacing w:after="0" w:line="24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27"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left="280" w:hanging="272"/>
        <w:spacing w:after="0"/>
        <w:tabs>
          <w:tab w:leader="none" w:pos="2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w:t>
      </w:r>
    </w:p>
    <w:p>
      <w:pPr>
        <w:spacing w:after="0" w:line="235" w:lineRule="auto"/>
        <w:rPr>
          <w:sz w:val="20"/>
          <w:szCs w:val="20"/>
          <w:color w:val="auto"/>
        </w:rPr>
      </w:pPr>
      <w:r>
        <w:rPr>
          <w:rFonts w:ascii="Arial" w:cs="Arial" w:eastAsia="Arial" w:hAnsi="Arial"/>
          <w:sz w:val="18"/>
          <w:szCs w:val="18"/>
          <w:color w:val="auto"/>
        </w:rPr>
        <w:t>services can be provided in the manner and at the cost Kaplan anticipated and whether Purdue Global is able to realize anticipated student</w:t>
      </w:r>
    </w:p>
    <w:p>
      <w:pPr>
        <w:ind w:right="240"/>
        <w:spacing w:after="0" w:line="226" w:lineRule="auto"/>
        <w:rPr>
          <w:sz w:val="20"/>
          <w:szCs w:val="20"/>
          <w:color w:val="auto"/>
        </w:rPr>
      </w:pPr>
      <w:r>
        <w:rPr>
          <w:rFonts w:ascii="Arial" w:cs="Arial" w:eastAsia="Arial" w:hAnsi="Arial"/>
          <w:sz w:val="18"/>
          <w:szCs w:val="18"/>
          <w:color w:val="auto"/>
        </w:rPr>
        <w:t>enrollment levels. If Kaplan is unable to effectively execute its post-transaction strategy, it may take longer than anticipated to achieve the benefits of the transaction or it may not realize those benefits at all. In 2022, pursuant to the TOSA, Purdue Global began providing certain</w:t>
      </w:r>
    </w:p>
    <w:p>
      <w:pPr>
        <w:spacing w:after="0" w:line="236" w:lineRule="auto"/>
        <w:rPr>
          <w:sz w:val="20"/>
          <w:szCs w:val="20"/>
          <w:color w:val="auto"/>
        </w:rPr>
      </w:pPr>
      <w:r>
        <w:rPr>
          <w:rFonts w:ascii="Arial" w:cs="Arial" w:eastAsia="Arial" w:hAnsi="Arial"/>
          <w:sz w:val="18"/>
          <w:szCs w:val="18"/>
          <w:color w:val="auto"/>
        </w:rPr>
        <w:t>functions previously provided by KNA in-house. Those functions include human resources, finance and accounting, facility management,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communications services. The TOSA (Kaplan’s service agreement with Purdue Global) acknowledges that the Purdue Global Board of Trustees controls the university. While the TOSA provides financial protections to Kaplan to ensure payment of certain of its fees, actions by</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Purdue Global that change university policies, direct the provision of certain non-academic service functions, or increase costs associated with the non-academic service functions could impact Kaplan’s ability to achieve the benefits of the transaction.</w:t>
      </w:r>
    </w:p>
    <w:p>
      <w:pPr>
        <w:spacing w:after="0" w:line="104"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Regulations enacted as a result of a 2021 Negotiated Rulemaking, that became effective in July 2023 (July 2023 Regulations), include restrictions on revenue-sharing arrangements between universities and former university owners, as discussed above. This could impact</w:t>
      </w:r>
    </w:p>
    <w:p>
      <w:pPr>
        <w:spacing w:after="0" w:line="236" w:lineRule="auto"/>
        <w:rPr>
          <w:sz w:val="20"/>
          <w:szCs w:val="20"/>
          <w:color w:val="auto"/>
        </w:rPr>
      </w:pPr>
      <w:r>
        <w:rPr>
          <w:rFonts w:ascii="Arial" w:cs="Arial" w:eastAsia="Arial" w:hAnsi="Arial"/>
          <w:sz w:val="18"/>
          <w:szCs w:val="18"/>
          <w:color w:val="auto"/>
        </w:rPr>
        <w:t>KNA Higher Education managed service provider contracts with Purdue Global and other KNA client institutions such as Wake Forest,</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Purdue, Creighton, Lynn or others. In addition, the July 2023 Regulations included new rules and changes to existing rules related to the ability of student borrowers to obtain discharges of their obligations to repay certain Title IV loans that were first disbursed on or after July 1,</w:t>
      </w:r>
    </w:p>
    <w:p>
      <w:pPr>
        <w:spacing w:after="0" w:line="235" w:lineRule="auto"/>
        <w:rPr>
          <w:sz w:val="20"/>
          <w:szCs w:val="20"/>
          <w:color w:val="auto"/>
        </w:rPr>
      </w:pPr>
      <w:r>
        <w:rPr>
          <w:rFonts w:ascii="Arial" w:cs="Arial" w:eastAsia="Arial" w:hAnsi="Arial"/>
          <w:sz w:val="18"/>
          <w:szCs w:val="18"/>
          <w:color w:val="auto"/>
        </w:rPr>
        <w:t>2023; the BDTR adjudication process; recoupment of BDTR discharges from institutions; closed school loan discharges; disability loan</w:t>
      </w:r>
    </w:p>
    <w:p>
      <w:pPr>
        <w:ind w:right="520"/>
        <w:spacing w:after="0" w:line="226" w:lineRule="auto"/>
        <w:rPr>
          <w:sz w:val="20"/>
          <w:szCs w:val="20"/>
          <w:color w:val="auto"/>
        </w:rPr>
      </w:pPr>
      <w:r>
        <w:rPr>
          <w:rFonts w:ascii="Arial" w:cs="Arial" w:eastAsia="Arial" w:hAnsi="Arial"/>
          <w:sz w:val="18"/>
          <w:szCs w:val="18"/>
          <w:color w:val="auto"/>
        </w:rPr>
        <w:t>discharges; public loan forgiveness; income-driven repayment plans; colleges and universities undergoing changes in ownership; and arbitration agreements. The ED also changed the Title IV definition of “nonprofit” institution to generally exclude from that definition any</w:t>
      </w:r>
    </w:p>
    <w:p>
      <w:pPr>
        <w:spacing w:after="0" w:line="236" w:lineRule="auto"/>
        <w:rPr>
          <w:sz w:val="20"/>
          <w:szCs w:val="20"/>
          <w:color w:val="auto"/>
        </w:rPr>
      </w:pPr>
      <w:r>
        <w:rPr>
          <w:rFonts w:ascii="Arial" w:cs="Arial" w:eastAsia="Arial" w:hAnsi="Arial"/>
          <w:sz w:val="18"/>
          <w:szCs w:val="18"/>
          <w:color w:val="auto"/>
        </w:rPr>
        <w:t>institution that is an obligor on a debt owed to a former owner of the institution or maintains a revenue-based service agreement with a former</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owner of the institution. Such regulatory changes as well as those described above could subject Purdue Global and other KNA client institutions to additional regulatory requirements. Additionally, the application of the July 2023 Regulations related to BDTR to KNA for loans</w:t>
      </w:r>
    </w:p>
    <w:p>
      <w:pPr>
        <w:spacing w:after="0" w:line="235" w:lineRule="auto"/>
        <w:rPr>
          <w:sz w:val="20"/>
          <w:szCs w:val="20"/>
          <w:color w:val="auto"/>
        </w:rPr>
      </w:pPr>
      <w:r>
        <w:rPr>
          <w:rFonts w:ascii="Arial" w:cs="Arial" w:eastAsia="Arial" w:hAnsi="Arial"/>
          <w:sz w:val="18"/>
          <w:szCs w:val="18"/>
          <w:color w:val="auto"/>
        </w:rPr>
        <w:t>disbursed between July 1, 2017 and March 22, 2018, the close of the Purdue Global transaction, could materially affect Kaplan’s revenues.</w:t>
      </w:r>
    </w:p>
    <w:p>
      <w:pPr>
        <w:ind w:right="60"/>
        <w:spacing w:after="0"/>
        <w:rPr>
          <w:sz w:val="20"/>
          <w:szCs w:val="20"/>
          <w:color w:val="auto"/>
        </w:rPr>
      </w:pPr>
      <w:r>
        <w:rPr>
          <w:rFonts w:ascii="Arial" w:cs="Arial" w:eastAsia="Arial" w:hAnsi="Arial"/>
          <w:sz w:val="17"/>
          <w:szCs w:val="17"/>
          <w:color w:val="auto"/>
        </w:rPr>
        <w:t>Further, the changes to the ability of students to discharge loans owed as a result of prior school closures could impose liability on Kaplan for loans made to students at institutions previously owned by Kaplan and closed during Kaplan’s ownership. These and other regulatory, policy</w:t>
      </w:r>
    </w:p>
    <w:p>
      <w:pPr>
        <w:spacing w:after="0" w:line="235" w:lineRule="auto"/>
        <w:rPr>
          <w:sz w:val="20"/>
          <w:szCs w:val="20"/>
          <w:color w:val="auto"/>
        </w:rPr>
      </w:pPr>
      <w:r>
        <w:rPr>
          <w:rFonts w:ascii="Arial" w:cs="Arial" w:eastAsia="Arial" w:hAnsi="Arial"/>
          <w:sz w:val="18"/>
          <w:szCs w:val="18"/>
          <w:color w:val="auto"/>
        </w:rPr>
        <w:t>or legal changes could include the imposition of outcome metrics on universities, a form of free community college, and changes to the</w:t>
      </w:r>
    </w:p>
    <w:p>
      <w:pPr>
        <w:ind w:right="160"/>
        <w:spacing w:after="0" w:line="237" w:lineRule="auto"/>
        <w:rPr>
          <w:sz w:val="20"/>
          <w:szCs w:val="20"/>
          <w:color w:val="auto"/>
        </w:rPr>
      </w:pPr>
      <w:r>
        <w:rPr>
          <w:rFonts w:ascii="Arial" w:cs="Arial" w:eastAsia="Arial" w:hAnsi="Arial"/>
          <w:sz w:val="18"/>
          <w:szCs w:val="18"/>
          <w:color w:val="auto"/>
        </w:rPr>
        <w:t>financial aid system, including broad loan forgiveness. Other regulatory requirements or developments could have a material adverse effect on Purdue Global’s and other client institutions’ revenues and, in turn, on Kaplan’s operating results, including, for example: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Reductions in Title IV or other federal, state or private financial assistance: </w:t>
      </w:r>
      <w:r>
        <w:rPr>
          <w:rFonts w:ascii="Arial" w:cs="Arial" w:eastAsia="Arial" w:hAnsi="Arial"/>
          <w:sz w:val="18"/>
          <w:szCs w:val="18"/>
          <w:color w:val="auto"/>
        </w:rPr>
        <w:t>KNA receives revenue based on its agreements</w:t>
      </w:r>
    </w:p>
    <w:p>
      <w:pPr>
        <w:spacing w:after="0" w:line="14" w:lineRule="exact"/>
        <w:rPr>
          <w:sz w:val="20"/>
          <w:szCs w:val="20"/>
          <w:color w:val="auto"/>
        </w:rPr>
      </w:pPr>
    </w:p>
    <w:p>
      <w:pPr>
        <w:ind w:left="660" w:right="20"/>
        <w:spacing w:after="0"/>
        <w:rPr>
          <w:sz w:val="20"/>
          <w:szCs w:val="20"/>
          <w:color w:val="auto"/>
        </w:rPr>
      </w:pPr>
      <w:r>
        <w:rPr>
          <w:rFonts w:ascii="Arial" w:cs="Arial" w:eastAsia="Arial" w:hAnsi="Arial"/>
          <w:sz w:val="17"/>
          <w:szCs w:val="17"/>
          <w:color w:val="auto"/>
        </w:rPr>
        <w:t>with client institutions and particularly revenue from Purdue Global under the TOSA. Purdue Global is expected to derive a significant percentage of its tuition revenues from its participation in Title IV programs. Any legislative, regulatory or other development that</w:t>
      </w:r>
    </w:p>
    <w:p>
      <w:pPr>
        <w:ind w:left="660"/>
        <w:spacing w:after="0" w:line="235" w:lineRule="auto"/>
        <w:rPr>
          <w:sz w:val="20"/>
          <w:szCs w:val="20"/>
          <w:color w:val="auto"/>
        </w:rPr>
      </w:pPr>
      <w:r>
        <w:rPr>
          <w:rFonts w:ascii="Arial" w:cs="Arial" w:eastAsia="Arial" w:hAnsi="Arial"/>
          <w:sz w:val="18"/>
          <w:szCs w:val="18"/>
          <w:color w:val="auto"/>
        </w:rPr>
        <w:t>materially reduces the amount of Title IV, federal, state or private financial assistance available to the students of Purdue Global and</w:t>
      </w:r>
    </w:p>
    <w:p>
      <w:pPr>
        <w:ind w:left="660" w:right="500"/>
        <w:spacing w:after="0"/>
        <w:rPr>
          <w:sz w:val="20"/>
          <w:szCs w:val="20"/>
          <w:color w:val="auto"/>
        </w:rPr>
      </w:pPr>
      <w:r>
        <w:rPr>
          <w:rFonts w:ascii="Arial" w:cs="Arial" w:eastAsia="Arial" w:hAnsi="Arial"/>
          <w:sz w:val="17"/>
          <w:szCs w:val="17"/>
          <w:color w:val="auto"/>
        </w:rPr>
        <w:t>other client institutions could have a material adverse effect on Kaplan’s business and results of operations. In addition, any development that makes the terms of such financial assistance less attractive could have a material adverse effect on Kaplan’s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 and results of operations.</w:t>
      </w:r>
    </w:p>
    <w:p>
      <w:pPr>
        <w:spacing w:after="0" w:line="140" w:lineRule="exact"/>
        <w:rPr>
          <w:sz w:val="20"/>
          <w:szCs w:val="20"/>
          <w:color w:val="auto"/>
        </w:rPr>
      </w:pPr>
    </w:p>
    <w:p>
      <w:pPr>
        <w:ind w:left="660" w:right="380"/>
        <w:spacing w:after="0" w:line="251" w:lineRule="auto"/>
        <w:rPr>
          <w:sz w:val="20"/>
          <w:szCs w:val="20"/>
          <w:color w:val="auto"/>
        </w:rPr>
      </w:pPr>
      <w:r>
        <w:rPr>
          <w:rFonts w:ascii="Arial" w:cs="Arial" w:eastAsia="Arial" w:hAnsi="Arial"/>
          <w:sz w:val="17"/>
          <w:szCs w:val="17"/>
          <w:b w:val="1"/>
          <w:bCs w:val="1"/>
          <w:i w:val="1"/>
          <w:iCs w:val="1"/>
          <w:color w:val="auto"/>
        </w:rPr>
        <w:t xml:space="preserve">Compliance reviews and litigation: </w:t>
      </w:r>
      <w:r>
        <w:rPr>
          <w:rFonts w:ascii="Arial" w:cs="Arial" w:eastAsia="Arial" w:hAnsi="Arial"/>
          <w:sz w:val="17"/>
          <w:szCs w:val="17"/>
          <w:color w:val="auto"/>
        </w:rPr>
        <w:t>Institutions participating in the Title IV programs, including Purdue Global and other client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subject to program reviews, audits, investigations and other compliance reviews conducted by various regulatory</w:t>
      </w:r>
    </w:p>
    <w:p>
      <w:pPr>
        <w:ind w:left="660"/>
        <w:spacing w:after="0" w:line="235" w:lineRule="auto"/>
        <w:rPr>
          <w:sz w:val="20"/>
          <w:szCs w:val="20"/>
          <w:color w:val="auto"/>
        </w:rPr>
      </w:pPr>
      <w:r>
        <w:rPr>
          <w:rFonts w:ascii="Arial" w:cs="Arial" w:eastAsia="Arial" w:hAnsi="Arial"/>
          <w:sz w:val="18"/>
          <w:szCs w:val="18"/>
          <w:color w:val="auto"/>
        </w:rPr>
        <w:t>agencies and auditors, including, among others, the ED, the ED’s Office of the Inspector General, accrediting bodies and state and</w:t>
      </w:r>
    </w:p>
    <w:p>
      <w:pPr>
        <w:ind w:left="660" w:right="100"/>
        <w:spacing w:after="0"/>
        <w:rPr>
          <w:sz w:val="20"/>
          <w:szCs w:val="20"/>
          <w:color w:val="auto"/>
        </w:rPr>
      </w:pPr>
      <w:r>
        <w:rPr>
          <w:rFonts w:ascii="Arial" w:cs="Arial" w:eastAsia="Arial" w:hAnsi="Arial"/>
          <w:sz w:val="17"/>
          <w:szCs w:val="17"/>
          <w:color w:val="auto"/>
        </w:rPr>
        <w:t>various other federal agencies, as well as annual audits by an independent certified public accountant of compliance with Title IV statutory and regulatory requirements. Purdue Global and other client institutions may also be subject to various lawsuits and claims</w:t>
      </w:r>
    </w:p>
    <w:p>
      <w:pPr>
        <w:spacing w:after="0" w:line="1" w:lineRule="exact"/>
        <w:rPr>
          <w:sz w:val="20"/>
          <w:szCs w:val="20"/>
          <w:color w:val="auto"/>
        </w:rPr>
      </w:pPr>
    </w:p>
    <w:p>
      <w:pPr>
        <w:ind w:left="660" w:right="740"/>
        <w:spacing w:after="0" w:line="250" w:lineRule="auto"/>
        <w:rPr>
          <w:sz w:val="20"/>
          <w:szCs w:val="20"/>
          <w:color w:val="auto"/>
        </w:rPr>
      </w:pPr>
      <w:r>
        <w:rPr>
          <w:rFonts w:ascii="Arial" w:cs="Arial" w:eastAsia="Arial" w:hAnsi="Arial"/>
          <w:sz w:val="18"/>
          <w:szCs w:val="18"/>
          <w:color w:val="auto"/>
        </w:rPr>
        <w:t>related to a variety of matters, including but not limited to alleged violations of federal and state laws and accrediting agency requirements. These compliance reviews and litigation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left="660" w:right="420"/>
        <w:spacing w:after="0" w:line="271" w:lineRule="auto"/>
        <w:rPr>
          <w:sz w:val="20"/>
          <w:szCs w:val="20"/>
          <w:color w:val="auto"/>
        </w:rPr>
      </w:pPr>
      <w:r>
        <w:rPr>
          <w:rFonts w:ascii="Arial" w:cs="Arial" w:eastAsia="Arial" w:hAnsi="Arial"/>
          <w:sz w:val="18"/>
          <w:szCs w:val="18"/>
          <w:color w:val="auto"/>
        </w:rPr>
        <w:t>matters could extend to activities conducted by KNA on behalf of Purdue Global or other client institutions and to KNA itself as a third-party servicer subject to Title IV regulations.</w:t>
      </w:r>
    </w:p>
    <w:p>
      <w:pPr>
        <w:spacing w:after="0" w:line="86" w:lineRule="exact"/>
        <w:rPr>
          <w:sz w:val="20"/>
          <w:szCs w:val="20"/>
          <w:color w:val="auto"/>
        </w:rPr>
      </w:pPr>
    </w:p>
    <w:p>
      <w:pPr>
        <w:ind w:left="660"/>
        <w:spacing w:after="0" w:line="259" w:lineRule="auto"/>
        <w:rPr>
          <w:sz w:val="20"/>
          <w:szCs w:val="20"/>
          <w:color w:val="auto"/>
        </w:rPr>
      </w:pPr>
      <w:r>
        <w:rPr>
          <w:rFonts w:ascii="Arial" w:cs="Arial" w:eastAsia="Arial" w:hAnsi="Arial"/>
          <w:sz w:val="17"/>
          <w:szCs w:val="17"/>
          <w:b w:val="1"/>
          <w:bCs w:val="1"/>
          <w:i w:val="1"/>
          <w:iCs w:val="1"/>
          <w:color w:val="auto"/>
        </w:rPr>
        <w:t xml:space="preserve">Changes in legislation, regulations or interpretations: </w:t>
      </w:r>
      <w:r>
        <w:rPr>
          <w:rFonts w:ascii="Arial" w:cs="Arial" w:eastAsia="Arial" w:hAnsi="Arial"/>
          <w:sz w:val="17"/>
          <w:szCs w:val="17"/>
          <w:color w:val="auto"/>
        </w:rPr>
        <w:t>Congress periodically revises the Higher Education Act and other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enacts new laws governing the Title IV programs and annually determines the funding level for each Title IV program and may make</w:t>
      </w:r>
    </w:p>
    <w:p>
      <w:pPr>
        <w:spacing w:after="0" w:line="1" w:lineRule="exact"/>
        <w:rPr>
          <w:sz w:val="20"/>
          <w:szCs w:val="20"/>
          <w:color w:val="auto"/>
        </w:rPr>
      </w:pPr>
    </w:p>
    <w:p>
      <w:pPr>
        <w:ind w:left="660" w:right="60"/>
        <w:spacing w:after="0"/>
        <w:rPr>
          <w:sz w:val="20"/>
          <w:szCs w:val="20"/>
          <w:color w:val="auto"/>
        </w:rPr>
      </w:pPr>
      <w:r>
        <w:rPr>
          <w:rFonts w:ascii="Arial" w:cs="Arial" w:eastAsia="Arial" w:hAnsi="Arial"/>
          <w:sz w:val="17"/>
          <w:szCs w:val="17"/>
          <w:color w:val="auto"/>
        </w:rPr>
        <w:t>changes in the laws at any time. The ED and other federal and state agencies may also issue new regulations and guidance or change their interpretation of regulations at any time. In addition, any action by Congress or the ED that impacts the ability of Purdue</w:t>
      </w:r>
    </w:p>
    <w:p>
      <w:pPr>
        <w:ind w:left="660"/>
        <w:spacing w:after="0" w:line="235" w:lineRule="auto"/>
        <w:rPr>
          <w:sz w:val="20"/>
          <w:szCs w:val="20"/>
          <w:color w:val="auto"/>
        </w:rPr>
      </w:pPr>
      <w:r>
        <w:rPr>
          <w:rFonts w:ascii="Arial" w:cs="Arial" w:eastAsia="Arial" w:hAnsi="Arial"/>
          <w:sz w:val="18"/>
          <w:szCs w:val="18"/>
          <w:color w:val="auto"/>
        </w:rPr>
        <w:t>Global to contract with KNA to receive a share of revenue as deferred payment for the sale of Kaplan University or the ability of KNA</w:t>
      </w:r>
    </w:p>
    <w:p>
      <w:pPr>
        <w:ind w:left="660" w:right="440"/>
        <w:spacing w:after="0"/>
        <w:rPr>
          <w:sz w:val="20"/>
          <w:szCs w:val="20"/>
          <w:color w:val="auto"/>
        </w:rPr>
      </w:pPr>
      <w:r>
        <w:rPr>
          <w:rFonts w:ascii="Arial" w:cs="Arial" w:eastAsia="Arial" w:hAnsi="Arial"/>
          <w:sz w:val="17"/>
          <w:szCs w:val="17"/>
          <w:color w:val="auto"/>
        </w:rPr>
        <w:t>to contract with any client institution to provide bundled services in exchange for a share of tuition revenue could require KNA to modify the TOSA, other agreements or its practices and could impact the revenues KNA may receive under such agreements.</w:t>
      </w:r>
    </w:p>
    <w:p>
      <w:pPr>
        <w:ind w:left="660"/>
        <w:spacing w:after="0" w:line="235" w:lineRule="auto"/>
        <w:rPr>
          <w:sz w:val="20"/>
          <w:szCs w:val="20"/>
          <w:color w:val="auto"/>
        </w:rPr>
      </w:pPr>
      <w:r>
        <w:rPr>
          <w:rFonts w:ascii="Arial" w:cs="Arial" w:eastAsia="Arial" w:hAnsi="Arial"/>
          <w:sz w:val="18"/>
          <w:szCs w:val="18"/>
          <w:color w:val="auto"/>
        </w:rPr>
        <w:t>Congress, the ED and other federal and state regulators may create new laws or take actions that may require Purdue Global, other</w:t>
      </w:r>
    </w:p>
    <w:p>
      <w:pPr>
        <w:ind w:left="660" w:right="260"/>
        <w:spacing w:after="0" w:line="237" w:lineRule="auto"/>
        <w:rPr>
          <w:sz w:val="20"/>
          <w:szCs w:val="20"/>
          <w:color w:val="auto"/>
        </w:rPr>
      </w:pPr>
      <w:r>
        <w:rPr>
          <w:rFonts w:ascii="Arial" w:cs="Arial" w:eastAsia="Arial" w:hAnsi="Arial"/>
          <w:sz w:val="18"/>
          <w:szCs w:val="18"/>
          <w:color w:val="auto"/>
        </w:rPr>
        <w:t>client institutions or KNA to modify practices in ways that could have a material adverse effect on Kaplan’s business and results of operations.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Increases in regulatory scrutiny of postsecondary education and service providers: </w:t>
      </w:r>
      <w:r>
        <w:rPr>
          <w:rFonts w:ascii="Arial" w:cs="Arial" w:eastAsia="Arial" w:hAnsi="Arial"/>
          <w:sz w:val="18"/>
          <w:szCs w:val="18"/>
          <w:color w:val="auto"/>
        </w:rPr>
        <w:t>The increased scrutiny of online schools</w:t>
      </w:r>
    </w:p>
    <w:p>
      <w:pPr>
        <w:spacing w:after="0" w:line="14" w:lineRule="exact"/>
        <w:rPr>
          <w:sz w:val="20"/>
          <w:szCs w:val="20"/>
          <w:color w:val="auto"/>
        </w:rPr>
      </w:pPr>
    </w:p>
    <w:p>
      <w:pPr>
        <w:jc w:val="both"/>
        <w:ind w:left="660" w:right="40"/>
        <w:spacing w:after="0"/>
        <w:rPr>
          <w:sz w:val="20"/>
          <w:szCs w:val="20"/>
          <w:color w:val="auto"/>
        </w:rPr>
      </w:pPr>
      <w:r>
        <w:rPr>
          <w:rFonts w:ascii="Arial" w:cs="Arial" w:eastAsia="Arial" w:hAnsi="Arial"/>
          <w:sz w:val="17"/>
          <w:szCs w:val="17"/>
          <w:color w:val="auto"/>
        </w:rPr>
        <w:t>that offer programs similar to those offered by Purdue Global or other client institutions and of service providers that provide services similar to Kaplan’s has resulted, and may continue to result, in additional enforcement actions, investigations and lawsuits by the ED,</w:t>
      </w:r>
    </w:p>
    <w:p>
      <w:pPr>
        <w:ind w:left="660"/>
        <w:spacing w:after="0" w:line="235" w:lineRule="auto"/>
        <w:rPr>
          <w:sz w:val="20"/>
          <w:szCs w:val="20"/>
          <w:color w:val="auto"/>
        </w:rPr>
      </w:pPr>
      <w:r>
        <w:rPr>
          <w:rFonts w:ascii="Arial" w:cs="Arial" w:eastAsia="Arial" w:hAnsi="Arial"/>
          <w:sz w:val="18"/>
          <w:szCs w:val="18"/>
          <w:color w:val="auto"/>
        </w:rPr>
        <w:t>other federal agencies, Congress, state Attorneys General and state licensing agencies, or private plaintiffs. Recent enforcement</w:t>
      </w:r>
    </w:p>
    <w:p>
      <w:pPr>
        <w:ind w:left="660" w:right="240"/>
        <w:spacing w:after="0"/>
        <w:rPr>
          <w:sz w:val="20"/>
          <w:szCs w:val="20"/>
          <w:color w:val="auto"/>
        </w:rPr>
      </w:pPr>
      <w:r>
        <w:rPr>
          <w:rFonts w:ascii="Arial" w:cs="Arial" w:eastAsia="Arial" w:hAnsi="Arial"/>
          <w:sz w:val="17"/>
          <w:szCs w:val="17"/>
          <w:color w:val="auto"/>
        </w:rPr>
        <w:t>actions have resulted in substantial liabilities, restrictions and sanctions and in some cases have led to the loss of Title IV eligibility and closure of institutions. The change of control of the executive branch and Congress in 2025 could decrease the amount of</w:t>
      </w:r>
    </w:p>
    <w:p>
      <w:pPr>
        <w:spacing w:after="0" w:line="1" w:lineRule="exact"/>
        <w:rPr>
          <w:sz w:val="20"/>
          <w:szCs w:val="20"/>
          <w:color w:val="auto"/>
        </w:rPr>
      </w:pPr>
    </w:p>
    <w:p>
      <w:pPr>
        <w:ind w:left="660" w:right="20"/>
        <w:spacing w:after="0"/>
        <w:rPr>
          <w:sz w:val="20"/>
          <w:szCs w:val="20"/>
          <w:color w:val="auto"/>
        </w:rPr>
      </w:pPr>
      <w:r>
        <w:rPr>
          <w:rFonts w:ascii="Arial" w:cs="Arial" w:eastAsia="Arial" w:hAnsi="Arial"/>
          <w:sz w:val="17"/>
          <w:szCs w:val="17"/>
          <w:color w:val="auto"/>
        </w:rPr>
        <w:t>regulation of service companies like Kaplan and online schools like Kaplan’s client institutions. However, new legislation or regulation could affect Kaplan’s participation in Title IV programs as a third-party servicer to Purdue Global or such other client institutions. In</w:t>
      </w:r>
    </w:p>
    <w:p>
      <w:pPr>
        <w:spacing w:after="0" w:line="1" w:lineRule="exact"/>
        <w:rPr>
          <w:sz w:val="20"/>
          <w:szCs w:val="20"/>
          <w:color w:val="auto"/>
        </w:rPr>
      </w:pPr>
    </w:p>
    <w:p>
      <w:pPr>
        <w:ind w:left="660" w:right="420"/>
        <w:spacing w:after="0" w:line="250" w:lineRule="auto"/>
        <w:rPr>
          <w:sz w:val="20"/>
          <w:szCs w:val="20"/>
          <w:color w:val="auto"/>
        </w:rPr>
      </w:pPr>
      <w:r>
        <w:rPr>
          <w:rFonts w:ascii="Arial" w:cs="Arial" w:eastAsia="Arial" w:hAnsi="Arial"/>
          <w:sz w:val="18"/>
          <w:szCs w:val="18"/>
          <w:color w:val="auto"/>
        </w:rPr>
        <w:t>addition, legislative proposals that restrict the ability of entities like KNA to provide certain admissions-related services to Title IV participating institutions under revenue sharing arrangements could impact KNA agreements.</w:t>
      </w:r>
    </w:p>
    <w:p>
      <w:pPr>
        <w:spacing w:after="0" w:line="104" w:lineRule="exact"/>
        <w:rPr>
          <w:sz w:val="20"/>
          <w:szCs w:val="20"/>
          <w:color w:val="auto"/>
        </w:rPr>
      </w:pPr>
    </w:p>
    <w:p>
      <w:pPr>
        <w:ind w:left="260" w:right="680" w:hanging="252"/>
        <w:spacing w:after="0" w:line="281" w:lineRule="auto"/>
        <w:tabs>
          <w:tab w:leader="none" w:pos="2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Reductions in the Use of Standardized Tests in the Admissions Process by Colleges or Graduate Schools and Increased Competition Could Reduce Demand for KNA Supplemental Education Test Preparation Offerings.</w:t>
      </w:r>
    </w:p>
    <w:p>
      <w:pPr>
        <w:spacing w:after="0" w:line="8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KNA Supplemental Education Exam Preparation provides courses that prepare students for a broad range of admissions examinations that are considered by colleges and graduate schools. Historically, colleges and graduate schools have required standardized tests as part of the</w:t>
      </w:r>
    </w:p>
    <w:p>
      <w:pPr>
        <w:spacing w:after="0" w:line="235" w:lineRule="auto"/>
        <w:rPr>
          <w:sz w:val="20"/>
          <w:szCs w:val="20"/>
          <w:color w:val="auto"/>
        </w:rPr>
      </w:pPr>
      <w:r>
        <w:rPr>
          <w:rFonts w:ascii="Arial" w:cs="Arial" w:eastAsia="Arial" w:hAnsi="Arial"/>
          <w:sz w:val="18"/>
          <w:szCs w:val="18"/>
          <w:color w:val="auto"/>
        </w:rPr>
        <w:t>admissions process. Certain colleges have moved away from the historical reliance on standardized admissions tests. Reductions in the use</w:t>
      </w:r>
    </w:p>
    <w:p>
      <w:pPr>
        <w:ind w:right="200"/>
        <w:spacing w:after="0" w:line="237" w:lineRule="auto"/>
        <w:rPr>
          <w:sz w:val="20"/>
          <w:szCs w:val="20"/>
          <w:color w:val="auto"/>
        </w:rPr>
      </w:pPr>
      <w:r>
        <w:rPr>
          <w:rFonts w:ascii="Arial" w:cs="Arial" w:eastAsia="Arial" w:hAnsi="Arial"/>
          <w:sz w:val="18"/>
          <w:szCs w:val="18"/>
          <w:color w:val="auto"/>
        </w:rPr>
        <w:t>of standardized tests in college or graduate school admissions processes have had and could continue to have an adverse effect on KNA’s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Additionally, KNA faces increased competition from competitors offering lower-cost or free test prep products that may be used by students to</w:t>
      </w:r>
    </w:p>
    <w:p>
      <w:pPr>
        <w:spacing w:after="0" w:line="2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piece together alternatives to traditional comprehensive test prep programs. Kaplan’s operating results may be adversely affected if student demand for KNA’s traditional comprehensive programs shifts to KNA’s lower-cost, stand-alone offerings, or if competitors offer lower-cost,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stand-alone offerings or free test prep products that are more attractive to students than KNA’s products.</w:t>
      </w:r>
    </w:p>
    <w:p>
      <w:pPr>
        <w:spacing w:after="0" w:line="140" w:lineRule="exact"/>
        <w:rPr>
          <w:sz w:val="20"/>
          <w:szCs w:val="20"/>
          <w:color w:val="auto"/>
        </w:rPr>
      </w:pPr>
    </w:p>
    <w:p>
      <w:pPr>
        <w:ind w:left="260" w:right="520" w:hanging="252"/>
        <w:spacing w:after="0" w:line="265" w:lineRule="auto"/>
        <w:tabs>
          <w:tab w:leader="none" w:pos="2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Kaplan’s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fields. Any significant relaxation or elimination of licensing or technical proficiency requirements in those fields served by KNA’s and KI’s businesses could negatively affect Kaplan’s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260" w:right="540" w:hanging="252"/>
        <w:spacing w:after="0" w:line="265" w:lineRule="auto"/>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and Competition from Digital Platforms Could Adversely Affect the Profitability of Television Broadcasting.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particularly local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advertising. There can be no guarantee that this historical perception will guide future decisions by advertisers. To the extent that advertisers shift advertising expenditures, including local advertising, away from broadcast television to other media outlets, including digital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platforms, the profitability of the Company’s television broadcasting business could be adversely affected.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260" w:right="340" w:hanging="252"/>
        <w:spacing w:after="0" w:line="281" w:lineRule="auto"/>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Video Programming Distribution Systems and Changing Consumer Behavior Could Adversely Affect the Company’s Operating Results.</w:t>
      </w:r>
    </w:p>
    <w:p>
      <w:pPr>
        <w:spacing w:after="0" w:line="6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delivery of programming via online platforms, including both ad-supported and</w:t>
      </w:r>
    </w:p>
    <w:p>
      <w:pPr>
        <w:ind w:right="200"/>
        <w:spacing w:after="0"/>
        <w:rPr>
          <w:sz w:val="20"/>
          <w:szCs w:val="20"/>
          <w:color w:val="auto"/>
        </w:rPr>
      </w:pPr>
      <w:r>
        <w:rPr>
          <w:rFonts w:ascii="Arial" w:cs="Arial" w:eastAsia="Arial" w:hAnsi="Arial"/>
          <w:sz w:val="17"/>
          <w:szCs w:val="17"/>
          <w:color w:val="auto"/>
        </w:rPr>
        <w:t>subscription video programming services and the national broadcast networks’ direct-to-consumer services, technologies that enable users to fast-forward or skip advertisements, and devices that allow users to consume content on demand and in remote locations while avoiding</w:t>
      </w:r>
    </w:p>
    <w:p>
      <w:pPr>
        <w:spacing w:after="0" w:line="235" w:lineRule="auto"/>
        <w:rPr>
          <w:sz w:val="20"/>
          <w:szCs w:val="20"/>
          <w:color w:val="auto"/>
        </w:rPr>
      </w:pPr>
      <w:r>
        <w:rPr>
          <w:rFonts w:ascii="Arial" w:cs="Arial" w:eastAsia="Arial" w:hAnsi="Arial"/>
          <w:sz w:val="18"/>
          <w:szCs w:val="18"/>
          <w:color w:val="auto"/>
        </w:rPr>
        <w:t>traditional commercial advertisements or cable and satellite subscriptions. A number of these platforms make local programming, including</w:t>
      </w:r>
    </w:p>
    <w:p>
      <w:pPr>
        <w:ind w:right="320"/>
        <w:spacing w:after="0" w:line="237" w:lineRule="auto"/>
        <w:rPr>
          <w:sz w:val="20"/>
          <w:szCs w:val="20"/>
          <w:color w:val="auto"/>
        </w:rPr>
      </w:pPr>
      <w:r>
        <w:rPr>
          <w:rFonts w:ascii="Arial" w:cs="Arial" w:eastAsia="Arial" w:hAnsi="Arial"/>
          <w:sz w:val="18"/>
          <w:szCs w:val="18"/>
          <w:color w:val="auto"/>
        </w:rPr>
        <w:t>local news, available to viewers and subscribers. Subscription service Amazon Prime Video has publicly discussed the availability of local news on its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many cases, internet-based platforms and services compete with GMG’s broadcast stations for both viewers and advertising revenues.</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Changing consumer behavior may also put pressure on the Company’s media businesses to alter traditional distribution methods. The Company obtains significant revenue from its retransmission consent agreements with traditional cable and satellite distributors. These</w:t>
      </w:r>
    </w:p>
    <w:p>
      <w:pPr>
        <w:spacing w:after="0" w:line="236" w:lineRule="auto"/>
        <w:rPr>
          <w:sz w:val="20"/>
          <w:szCs w:val="20"/>
          <w:color w:val="auto"/>
        </w:rPr>
      </w:pPr>
      <w:r>
        <w:rPr>
          <w:rFonts w:ascii="Arial" w:cs="Arial" w:eastAsia="Arial" w:hAnsi="Arial"/>
          <w:sz w:val="18"/>
          <w:szCs w:val="18"/>
          <w:color w:val="auto"/>
        </w:rPr>
        <w:t>payments are calculated on a per-subscriber basis, so that payments to the Company may decrease as customers “cut the cord” and cancel</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their cable and satellite subscriptions. The Company also receives payments for the distribution of its stations’ signals on certain internet-based services (through “opt-in” agreements negotiated by the national networks and agreements with the networks for distribution of local</w:t>
      </w:r>
    </w:p>
    <w:p>
      <w:pPr>
        <w:spacing w:after="0" w:line="236" w:lineRule="auto"/>
        <w:rPr>
          <w:sz w:val="20"/>
          <w:szCs w:val="20"/>
          <w:color w:val="auto"/>
        </w:rPr>
      </w:pPr>
      <w:r>
        <w:rPr>
          <w:rFonts w:ascii="Arial" w:cs="Arial" w:eastAsia="Arial" w:hAnsi="Arial"/>
          <w:sz w:val="18"/>
          <w:szCs w:val="18"/>
          <w:color w:val="auto"/>
        </w:rPr>
        <w:t>programming on network-owned direct-to-consumer platforms); however, these revenues may be less than those received from traditional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cable and satellite distribution. Anticipating and adapting to changes in technology and consumer behavior on a timely basis will affect the ability of the Company’s media businesses to continue to increase their revenue. The development and deployment of new technologies and</w:t>
      </w:r>
    </w:p>
    <w:p>
      <w:pPr>
        <w:spacing w:after="0" w:line="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changing consumer behavior have the potential to negatively and significantly affect the Company’s media businesses in ways that cannot now be reliably predicted and that may have a material adverse effect on the Company’s operating results.</w:t>
      </w:r>
    </w:p>
    <w:p>
      <w:pPr>
        <w:spacing w:after="0" w:line="127" w:lineRule="exact"/>
        <w:rPr>
          <w:sz w:val="20"/>
          <w:szCs w:val="20"/>
          <w:color w:val="auto"/>
        </w:rPr>
      </w:pPr>
    </w:p>
    <w:p>
      <w:pPr>
        <w:ind w:left="260" w:right="200" w:hanging="252"/>
        <w:spacing w:after="0" w:line="281"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69"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w:t>
      </w:r>
    </w:p>
    <w:p>
      <w:pPr>
        <w:ind w:right="80"/>
        <w:spacing w:after="0" w:line="226" w:lineRule="auto"/>
        <w:rPr>
          <w:sz w:val="20"/>
          <w:szCs w:val="20"/>
          <w:color w:val="auto"/>
        </w:rPr>
      </w:pPr>
      <w:r>
        <w:rPr>
          <w:rFonts w:ascii="Arial" w:cs="Arial" w:eastAsia="Arial" w:hAnsi="Arial"/>
          <w:sz w:val="18"/>
          <w:szCs w:val="18"/>
          <w:color w:val="auto"/>
        </w:rPr>
        <w:t>have the potential to negatively impact the television broadcasting business, not only by increasing compliance costs and reducing revenues through restrictions on certain types of advertising, limitations on pricing flexibility, or other means, but also by possibly creating more</w:t>
      </w:r>
    </w:p>
    <w:p>
      <w:pPr>
        <w:spacing w:after="0" w:line="236" w:lineRule="auto"/>
        <w:rPr>
          <w:sz w:val="20"/>
          <w:szCs w:val="20"/>
          <w:color w:val="auto"/>
        </w:rPr>
      </w:pPr>
      <w:r>
        <w:rPr>
          <w:rFonts w:ascii="Arial" w:cs="Arial" w:eastAsia="Arial" w:hAnsi="Arial"/>
          <w:sz w:val="18"/>
          <w:szCs w:val="18"/>
          <w:color w:val="auto"/>
        </w:rPr>
        <w:t>favorable regulatory environments for the providers of competing services, including unregulated digital programming distribution platforms.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changes to the FCC’s rules governing broadcast ownership may affect the Company’s ability to expand its television broadcasting business and/or may enable the Company’s competitors to improve their market positions through consolidation. More generally, significant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changes in applicable regulations could adversely affect the profitability and/or competitive positions of the Company’s businesses.</w:t>
      </w:r>
    </w:p>
    <w:p>
      <w:pPr>
        <w:spacing w:after="0" w:line="140" w:lineRule="exact"/>
        <w:rPr>
          <w:sz w:val="20"/>
          <w:szCs w:val="20"/>
          <w:color w:val="auto"/>
        </w:rPr>
      </w:pPr>
    </w:p>
    <w:p>
      <w:pPr>
        <w:ind w:left="260" w:right="840" w:hanging="252"/>
        <w:spacing w:after="0" w:line="265"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Transition to New Technical Standards for Broadcast Television Stations May Alter the Competitive Environment in the Company’s Stations’ Markets or Cause the Company to Incur Increased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cannot predict how the market will evolve as the new broadcast television station technical standard, ATSC 3.0, is made</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available in a growing number of television markets across the country; today, ATSC 3.0 streams are available in more than 75 markets. Competing stations that transition to ATSC 3.0 may increase competition for the Company’s stations and/or create competitive pressure for</w:t>
      </w:r>
    </w:p>
    <w:p>
      <w:pPr>
        <w:spacing w:after="0" w:line="235" w:lineRule="auto"/>
        <w:rPr>
          <w:sz w:val="20"/>
          <w:szCs w:val="20"/>
          <w:color w:val="auto"/>
        </w:rPr>
      </w:pPr>
      <w:r>
        <w:rPr>
          <w:rFonts w:ascii="Arial" w:cs="Arial" w:eastAsia="Arial" w:hAnsi="Arial"/>
          <w:sz w:val="18"/>
          <w:szCs w:val="18"/>
          <w:color w:val="auto"/>
        </w:rPr>
        <w:t>the Company’s stations to launch ATSC 3.0 streams. As noted above, all of GMG stations have begun broadcasting ATSC 3.0 streams. The</w:t>
      </w:r>
    </w:p>
    <w:p>
      <w:pPr>
        <w:ind w:right="180"/>
        <w:spacing w:after="0"/>
        <w:rPr>
          <w:sz w:val="20"/>
          <w:szCs w:val="20"/>
          <w:color w:val="auto"/>
        </w:rPr>
      </w:pPr>
      <w:r>
        <w:rPr>
          <w:rFonts w:ascii="Arial" w:cs="Arial" w:eastAsia="Arial" w:hAnsi="Arial"/>
          <w:sz w:val="17"/>
          <w:szCs w:val="17"/>
          <w:color w:val="auto"/>
        </w:rPr>
        <w:t>pace of transition to and consumer adoption of the ATSC 3.0 broadcasting standard may also be affected by the availability of ATSC 3.0-capable consumer devices. Equipment manufacturers began releasing certain TV models with built-in ATSC 3.0-capable receivers in 2020,</w:t>
      </w:r>
    </w:p>
    <w:p>
      <w:pPr>
        <w:spacing w:after="0" w:line="235" w:lineRule="auto"/>
        <w:rPr>
          <w:sz w:val="20"/>
          <w:szCs w:val="20"/>
          <w:color w:val="auto"/>
        </w:rPr>
      </w:pPr>
      <w:r>
        <w:rPr>
          <w:rFonts w:ascii="Arial" w:cs="Arial" w:eastAsia="Arial" w:hAnsi="Arial"/>
          <w:sz w:val="18"/>
          <w:szCs w:val="18"/>
          <w:color w:val="auto"/>
        </w:rPr>
        <w:t>and an increasing number of external tuners or converter boxes are available, but ATSC 3.0-capable consumer devices are not yet widely</w:t>
      </w:r>
    </w:p>
    <w:p>
      <w:pPr>
        <w:ind w:right="20"/>
        <w:spacing w:after="0" w:line="237" w:lineRule="auto"/>
        <w:rPr>
          <w:sz w:val="20"/>
          <w:szCs w:val="20"/>
          <w:color w:val="auto"/>
        </w:rPr>
      </w:pPr>
      <w:r>
        <w:rPr>
          <w:rFonts w:ascii="Arial" w:cs="Arial" w:eastAsia="Arial" w:hAnsi="Arial"/>
          <w:sz w:val="18"/>
          <w:szCs w:val="18"/>
          <w:color w:val="auto"/>
        </w:rPr>
        <w:t>available or in use in the U.S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ongoing transition to ATSC 3.0 may have material effects on the Company’s media businesses that cannot now be reliably predicted and that may have an adverse effect on the Company’s operating results.</w:t>
      </w:r>
    </w:p>
    <w:p>
      <w:pPr>
        <w:spacing w:after="0" w:line="127" w:lineRule="exact"/>
        <w:rPr>
          <w:sz w:val="20"/>
          <w:szCs w:val="20"/>
          <w:color w:val="auto"/>
        </w:rPr>
      </w:pPr>
    </w:p>
    <w:p>
      <w:pPr>
        <w:ind w:left="260" w:right="340" w:hanging="252"/>
        <w:spacing w:after="0" w:line="281"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Changes in MVPD Subscriber Numbers, Retransmission Consent Fees, “Reverse Retransmission Consent” Payments to the Networks, and Broadcast Exclusivity Could Adversely Affect the Company’s Revenues.</w:t>
      </w:r>
    </w:p>
    <w:p>
      <w:pPr>
        <w:spacing w:after="0" w:line="69"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color w:val="auto"/>
        </w:rPr>
        <w:t>As the number of subscribers to traditional cable, satellite and telecommunications services continues to decline, GMG faces the possibility of declining revenues under its existing retransmission agreements, which typically provide for payment to GMG on a per-subscriber basis.</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Those subscribers who “cut the cord” and move to internet-based subscription streaming services may not generate the same revenues as GMG receives under its existing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retransmission consent agreements, because, as discussed above, the per-subscriber fees paid to network-affiliated stations under the</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distribution agreements that apply to vMVPDs may be less than the fees paid by traditional MVPDs under GMG’s retransmission consent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the same time, GMG’s network affiliation agreements typically require payments to the networks with which GMG stations are affiliated in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form of “reverse retransmission consent fees,” which require GMG to share a specified portion of its retransmission consent revenues with the respective networks. As reverse retransmission consent fee payments required to be paid to the networks escalate, GMG potentially</w:t>
      </w:r>
    </w:p>
    <w:p>
      <w:pPr>
        <w:spacing w:after="0" w:line="235" w:lineRule="auto"/>
        <w:rPr>
          <w:sz w:val="20"/>
          <w:szCs w:val="20"/>
          <w:color w:val="auto"/>
        </w:rPr>
      </w:pPr>
      <w:r>
        <w:rPr>
          <w:rFonts w:ascii="Arial" w:cs="Arial" w:eastAsia="Arial" w:hAnsi="Arial"/>
          <w:sz w:val="18"/>
          <w:szCs w:val="18"/>
          <w:color w:val="auto"/>
        </w:rPr>
        <w:t>could retain smaller shares of revenues generated by its retransmission consent agreements. The reverse retransmission consent fee</w:t>
      </w:r>
    </w:p>
    <w:p>
      <w:pPr>
        <w:ind w:right="700"/>
        <w:spacing w:after="0" w:line="237" w:lineRule="auto"/>
        <w:rPr>
          <w:sz w:val="20"/>
          <w:szCs w:val="20"/>
          <w:color w:val="auto"/>
        </w:rPr>
      </w:pPr>
      <w:r>
        <w:rPr>
          <w:rFonts w:ascii="Arial" w:cs="Arial" w:eastAsia="Arial" w:hAnsi="Arial"/>
          <w:sz w:val="18"/>
          <w:szCs w:val="18"/>
          <w:color w:val="auto"/>
        </w:rPr>
        <w:t>obligations are sometimes structured as annual flat fees. In those cases, as the number of subscribers to traditional MVPD platforms decreases, GMG bears the costs and risks of declining retransmission consent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the national networks have launched and continue to market and invest in their direct-to-consumer platforms, an increasing amount of</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network programming, including valuable sports programming, that was once available exclusively on an in-market network-affiliated station is now being made available on ad-supported or subscription services such as Paramount+ (CBS) and Peacock (NBC), either exclusively or</w:t>
      </w:r>
    </w:p>
    <w:p>
      <w:pPr>
        <w:spacing w:after="0" w:line="236" w:lineRule="auto"/>
        <w:rPr>
          <w:sz w:val="20"/>
          <w:szCs w:val="20"/>
          <w:color w:val="auto"/>
        </w:rPr>
      </w:pPr>
      <w:r>
        <w:rPr>
          <w:rFonts w:ascii="Arial" w:cs="Arial" w:eastAsia="Arial" w:hAnsi="Arial"/>
          <w:sz w:val="18"/>
          <w:szCs w:val="18"/>
          <w:color w:val="auto"/>
        </w:rPr>
        <w:t>simultaneously with its over-the-air broadcast. Disney has announced it is planning to launch new direct-to-consumer sports programming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service ESPN Flagship in 2025. The diminishing program exclusivity provided by network affiliation could decrease local broadcasters’ leverage in retransmission consent negotiations with MVPDs. This paradigm could create a growing imbalance for GMG, as “reverse retrans”</w:t>
      </w:r>
    </w:p>
    <w:p>
      <w:pPr>
        <w:spacing w:after="0" w:line="2" w:lineRule="exact"/>
        <w:rPr>
          <w:sz w:val="20"/>
          <w:szCs w:val="20"/>
          <w:color w:val="auto"/>
        </w:rPr>
      </w:pPr>
    </w:p>
    <w:p>
      <w:pPr>
        <w:ind w:right="920"/>
        <w:spacing w:after="0" w:line="250" w:lineRule="auto"/>
        <w:rPr>
          <w:sz w:val="20"/>
          <w:szCs w:val="20"/>
          <w:color w:val="auto"/>
        </w:rPr>
      </w:pPr>
      <w:r>
        <w:rPr>
          <w:rFonts w:ascii="Arial" w:cs="Arial" w:eastAsia="Arial" w:hAnsi="Arial"/>
          <w:sz w:val="18"/>
          <w:szCs w:val="18"/>
          <w:color w:val="auto"/>
        </w:rPr>
        <w:t>payments to the networks increase at the same time network-affiliated stations’ exclusivity–and with it, the revenues generated by retransmission consent agreements–continues to decline.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Taken together, these factors together could adversely affect GMG’s revenues and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44" w:lineRule="exact"/>
        <w:rPr>
          <w:sz w:val="20"/>
          <w:szCs w:val="20"/>
          <w:color w:val="auto"/>
        </w:rPr>
      </w:pPr>
    </w:p>
    <w:p>
      <w:pPr>
        <w:ind w:left="260" w:right="200" w:hanging="252"/>
        <w:spacing w:after="0" w:line="281"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Production Staff Needed to Meet Customer Demand Could Have a Material Adverse Effect on the Company’s Manufacturing Businesses.</w:t>
      </w:r>
    </w:p>
    <w:p>
      <w:pPr>
        <w:spacing w:after="0" w:line="8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Company’s manufacturing operations have experienced in recent years a highly competitive market for production labor. While the market has improved, competitiveness in the industrial sector for experienced skilled workers will continue, which may limit its ability to meet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 demand. If staffing cannot be hired at a cost-efficient wage rate relative to product pricing, volume will be impacted.</w:t>
      </w:r>
    </w:p>
    <w:p>
      <w:pPr>
        <w:spacing w:after="0" w:line="14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or the environment; or a suspension of operations. Insurance may not protect the Company against liability for certain kinds of events, including those involving pollution or losses resulting from business interruption. Any damages caused by the Company’s operations that are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not covered by insurance, or are in excess of policy limits, could materially adversely affect the Company’s results of operations, financial position or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260" w:right="180" w:hanging="252"/>
        <w:spacing w:after="0" w:line="281"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6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Reimbursement for services by third-party payors, including Medicare, Medicaid and private health insurance providers, may decline, while authorization, audit and compliance requirements continue to add to the cost of providing those services.</w:t>
      </w:r>
    </w:p>
    <w:p>
      <w:pPr>
        <w:spacing w:after="0" w:line="8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Managed-care organizations, hospitals, physician practices and other third-party payors continue to consolidate in response to the evolving regulatory environment, thereby enhancing their ability to influence the delivery of healthcare services and decreasing the number of</w:t>
      </w:r>
    </w:p>
    <w:p>
      <w:pPr>
        <w:ind w:right="400"/>
        <w:spacing w:after="0" w:line="237" w:lineRule="auto"/>
        <w:rPr>
          <w:sz w:val="20"/>
          <w:szCs w:val="20"/>
          <w:color w:val="auto"/>
        </w:rPr>
      </w:pPr>
      <w:r>
        <w:rPr>
          <w:rFonts w:ascii="Arial" w:cs="Arial" w:eastAsia="Arial" w:hAnsi="Arial"/>
          <w:sz w:val="18"/>
          <w:szCs w:val="18"/>
          <w:color w:val="auto"/>
        </w:rPr>
        <w:t>organizations serving patients. This consolidation could adversely impact GHG’s businesses if they are unable to maintain their ability to participate in established networks.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6" w:name="page37"/>
    <w:bookmarkEnd w:id="36"/>
    <w:p>
      <w:pPr>
        <w:ind w:right="520"/>
        <w:spacing w:after="0" w:line="271" w:lineRule="auto"/>
        <w:rPr>
          <w:sz w:val="20"/>
          <w:szCs w:val="20"/>
          <w:color w:val="auto"/>
        </w:rPr>
      </w:pPr>
      <w:r>
        <w:rPr>
          <w:rFonts w:ascii="Arial" w:cs="Arial" w:eastAsia="Arial" w:hAnsi="Arial"/>
          <w:sz w:val="18"/>
          <w:szCs w:val="18"/>
          <w:color w:val="auto"/>
        </w:rPr>
        <w:t>In addition, CSI Pharmacy and Impact Medical both face risks from manufacturer supply shortages, competitive vertical integration and pricing power, and government intervention on drug pricing.</w:t>
      </w:r>
    </w:p>
    <w:p>
      <w:pPr>
        <w:spacing w:after="0" w:line="8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payors, which could result in negative findings that adversely impact the business. The federal Centers for Medicare and Medicaid Services (CMS)</w:t>
      </w:r>
    </w:p>
    <w:p>
      <w:pPr>
        <w:ind w:right="20"/>
        <w:spacing w:after="0" w:line="226" w:lineRule="auto"/>
        <w:rPr>
          <w:sz w:val="20"/>
          <w:szCs w:val="20"/>
          <w:color w:val="auto"/>
        </w:rPr>
      </w:pPr>
      <w:r>
        <w:rPr>
          <w:rFonts w:ascii="Arial" w:cs="Arial" w:eastAsia="Arial" w:hAnsi="Arial"/>
          <w:sz w:val="18"/>
          <w:szCs w:val="18"/>
          <w:color w:val="auto"/>
        </w:rPr>
        <w:t>increasingly uses third-party, for-profit contractors to conduct these reviews, many of which share in the amounts that CMS denies. These reviews, audits and investigations consume significant staff and financial resources and may take years to resolve. The costs associated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these actions as well as potential negative outcome could materially adversely affect GHG’s results of operations.</w:t>
      </w:r>
    </w:p>
    <w:p>
      <w:pPr>
        <w:spacing w:after="0" w:line="140" w:lineRule="exact"/>
        <w:rPr>
          <w:sz w:val="20"/>
          <w:szCs w:val="20"/>
          <w:color w:val="auto"/>
        </w:rPr>
      </w:pPr>
    </w:p>
    <w:p>
      <w:pPr>
        <w:ind w:left="260" w:right="480" w:hanging="252"/>
        <w:spacing w:after="0" w:line="265" w:lineRule="auto"/>
        <w:tabs>
          <w:tab w:leader="none" w:pos="25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Federal and State Changes to Reimbursement and Other Aspects of Medicare and Medicaid Could Have a Material Adverse Effect on the Company’s Healthcare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business derives revenue primarily from Medicare. Payments received from Medicare are subject to changes</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made through federal legislation. When changes are implemented, internal billing processes and procedures must be modified, which can require significant time and expense. These changes can include changes to base payments, adjustments for home health services, changes</w:t>
      </w:r>
    </w:p>
    <w:p>
      <w:pPr>
        <w:spacing w:after="0" w:line="236" w:lineRule="auto"/>
        <w:rPr>
          <w:sz w:val="20"/>
          <w:szCs w:val="20"/>
          <w:color w:val="auto"/>
        </w:rPr>
      </w:pPr>
      <w:r>
        <w:rPr>
          <w:rFonts w:ascii="Arial" w:cs="Arial" w:eastAsia="Arial" w:hAnsi="Arial"/>
          <w:sz w:val="18"/>
          <w:szCs w:val="18"/>
          <w:color w:val="auto"/>
        </w:rPr>
        <w:t>to cap limits and per diem rates for hospice services, changes to Medicare eligibility and documentation requirements and changes designed</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to restrict utilization. Health care reform and legislation and continuing efforts of governmental payors to contain health care costs could decrease payments made for services. Within the Medicare program, the hospice benefit is often specifically targeted for cuts.</w:t>
      </w:r>
    </w:p>
    <w:p>
      <w:pPr>
        <w:spacing w:after="0" w:line="236" w:lineRule="auto"/>
        <w:rPr>
          <w:sz w:val="20"/>
          <w:szCs w:val="20"/>
          <w:color w:val="auto"/>
        </w:rPr>
      </w:pPr>
      <w:r>
        <w:rPr>
          <w:rFonts w:ascii="Arial" w:cs="Arial" w:eastAsia="Arial" w:hAnsi="Arial"/>
          <w:sz w:val="18"/>
          <w:szCs w:val="18"/>
          <w:color w:val="auto"/>
        </w:rPr>
        <w:t>Reimbursement payments under governmental payor programs, including Medicare supplemental insurance policies, may not remain at</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levels comparable to present levels or be sufficient to cover the costs allocable to patients eligible for reimbursement pursuant to these programs. Any such changes, including retroactive adjustments, could have a material adverse effect on our business and consolidated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results of operations and cash flows.</w:t>
      </w:r>
    </w:p>
    <w:p>
      <w:pPr>
        <w:spacing w:after="0" w:line="12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Continued Nursing Staffing Shortages Could Adversely Affect the Growth of the Company’s Healthcare Businesses.</w:t>
      </w:r>
    </w:p>
    <w:p>
      <w:pPr>
        <w:spacing w:after="0" w:line="15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86"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Value-based Purchasing Could Negatively Impact Medicare Reimbursement.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Both private and government payors are increasingly looking to value-based purchasing to lower costs. Value-based purchasing focuses on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quality of outcomes and care efficiency, rather than quantity of care. Effective January 1, 2023, under the 2022 Home Health final rule for Medicare home health providers, value-based purchasing was expanded to all 50 states. Under the expanded model, home health agencies</w:t>
      </w:r>
    </w:p>
    <w:p>
      <w:pPr>
        <w:spacing w:after="0" w:line="236" w:lineRule="auto"/>
        <w:rPr>
          <w:sz w:val="20"/>
          <w:szCs w:val="20"/>
          <w:color w:val="auto"/>
        </w:rPr>
      </w:pPr>
      <w:r>
        <w:rPr>
          <w:rFonts w:ascii="Arial" w:cs="Arial" w:eastAsia="Arial" w:hAnsi="Arial"/>
          <w:sz w:val="18"/>
          <w:szCs w:val="18"/>
          <w:color w:val="auto"/>
        </w:rPr>
        <w:t>receive adjustments to their Medicare fee-for-service payments based on their performance against a set of quality measures, relative to their</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peers’ performance. Performance on these quality measures in a specified year (performance year) impacts payment adjustments in a later year (payment year). The Home Health Final Rule for 2024, published on November 1, 2023, introduced significant updates that will take</w:t>
      </w:r>
    </w:p>
    <w:p>
      <w:pPr>
        <w:spacing w:after="0" w:line="235" w:lineRule="auto"/>
        <w:rPr>
          <w:sz w:val="20"/>
          <w:szCs w:val="20"/>
          <w:color w:val="auto"/>
        </w:rPr>
      </w:pPr>
      <w:r>
        <w:rPr>
          <w:rFonts w:ascii="Arial" w:cs="Arial" w:eastAsia="Arial" w:hAnsi="Arial"/>
          <w:sz w:val="18"/>
          <w:szCs w:val="18"/>
          <w:color w:val="auto"/>
        </w:rPr>
        <w:t>effect in 2025, altering the risk profile for home health providers. These changes include a redefined set of quality measures, updated</w:t>
      </w:r>
    </w:p>
    <w:p>
      <w:pPr>
        <w:ind w:right="100"/>
        <w:spacing w:after="0" w:line="226" w:lineRule="auto"/>
        <w:rPr>
          <w:sz w:val="20"/>
          <w:szCs w:val="20"/>
          <w:color w:val="auto"/>
        </w:rPr>
      </w:pPr>
      <w:r>
        <w:rPr>
          <w:rFonts w:ascii="Arial" w:cs="Arial" w:eastAsia="Arial" w:hAnsi="Arial"/>
          <w:sz w:val="18"/>
          <w:szCs w:val="18"/>
          <w:color w:val="auto"/>
        </w:rPr>
        <w:t>performance benchmarks, and adjustments to payment methodologies, potentially intensifying the financial and operational pressures on providers. CMS could also create a similar plan for hospice providers in the future. Private and government payors’ implementation of value-</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based purchasing requirements could negatively impact Medicare reimbursement and have an adverse effect on GHG’s financial condition, results of operations and overall cash flows.</w:t>
      </w:r>
    </w:p>
    <w:p>
      <w:pPr>
        <w:spacing w:after="0" w:line="104" w:lineRule="exact"/>
        <w:rPr>
          <w:sz w:val="20"/>
          <w:szCs w:val="20"/>
          <w:color w:val="auto"/>
        </w:rPr>
      </w:pPr>
    </w:p>
    <w:p>
      <w:pPr>
        <w:ind w:left="260" w:right="180" w:hanging="252"/>
        <w:spacing w:after="0" w:line="281" w:lineRule="auto"/>
        <w:tabs>
          <w:tab w:leader="none" w:pos="25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Healthcare Business Is Limited in its Ability to Control Rates Received for its Services, Which Could Materially Adversely Affect its Business if it Is Unable to Maintain or Reduce Costs to Provide Such Services.</w:t>
      </w:r>
    </w:p>
    <w:p>
      <w:pPr>
        <w:spacing w:after="0" w:line="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Medicare is the primary payor for the Company’s Healthcare business and rates are established through federal legislation. Additionally, non-Medicare rates are difficult to negotiate because such payors are under pressure to reduce their own costs. As a result, the Healthcare</w:t>
      </w:r>
    </w:p>
    <w:p>
      <w:pPr>
        <w:spacing w:after="0" w:line="235" w:lineRule="auto"/>
        <w:rPr>
          <w:sz w:val="20"/>
          <w:szCs w:val="20"/>
          <w:color w:val="auto"/>
        </w:rPr>
      </w:pPr>
      <w:r>
        <w:rPr>
          <w:rFonts w:ascii="Arial" w:cs="Arial" w:eastAsia="Arial" w:hAnsi="Arial"/>
          <w:sz w:val="18"/>
          <w:szCs w:val="18"/>
          <w:color w:val="auto"/>
        </w:rPr>
        <w:t>business must manage costs in order to achieve a desired level of profitability including, but not limited to, centralization of various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processes, utilization of technology/automation and management of the number of employees utilized. If the Healthcare business is unable to streamline its processes and reduce costs, its business and consolidated financial condition, results of operations and cash flows could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materially adversely affected.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58" w:lineRule="exact"/>
        <w:rPr>
          <w:sz w:val="20"/>
          <w:szCs w:val="20"/>
          <w:color w:val="auto"/>
        </w:rPr>
      </w:pPr>
    </w:p>
    <w:p>
      <w:pPr>
        <w:ind w:left="260" w:right="540" w:hanging="252"/>
        <w:spacing w:after="0" w:line="250" w:lineRule="auto"/>
        <w:tabs>
          <w:tab w:leader="none" w:pos="25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09"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w:t>
      </w:r>
    </w:p>
    <w:p>
      <w:pPr>
        <w:spacing w:after="0" w:line="235" w:lineRule="auto"/>
        <w:rPr>
          <w:sz w:val="20"/>
          <w:szCs w:val="20"/>
          <w:color w:val="auto"/>
        </w:rPr>
      </w:pPr>
      <w:r>
        <w:rPr>
          <w:rFonts w:ascii="Arial" w:cs="Arial" w:eastAsia="Arial" w:hAnsi="Arial"/>
          <w:sz w:val="18"/>
          <w:szCs w:val="18"/>
          <w:color w:val="auto"/>
        </w:rPr>
        <w:t>manufacturers. The Company’s dealerships operate under separate agreements with each applicable automobile manufacturer.</w:t>
      </w:r>
    </w:p>
    <w:p>
      <w:pPr>
        <w:spacing w:after="0" w:line="226" w:lineRule="auto"/>
        <w:rPr>
          <w:sz w:val="20"/>
          <w:szCs w:val="20"/>
          <w:color w:val="auto"/>
        </w:rPr>
      </w:pPr>
      <w:r>
        <w:rPr>
          <w:rFonts w:ascii="Arial" w:cs="Arial" w:eastAsia="Arial" w:hAnsi="Arial"/>
          <w:sz w:val="18"/>
          <w:szCs w:val="18"/>
          <w:color w:val="auto"/>
        </w:rPr>
        <w:t>Manufacturers may terminate their agreements for a variety of reasons subject to state laws, including a dealership’s failure to meet a manufacturer’s standards for financial and sales performance, customer satisfaction, facilities and the quality of dealership management; and</w:t>
      </w:r>
    </w:p>
    <w:p>
      <w:pPr>
        <w:spacing w:after="0" w:line="236" w:lineRule="auto"/>
        <w:rPr>
          <w:sz w:val="20"/>
          <w:szCs w:val="20"/>
          <w:color w:val="auto"/>
        </w:rPr>
      </w:pPr>
      <w:r>
        <w:rPr>
          <w:rFonts w:ascii="Arial" w:cs="Arial" w:eastAsia="Arial" w:hAnsi="Arial"/>
          <w:sz w:val="18"/>
          <w:szCs w:val="18"/>
          <w:color w:val="auto"/>
        </w:rPr>
        <w:t>any unapproved change in ownership or management. These agreements also limit the Company’s ability to acquire multiple dealerships of</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the same brand within a particular market and preclude the Company from establishing new dealerships within an area already served by another dealer of the same vehicle brand. In addition, dealerships controlled by related parties of the management team operating the</w:t>
      </w:r>
    </w:p>
    <w:p>
      <w:pPr>
        <w:spacing w:after="0" w:line="236" w:lineRule="auto"/>
        <w:rPr>
          <w:sz w:val="20"/>
          <w:szCs w:val="20"/>
          <w:color w:val="auto"/>
        </w:rPr>
      </w:pPr>
      <w:r>
        <w:rPr>
          <w:rFonts w:ascii="Arial" w:cs="Arial" w:eastAsia="Arial" w:hAnsi="Arial"/>
          <w:sz w:val="18"/>
          <w:szCs w:val="18"/>
          <w:color w:val="auto"/>
        </w:rPr>
        <w:t>Company’s dealerships may restrict the Company’s ability to acquire new dealerships within an area in which such dealerships operate.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Manufacturers also have the right of first refusal if the Company seeks to sell dealerships and may limit the Company’s ability to transfer ownership of a dealership without the prior approval of the manufacturer. Failure to maintain ownership of the dealerships in compliance with</w:t>
      </w:r>
    </w:p>
    <w:p>
      <w:pPr>
        <w:spacing w:after="0" w:line="235" w:lineRule="auto"/>
        <w:rPr>
          <w:sz w:val="20"/>
          <w:szCs w:val="20"/>
          <w:color w:val="auto"/>
        </w:rPr>
      </w:pPr>
      <w:r>
        <w:rPr>
          <w:rFonts w:ascii="Arial" w:cs="Arial" w:eastAsia="Arial" w:hAnsi="Arial"/>
          <w:sz w:val="18"/>
          <w:szCs w:val="18"/>
          <w:color w:val="auto"/>
        </w:rPr>
        <w:t>manufacturer agreements could constitute a breach of the agreements and could result in termination or non-renewal of existing dealer</w:t>
      </w:r>
    </w:p>
    <w:p>
      <w:pPr>
        <w:ind w:right="280"/>
        <w:spacing w:after="0" w:line="226" w:lineRule="auto"/>
        <w:rPr>
          <w:sz w:val="20"/>
          <w:szCs w:val="20"/>
          <w:color w:val="auto"/>
        </w:rPr>
      </w:pPr>
      <w:r>
        <w:rPr>
          <w:rFonts w:ascii="Arial" w:cs="Arial" w:eastAsia="Arial" w:hAnsi="Arial"/>
          <w:sz w:val="18"/>
          <w:szCs w:val="18"/>
          <w:color w:val="auto"/>
        </w:rPr>
        <w:t>agreements. If one of the Company’s manufacturers does not renew its dealer agreement or terminates the agreement, the Company’s dealership would be unable to sell or distribute new vehicles or perform manufacturer-authorized warranty service, which would adversely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affect the Company’s automotive business.</w:t>
      </w:r>
    </w:p>
    <w:p>
      <w:pPr>
        <w:spacing w:after="0" w:line="12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Affecting Automobile Manufacturers Could Adversely Affect the Company’s Automotive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ability of the Company’s dealerships to sell and service these brands may be adversely affected by negative conditions faced by manufacturers such as negative changes to a manufacturer’s financial condition, negative publicity concerning a manufacturer or vehicle</w:t>
      </w:r>
    </w:p>
    <w:p>
      <w:pPr>
        <w:spacing w:after="0" w:line="236" w:lineRule="auto"/>
        <w:rPr>
          <w:sz w:val="20"/>
          <w:szCs w:val="20"/>
          <w:color w:val="auto"/>
        </w:rPr>
      </w:pPr>
      <w:r>
        <w:rPr>
          <w:rFonts w:ascii="Arial" w:cs="Arial" w:eastAsia="Arial" w:hAnsi="Arial"/>
          <w:sz w:val="18"/>
          <w:szCs w:val="18"/>
          <w:color w:val="auto"/>
        </w:rPr>
        <w:t>model, declines in consumer demand or brand preferences, changes in consumer preferences driven by fuel price volatility, disruptions in</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production and delivery, including those caused by natural disasters or labor strikes, new laws or regulations, including more stringent fuel economy and greenhouse gas emission standards, and technological innovations in ride-sharing, electric vehicles and autonomous driving.</w:t>
      </w:r>
    </w:p>
    <w:p>
      <w:pPr>
        <w:spacing w:after="0" w:line="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The ability of the Company’s dealerships to align with manufacturers and adapt to evolving consumer demand for electric vehicles could adversely affect new and used vehicle sales volumes, parts and service revenue and results of operations.</w:t>
      </w:r>
    </w:p>
    <w:p>
      <w:pPr>
        <w:spacing w:after="0" w:line="104" w:lineRule="exact"/>
        <w:rPr>
          <w:sz w:val="20"/>
          <w:szCs w:val="20"/>
          <w:color w:val="auto"/>
        </w:rPr>
      </w:pPr>
    </w:p>
    <w:p>
      <w:pPr>
        <w:ind w:left="260" w:right="840" w:hanging="252"/>
        <w:spacing w:after="0" w:line="281" w:lineRule="auto"/>
        <w:tabs>
          <w:tab w:leader="none" w:pos="2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8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expressed interest in selling directly to customers. The Company’s dealership model could be adversely affected if new vehicle sales are allowed to be conducted on the internet without the involvement of franchised dealers.</w:t>
      </w:r>
    </w:p>
    <w:p>
      <w:pPr>
        <w:spacing w:after="0" w:line="104" w:lineRule="exact"/>
        <w:rPr>
          <w:sz w:val="20"/>
          <w:szCs w:val="20"/>
          <w:color w:val="auto"/>
        </w:rPr>
      </w:pPr>
    </w:p>
    <w:p>
      <w:pPr>
        <w:ind w:left="260" w:right="560" w:hanging="252"/>
        <w:spacing w:after="0" w:line="281"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Economic Conditions and Vehicle Inventories Are Difficult to Predict and May Adversely Impact the Results of Operations of the Company’s Dealerships.</w:t>
      </w:r>
    </w:p>
    <w:p>
      <w:pPr>
        <w:spacing w:after="0" w:line="8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w:t>
      </w:r>
    </w:p>
    <w:p>
      <w:pPr>
        <w:spacing w:after="0" w:line="235" w:lineRule="auto"/>
        <w:rPr>
          <w:sz w:val="20"/>
          <w:szCs w:val="20"/>
          <w:color w:val="auto"/>
        </w:rPr>
      </w:pPr>
      <w:r>
        <w:rPr>
          <w:rFonts w:ascii="Arial" w:cs="Arial" w:eastAsia="Arial" w:hAnsi="Arial"/>
          <w:sz w:val="18"/>
          <w:szCs w:val="18"/>
          <w:color w:val="auto"/>
        </w:rPr>
        <w:t>have led to a period of higher average new and used selling prices as a result of strong consumer demand and inventory shortages related</w:t>
      </w:r>
    </w:p>
    <w:p>
      <w:pPr>
        <w:spacing w:after="0" w:line="237" w:lineRule="auto"/>
        <w:rPr>
          <w:sz w:val="20"/>
          <w:szCs w:val="20"/>
          <w:color w:val="auto"/>
        </w:rPr>
      </w:pPr>
      <w:r>
        <w:rPr>
          <w:rFonts w:ascii="Arial" w:cs="Arial" w:eastAsia="Arial" w:hAnsi="Arial"/>
          <w:sz w:val="18"/>
          <w:szCs w:val="18"/>
          <w:color w:val="auto"/>
        </w:rPr>
        <w:t>to supply chain disruptions and production delays at vehicle manufacturers. These conditions may deteriorate in the future. Changes in these conditions could materially adversely impact the results of the Company’s dealerships.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58" w:lineRule="exact"/>
        <w:rPr>
          <w:sz w:val="20"/>
          <w:szCs w:val="20"/>
          <w:color w:val="auto"/>
        </w:rPr>
      </w:pPr>
    </w:p>
    <w:p>
      <w:pPr>
        <w:ind w:left="260" w:right="360" w:hanging="252"/>
        <w:spacing w:after="0" w:line="265"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Saatchi Art is Unable to Attract and Retain Artists, Convert Visitors, Retain Customers and Successfully Drive Traffic to its Marketplaces and Events, its Business and Results of Operations Would Be Adversely Affected.</w:t>
      </w:r>
    </w:p>
    <w:p>
      <w:pPr>
        <w:spacing w:after="0" w:line="9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Saatchi Art’s business and results of operations depend upon attracting and retaining artists whose artwork adds value to its marketplaces and that consumers want to purchase, and upon attracting customers who convert into</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new and repeat purchasers. Saatchi Art must continue to ensure there is a strong value proposition for artists to join and remain in the</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marketplace due to the quality of the service offered and the sales commissions it can generate. If Saatchi Art is unable to do any of these functions effectively, then its business and results of operations would be adversely affected.</w:t>
      </w:r>
    </w:p>
    <w:p>
      <w:pPr>
        <w:spacing w:after="0" w:line="127" w:lineRule="exact"/>
        <w:rPr>
          <w:sz w:val="20"/>
          <w:szCs w:val="20"/>
          <w:color w:val="auto"/>
        </w:rPr>
      </w:pPr>
    </w:p>
    <w:p>
      <w:pPr>
        <w:ind w:left="260" w:hanging="252"/>
        <w:spacing w:after="0" w:line="281"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If Society6 is Unable to Attract and Retain Customers and Successfully Drive Traffic to its Marketplace, its Business and Results of Operations Would Be Adversely Affected.</w:t>
      </w:r>
    </w:p>
    <w:p>
      <w:pPr>
        <w:spacing w:after="0" w:line="6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Society6’s business and results of operation depend upon attracting and retaining customers who convert into new and repeat purchasers. Its ability to attract new customers, some of whom may already purchase similar products from competitors, depends in part on its ability to</w:t>
      </w:r>
    </w:p>
    <w:p>
      <w:pPr>
        <w:ind w:right="400"/>
        <w:spacing w:after="0" w:line="226" w:lineRule="auto"/>
        <w:rPr>
          <w:sz w:val="20"/>
          <w:szCs w:val="20"/>
          <w:color w:val="auto"/>
        </w:rPr>
      </w:pPr>
      <w:r>
        <w:rPr>
          <w:rFonts w:ascii="Arial" w:cs="Arial" w:eastAsia="Arial" w:hAnsi="Arial"/>
          <w:sz w:val="18"/>
          <w:szCs w:val="18"/>
          <w:color w:val="auto"/>
        </w:rPr>
        <w:t>successfully drive traffic to its marketplace using social media platforms, email marketing campaigns and promotions, paid referrals, and search engines. If Society6 is unable to effectively attract and retain customers, then its business and results of operations would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w:t>
      </w:r>
    </w:p>
    <w:p>
      <w:pPr>
        <w:spacing w:after="0" w:line="140" w:lineRule="exact"/>
        <w:rPr>
          <w:sz w:val="20"/>
          <w:szCs w:val="20"/>
          <w:color w:val="auto"/>
        </w:rPr>
      </w:pPr>
    </w:p>
    <w:p>
      <w:pPr>
        <w:ind w:left="260" w:right="180" w:hanging="252"/>
        <w:spacing w:after="0" w:line="265" w:lineRule="auto"/>
        <w:tabs>
          <w:tab w:leader="none" w:pos="25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If WGB Is Unable to Attract and Retain Visitors and Successfully Drive Traffic to its Media Properties, its Business and Results of Operations Would Be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WGB’s business and results of operations depend upon attracting new visitors to its media properties and retaining its existing visitors.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WGB’s success in attracting traffic to its media properties and converting these visitors into repeat users depends, in part, upon its ability to identify, create and distribute high-quality and reliable content and meet rapidly changing consumer demand. WGB may not be able to</w:t>
      </w:r>
    </w:p>
    <w:p>
      <w:pPr>
        <w:spacing w:after="0" w:line="236" w:lineRule="auto"/>
        <w:rPr>
          <w:sz w:val="20"/>
          <w:szCs w:val="20"/>
          <w:color w:val="auto"/>
        </w:rPr>
      </w:pPr>
      <w:r>
        <w:rPr>
          <w:rFonts w:ascii="Arial" w:cs="Arial" w:eastAsia="Arial" w:hAnsi="Arial"/>
          <w:sz w:val="18"/>
          <w:szCs w:val="18"/>
          <w:color w:val="auto"/>
        </w:rPr>
        <w:t>identify and create the desired content or produce an engaging user experience in a cost-effective or timely manner, if at all. WGB depends</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on search engines to direct a significant amount of traffic to its media and marketplace properties, and WGB utilizes search engine optimization efforts to help generate search referral traffic to its media properties. Changes in the methodologies or algorithms used by</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search engines to display results have caused and could continue to cause WGB’s properties to receive less favorable placements in the search results. If WGB is unable to successfully modify its search engine optimization practices in response to changes regularly</w:t>
      </w:r>
    </w:p>
    <w:p>
      <w:pPr>
        <w:spacing w:after="0" w:line="236" w:lineRule="auto"/>
        <w:rPr>
          <w:sz w:val="20"/>
          <w:szCs w:val="20"/>
          <w:color w:val="auto"/>
        </w:rPr>
      </w:pPr>
      <w:r>
        <w:rPr>
          <w:rFonts w:ascii="Arial" w:cs="Arial" w:eastAsia="Arial" w:hAnsi="Arial"/>
          <w:sz w:val="18"/>
          <w:szCs w:val="18"/>
          <w:color w:val="auto"/>
        </w:rPr>
        <w:t>implemented by search engine algorithms and in search query trends, or if WGB is unable to generate increased or diversified traffic from</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other sources such as social media, email, direct navigation and online marketing activities, WGB could continue to experience substantial declines in traffic to its media properties which would adversely impact WGB’s business and results of operations.</w:t>
      </w:r>
    </w:p>
    <w:p>
      <w:pPr>
        <w:spacing w:after="0" w:line="127" w:lineRule="exact"/>
        <w:rPr>
          <w:sz w:val="20"/>
          <w:szCs w:val="20"/>
          <w:color w:val="auto"/>
        </w:rPr>
      </w:pPr>
    </w:p>
    <w:p>
      <w:pPr>
        <w:ind w:left="260" w:right="460" w:hanging="252"/>
        <w:spacing w:after="0" w:line="281" w:lineRule="auto"/>
        <w:tabs>
          <w:tab w:leader="none" w:pos="25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retain employees, low levels of unemployment or high turnover levels could negatively affect the Company’s restaurant business. Tipped wage legislation is presenting new challenges to balance menu pricing, service standards, staffing levels, operating costs and public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awareness as new wage laws are implemented.</w:t>
      </w:r>
    </w:p>
    <w:p>
      <w:pPr>
        <w:spacing w:after="0" w:line="140"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8"/>
          <w:szCs w:val="18"/>
          <w:b w:val="1"/>
          <w:bCs w:val="1"/>
          <w:color w:val="008080"/>
        </w:rPr>
      </w:pPr>
      <w:r>
        <w:rPr>
          <w:rFonts w:ascii="Arial" w:cs="Arial" w:eastAsia="Arial" w:hAnsi="Arial"/>
          <w:sz w:val="18"/>
          <w:szCs w:val="18"/>
          <w:b w:val="1"/>
          <w:bCs w:val="1"/>
          <w:color w:val="auto"/>
        </w:rPr>
        <w:t>Food-borne Illness Concerns and Damage to the Company’s Reputation Could Harm the Company’s Restaurant Business.</w:t>
      </w:r>
    </w:p>
    <w:p>
      <w:pPr>
        <w:spacing w:after="0" w:line="14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Historically, reports of food-borne illness or food safety issues at restaurants, even if caused by food suppliers or distributors, have had negative effects, and may continue to have, negative effects on restaurant sales. Because food safety issues could be experienced at the</w:t>
      </w:r>
    </w:p>
    <w:p>
      <w:pPr>
        <w:ind w:right="80"/>
        <w:spacing w:after="0" w:line="226" w:lineRule="auto"/>
        <w:rPr>
          <w:sz w:val="20"/>
          <w:szCs w:val="20"/>
          <w:color w:val="auto"/>
        </w:rPr>
      </w:pPr>
      <w:r>
        <w:rPr>
          <w:rFonts w:ascii="Arial" w:cs="Arial" w:eastAsia="Arial" w:hAnsi="Arial"/>
          <w:sz w:val="18"/>
          <w:szCs w:val="18"/>
          <w:color w:val="auto"/>
        </w:rPr>
        <w:t>source by food suppliers or distributors, food safety could, in part, be out of the Company’s control. Even instances of food-borne illness at a location served by one of the Company’s competitors could result in negative publicity regarding the food service industry generally and</w:t>
      </w:r>
    </w:p>
    <w:p>
      <w:pPr>
        <w:spacing w:after="0" w:line="236" w:lineRule="auto"/>
        <w:rPr>
          <w:sz w:val="20"/>
          <w:szCs w:val="20"/>
          <w:color w:val="auto"/>
        </w:rPr>
      </w:pPr>
      <w:r>
        <w:rPr>
          <w:rFonts w:ascii="Arial" w:cs="Arial" w:eastAsia="Arial" w:hAnsi="Arial"/>
          <w:sz w:val="18"/>
          <w:szCs w:val="18"/>
          <w:color w:val="auto"/>
        </w:rPr>
        <w:t>could negatively impact restaurant revenue. Regardless of the source or cause, negative publicity about food-borne illness or other food</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safety issues could adversely impact the Company’s reputation. Similarly, publicity about litigation, violence, complaints, or government investigations could have a negative effect on the Company’s restaurant business.</w:t>
      </w:r>
    </w:p>
    <w:p>
      <w:pPr>
        <w:spacing w:after="0" w:line="127" w:lineRule="exact"/>
        <w:rPr>
          <w:sz w:val="20"/>
          <w:szCs w:val="20"/>
          <w:color w:val="auto"/>
        </w:rPr>
      </w:pPr>
    </w:p>
    <w:p>
      <w:pPr>
        <w:ind w:left="260" w:right="180" w:hanging="252"/>
        <w:spacing w:after="0" w:line="281" w:lineRule="auto"/>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decrease in tourism would decrease customers’ disposable income available for discretionary spending. These and other national, regional and local economic pressures could result in decreases in customer traffic and lower sales and profits.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As a Controlled Company, the Rights of Class B Common Stockholders Are Limited.</w:t>
      </w:r>
    </w:p>
    <w:p>
      <w:pPr>
        <w:spacing w:after="0" w:line="14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Company has two classes of shares, Class A Common Stock and Class B Common Stock. Class B Common Stock has limited voting rights, including the right to elect 30% of the Company’s Board of Directors, to vote on the reservation of shares for option grants and on the</w:t>
      </w:r>
    </w:p>
    <w:p>
      <w:pPr>
        <w:ind w:right="160"/>
        <w:spacing w:after="0"/>
        <w:rPr>
          <w:sz w:val="20"/>
          <w:szCs w:val="20"/>
          <w:color w:val="auto"/>
        </w:rPr>
      </w:pPr>
      <w:r>
        <w:rPr>
          <w:rFonts w:ascii="Arial" w:cs="Arial" w:eastAsia="Arial" w:hAnsi="Arial"/>
          <w:sz w:val="17"/>
          <w:szCs w:val="17"/>
          <w:color w:val="auto"/>
        </w:rPr>
        <w:t>acquisition of the stock or assets of other companies under certain circumstances. The descendants of Katharine Graham and trusts for the benefit of those descendants own the majority of the shares of Class A Common Stock and have the right to vote for 70% of the Board of</w:t>
      </w:r>
    </w:p>
    <w:p>
      <w:pPr>
        <w:spacing w:after="0" w:line="235" w:lineRule="auto"/>
        <w:rPr>
          <w:sz w:val="20"/>
          <w:szCs w:val="20"/>
          <w:color w:val="auto"/>
        </w:rPr>
      </w:pPr>
      <w:r>
        <w:rPr>
          <w:rFonts w:ascii="Arial" w:cs="Arial" w:eastAsia="Arial" w:hAnsi="Arial"/>
          <w:sz w:val="18"/>
          <w:szCs w:val="18"/>
          <w:color w:val="auto"/>
        </w:rPr>
        <w:t>Directors and to vote on all other matters. As a result, control of the Company has been and is expected to remain with members of the</w:t>
      </w:r>
    </w:p>
    <w:p>
      <w:pPr>
        <w:ind w:right="200"/>
        <w:spacing w:after="0" w:line="237" w:lineRule="auto"/>
        <w:rPr>
          <w:sz w:val="20"/>
          <w:szCs w:val="20"/>
          <w:color w:val="auto"/>
        </w:rPr>
      </w:pPr>
      <w:r>
        <w:rPr>
          <w:rFonts w:ascii="Arial" w:cs="Arial" w:eastAsia="Arial" w:hAnsi="Arial"/>
          <w:sz w:val="18"/>
          <w:szCs w:val="18"/>
          <w:color w:val="auto"/>
        </w:rPr>
        <w:t>Graham family. In addition, the Company is a “controlled company” under the corporate governance rules of the New York Stock Exchange (NYSE) and as such, the Company is exempt from certain corporate governance requirements of the NYSE.</w:t>
      </w:r>
    </w:p>
    <w:p>
      <w:pPr>
        <w:spacing w:after="0" w:line="127" w:lineRule="exact"/>
        <w:rPr>
          <w:sz w:val="20"/>
          <w:szCs w:val="20"/>
          <w:color w:val="auto"/>
        </w:rPr>
      </w:pPr>
    </w:p>
    <w:p>
      <w:pPr>
        <w:ind w:left="260" w:right="500" w:hanging="252"/>
        <w:spacing w:after="0" w:line="281"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Pandemics or Other Outbreaks of Disease, Such as the COVID-19 Pandemic, Have Had, and Future Outbreaks Could Have, Adverse Impacts on the Company’s Businesses.</w:t>
      </w:r>
    </w:p>
    <w:p>
      <w:pPr>
        <w:spacing w:after="0" w:line="69"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Pandemics and other disease outbreaks, such as the COVID-19 pandemic, have materially affected, and may in the future, materially adversely affect the Company’s businesses, including the demand for its products and services. As a result of the COVID-19 pandemic,</w:t>
      </w:r>
    </w:p>
    <w:p>
      <w:pPr>
        <w:ind w:right="20"/>
        <w:spacing w:after="0"/>
        <w:rPr>
          <w:sz w:val="20"/>
          <w:szCs w:val="20"/>
          <w:color w:val="auto"/>
        </w:rPr>
      </w:pPr>
      <w:r>
        <w:rPr>
          <w:rFonts w:ascii="Arial" w:cs="Arial" w:eastAsia="Arial" w:hAnsi="Arial"/>
          <w:sz w:val="17"/>
          <w:szCs w:val="17"/>
          <w:color w:val="auto"/>
        </w:rPr>
        <w:t>travel restrictions and school closures impeded the ability of students to travel to undertake overseas study resulting in reduced enrollments for programs offered by KI, reduced demand for student housing and delays and cancellations of standardized tests. The adverse impact of a</w:t>
      </w:r>
    </w:p>
    <w:p>
      <w:pPr>
        <w:spacing w:after="0" w:line="1"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new health crisis could include, and in the past has included, reduced demand for the Company’s products and services, supply chain disruptions, asset impairment charges, labor and manufacturing disruptions and restaurant and other closures.</w:t>
      </w:r>
    </w:p>
    <w:p>
      <w:pPr>
        <w:spacing w:after="0" w:line="104" w:lineRule="exact"/>
        <w:rPr>
          <w:sz w:val="20"/>
          <w:szCs w:val="20"/>
          <w:color w:val="auto"/>
        </w:rPr>
      </w:pPr>
    </w:p>
    <w:p>
      <w:pPr>
        <w:ind w:left="260" w:right="320" w:hanging="252"/>
        <w:spacing w:after="0" w:line="281" w:lineRule="auto"/>
        <w:tabs>
          <w:tab w:leader="none" w:pos="25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and Health and Safety Laws Applicable to the Company’s Operations Could Negatively Impact the Company’s Businesses.</w:t>
      </w:r>
    </w:p>
    <w:p>
      <w:pPr>
        <w:spacing w:after="0" w:line="69"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color w:val="auto"/>
        </w:rPr>
        <w:t>The Company’s operations are subject to extensive federal, state and local laws and regulations relating to the environment, as well as health and workplace safety, including those set forth by the Occupational Safety and Health Administration (OSHA), the Environmental</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Protection Agency (EPA) and state and local regulatory authorities in the U.S. as well as similar laws and regulations internationally where the Company operates. Such laws and regulations affect operations and require compliance with various environmental registrations,</w:t>
      </w:r>
    </w:p>
    <w:p>
      <w:pPr>
        <w:spacing w:after="0" w:line="235" w:lineRule="auto"/>
        <w:rPr>
          <w:sz w:val="20"/>
          <w:szCs w:val="20"/>
          <w:color w:val="auto"/>
        </w:rPr>
      </w:pPr>
      <w:r>
        <w:rPr>
          <w:rFonts w:ascii="Arial" w:cs="Arial" w:eastAsia="Arial" w:hAnsi="Arial"/>
          <w:sz w:val="18"/>
          <w:szCs w:val="18"/>
          <w:color w:val="auto"/>
        </w:rPr>
        <w:t>licenses, permits, inspections and other approvals. In the U.K., the Company will be subject to new registration requirements under the U.K.</w:t>
      </w:r>
    </w:p>
    <w:p>
      <w:pPr>
        <w:ind w:right="300"/>
        <w:spacing w:after="0"/>
        <w:rPr>
          <w:sz w:val="20"/>
          <w:szCs w:val="20"/>
          <w:color w:val="auto"/>
        </w:rPr>
      </w:pPr>
      <w:r>
        <w:rPr>
          <w:rFonts w:ascii="Arial" w:cs="Arial" w:eastAsia="Arial" w:hAnsi="Arial"/>
          <w:sz w:val="17"/>
          <w:szCs w:val="17"/>
          <w:color w:val="auto"/>
        </w:rPr>
        <w:t>Building Safety Act in 2022 with respect to its dormitories as well as compliance with existing U.K. and local legislation regarding licensing occupancy of such dormitories. The Company incurs substantial costs to comply with these regulations, and any failure to comply may</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expose the Company to civil, criminal and administrative fees, fines, penalties and interruptions in operations that could have a material adverse impact on the Company’s results of operations, financial position or cash flows.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Environmental laws and regulations to which the Company is subject include those governing discharges into the air and water; the operation and removal of above-ground and underground storage tanks; the use, handling, storage and disposal of hazardous substances and other</w:t>
      </w:r>
    </w:p>
    <w:p>
      <w:pPr>
        <w:spacing w:after="0"/>
        <w:rPr>
          <w:sz w:val="20"/>
          <w:szCs w:val="20"/>
          <w:color w:val="auto"/>
        </w:rPr>
      </w:pPr>
      <w:r>
        <w:rPr>
          <w:rFonts w:ascii="Arial" w:cs="Arial" w:eastAsia="Arial" w:hAnsi="Arial"/>
          <w:sz w:val="17"/>
          <w:szCs w:val="17"/>
          <w:color w:val="auto"/>
        </w:rPr>
        <w:t>materials; and the investigation and remediation of environmental contamination at facilities that are owned or operated by the Company. The Company may be subject to liability, for example, in the automotive business, because the business involves the generation, use, handling</w:t>
      </w:r>
    </w:p>
    <w:p>
      <w:pPr>
        <w:spacing w:after="0" w:line="235" w:lineRule="auto"/>
        <w:rPr>
          <w:sz w:val="20"/>
          <w:szCs w:val="20"/>
          <w:color w:val="auto"/>
        </w:rPr>
      </w:pPr>
      <w:r>
        <w:rPr>
          <w:rFonts w:ascii="Arial" w:cs="Arial" w:eastAsia="Arial" w:hAnsi="Arial"/>
          <w:sz w:val="18"/>
          <w:szCs w:val="18"/>
          <w:color w:val="auto"/>
        </w:rPr>
        <w:t>and contracting for recycling or disposal of hazardous or toxic substances or wastes, including environmentally sensitive materials such as</w:t>
      </w:r>
    </w:p>
    <w:p>
      <w:pPr>
        <w:ind w:right="220"/>
        <w:spacing w:after="0" w:line="226" w:lineRule="auto"/>
        <w:rPr>
          <w:sz w:val="20"/>
          <w:szCs w:val="20"/>
          <w:color w:val="auto"/>
        </w:rPr>
      </w:pPr>
      <w:r>
        <w:rPr>
          <w:rFonts w:ascii="Arial" w:cs="Arial" w:eastAsia="Arial" w:hAnsi="Arial"/>
          <w:sz w:val="18"/>
          <w:szCs w:val="18"/>
          <w:color w:val="auto"/>
        </w:rPr>
        <w:t>motor oil, filters, transmission fluid, antifreeze, refrigerant, batteries, solvents, lubricants, tires and fuel. In addition, climate change could cause increases in hurricanes, floods, wildfires, and other risks that could produce losses affecting the Company’s businesses. Although in</w:t>
      </w:r>
    </w:p>
    <w:p>
      <w:pPr>
        <w:spacing w:after="0" w:line="236" w:lineRule="auto"/>
        <w:rPr>
          <w:sz w:val="20"/>
          <w:szCs w:val="20"/>
          <w:color w:val="auto"/>
        </w:rPr>
      </w:pPr>
      <w:r>
        <w:rPr>
          <w:rFonts w:ascii="Arial" w:cs="Arial" w:eastAsia="Arial" w:hAnsi="Arial"/>
          <w:sz w:val="18"/>
          <w:szCs w:val="18"/>
          <w:color w:val="auto"/>
        </w:rPr>
        <w:t>connection with certain acquisitions, the Company has obtained indemnification for certain environmental liabilities and insurance policies,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such rights and policies may not be sufficient to reimburse the Company for all losses that it might incur. The Company has incurred, and will continue to incur, capital and operating expenditures and other costs to comply with such laws and regulations and changes to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regulations, including any new regulations related to climate change, could give rise to additional compliance or remedial costs.</w:t>
      </w:r>
    </w:p>
    <w:p>
      <w:pPr>
        <w:spacing w:after="0" w:line="14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Failure to Successfully Integrate Acquired Businesses Could Negatively Affect the Company’s Operating Results.</w:t>
      </w:r>
    </w:p>
    <w:p>
      <w:pPr>
        <w:spacing w:after="0" w:line="14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w:t>
      </w:r>
    </w:p>
    <w:p>
      <w:pPr>
        <w:ind w:right="100"/>
        <w:spacing w:after="0" w:line="226" w:lineRule="auto"/>
        <w:rPr>
          <w:sz w:val="20"/>
          <w:szCs w:val="20"/>
          <w:color w:val="auto"/>
        </w:rPr>
      </w:pPr>
      <w:r>
        <w:rPr>
          <w:rFonts w:ascii="Arial" w:cs="Arial" w:eastAsia="Arial" w:hAnsi="Arial"/>
          <w:sz w:val="18"/>
          <w:szCs w:val="18"/>
          <w:color w:val="auto"/>
        </w:rPr>
        <w:t>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risks or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ind w:left="260" w:right="220" w:hanging="252"/>
        <w:spacing w:after="0" w:line="281" w:lineRule="auto"/>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combination. Goodwill is not amortized and remains on the Company’s balance sheet indefinitely unless there is an impairment or a sale of a</w:t>
      </w:r>
    </w:p>
    <w:p>
      <w:pPr>
        <w:spacing w:after="0" w:line="234" w:lineRule="auto"/>
        <w:rPr>
          <w:sz w:val="20"/>
          <w:szCs w:val="20"/>
          <w:color w:val="auto"/>
        </w:rPr>
      </w:pPr>
      <w:r>
        <w:rPr>
          <w:rFonts w:ascii="Arial" w:cs="Arial" w:eastAsia="Arial" w:hAnsi="Arial"/>
          <w:sz w:val="18"/>
          <w:szCs w:val="18"/>
          <w:color w:val="auto"/>
        </w:rPr>
        <w:t>portion of the business. Goodwill is subject to an impairment test on an annual basis and when circumstances indicate that an impairment is</w:t>
      </w:r>
    </w:p>
    <w:p>
      <w:pPr>
        <w:spacing w:after="0" w:line="235" w:lineRule="auto"/>
        <w:rPr>
          <w:sz w:val="20"/>
          <w:szCs w:val="20"/>
          <w:color w:val="auto"/>
        </w:rPr>
      </w:pPr>
      <w:r>
        <w:rPr>
          <w:rFonts w:ascii="Arial" w:cs="Arial" w:eastAsia="Arial" w:hAnsi="Arial"/>
          <w:sz w:val="18"/>
          <w:szCs w:val="18"/>
          <w:color w:val="auto"/>
        </w:rPr>
        <w:t>more likely than not. Such circumstances include an adverse change in the business climate for one of the Company’s businesses or a</w:t>
      </w:r>
    </w:p>
    <w:p>
      <w:pPr>
        <w:spacing w:after="0" w:line="235" w:lineRule="auto"/>
        <w:rPr>
          <w:sz w:val="20"/>
          <w:szCs w:val="20"/>
          <w:color w:val="auto"/>
        </w:rPr>
      </w:pPr>
      <w:r>
        <w:rPr>
          <w:rFonts w:ascii="Arial" w:cs="Arial" w:eastAsia="Arial" w:hAnsi="Arial"/>
          <w:sz w:val="18"/>
          <w:szCs w:val="18"/>
          <w:color w:val="auto"/>
        </w:rPr>
        <w:t>decision to dispose of a business or a significant portion of a business. Each of the Company’s businesses faces uncertainty in its business</w:t>
      </w:r>
    </w:p>
    <w:p>
      <w:pPr>
        <w:spacing w:after="0" w:line="235" w:lineRule="auto"/>
        <w:rPr>
          <w:sz w:val="20"/>
          <w:szCs w:val="20"/>
          <w:color w:val="auto"/>
        </w:rPr>
      </w:pPr>
      <w:r>
        <w:rPr>
          <w:rFonts w:ascii="Arial" w:cs="Arial" w:eastAsia="Arial" w:hAnsi="Arial"/>
          <w:sz w:val="18"/>
          <w:szCs w:val="18"/>
          <w:color w:val="auto"/>
        </w:rPr>
        <w:t>environment due to a variety of factors, including challenges in operating environments created by macro-economic factors, pandemics and</w:t>
      </w:r>
    </w:p>
    <w:p>
      <w:pPr>
        <w:spacing w:after="0" w:line="235" w:lineRule="auto"/>
        <w:rPr>
          <w:sz w:val="20"/>
          <w:szCs w:val="20"/>
          <w:color w:val="auto"/>
        </w:rPr>
      </w:pPr>
      <w:r>
        <w:rPr>
          <w:rFonts w:ascii="Arial" w:cs="Arial" w:eastAsia="Arial" w:hAnsi="Arial"/>
          <w:sz w:val="18"/>
          <w:szCs w:val="18"/>
          <w:color w:val="auto"/>
        </w:rPr>
        <w:t>changes in demand for products and services. In the fourth quarter of 2024, the Company recorded an intangible asset impairment of $22.9</w:t>
      </w:r>
    </w:p>
    <w:p>
      <w:pPr>
        <w:spacing w:after="0" w:line="234" w:lineRule="auto"/>
        <w:rPr>
          <w:sz w:val="20"/>
          <w:szCs w:val="20"/>
          <w:color w:val="auto"/>
        </w:rPr>
      </w:pPr>
      <w:r>
        <w:rPr>
          <w:rFonts w:ascii="Arial" w:cs="Arial" w:eastAsia="Arial" w:hAnsi="Arial"/>
          <w:sz w:val="18"/>
          <w:szCs w:val="18"/>
          <w:color w:val="auto"/>
        </w:rPr>
        <w:t>million of the MPW brand name and in the second quarter of 2024, the Company recorded a goodwill and intangible asset impairment of</w:t>
      </w:r>
    </w:p>
    <w:p>
      <w:pPr>
        <w:spacing w:after="0" w:line="235" w:lineRule="auto"/>
        <w:rPr>
          <w:sz w:val="20"/>
          <w:szCs w:val="20"/>
          <w:color w:val="auto"/>
        </w:rPr>
      </w:pPr>
      <w:r>
        <w:rPr>
          <w:rFonts w:ascii="Arial" w:cs="Arial" w:eastAsia="Arial" w:hAnsi="Arial"/>
          <w:sz w:val="18"/>
          <w:szCs w:val="18"/>
          <w:color w:val="auto"/>
        </w:rPr>
        <w:t>$26.3 million at WGB due to substantial digital advertising revenue declines. Additional declines in revenue could result in adverse changes</w:t>
      </w:r>
    </w:p>
    <w:p>
      <w:pPr>
        <w:spacing w:after="0" w:line="235" w:lineRule="auto"/>
        <w:rPr>
          <w:sz w:val="20"/>
          <w:szCs w:val="20"/>
          <w:color w:val="auto"/>
        </w:rPr>
      </w:pPr>
      <w:r>
        <w:rPr>
          <w:rFonts w:ascii="Arial" w:cs="Arial" w:eastAsia="Arial" w:hAnsi="Arial"/>
          <w:sz w:val="18"/>
          <w:szCs w:val="18"/>
          <w:color w:val="auto"/>
        </w:rPr>
        <w:t>in projections for future operating results or other key assumptions, such as projected revenue, profit margin, capital expenditures or cash</w:t>
      </w:r>
    </w:p>
    <w:p>
      <w:pPr>
        <w:ind w:right="360"/>
        <w:spacing w:after="0"/>
        <w:rPr>
          <w:sz w:val="20"/>
          <w:szCs w:val="20"/>
          <w:color w:val="auto"/>
        </w:rPr>
      </w:pPr>
      <w:r>
        <w:rPr>
          <w:rFonts w:ascii="Arial" w:cs="Arial" w:eastAsia="Arial" w:hAnsi="Arial"/>
          <w:sz w:val="17"/>
          <w:szCs w:val="17"/>
          <w:color w:val="auto"/>
        </w:rPr>
        <w:t>flows associated with fair value estimates, and could lead to additional future impairments, which could be material. The Company may experience other unforeseen circumstances that adversely affect the value of the Company’s goodwill or intangible assets and trigger an</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07" w:lineRule="exact"/>
        <w:rPr>
          <w:sz w:val="20"/>
          <w:szCs w:val="20"/>
          <w:color w:val="auto"/>
        </w:rPr>
      </w:pPr>
    </w:p>
    <w:p>
      <w:pPr>
        <w:ind w:left="260" w:right="420" w:hanging="252"/>
        <w:spacing w:after="0" w:line="281" w:lineRule="auto"/>
        <w:tabs>
          <w:tab w:leader="none" w:pos="255"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Income Tax Laws Have Subjected and Could Further Subject the Company to Increased Taxes and Increased Compliance Costs.</w:t>
      </w:r>
    </w:p>
    <w:p>
      <w:pPr>
        <w:spacing w:after="0" w:line="6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Many countries have proposed or enacted changes to their tax laws to implement a minimum 15% tax rate on certain multinational companies based on a set of rules known as Pillar Two issued by the Organization for Economic Co-operation and Development (OECD).</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Global tax developments, such as Pillar Two, have subjected and could further subject the Company to increased taxes and increased compliance costs.</w:t>
      </w:r>
    </w:p>
    <w:p>
      <w:pPr>
        <w:spacing w:after="0" w:line="127" w:lineRule="exact"/>
        <w:rPr>
          <w:sz w:val="20"/>
          <w:szCs w:val="20"/>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Current Tariffs and the Introduction of Additional Tariffs Could Increase Material Costs and Reduce Demand</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Company’s businesses purchase materials from suppliers in both the U.S. and other countries, including Mexico, Canada and China. Some of its businesses source products and parts from regions that have already been subject to tariffs that have impacted the cost of their</w:t>
      </w:r>
    </w:p>
    <w:p>
      <w:pPr>
        <w:spacing w:after="0" w:line="235" w:lineRule="auto"/>
        <w:rPr>
          <w:sz w:val="20"/>
          <w:szCs w:val="20"/>
          <w:color w:val="auto"/>
        </w:rPr>
      </w:pPr>
      <w:r>
        <w:rPr>
          <w:rFonts w:ascii="Arial" w:cs="Arial" w:eastAsia="Arial" w:hAnsi="Arial"/>
          <w:sz w:val="18"/>
          <w:szCs w:val="18"/>
          <w:color w:val="auto"/>
        </w:rPr>
        <w:t>products. Should new tariffs be levied on goods or materials imported from other countries, it could result in cost increases to both the</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Company and its customers and could impact customer demand. Widespread imposition of tariffs could materially adversely affect the Company’s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Artificial Intelligence and Intellectual Property</w:t>
      </w:r>
    </w:p>
    <w:p>
      <w:pPr>
        <w:spacing w:after="0" w:line="158" w:lineRule="exact"/>
        <w:rPr>
          <w:sz w:val="20"/>
          <w:szCs w:val="20"/>
          <w:color w:val="auto"/>
        </w:rPr>
      </w:pPr>
    </w:p>
    <w:p>
      <w:pPr>
        <w:ind w:left="260" w:right="280" w:hanging="252"/>
        <w:spacing w:after="0" w:line="265" w:lineRule="auto"/>
        <w:tabs>
          <w:tab w:leader="none" w:pos="28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or Those of Third Parties, Could Have a Material Adverse Effect on Its Businesses and Results of Operations.</w:t>
      </w:r>
    </w:p>
    <w:p>
      <w:pPr>
        <w:spacing w:after="0" w:line="96"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used by third parties or their vendors, to assist in conducting the Company’s business.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Company’s systems and the third-party systems on which it relies have been subjected to, and will continue to be subject to, damage or interruption from a number of causes, including but not limited to power outages; computer and telecommunications failures; computer</w:t>
      </w:r>
    </w:p>
    <w:p>
      <w:pPr>
        <w:spacing w:after="0" w:line="235" w:lineRule="auto"/>
        <w:rPr>
          <w:sz w:val="20"/>
          <w:szCs w:val="20"/>
          <w:color w:val="auto"/>
        </w:rPr>
      </w:pPr>
      <w:r>
        <w:rPr>
          <w:rFonts w:ascii="Arial" w:cs="Arial" w:eastAsia="Arial" w:hAnsi="Arial"/>
          <w:sz w:val="18"/>
          <w:szCs w:val="18"/>
          <w:color w:val="auto"/>
        </w:rPr>
        <w:t>viruses; industry-wide software supply chain vulnerabilities and security breaches; cyberattacks, including phishing and other forms of social</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engineering such as deepfakes, hacking, denial-of-service attacks, cyber extortion, including the use of ransomware and other actions or attempts to exploit vulnerabilities; catastrophic events such as fires, floods, earthquakes, tornadoes and hurricanes; infectious disease</w:t>
      </w:r>
    </w:p>
    <w:p>
      <w:pPr>
        <w:spacing w:after="0" w:line="235" w:lineRule="auto"/>
        <w:rPr>
          <w:sz w:val="20"/>
          <w:szCs w:val="20"/>
          <w:color w:val="auto"/>
        </w:rPr>
      </w:pPr>
      <w:r>
        <w:rPr>
          <w:rFonts w:ascii="Arial" w:cs="Arial" w:eastAsia="Arial" w:hAnsi="Arial"/>
          <w:sz w:val="18"/>
          <w:szCs w:val="18"/>
          <w:color w:val="auto"/>
        </w:rPr>
        <w:t>outbreaks (such as COVID-19); acts of war or terrorism; and design or usage errors by our employees, contractors or third-party service</w:t>
      </w:r>
    </w:p>
    <w:p>
      <w:pPr>
        <w:ind w:right="320"/>
        <w:spacing w:after="0" w:line="226" w:lineRule="auto"/>
        <w:rPr>
          <w:sz w:val="20"/>
          <w:szCs w:val="20"/>
          <w:color w:val="auto"/>
        </w:rPr>
      </w:pPr>
      <w:r>
        <w:rPr>
          <w:rFonts w:ascii="Arial" w:cs="Arial" w:eastAsia="Arial" w:hAnsi="Arial"/>
          <w:sz w:val="18"/>
          <w:szCs w:val="18"/>
          <w:color w:val="auto"/>
        </w:rPr>
        <w:t>providers. The techniques used by computer hackers and cyber criminals to obtain unauthorized access to data or to sabotage computer systems change frequently, continue to grow in sophistication and volume, and may not be detected until after an incident has occurred.</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These techniques include using artificial intelligence, including generative AI to enhance their attacks, which may increase our cybersecurity risk. Although the Company and the third-party service providers seek to maintain their respective systems effectively and to</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successfully address the risk of compromise of the integrity, security and consistent operations of these systems, such efforts may not be</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successful. As a result, the Company or its service providers could experience errors, interruptions, delays or cessations of service in key portions of the Company’s information technology infrastructure, which could significantly disrupt its operations, including manufacturing</w:t>
      </w:r>
    </w:p>
    <w:p>
      <w:pPr>
        <w:spacing w:after="0" w:line="235" w:lineRule="auto"/>
        <w:rPr>
          <w:sz w:val="20"/>
          <w:szCs w:val="20"/>
          <w:color w:val="auto"/>
        </w:rPr>
      </w:pPr>
      <w:r>
        <w:rPr>
          <w:rFonts w:ascii="Arial" w:cs="Arial" w:eastAsia="Arial" w:hAnsi="Arial"/>
          <w:sz w:val="18"/>
          <w:szCs w:val="18"/>
          <w:color w:val="auto"/>
        </w:rPr>
        <w:t>production delays, and be costly, time-consuming and resource-intensive to remedy. Any security breach or unauthorized access also could</w:t>
      </w:r>
    </w:p>
    <w:p>
      <w:pPr>
        <w:ind w:right="340"/>
        <w:spacing w:after="0"/>
        <w:rPr>
          <w:sz w:val="20"/>
          <w:szCs w:val="20"/>
          <w:color w:val="auto"/>
        </w:rPr>
      </w:pPr>
      <w:r>
        <w:rPr>
          <w:rFonts w:ascii="Arial" w:cs="Arial" w:eastAsia="Arial" w:hAnsi="Arial"/>
          <w:sz w:val="17"/>
          <w:szCs w:val="17"/>
          <w:color w:val="auto"/>
        </w:rPr>
        <w:t>result in a misappropriation of the Company’s proprietary information or the proprietary information of the Company’s users, customers or partners, which could result in significant legal and financial exposure and damage to the Company’s reputation. If an actual or perceived</w:t>
      </w:r>
    </w:p>
    <w:p>
      <w:pPr>
        <w:spacing w:after="0" w:line="235" w:lineRule="auto"/>
        <w:rPr>
          <w:sz w:val="20"/>
          <w:szCs w:val="20"/>
          <w:color w:val="auto"/>
        </w:rPr>
      </w:pPr>
      <w:r>
        <w:rPr>
          <w:rFonts w:ascii="Arial" w:cs="Arial" w:eastAsia="Arial" w:hAnsi="Arial"/>
          <w:sz w:val="18"/>
          <w:szCs w:val="18"/>
          <w:color w:val="auto"/>
        </w:rPr>
        <w:t>breach of the Company’s security occurs, or if the Company’s consumer-facing sites become the subject of external attacks that affect or</w:t>
      </w:r>
    </w:p>
    <w:p>
      <w:pPr>
        <w:ind w:right="40"/>
        <w:spacing w:after="0" w:line="226" w:lineRule="auto"/>
        <w:rPr>
          <w:sz w:val="20"/>
          <w:szCs w:val="20"/>
          <w:color w:val="auto"/>
        </w:rPr>
      </w:pPr>
      <w:r>
        <w:rPr>
          <w:rFonts w:ascii="Arial" w:cs="Arial" w:eastAsia="Arial" w:hAnsi="Arial"/>
          <w:sz w:val="18"/>
          <w:szCs w:val="18"/>
          <w:color w:val="auto"/>
        </w:rPr>
        <w:t>disrupt service or availability, the market perception of the effectiveness of the Company’s security measures could be harmed and the Company could lose users, customers, advertisers or partners, all of which could have a material adverse effect on the Company’s business,</w:t>
      </w:r>
    </w:p>
    <w:p>
      <w:pPr>
        <w:spacing w:after="0" w:line="236" w:lineRule="auto"/>
        <w:rPr>
          <w:sz w:val="20"/>
          <w:szCs w:val="20"/>
          <w:color w:val="auto"/>
        </w:rPr>
      </w:pPr>
      <w:r>
        <w:rPr>
          <w:rFonts w:ascii="Arial" w:cs="Arial" w:eastAsia="Arial" w:hAnsi="Arial"/>
          <w:sz w:val="18"/>
          <w:szCs w:val="18"/>
          <w:color w:val="auto"/>
        </w:rPr>
        <w:t>financial condition and results of operations. Any security breach at a company providing services to the Company or the Company’s users,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including third-party payment processors, could have similar effects and the Company may not be fully indemnified for the costs it may incur as a result of any such breach. To the extent that such vulnerabilities require remediation, such remedial measures could require significant</w:t>
      </w:r>
    </w:p>
    <w:p>
      <w:pPr>
        <w:spacing w:after="0" w:line="236" w:lineRule="auto"/>
        <w:rPr>
          <w:sz w:val="20"/>
          <w:szCs w:val="20"/>
          <w:color w:val="auto"/>
        </w:rPr>
      </w:pPr>
      <w:r>
        <w:rPr>
          <w:rFonts w:ascii="Arial" w:cs="Arial" w:eastAsia="Arial" w:hAnsi="Arial"/>
          <w:sz w:val="18"/>
          <w:szCs w:val="18"/>
          <w:color w:val="auto"/>
        </w:rPr>
        <w:t>resources and may not be implemented before such vulnerabilities are exploited. As the cybersecurity landscape evolves, the Company may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also find it necessary to make significant further investments to protect data and infrastructure, including continuing to evaluate control changes and investments needed to support an increased remote workforce. Any of these events could have a material adverse effect on the</w:t>
      </w:r>
    </w:p>
    <w:p>
      <w:pPr>
        <w:spacing w:after="0" w:line="236" w:lineRule="auto"/>
        <w:rPr>
          <w:sz w:val="20"/>
          <w:szCs w:val="20"/>
          <w:color w:val="auto"/>
        </w:rPr>
      </w:pPr>
      <w:r>
        <w:rPr>
          <w:rFonts w:ascii="Arial" w:cs="Arial" w:eastAsia="Arial" w:hAnsi="Arial"/>
          <w:sz w:val="18"/>
          <w:szCs w:val="18"/>
          <w:color w:val="auto"/>
        </w:rPr>
        <w:t>Company’s businesses and results of operations. Sustained or repeated system failures or security breaches that interrupt the Company’s</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ability to process information in a timely manner or that result in a breach of proprietary or personal information could have a material adverse effect on the Company’s operations and reputation. In addition, minor incidents, even if dealt with promptly, could lead to severe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127"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w:t>
      </w:r>
    </w:p>
    <w:p>
      <w:pPr>
        <w:spacing w:after="0" w:line="235" w:lineRule="auto"/>
        <w:rPr>
          <w:sz w:val="20"/>
          <w:szCs w:val="20"/>
          <w:color w:val="auto"/>
        </w:rPr>
      </w:pPr>
      <w:r>
        <w:rPr>
          <w:rFonts w:ascii="Arial" w:cs="Arial" w:eastAsia="Arial" w:hAnsi="Arial"/>
          <w:sz w:val="18"/>
          <w:szCs w:val="18"/>
          <w:color w:val="auto"/>
        </w:rPr>
        <w:t>in new laws that are relevant to the Company’s operations, including restrictions on the collection, use and sharing of personal data that</w:t>
      </w:r>
    </w:p>
    <w:p>
      <w:pPr>
        <w:ind w:right="100"/>
        <w:spacing w:after="0" w:line="226" w:lineRule="auto"/>
        <w:rPr>
          <w:sz w:val="20"/>
          <w:szCs w:val="20"/>
          <w:color w:val="auto"/>
        </w:rPr>
      </w:pPr>
      <w:r>
        <w:rPr>
          <w:rFonts w:ascii="Arial" w:cs="Arial" w:eastAsia="Arial" w:hAnsi="Arial"/>
          <w:sz w:val="18"/>
          <w:szCs w:val="18"/>
          <w:color w:val="auto"/>
        </w:rPr>
        <w:t>could limit our ability to use the data for marketing or advertising, and could result in exposure to material liability. For example, data privacy regulations adopted by the EU known as the General Data Protection Regulation (GDPR), became effective in May 2018. These regulations</w:t>
      </w:r>
    </w:p>
    <w:p>
      <w:pPr>
        <w:spacing w:after="0" w:line="236" w:lineRule="auto"/>
        <w:rPr>
          <w:sz w:val="20"/>
          <w:szCs w:val="20"/>
          <w:color w:val="auto"/>
        </w:rPr>
      </w:pPr>
      <w:r>
        <w:rPr>
          <w:rFonts w:ascii="Arial" w:cs="Arial" w:eastAsia="Arial" w:hAnsi="Arial"/>
          <w:sz w:val="18"/>
          <w:szCs w:val="18"/>
          <w:color w:val="auto"/>
        </w:rPr>
        <w:t>require certain of the Company’s operations to meet extensive requirements regarding the handling of personal data, including its use,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protection and transfer. In addition, the GDPR provides the legal right for persons whose data is stored to request access to or correction or deletion of their personal data, among other rights. Failure to meet the applicable requirements in the GDPR could result in fines of up to 4%</w:t>
      </w:r>
    </w:p>
    <w:p>
      <w:pPr>
        <w:spacing w:after="0" w:line="235" w:lineRule="auto"/>
        <w:rPr>
          <w:sz w:val="20"/>
          <w:szCs w:val="20"/>
          <w:color w:val="auto"/>
        </w:rPr>
      </w:pPr>
      <w:r>
        <w:rPr>
          <w:rFonts w:ascii="Arial" w:cs="Arial" w:eastAsia="Arial" w:hAnsi="Arial"/>
          <w:sz w:val="18"/>
          <w:szCs w:val="18"/>
          <w:color w:val="auto"/>
        </w:rPr>
        <w:t>of the Company’s annual global revenues. In addition to the GDPR in Europe, new privacy laws and regulations are rapidly developing and</w:t>
      </w:r>
    </w:p>
    <w:p>
      <w:pPr>
        <w:ind w:right="760"/>
        <w:spacing w:after="0" w:line="226" w:lineRule="auto"/>
        <w:rPr>
          <w:sz w:val="20"/>
          <w:szCs w:val="20"/>
          <w:color w:val="auto"/>
        </w:rPr>
      </w:pPr>
      <w:r>
        <w:rPr>
          <w:rFonts w:ascii="Arial" w:cs="Arial" w:eastAsia="Arial" w:hAnsi="Arial"/>
          <w:sz w:val="18"/>
          <w:szCs w:val="18"/>
          <w:color w:val="auto"/>
        </w:rPr>
        <w:t>being implemented elsewhere around the globe, including amendments to the scope, penalties and other provisions of existing data protection laws. Failure to comply with these international data protection laws and regulations could have a negative impact on the</w:t>
      </w:r>
    </w:p>
    <w:p>
      <w:pPr>
        <w:spacing w:after="0" w:line="236" w:lineRule="auto"/>
        <w:rPr>
          <w:sz w:val="20"/>
          <w:szCs w:val="20"/>
          <w:color w:val="auto"/>
        </w:rPr>
      </w:pPr>
      <w:r>
        <w:rPr>
          <w:rFonts w:ascii="Arial" w:cs="Arial" w:eastAsia="Arial" w:hAnsi="Arial"/>
          <w:sz w:val="18"/>
          <w:szCs w:val="18"/>
          <w:color w:val="auto"/>
        </w:rPr>
        <w:t>Company’s reputation and subject the Company to significant fines, penalties or other liabilities or restrict the Company’s ability to continue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operating its existing business processes, all of which may increase the cost of operations, reduce customer growth, or otherwise harm the Company’s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Consumer Privacy Act of 2018 (CCPA), which became effective on January 1, 2020, provided a new private right of action for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data breaches and requires companies that process personal information pertaining to California residents to make disclosures to consumers about their data collection, use and sharing practices and allows consumers to opt out of certain data sharing with third parties. The</w:t>
      </w:r>
    </w:p>
    <w:p>
      <w:pPr>
        <w:spacing w:after="0" w:line="235" w:lineRule="auto"/>
        <w:rPr>
          <w:sz w:val="20"/>
          <w:szCs w:val="20"/>
          <w:color w:val="auto"/>
        </w:rPr>
      </w:pPr>
      <w:r>
        <w:rPr>
          <w:rFonts w:ascii="Arial" w:cs="Arial" w:eastAsia="Arial" w:hAnsi="Arial"/>
          <w:sz w:val="18"/>
          <w:szCs w:val="18"/>
          <w:color w:val="auto"/>
        </w:rPr>
        <w:t>enforcement of the CCPA by the California Attorney General commenced on July 1, 2020. In November 2020, the California Privacy Rights</w:t>
      </w:r>
    </w:p>
    <w:p>
      <w:pPr>
        <w:ind w:right="20"/>
        <w:spacing w:after="0"/>
        <w:rPr>
          <w:sz w:val="20"/>
          <w:szCs w:val="20"/>
          <w:color w:val="auto"/>
        </w:rPr>
      </w:pPr>
      <w:r>
        <w:rPr>
          <w:rFonts w:ascii="Arial" w:cs="Arial" w:eastAsia="Arial" w:hAnsi="Arial"/>
          <w:sz w:val="17"/>
          <w:szCs w:val="17"/>
          <w:color w:val="auto"/>
        </w:rPr>
        <w:t>Act (CPRA) was approved by California voters, and went into effect on January 1, 2023. The CPRA included new requirements that were not in the CCPA. Similar privacy laws also went into effect in Virginia, Colorado, Connecticut and Utah during 2023, other privacy laws have been</w:t>
      </w:r>
    </w:p>
    <w:p>
      <w:pPr>
        <w:spacing w:after="0" w:line="235" w:lineRule="auto"/>
        <w:rPr>
          <w:sz w:val="20"/>
          <w:szCs w:val="20"/>
          <w:color w:val="auto"/>
        </w:rPr>
      </w:pPr>
      <w:r>
        <w:rPr>
          <w:rFonts w:ascii="Arial" w:cs="Arial" w:eastAsia="Arial" w:hAnsi="Arial"/>
          <w:sz w:val="18"/>
          <w:szCs w:val="18"/>
          <w:color w:val="auto"/>
        </w:rPr>
        <w:t>passed that will go into effect in 2024 and 2025, and data privacy bills continue to be introduced at the state level. There are also</w:t>
      </w:r>
    </w:p>
    <w:p>
      <w:pPr>
        <w:ind w:right="140"/>
        <w:spacing w:after="0"/>
        <w:rPr>
          <w:sz w:val="20"/>
          <w:szCs w:val="20"/>
          <w:color w:val="auto"/>
        </w:rPr>
      </w:pPr>
      <w:r>
        <w:rPr>
          <w:rFonts w:ascii="Arial" w:cs="Arial" w:eastAsia="Arial" w:hAnsi="Arial"/>
          <w:sz w:val="17"/>
          <w:szCs w:val="17"/>
          <w:color w:val="auto"/>
        </w:rPr>
        <w:t>comprehensive privacy bills that have been introduced at the U.S. federal level. In addition to the comprehensive privacy laws and bills, the recent emergence of new AI tools has raised some additional information security and privacy issues. There are currently numerous bills for</w:t>
      </w:r>
    </w:p>
    <w:p>
      <w:pPr>
        <w:spacing w:after="0" w:line="235" w:lineRule="auto"/>
        <w:rPr>
          <w:sz w:val="20"/>
          <w:szCs w:val="20"/>
          <w:color w:val="auto"/>
        </w:rPr>
      </w:pPr>
      <w:r>
        <w:rPr>
          <w:rFonts w:ascii="Arial" w:cs="Arial" w:eastAsia="Arial" w:hAnsi="Arial"/>
          <w:sz w:val="18"/>
          <w:szCs w:val="18"/>
          <w:color w:val="auto"/>
        </w:rPr>
        <w:t>new laws to regulate the use of AI both at the U.S. federal and state level, and in other locations in which the Company does business such</w:t>
      </w:r>
    </w:p>
    <w:p>
      <w:pPr>
        <w:ind w:right="100"/>
        <w:spacing w:after="0"/>
        <w:rPr>
          <w:sz w:val="20"/>
          <w:szCs w:val="20"/>
          <w:color w:val="auto"/>
        </w:rPr>
      </w:pPr>
      <w:r>
        <w:rPr>
          <w:rFonts w:ascii="Arial" w:cs="Arial" w:eastAsia="Arial" w:hAnsi="Arial"/>
          <w:sz w:val="17"/>
          <w:szCs w:val="17"/>
          <w:color w:val="auto"/>
        </w:rPr>
        <w:t>as the EU. The passage of any additional laws could result in further uncertainty and cause the Company to incur additional costs and expenses in order to comply. Compliance with the GDPR, the CCPA, the CPRA and other applicable international and U.S. privacy laws can</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be costly and time-consuming. If the Company fails to properly respond to security breaches of its or its third-party’s information technology systems or fails to properly respond to an individual’s requests under these laws, the Company could experience damage to its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ind w:right="460"/>
        <w:spacing w:after="0" w:line="271" w:lineRule="auto"/>
        <w:rPr>
          <w:sz w:val="20"/>
          <w:szCs w:val="20"/>
          <w:color w:val="auto"/>
        </w:rPr>
      </w:pPr>
      <w:r>
        <w:rPr>
          <w:rFonts w:ascii="Arial" w:cs="Arial" w:eastAsia="Arial" w:hAnsi="Arial"/>
          <w:sz w:val="18"/>
          <w:szCs w:val="18"/>
          <w:color w:val="auto"/>
        </w:rPr>
        <w:t>reputation, adverse publicity, loss of consumer confidence, reduced sales and profits, complications in executing the Company’s growth initiatives and regulatory and legal risk, including criminal penalties or civil liabilities.</w:t>
      </w:r>
    </w:p>
    <w:p>
      <w:pPr>
        <w:spacing w:after="0" w:line="86"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may cause the Company’s customers and potential customers to resist providing the data necessary to allow the Company to deliver its solutions effectively. Even the perception that personal information is not satisfactorily protected or does not meet regulatory requirements</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81" w:lineRule="exact"/>
        <w:rPr>
          <w:sz w:val="20"/>
          <w:szCs w:val="20"/>
          <w:color w:val="auto"/>
        </w:rPr>
      </w:pPr>
    </w:p>
    <w:p>
      <w:pPr>
        <w:ind w:left="260" w:right="80" w:hanging="252"/>
        <w:spacing w:after="0" w:line="281" w:lineRule="auto"/>
        <w:tabs>
          <w:tab w:leader="none" w:pos="25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Uncertainty in the Development, Deployment, and Use of AI in the Company’s Products and Services, as Well as its Businesses More Broadly, Could Adversely Affect the Company’s Business and Reputation.</w:t>
      </w:r>
    </w:p>
    <w:p>
      <w:pPr>
        <w:spacing w:after="0" w:line="82" w:lineRule="exact"/>
        <w:rPr>
          <w:sz w:val="20"/>
          <w:szCs w:val="20"/>
          <w:color w:val="auto"/>
        </w:rPr>
      </w:pPr>
    </w:p>
    <w:p>
      <w:pPr>
        <w:ind w:right="600"/>
        <w:spacing w:after="0" w:line="251" w:lineRule="auto"/>
        <w:rPr>
          <w:sz w:val="20"/>
          <w:szCs w:val="20"/>
          <w:color w:val="auto"/>
        </w:rPr>
      </w:pPr>
      <w:r>
        <w:rPr>
          <w:rFonts w:ascii="Arial" w:cs="Arial" w:eastAsia="Arial" w:hAnsi="Arial"/>
          <w:sz w:val="17"/>
          <w:szCs w:val="17"/>
          <w:color w:val="auto"/>
        </w:rPr>
        <w:t>The Company is building and expects to use systems and tools that incorporate AI-based technologies, including generative AI, for its customers and workforce. The development, adoption and use of generative AI technology remains in early stages, and effective or</w:t>
      </w:r>
    </w:p>
    <w:p>
      <w:pPr>
        <w:spacing w:after="0" w:line="235" w:lineRule="auto"/>
        <w:rPr>
          <w:sz w:val="20"/>
          <w:szCs w:val="20"/>
          <w:color w:val="auto"/>
        </w:rPr>
      </w:pPr>
      <w:r>
        <w:rPr>
          <w:rFonts w:ascii="Arial" w:cs="Arial" w:eastAsia="Arial" w:hAnsi="Arial"/>
          <w:sz w:val="18"/>
          <w:szCs w:val="18"/>
          <w:color w:val="auto"/>
        </w:rPr>
        <w:t>inadequate AI or generative AI development or deployment practices by the Company or third parties could result in unintended</w:t>
      </w:r>
    </w:p>
    <w:p>
      <w:pPr>
        <w:ind w:right="60"/>
        <w:spacing w:after="0" w:line="226" w:lineRule="auto"/>
        <w:rPr>
          <w:sz w:val="20"/>
          <w:szCs w:val="20"/>
          <w:color w:val="auto"/>
        </w:rPr>
      </w:pPr>
      <w:r>
        <w:rPr>
          <w:rFonts w:ascii="Arial" w:cs="Arial" w:eastAsia="Arial" w:hAnsi="Arial"/>
          <w:sz w:val="18"/>
          <w:szCs w:val="18"/>
          <w:color w:val="auto"/>
        </w:rPr>
        <w:t>consequences. For example, AI algorithms that the Company uses may be flawed or may be (or perceived to be) based on datasets that are biased or insufficient. In addition there is uncertainty around the validity and enforceability of intellectual property rights related to the</w:t>
      </w:r>
    </w:p>
    <w:p>
      <w:pPr>
        <w:spacing w:after="0" w:line="236" w:lineRule="auto"/>
        <w:rPr>
          <w:sz w:val="20"/>
          <w:szCs w:val="20"/>
          <w:color w:val="auto"/>
        </w:rPr>
      </w:pPr>
      <w:r>
        <w:rPr>
          <w:rFonts w:ascii="Arial" w:cs="Arial" w:eastAsia="Arial" w:hAnsi="Arial"/>
          <w:sz w:val="18"/>
          <w:szCs w:val="18"/>
          <w:color w:val="auto"/>
        </w:rPr>
        <w:t>Company’s development, deployment and use of AI. Compliance with new or changing laws, regulations or industry standards relating to AI</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may impose significant operational costs and may limit the Company’s ability to develop, deploy or use AI technologies. Failure to appropriately respond to this evolving landscape may result in legal liability, regulatory action or brand and reputational harm.</w:t>
      </w:r>
    </w:p>
    <w:p>
      <w:pPr>
        <w:spacing w:after="0" w:line="12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Potential Liability for Intellectual Property Infringement Could Adversely Affect the Company’s Businesses.</w:t>
      </w:r>
    </w:p>
    <w:p>
      <w:pPr>
        <w:spacing w:after="0" w:line="14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w:t>
      </w:r>
    </w:p>
    <w:p>
      <w:pPr>
        <w:jc w:val="both"/>
        <w:ind w:right="20"/>
        <w:spacing w:after="0"/>
        <w:rPr>
          <w:sz w:val="20"/>
          <w:szCs w:val="20"/>
          <w:color w:val="auto"/>
        </w:rPr>
      </w:pPr>
      <w:r>
        <w:rPr>
          <w:rFonts w:ascii="Arial" w:cs="Arial" w:eastAsia="Arial" w:hAnsi="Arial"/>
          <w:sz w:val="17"/>
          <w:szCs w:val="17"/>
          <w:color w:val="auto"/>
        </w:rPr>
        <w:t>Other parts of the Company’s business could also be subject to such claims. Addressing intellectual property claims is a time-consuming and expensive endeavor, regardless of the merits of the claims. In order to resolve such claims, the Company may have to change its method of</w:t>
      </w:r>
    </w:p>
    <w:p>
      <w:pPr>
        <w:spacing w:after="0" w:line="235" w:lineRule="auto"/>
        <w:rPr>
          <w:sz w:val="20"/>
          <w:szCs w:val="20"/>
          <w:color w:val="auto"/>
        </w:rPr>
      </w:pPr>
      <w:r>
        <w:rPr>
          <w:rFonts w:ascii="Arial" w:cs="Arial" w:eastAsia="Arial" w:hAnsi="Arial"/>
          <w:sz w:val="18"/>
          <w:szCs w:val="18"/>
          <w:color w:val="auto"/>
        </w:rPr>
        <w:t>doing business, enter into licensing agreements with copyright holders, or incur substantial monetary liability. It is also possible that one of</w:t>
      </w:r>
    </w:p>
    <w:p>
      <w:pPr>
        <w:ind w:right="300"/>
        <w:spacing w:after="0"/>
        <w:rPr>
          <w:sz w:val="20"/>
          <w:szCs w:val="20"/>
          <w:color w:val="auto"/>
        </w:rPr>
      </w:pPr>
      <w:r>
        <w:rPr>
          <w:rFonts w:ascii="Arial" w:cs="Arial" w:eastAsia="Arial" w:hAnsi="Arial"/>
          <w:sz w:val="17"/>
          <w:szCs w:val="17"/>
          <w:color w:val="auto"/>
        </w:rPr>
        <w:t>the Company’s businesses could be enjoined from using the intellectual property at issue, causing it to significantly alter its operations. Although the Company cannot predict the impact at this time, if any such claim is successful, the outcome would likely affect the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utilizing the intellectual property at issue and could have a material adverse effect on that business’s operating results or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4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 is a holding company and its business units are decentralized. Together with its business units, the Company maintains a risk-based information security program establishing administrative, technical, and physical safeguards that are designed for the size, scope and type of the Company’s businesses.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information security program is designed to protect the confidentiality, integrity, and availability of the Company’s information systems and data, and safeguard information systems and data in accordance with applicable local, state, federal or international laws, regulations, or standards.</w:t>
      </w:r>
    </w:p>
    <w:p>
      <w:pPr>
        <w:spacing w:after="0" w:line="10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Company’s information security program is risk-based; the Company and its business units perform business impact assessments and risk assessments on a regular basis to calibrate areas of focus. Cybersecurity risks are evaluated as a part of the broader risk management activities at the Company.</w:t>
      </w:r>
    </w:p>
    <w:p>
      <w:pPr>
        <w:spacing w:after="0" w:line="101"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 Company and its business units leverage several information security controls frameworks, standards and best practices with the International Organization for Standardizations (ISO) 27001 used as the overarching framework. ISO 27001 establishes a multi-pronged information security standard for organizations to manage information security risks, build cyber resilience, and improve operations.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Third-party service provider risk management is one of many components of the Company’s information security program. The Company and</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its business units use a risk-based approach to identifying and overseeing cybersecurity risks presented by third parties that could adversely impact the Company. This approach may include, but is not limited to, reviewing and assessing providers’ cybersecurity maturity, conducting</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diligence on certain providers’ information security programs, and/or imposing contractual obligations on the provider depending on the type and quantity of data involved, the access provided to Company systems, the type of provider and the criticality of outsourced operations.</w:t>
      </w:r>
    </w:p>
    <w:p>
      <w:pPr>
        <w:spacing w:after="0" w:line="104" w:lineRule="exact"/>
        <w:rPr>
          <w:sz w:val="20"/>
          <w:szCs w:val="20"/>
          <w:color w:val="auto"/>
        </w:rPr>
      </w:pPr>
    </w:p>
    <w:p>
      <w:pPr>
        <w:ind w:right="540"/>
        <w:spacing w:after="0" w:line="259" w:lineRule="auto"/>
        <w:rPr>
          <w:sz w:val="20"/>
          <w:szCs w:val="20"/>
          <w:color w:val="auto"/>
        </w:rPr>
      </w:pPr>
      <w:r>
        <w:rPr>
          <w:rFonts w:ascii="Arial" w:cs="Arial" w:eastAsia="Arial" w:hAnsi="Arial"/>
          <w:sz w:val="17"/>
          <w:szCs w:val="17"/>
          <w:color w:val="auto"/>
        </w:rPr>
        <w:t>The Company maintains an incident response plan that is distributed to its business units for customization according to their specific operations and internal reporting structures. The Company leverages third-party cybersecurity experts to review the response plan and</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facilitate incident response exercises for its business units. The Company licenses third-party software that provides incident response simulation capabilities and playbooks and makes that available to its business units and also retains a third-party cybersecurity firm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 assistance if needed during a cybersecurity incident.</w:t>
      </w:r>
    </w:p>
    <w:p>
      <w:pPr>
        <w:spacing w:after="0" w:line="14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and its business units have not been materially affected by risks from cybersecurity threats. For a discussion of whether and how any risks from cybersecurity threats are reasonably likely to materially affect the Company, see Item 1A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delegated oversight of risks related to cybersecurity to the Audit Committee which reports on its risk management</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activities, including risks arising from cybersecurity threats, to the full Board of Directors. The Company’s Vice President of Information Security and Privacy reports to the Audit Committee on an annual basis. In addition, the Audit Committee receives quarterly updates as part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disclosure control process and other updates, as needed, for significant issues.</w:t>
      </w:r>
    </w:p>
    <w:p>
      <w:pPr>
        <w:spacing w:after="0" w:line="12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annual report to the Audit Committee includes an overview of multiple topics, such as current cybersecurity threats; other cybersecurity risks, including operational, legal/regulatory, and reputational risks; a status summary of company-wide metrics relating to information</w:t>
      </w:r>
    </w:p>
    <w:p>
      <w:pPr>
        <w:ind w:right="120"/>
        <w:spacing w:after="0"/>
        <w:rPr>
          <w:sz w:val="20"/>
          <w:szCs w:val="20"/>
          <w:color w:val="auto"/>
        </w:rPr>
      </w:pPr>
      <w:r>
        <w:rPr>
          <w:rFonts w:ascii="Arial" w:cs="Arial" w:eastAsia="Arial" w:hAnsi="Arial"/>
          <w:sz w:val="17"/>
          <w:szCs w:val="17"/>
          <w:color w:val="auto"/>
        </w:rPr>
        <w:t>security controls (e.g., controls addressing vulnerability and patch management, web and mobile application security, administrative access, incident response capability, compliance activities, disaster recovery, sensitive data inventory, and phishing prevention); and planned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initiatives.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At the Company’s corporate level, the Information Security and Privacy team monitors the prevention, detection and remediation of cybersecurity incidents and coordinates with the Company’s business units to assess information security posture and risk. This coordination</w:t>
      </w:r>
    </w:p>
    <w:p>
      <w:pPr>
        <w:spacing w:after="0" w:line="235" w:lineRule="auto"/>
        <w:rPr>
          <w:sz w:val="20"/>
          <w:szCs w:val="20"/>
          <w:color w:val="auto"/>
        </w:rPr>
      </w:pPr>
      <w:r>
        <w:rPr>
          <w:rFonts w:ascii="Arial" w:cs="Arial" w:eastAsia="Arial" w:hAnsi="Arial"/>
          <w:sz w:val="18"/>
          <w:szCs w:val="18"/>
          <w:color w:val="auto"/>
        </w:rPr>
        <w:t>includes, for example, performing business impact assessments, conducting risk assessments, and testing and evaluating key aspects of</w:t>
      </w:r>
    </w:p>
    <w:p>
      <w:pPr>
        <w:ind w:right="760"/>
        <w:spacing w:after="0" w:line="237" w:lineRule="auto"/>
        <w:rPr>
          <w:sz w:val="20"/>
          <w:szCs w:val="20"/>
          <w:color w:val="auto"/>
        </w:rPr>
      </w:pPr>
      <w:r>
        <w:rPr>
          <w:rFonts w:ascii="Arial" w:cs="Arial" w:eastAsia="Arial" w:hAnsi="Arial"/>
          <w:sz w:val="18"/>
          <w:szCs w:val="18"/>
          <w:color w:val="auto"/>
        </w:rPr>
        <w:t>business units’ information security programs, the results of which are reported to the Company’s senior management and the Audit Committee as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Information Security and Privacy team is led by the VP of Information Security and Privacy who reports to the Company’s</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Chief Financial Officer. She joined the Company in 2003 and has more than 30 years of relevant experience. Before joining the Company, she served as the federal government and southeast region leader of Guardent (now part of Verisign), a security and privacy consulting and</w:t>
      </w:r>
    </w:p>
    <w:p>
      <w:pPr>
        <w:spacing w:after="0" w:line="236" w:lineRule="auto"/>
        <w:rPr>
          <w:sz w:val="20"/>
          <w:szCs w:val="20"/>
          <w:color w:val="auto"/>
        </w:rPr>
      </w:pPr>
      <w:r>
        <w:rPr>
          <w:rFonts w:ascii="Arial" w:cs="Arial" w:eastAsia="Arial" w:hAnsi="Arial"/>
          <w:sz w:val="18"/>
          <w:szCs w:val="18"/>
          <w:color w:val="auto"/>
        </w:rPr>
        <w:t>managed security services company. Prior to Guardent, she worked at PricewaterhouseCoopers LLP in the Technology Risk Services</w:t>
      </w:r>
    </w:p>
    <w:p>
      <w:pPr>
        <w:spacing w:after="0" w:line="1" w:lineRule="exact"/>
        <w:rPr>
          <w:sz w:val="20"/>
          <w:szCs w:val="20"/>
          <w:color w:val="auto"/>
        </w:rPr>
      </w:pPr>
    </w:p>
    <w:p>
      <w:pPr>
        <w:ind w:right="840"/>
        <w:spacing w:after="0" w:line="237" w:lineRule="auto"/>
        <w:rPr>
          <w:sz w:val="20"/>
          <w:szCs w:val="20"/>
          <w:color w:val="auto"/>
        </w:rPr>
      </w:pPr>
      <w:r>
        <w:rPr>
          <w:rFonts w:ascii="Arial" w:cs="Arial" w:eastAsia="Arial" w:hAnsi="Arial"/>
          <w:sz w:val="18"/>
          <w:szCs w:val="18"/>
          <w:color w:val="auto"/>
        </w:rPr>
        <w:t>consulting practice. She is a strategic advisor to several organizations in the information security and privacy field and is a Certified Information Systems Security Professional (CISSP), and a Certified Information Privacy Professional (CIPP).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Company’s Information Security and Privacy team have an average of more than 20 years of information security and</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compliance experience, spanning diverse environments and industries, government agencies, and public and private companies. All members of the core team maintain cybersecurity certifications and attend regular training programs relating to information security, privacy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compliance.</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Company views information security as a shared responsibility. It requires employees to complete information security and privacy awareness training and sends out regular communications on information security and privacy topics. Developers are trained regularly on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secure coding practices and the Company mandates that every business unit perform phishing exercises quarterly. Some employees receive additional in-depth training related to their individual job responsibilities.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space for its corporate offices in Arlington, VA.</w:t>
      </w:r>
    </w:p>
    <w:p>
      <w:pPr>
        <w:spacing w:after="0" w:line="14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In the education segment, Kaplan owns a total of five properties, including four in the U.S. and one property in South Kensington, London, U.K. used for school and dormitory space. Kaplan also leases facilities used for offices, instruction and student dormitories in several</w:t>
      </w:r>
    </w:p>
    <w:p>
      <w:pPr>
        <w:spacing w:after="0" w:line="226" w:lineRule="auto"/>
        <w:rPr>
          <w:sz w:val="20"/>
          <w:szCs w:val="20"/>
          <w:color w:val="auto"/>
        </w:rPr>
      </w:pPr>
      <w:r>
        <w:rPr>
          <w:rFonts w:ascii="Arial" w:cs="Arial" w:eastAsia="Arial" w:hAnsi="Arial"/>
          <w:sz w:val="18"/>
          <w:szCs w:val="18"/>
          <w:color w:val="auto"/>
        </w:rPr>
        <w:t>countries, including the U.S., the U.K., Ireland, Germany, France, Switzerland, Spain, Singapore, Australia and India. In 2017, Kaplan International entered into a 135-year lease of land in Liverpool, U.K. on which it completed the construction of college and/or dormitory space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opened in January 2020.</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In the television broadcasting segment, GMG owns all six of its studio facilities in Houston, TX, Detroit, MI, Orlando, FL, San Antonio, TX, Jacksonville, FL, and Roanoke, VA. GMG owns the tower facilities in its San Antonio, TX, Detroit, MI, and Roanoke, VA markets and jointly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owns the transmitter facilities in Jacksonville, FL, Orlando, FL, and Houston, TX.</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the healthcare segment, GHG leases 55 facilities for nursing and other office space across 15 states to support its home health, hospice, pharmacy infusion, physician practices and behavioral services and leases 12 facilities through its joint ventures with health systems and</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physician groups. GHG also owns two properties that are used for pharmacy infusion services (Nash, TX) and home health and hospice administrative services (Lapeer, MI).</w:t>
      </w:r>
    </w:p>
    <w:p>
      <w:pPr>
        <w:spacing w:after="0" w:line="10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In the manufacturing segment, Hoover operates 10 properties in AR, CA, FL, GA, MI, PA, TX, VA, WA, and WV. Dekko owns 6 properties in 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the automotive segment, Graham Automotive owns properties for its Honda of Tysons Corner dealership in VA, Toyota of Woodbridge</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dealership in VA, Chrysler-Dodge-Jeep-Ram of Woodbridge dealership in VA, and Toyota of Richmond dealership in VA. It leases 12 additional properties that serve as the sales and service departments for its Lexus of Rockville, Ourisman Jeep, Ford of Manassas, and Kia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Bethesda dealerships, along with a service facility for Roda.</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businesses that comprise the Company’s other businesses lease space for their operations, including office space and retail locations in D.C., MD, VA, NY, NJ, IL, GA, MA, PA, CT, TX, TN and NC, and manufacturing facilities in KY and VA for Framebridge; restaurant facilities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and office space in D.C., MD, and VA for Clyde’s; office space in NY and D.C. for Slate; office space in D.C. for Foreign Policy; office space in CO for Society6; office space in the U.K. and Australia for Saatchi Art; and event space in CA for WGB.</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Company considers its properties suitable for the conduct of its respective businesses and adequate for its current use. The Company believes that suitable additional or alternative space is available at commercially reasonable terms as leases expire or premises become</w:t>
      </w:r>
    </w:p>
    <w:p>
      <w:pPr>
        <w:ind w:right="20"/>
        <w:spacing w:after="0" w:line="237" w:lineRule="auto"/>
        <w:rPr>
          <w:sz w:val="20"/>
          <w:szCs w:val="20"/>
          <w:color w:val="auto"/>
        </w:rPr>
      </w:pPr>
      <w:r>
        <w:rPr>
          <w:rFonts w:ascii="Arial" w:cs="Arial" w:eastAsia="Arial" w:hAnsi="Arial"/>
          <w:sz w:val="18"/>
          <w:szCs w:val="18"/>
          <w:color w:val="auto"/>
        </w:rPr>
        <w:t>unavailable. However, it recognizes that replacements for student dormitory space leased by KI may be difficult to obtain due to high demand and alternative transmitter facilities could be costly and require a significant amount of time to construct.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5" w:name="page46"/>
    <w:bookmarkEnd w:id="45"/>
    <w:p>
      <w:pPr>
        <w:ind w:left="532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15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Company’s Class B Common Stock is traded on the NYSE under the symbol “GHC.” The Company’s Class A Common Stock is not publicly traded.</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At January 31, 2025, there were 27 holders of record of the Company’s Class A Common Stock and 309 holders of record of the Company’s Class B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During the quarter ended December 31, 2024, the Company purchased shares of its Class B Common Stock as set forth in the following table:</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4"/>
              <w:spacing w:after="0"/>
              <w:rPr>
                <w:sz w:val="20"/>
                <w:szCs w:val="20"/>
                <w:color w:val="auto"/>
              </w:rPr>
            </w:pPr>
            <w:r>
              <w:rPr>
                <w:rFonts w:ascii="Arial" w:cs="Arial" w:eastAsia="Arial" w:hAnsi="Arial"/>
                <w:sz w:val="14"/>
                <w:szCs w:val="14"/>
                <w:b w:val="1"/>
                <w:bCs w:val="1"/>
                <w:color w:val="auto"/>
              </w:rPr>
              <w:t>Maximum Number of Shares That</w:t>
            </w:r>
          </w:p>
        </w:tc>
      </w:tr>
      <w:tr>
        <w:trPr>
          <w:trHeight w:val="160"/>
        </w:trPr>
        <w:tc>
          <w:tcPr>
            <w:tcW w:w="3540" w:type="dxa"/>
            <w:vAlign w:val="bottom"/>
          </w:tcPr>
          <w:p>
            <w:pPr>
              <w:spacing w:after="0"/>
              <w:rPr>
                <w:sz w:val="13"/>
                <w:szCs w:val="13"/>
                <w:color w:val="auto"/>
              </w:rPr>
            </w:pPr>
          </w:p>
        </w:tc>
        <w:tc>
          <w:tcPr>
            <w:tcW w:w="1280" w:type="dxa"/>
            <w:vAlign w:val="bottom"/>
          </w:tcPr>
          <w:p>
            <w:pPr>
              <w:jc w:val="center"/>
              <w:ind w:right="3"/>
              <w:spacing w:after="0" w:line="159" w:lineRule="exact"/>
              <w:rPr>
                <w:sz w:val="20"/>
                <w:szCs w:val="20"/>
                <w:color w:val="auto"/>
              </w:rPr>
            </w:pPr>
            <w:r>
              <w:rPr>
                <w:rFonts w:ascii="Arial" w:cs="Arial" w:eastAsia="Arial" w:hAnsi="Arial"/>
                <w:sz w:val="14"/>
                <w:szCs w:val="14"/>
                <w:b w:val="1"/>
                <w:bCs w:val="1"/>
                <w:color w:val="auto"/>
              </w:rPr>
              <w:t>Total Number</w:t>
            </w:r>
          </w:p>
        </w:tc>
        <w:tc>
          <w:tcPr>
            <w:tcW w:w="180" w:type="dxa"/>
            <w:vAlign w:val="bottom"/>
          </w:tcPr>
          <w:p>
            <w:pPr>
              <w:spacing w:after="0"/>
              <w:rPr>
                <w:sz w:val="13"/>
                <w:szCs w:val="13"/>
                <w:color w:val="auto"/>
              </w:rPr>
            </w:pPr>
          </w:p>
        </w:tc>
        <w:tc>
          <w:tcPr>
            <w:tcW w:w="1200" w:type="dxa"/>
            <w:vAlign w:val="bottom"/>
          </w:tcPr>
          <w:p>
            <w:pPr>
              <w:jc w:val="right"/>
              <w:ind w:right="161"/>
              <w:spacing w:after="0" w:line="159" w:lineRule="exact"/>
              <w:rPr>
                <w:sz w:val="20"/>
                <w:szCs w:val="20"/>
                <w:color w:val="auto"/>
              </w:rPr>
            </w:pPr>
            <w:r>
              <w:rPr>
                <w:rFonts w:ascii="Arial" w:cs="Arial" w:eastAsia="Arial" w:hAnsi="Arial"/>
                <w:sz w:val="14"/>
                <w:szCs w:val="14"/>
                <w:b w:val="1"/>
                <w:bCs w:val="1"/>
                <w:color w:val="auto"/>
              </w:rPr>
              <w:t>Average Price</w:t>
            </w:r>
          </w:p>
        </w:tc>
        <w:tc>
          <w:tcPr>
            <w:tcW w:w="2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Purchased as Part of Publicly</w:t>
            </w:r>
          </w:p>
        </w:tc>
        <w:tc>
          <w:tcPr>
            <w:tcW w:w="2600" w:type="dxa"/>
            <w:vAlign w:val="bottom"/>
          </w:tcPr>
          <w:p>
            <w:pPr>
              <w:jc w:val="center"/>
              <w:ind w:left="24"/>
              <w:spacing w:after="0" w:line="159" w:lineRule="exact"/>
              <w:rPr>
                <w:sz w:val="20"/>
                <w:szCs w:val="20"/>
                <w:color w:val="auto"/>
              </w:rPr>
            </w:pPr>
            <w:r>
              <w:rPr>
                <w:rFonts w:ascii="Arial" w:cs="Arial" w:eastAsia="Arial" w:hAnsi="Arial"/>
                <w:sz w:val="14"/>
                <w:szCs w:val="14"/>
                <w:b w:val="1"/>
                <w:bCs w:val="1"/>
                <w:color w:val="auto"/>
              </w:rPr>
              <w:t>May Yet Be Purchased Under the</w:t>
            </w:r>
          </w:p>
        </w:tc>
      </w:tr>
      <w:tr>
        <w:trPr>
          <w:trHeight w:val="164"/>
        </w:trPr>
        <w:tc>
          <w:tcPr>
            <w:tcW w:w="3540" w:type="dxa"/>
            <w:vAlign w:val="bottom"/>
          </w:tcPr>
          <w:p>
            <w:pPr>
              <w:spacing w:after="0"/>
              <w:rPr>
                <w:sz w:val="14"/>
                <w:szCs w:val="14"/>
                <w:color w:val="auto"/>
              </w:rPr>
            </w:pPr>
          </w:p>
        </w:tc>
        <w:tc>
          <w:tcPr>
            <w:tcW w:w="1280" w:type="dxa"/>
            <w:vAlign w:val="bottom"/>
          </w:tcPr>
          <w:p>
            <w:pPr>
              <w:jc w:val="center"/>
              <w:ind w:right="3"/>
              <w:spacing w:after="0"/>
              <w:rPr>
                <w:sz w:val="20"/>
                <w:szCs w:val="20"/>
                <w:color w:val="auto"/>
              </w:rPr>
            </w:pPr>
            <w:r>
              <w:rPr>
                <w:rFonts w:ascii="Arial" w:cs="Arial" w:eastAsia="Arial" w:hAnsi="Arial"/>
                <w:sz w:val="14"/>
                <w:szCs w:val="14"/>
                <w:b w:val="1"/>
                <w:bCs w:val="1"/>
                <w:color w:val="auto"/>
              </w:rPr>
              <w:t>of Shares</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per Share</w:t>
            </w:r>
            <w:r>
              <w:rPr>
                <w:rFonts w:ascii="Arial" w:cs="Arial" w:eastAsia="Arial" w:hAnsi="Arial"/>
                <w:sz w:val="9"/>
                <w:szCs w:val="9"/>
                <w:b w:val="1"/>
                <w:bCs w:val="1"/>
                <w:color w:val="auto"/>
              </w:rPr>
              <w:t>(1)</w:t>
            </w:r>
          </w:p>
        </w:tc>
        <w:tc>
          <w:tcPr>
            <w:tcW w:w="234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rPr>
              <w:t>Announced Plan</w:t>
            </w:r>
            <w:r>
              <w:rPr>
                <w:rFonts w:ascii="Arial" w:cs="Arial" w:eastAsia="Arial" w:hAnsi="Arial"/>
                <w:sz w:val="18"/>
                <w:szCs w:val="18"/>
                <w:b w:val="1"/>
                <w:bCs w:val="1"/>
                <w:color w:val="auto"/>
                <w:vertAlign w:val="superscript"/>
              </w:rPr>
              <w:t>(2)</w:t>
            </w:r>
          </w:p>
        </w:tc>
        <w:tc>
          <w:tcPr>
            <w:tcW w:w="2600" w:type="dxa"/>
            <w:vAlign w:val="bottom"/>
          </w:tcPr>
          <w:p>
            <w:pPr>
              <w:jc w:val="center"/>
              <w:ind w:left="24"/>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r>
      <w:tr>
        <w:trPr>
          <w:trHeight w:val="20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r>
        <w:trPr>
          <w:trHeight w:val="200"/>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6"/>
                <w:szCs w:val="16"/>
                <w:color w:val="auto"/>
              </w:rPr>
              <w:t>October 1 - 31</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18,223</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812.87</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18,223</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467,909</w:t>
            </w:r>
          </w:p>
        </w:tc>
      </w:tr>
      <w:tr>
        <w:trPr>
          <w:trHeight w:val="230"/>
        </w:trPr>
        <w:tc>
          <w:tcPr>
            <w:tcW w:w="3540" w:type="dxa"/>
            <w:vAlign w:val="bottom"/>
          </w:tcPr>
          <w:p>
            <w:pPr>
              <w:ind w:left="20"/>
              <w:spacing w:after="0"/>
              <w:rPr>
                <w:sz w:val="20"/>
                <w:szCs w:val="20"/>
                <w:color w:val="auto"/>
              </w:rPr>
            </w:pPr>
            <w:r>
              <w:rPr>
                <w:rFonts w:ascii="Arial" w:cs="Arial" w:eastAsia="Arial" w:hAnsi="Arial"/>
                <w:sz w:val="16"/>
                <w:szCs w:val="16"/>
                <w:color w:val="auto"/>
              </w:rPr>
              <w:t>November 1 - 30</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1,400</w:t>
            </w:r>
          </w:p>
        </w:tc>
        <w:tc>
          <w:tcPr>
            <w:tcW w:w="180" w:type="dxa"/>
            <w:vAlign w:val="bottom"/>
          </w:tcPr>
          <w:p>
            <w:pPr>
              <w:spacing w:after="0"/>
              <w:rPr>
                <w:sz w:val="19"/>
                <w:szCs w:val="19"/>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851.40</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1,400</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466,509</w:t>
            </w:r>
          </w:p>
        </w:tc>
      </w:tr>
      <w:tr>
        <w:trPr>
          <w:trHeight w:val="238"/>
        </w:trPr>
        <w:tc>
          <w:tcPr>
            <w:tcW w:w="3540" w:type="dxa"/>
            <w:vAlign w:val="bottom"/>
          </w:tcPr>
          <w:p>
            <w:pPr>
              <w:ind w:left="20"/>
              <w:spacing w:after="0"/>
              <w:rPr>
                <w:sz w:val="20"/>
                <w:szCs w:val="20"/>
                <w:color w:val="auto"/>
              </w:rPr>
            </w:pPr>
            <w:r>
              <w:rPr>
                <w:rFonts w:ascii="Arial" w:cs="Arial" w:eastAsia="Arial" w:hAnsi="Arial"/>
                <w:sz w:val="16"/>
                <w:szCs w:val="16"/>
                <w:color w:val="auto"/>
              </w:rPr>
              <w:t>December 1 - 31</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875.93</w:t>
            </w:r>
          </w:p>
        </w:tc>
        <w:tc>
          <w:tcPr>
            <w:tcW w:w="2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466,460</w:t>
            </w:r>
          </w:p>
        </w:tc>
      </w:tr>
      <w:tr>
        <w:trPr>
          <w:trHeight w:val="237"/>
        </w:trPr>
        <w:tc>
          <w:tcPr>
            <w:tcW w:w="35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19,672</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815.77</w:t>
            </w:r>
          </w:p>
        </w:tc>
        <w:tc>
          <w:tcPr>
            <w:tcW w:w="2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19,672</w:t>
            </w:r>
          </w:p>
        </w:tc>
        <w:tc>
          <w:tcPr>
            <w:tcW w:w="2600" w:type="dxa"/>
            <w:vAlign w:val="bottom"/>
          </w:tcPr>
          <w:p>
            <w:pPr>
              <w:spacing w:after="0"/>
              <w:rPr>
                <w:sz w:val="20"/>
                <w:szCs w:val="20"/>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6"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Average price paid per share includes costs associated with repurchases, including commissions and excise taxes.</w:t>
      </w:r>
    </w:p>
    <w:p>
      <w:pPr>
        <w:spacing w:after="0" w:line="53" w:lineRule="exact"/>
        <w:rPr>
          <w:rFonts w:ascii="Arial" w:cs="Arial" w:eastAsia="Arial" w:hAnsi="Arial"/>
          <w:sz w:val="13"/>
          <w:szCs w:val="13"/>
          <w:color w:val="auto"/>
        </w:rPr>
      </w:pPr>
    </w:p>
    <w:p>
      <w:pPr>
        <w:ind w:firstLine="8"/>
        <w:spacing w:after="0" w:line="234" w:lineRule="auto"/>
        <w:tabs>
          <w:tab w:leader="none" w:pos="189" w:val="left"/>
        </w:tabs>
        <w:numPr>
          <w:ilvl w:val="0"/>
          <w:numId w:val="60"/>
        </w:numPr>
        <w:rPr>
          <w:rFonts w:ascii="Arial" w:cs="Arial" w:eastAsia="Arial" w:hAnsi="Arial"/>
          <w:sz w:val="13"/>
          <w:szCs w:val="13"/>
          <w:color w:val="auto"/>
        </w:rPr>
      </w:pPr>
      <w:r>
        <w:rPr>
          <w:rFonts w:ascii="Arial" w:cs="Arial" w:eastAsia="Arial" w:hAnsi="Arial"/>
          <w:sz w:val="13"/>
          <w:szCs w:val="13"/>
          <w:color w:val="auto"/>
        </w:rPr>
        <w:t>On September 12, 2024,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Share purchases made during the quarter ended December 31, 2024 occurred through open market transactions or to enable employees to obtain the funds necessary to satisfy taxes incurred in connection with the vesting of restricted stock awards. Some of these shares were purchased pursuant to a 10b5-1 trading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4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(S&amp;P 500 Index) and a custom peer group index comprised of a composite</w:t>
      </w:r>
    </w:p>
    <w:p>
      <w:pPr>
        <w:ind w:right="400"/>
        <w:spacing w:after="0" w:line="226" w:lineRule="auto"/>
        <w:rPr>
          <w:sz w:val="20"/>
          <w:szCs w:val="20"/>
          <w:color w:val="auto"/>
        </w:rPr>
      </w:pPr>
      <w:r>
        <w:rPr>
          <w:rFonts w:ascii="Arial" w:cs="Arial" w:eastAsia="Arial" w:hAnsi="Arial"/>
          <w:sz w:val="18"/>
          <w:szCs w:val="18"/>
          <w:color w:val="auto"/>
        </w:rPr>
        <w:t>group of education and television broadcasting companies. The S&amp;P 500 Index is comprised of 500 U.S. companies in the industrial, transportation, utilities and financial industries and is weighted by market capitalization. The custom peer group of composite companies</w:t>
      </w:r>
    </w:p>
    <w:p>
      <w:pPr>
        <w:spacing w:after="0" w:line="236" w:lineRule="auto"/>
        <w:rPr>
          <w:sz w:val="20"/>
          <w:szCs w:val="20"/>
          <w:color w:val="auto"/>
        </w:rPr>
      </w:pPr>
      <w:r>
        <w:rPr>
          <w:rFonts w:ascii="Arial" w:cs="Arial" w:eastAsia="Arial" w:hAnsi="Arial"/>
          <w:sz w:val="18"/>
          <w:szCs w:val="18"/>
          <w:color w:val="auto"/>
        </w:rPr>
        <w:t>includes Adtalem Global Education Inc., Chegg, Inc., The E.W. Scripps Company, Grand Canyon Education Inc., Nexstar Media Group Inc.,</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Gray Media, Inc (formerly Gray Television Inc.), New Oriental Education &amp; Technology Group Inc., Pearson plc and Tegna Inc. The graph reflects the investment of $100 on December 31, 2019, in the Company’s Class B Common Stock, the S&amp;P 500 Index and the custom peer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group index of composite companies. For purposes of this graph, it has been assumed that dividends were reinvested on the date paid in the case of the Company, and on a quarterly basis in the case of the S&amp;P 500 Index and the custom peer group index of composite companies.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680720</wp:posOffset>
            </wp:positionV>
            <wp:extent cx="5220335" cy="3308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22033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2024</w:t>
            </w:r>
          </w:p>
        </w:tc>
      </w:tr>
      <w:tr>
        <w:trPr>
          <w:trHeight w:val="218"/>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84.68</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100.99</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97.93</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114.15</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144.19</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118.40</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152.39</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124.79</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157.59</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197.02</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132.43</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66.93</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80.53</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91.38</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97.93</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52 hereof.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 business operations, which are subject to foreign exchange rate risk.</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 xml:space="preserve">Equity Price Risk. </w:t>
      </w:r>
      <w:r>
        <w:rPr>
          <w:rFonts w:ascii="Arial" w:cs="Arial" w:eastAsia="Arial" w:hAnsi="Arial"/>
          <w:sz w:val="17"/>
          <w:szCs w:val="17"/>
          <w:color w:val="auto"/>
        </w:rPr>
        <w:t>The Company has common stock investments in several publicly traded companies (as discussed in Note 4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Consolidated Financial Statements) that are subject to market price volatility. The fair value of these common stock investments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totaled $852.4 million at December 31, 2024.</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Company had $400 million principal amount of 5.75% unsecured fixed-rate notes due June 1, 2026 (the Notes).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At December 31, 2024, the aggregate fair value of the Notes, based upon quoted market prices, was $398.9 million. There were no earnings or liquidity risks associated with the Company’s Notes. The fair value of the Notes varies with fluctuations in market interest rates. A 100</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7"/>
          <w:szCs w:val="17"/>
          <w:color w:val="auto"/>
        </w:rPr>
        <w:t>basis point decrease in market interest rates would increase the fair value of the Notes by $5.4 million at December 31, 2024 using a yield to maturity. A 100 basis point increase in market interest rates would decrease the fair value of the Notes by $5.3 million at December 31, 2024,</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using a yield to maturity. The Company also had approximately $16 million of other fixed-rate debt, primarily relating to the healthcare business.</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At December 31, 2024, the Company had approximately $483 million of variable-rate debt, including floor plan facility obligations. Approximately $70.9 million of this debt is hedged by an interest rate swap. The Company is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subject to earnings and liquidity risks for changes in the interest rate on the unhedged portion of this debt. A 100 basis point increase in the</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applicable floating rates for the unhedged portions of our variable-rate debt would increase annual interest expense by approximately $4.1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the primary exposure relates to the exchange rate between the U.S. dollar and the British pound, the Australian dollar, and the Singapore dollar. In 2024, 2023 and 2022, the Company reported a net foreign currency gain of $5.4 million and net foreign currency losses of $1.1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and $2.0 million, respectively.</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If the values of the British pound, the Australian dollar, and the Singapore dollar relative to the U.S. dollar had been 10% lower than the values that prevailed during 2024, the Company’s pre-tax income for 2024 would have been approximately $33 million lower. Conversely,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values had been 10% higher, the Company’s reported pre-tax income for 2024 would have been approximately $33 million higher.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See the Company’s Consolidated Financial Statements at December 31, 2024, and for the periods then ended, together with the report of PricewaterhouseCoopers LLP thereon, which are included in this Annual Report on Form 10-K and listed in the index to financial information on page 52 hereof.</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235" w:lineRule="auto"/>
        <w:rPr>
          <w:sz w:val="20"/>
          <w:szCs w:val="20"/>
          <w:color w:val="auto"/>
        </w:rPr>
      </w:pPr>
      <w:r>
        <w:rPr>
          <w:rFonts w:ascii="Arial" w:cs="Arial" w:eastAsia="Arial" w:hAnsi="Arial"/>
          <w:sz w:val="18"/>
          <w:szCs w:val="18"/>
          <w:color w:val="auto"/>
        </w:rPr>
        <w:t>controls and procedures (as defined in Exchange Act Rules 13a-15(e) and 15d-15(e)), as of December 31, 2024. Based on that evaluation,</w:t>
      </w:r>
    </w:p>
    <w:p>
      <w:pPr>
        <w:spacing w:after="0" w:line="22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 as designed and implemented, are effective in ensuring that information required to be disclosed by the Company in the reports that it files or</w:t>
      </w:r>
    </w:p>
    <w:p>
      <w:pPr>
        <w:spacing w:after="0" w:line="23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reasonable assurance regarding the reliability of financial reporting and the preparation of financial statements for external purposes in accordance with generally accepted accounting principles.</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2024. In making this assessment, management used the criteria set forth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w:t>
      </w:r>
    </w:p>
    <w:p>
      <w:pPr>
        <w:ind w:right="300"/>
        <w:spacing w:after="0" w:line="237" w:lineRule="auto"/>
        <w:rPr>
          <w:sz w:val="20"/>
          <w:szCs w:val="20"/>
          <w:color w:val="auto"/>
        </w:rPr>
      </w:pPr>
      <w:r>
        <w:rPr>
          <w:rFonts w:ascii="Arial" w:cs="Arial" w:eastAsia="Arial" w:hAnsi="Arial"/>
          <w:sz w:val="18"/>
          <w:szCs w:val="18"/>
          <w:color w:val="auto"/>
        </w:rPr>
        <w:t>Organizations of the Treadway Commission (COSO) in 2013. Management has concluded that as of December 31, 2024, the Company’s internal control over financial reporting was effective based on these criteria.</w:t>
      </w:r>
    </w:p>
    <w:p>
      <w:pPr>
        <w:spacing w:after="0" w:line="127" w:lineRule="exact"/>
        <w:rPr>
          <w:sz w:val="20"/>
          <w:szCs w:val="20"/>
          <w:color w:val="auto"/>
        </w:rPr>
      </w:pPr>
    </w:p>
    <w:p>
      <w:pPr>
        <w:ind w:right="1440"/>
        <w:spacing w:after="0" w:line="271" w:lineRule="auto"/>
        <w:rPr>
          <w:sz w:val="20"/>
          <w:szCs w:val="20"/>
          <w:color w:val="auto"/>
        </w:rPr>
      </w:pPr>
      <w:r>
        <w:rPr>
          <w:rFonts w:ascii="Arial" w:cs="Arial" w:eastAsia="Arial" w:hAnsi="Arial"/>
          <w:sz w:val="18"/>
          <w:szCs w:val="18"/>
          <w:color w:val="auto"/>
        </w:rPr>
        <w:t>The effectiveness of the Company’s internal control over financial reporting as of December 31, 2024, has been audited by PricewaterhouseCoopers LLP, an independent registered public accounting firm, as stated in their report included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9B.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2024, none of the Company’s directors or officers (as defined in Rule 16a-1(f) of the Exchange</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Act) adopted, modified or terminated a “Rule 10b5-1 trading arrangement” or “non-Rule 10b5-1 trading arrangement,” as defined in Item 408 of Regulation 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information contained under the heading “Executive Officers” in Item 1 hereof and the information contained under the headings “Nominees for Election by Class A Shareholders,” “Nominees for Election by Class B Shareholders,” “Audit Committee,” “Risk Assessment of</w:t>
      </w:r>
    </w:p>
    <w:p>
      <w:pPr>
        <w:spacing w:after="0" w:line="235" w:lineRule="auto"/>
        <w:rPr>
          <w:sz w:val="20"/>
          <w:szCs w:val="20"/>
          <w:color w:val="auto"/>
        </w:rPr>
      </w:pPr>
      <w:r>
        <w:rPr>
          <w:rFonts w:ascii="Arial" w:cs="Arial" w:eastAsia="Arial" w:hAnsi="Arial"/>
          <w:sz w:val="18"/>
          <w:szCs w:val="18"/>
          <w:color w:val="auto"/>
        </w:rPr>
        <w:t>Compensation Program, Insider Trading, Recoupment and Hedging Policies” and “Section 16(a) Beneficial Ownership Reporting</w:t>
      </w:r>
    </w:p>
    <w:p>
      <w:pPr>
        <w:ind w:right="180"/>
        <w:spacing w:after="0" w:line="237" w:lineRule="auto"/>
        <w:rPr>
          <w:sz w:val="20"/>
          <w:szCs w:val="20"/>
          <w:color w:val="auto"/>
        </w:rPr>
      </w:pPr>
      <w:r>
        <w:rPr>
          <w:rFonts w:ascii="Arial" w:cs="Arial" w:eastAsia="Arial" w:hAnsi="Arial"/>
          <w:sz w:val="18"/>
          <w:szCs w:val="18"/>
          <w:color w:val="auto"/>
        </w:rPr>
        <w:t>Compliance” in the definitive Proxy Statement for the Company’s 2025 Annual Meeting of Stockholders is incorporated herein by reference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Regulation S-K and that apply to the Company’s principal executive officer, principal financial officer, principal accounting officer or controller and to any persons performing similar functions. Such codes of conduct are posted on the Company’s website, the address of which is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posting the required information on its website.</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3, 2024, the Company’s Chief Executive Officer submitted to the New York Stock Exchange the annual certification</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regarding compliance with the NYSE’s corporate governance listing standards required by Section 303A.12(a) of the NYSE Listed Company Manual.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2025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Stockholders is incorporated herein by reference thereto.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2025 Annual Meeting of Stockholders is incorporated herein by reference thereto.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2025 Annual Meeting of Stockholders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2025 Annual Meeting of Stockholders is incorporated herein by reference thereto.</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90" w:lineRule="exact"/>
        <w:rPr>
          <w:sz w:val="20"/>
          <w:szCs w:val="20"/>
          <w:color w:val="auto"/>
        </w:rPr>
      </w:pPr>
    </w:p>
    <w:p>
      <w:pPr>
        <w:ind w:left="860" w:hanging="407"/>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52 hereof.</w:t>
      </w:r>
    </w:p>
    <w:p>
      <w:pPr>
        <w:spacing w:after="0" w:line="103" w:lineRule="exact"/>
        <w:rPr>
          <w:rFonts w:ascii="Arial" w:cs="Arial" w:eastAsia="Arial" w:hAnsi="Arial"/>
          <w:sz w:val="18"/>
          <w:szCs w:val="18"/>
          <w:color w:val="auto"/>
        </w:rPr>
      </w:pPr>
    </w:p>
    <w:p>
      <w:pPr>
        <w:ind w:left="860" w:hanging="407"/>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49 hereof.</w:t>
      </w:r>
    </w:p>
    <w:p>
      <w:pPr>
        <w:sectPr>
          <w:pgSz w:w="11900" w:h="16838" w:orient="portrait"/>
          <w:cols w:equalWidth="0" w:num="1">
            <w:col w:w="11200"/>
          </w:cols>
          <w:pgMar w:left="320" w:top="1039" w:right="3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16. Form 10-K Summary.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7"/>
        </w:trPr>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720" w:type="dxa"/>
            <w:vAlign w:val="bottom"/>
            <w:gridSpan w:val="38"/>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87"/>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6"/>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9940" w:type="dxa"/>
            <w:vAlign w:val="bottom"/>
            <w:gridSpan w:val="42"/>
          </w:tcPr>
          <w:p>
            <w:pPr>
              <w:spacing w:after="0"/>
              <w:rPr>
                <w:rFonts w:ascii="Arial" w:cs="Arial" w:eastAsia="Arial" w:hAnsi="Arial"/>
                <w:sz w:val="17"/>
                <w:szCs w:val="17"/>
                <w:color w:val="0000FF"/>
              </w:rPr>
            </w:pPr>
            <w:hyperlink r:id="rId62">
              <w:r>
                <w:rPr>
                  <w:rFonts w:ascii="Arial" w:cs="Arial" w:eastAsia="Arial" w:hAnsi="Arial"/>
                  <w:sz w:val="17"/>
                  <w:szCs w:val="17"/>
                  <w:color w:val="0000FF"/>
                </w:rPr>
                <w:t>Contribution and Transfer Agreement, dated April 27, 2017, by and among Kaplan Higher Education, LLC, Iowa College</w:t>
              </w:r>
            </w:hyperlink>
          </w:p>
        </w:tc>
      </w:tr>
      <w:tr>
        <w:trPr>
          <w:trHeight w:val="169"/>
        </w:trPr>
        <w:tc>
          <w:tcPr>
            <w:tcW w:w="1340" w:type="dxa"/>
            <w:vAlign w:val="bottom"/>
          </w:tcPr>
          <w:p>
            <w:pPr>
              <w:spacing w:after="0"/>
              <w:rPr>
                <w:sz w:val="14"/>
                <w:szCs w:val="14"/>
                <w:color w:val="auto"/>
              </w:rPr>
            </w:pPr>
          </w:p>
        </w:tc>
        <w:tc>
          <w:tcPr>
            <w:tcW w:w="906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Acquisition, LLC, Purdue University and Purdue New U, Inc. (incorporated by reference to Exhibit 2.1 to the Company’s</w:t>
              </w:r>
            </w:hyperlink>
          </w:p>
        </w:tc>
        <w:tc>
          <w:tcPr>
            <w:tcW w:w="880" w:type="dxa"/>
            <w:vAlign w:val="bottom"/>
            <w:gridSpan w:val="30"/>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Current</w:t>
              </w:r>
            </w:hyperlink>
          </w:p>
        </w:tc>
      </w:tr>
      <w:tr>
        <w:trPr>
          <w:trHeight w:val="169"/>
        </w:trPr>
        <w:tc>
          <w:tcPr>
            <w:tcW w:w="13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Report on Form 8-K filed April 27, 2017).**</w:t>
              </w:r>
            </w:hyperlink>
          </w:p>
        </w:tc>
        <w:tc>
          <w:tcPr>
            <w:tcW w:w="64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9940" w:type="dxa"/>
            <w:vAlign w:val="bottom"/>
            <w:gridSpan w:val="42"/>
          </w:tcPr>
          <w:p>
            <w:pPr>
              <w:spacing w:after="0"/>
              <w:rPr>
                <w:rFonts w:ascii="Arial" w:cs="Arial" w:eastAsia="Arial" w:hAnsi="Arial"/>
                <w:sz w:val="17"/>
                <w:szCs w:val="17"/>
                <w:color w:val="0000FF"/>
              </w:rPr>
            </w:pPr>
            <w:hyperlink r:id="rId63">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69"/>
        </w:trPr>
        <w:tc>
          <w:tcPr>
            <w:tcW w:w="134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63">
              <w:r>
                <w:rPr>
                  <w:rFonts w:ascii="Arial" w:cs="Arial" w:eastAsia="Arial" w:hAnsi="Arial"/>
                  <w:sz w:val="17"/>
                  <w:szCs w:val="17"/>
                  <w:color w:val="0000FF"/>
                </w:rPr>
                <w:t>Company’s Annual Report on Form 10-K for the fiscal year ended December 28, 2003).</w:t>
              </w:r>
            </w:hyperlink>
          </w:p>
        </w:tc>
        <w:tc>
          <w:tcPr>
            <w:tcW w:w="3000" w:type="dxa"/>
            <w:vAlign w:val="bottom"/>
            <w:tcBorders>
              <w:top w:val="single" w:sz="8" w:color="0000FF"/>
            </w:tcBorders>
            <w:gridSpan w:val="16"/>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9940" w:type="dxa"/>
            <w:vAlign w:val="bottom"/>
            <w:gridSpan w:val="42"/>
          </w:tcPr>
          <w:p>
            <w:pPr>
              <w:spacing w:after="0"/>
              <w:rPr>
                <w:rFonts w:ascii="Arial" w:cs="Arial" w:eastAsia="Arial" w:hAnsi="Arial"/>
                <w:sz w:val="17"/>
                <w:szCs w:val="17"/>
                <w:color w:val="0000FF"/>
              </w:rPr>
            </w:pPr>
            <w:hyperlink r:id="rId64">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69"/>
        </w:trPr>
        <w:tc>
          <w:tcPr>
            <w:tcW w:w="134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10"/>
          </w:tcPr>
          <w:p>
            <w:pPr>
              <w:spacing w:after="0" w:line="169" w:lineRule="exact"/>
              <w:rPr>
                <w:rFonts w:ascii="Arial" w:cs="Arial" w:eastAsia="Arial" w:hAnsi="Arial"/>
                <w:sz w:val="17"/>
                <w:szCs w:val="17"/>
                <w:color w:val="0000FF"/>
              </w:rPr>
            </w:pPr>
            <w:hyperlink r:id="rId64">
              <w:r>
                <w:rPr>
                  <w:rFonts w:ascii="Arial" w:cs="Arial" w:eastAsia="Arial" w:hAnsi="Arial"/>
                  <w:sz w:val="17"/>
                  <w:szCs w:val="17"/>
                  <w:color w:val="0000FF"/>
                </w:rPr>
                <w:t>by reference to Exhibit 3.1 to the Company’s Current Report on Form 8-K filed November 29, 2013).</w:t>
              </w:r>
            </w:hyperlink>
          </w:p>
        </w:tc>
        <w:tc>
          <w:tcPr>
            <w:tcW w:w="230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9940" w:type="dxa"/>
            <w:vAlign w:val="bottom"/>
            <w:gridSpan w:val="42"/>
          </w:tcPr>
          <w:p>
            <w:pPr>
              <w:spacing w:after="0"/>
              <w:rPr>
                <w:rFonts w:ascii="Arial" w:cs="Arial" w:eastAsia="Arial" w:hAnsi="Arial"/>
                <w:sz w:val="17"/>
                <w:szCs w:val="17"/>
                <w:color w:val="0000FF"/>
              </w:rPr>
            </w:pPr>
            <w:hyperlink r:id="rId65">
              <w:r>
                <w:rPr>
                  <w:rFonts w:ascii="Arial" w:cs="Arial" w:eastAsia="Arial" w:hAnsi="Arial"/>
                  <w:sz w:val="17"/>
                  <w:szCs w:val="17"/>
                  <w:color w:val="0000FF"/>
                </w:rPr>
                <w:t>By-Laws of the Company as amended and restated through September 12, 2024 (incorporated by reference to Exhibit 3.1 to the</w:t>
              </w:r>
            </w:hyperlink>
          </w:p>
        </w:tc>
      </w:tr>
      <w:tr>
        <w:trPr>
          <w:trHeight w:val="169"/>
        </w:trPr>
        <w:tc>
          <w:tcPr>
            <w:tcW w:w="134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rPr>
            </w:pPr>
            <w:hyperlink r:id="rId65">
              <w:r>
                <w:rPr>
                  <w:rFonts w:ascii="Arial" w:cs="Arial" w:eastAsia="Arial" w:hAnsi="Arial"/>
                  <w:sz w:val="17"/>
                  <w:szCs w:val="17"/>
                  <w:color w:val="0000FF"/>
                </w:rPr>
                <w:t>Company’s Current Report on Form 8-K dated September 12, 2024).</w:t>
              </w:r>
            </w:hyperlink>
          </w:p>
        </w:tc>
        <w:tc>
          <w:tcPr>
            <w:tcW w:w="44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9940" w:type="dxa"/>
            <w:vAlign w:val="bottom"/>
            <w:gridSpan w:val="42"/>
          </w:tcPr>
          <w:p>
            <w:pPr>
              <w:spacing w:after="0"/>
              <w:rPr>
                <w:rFonts w:ascii="Arial" w:cs="Arial" w:eastAsia="Arial" w:hAnsi="Arial"/>
                <w:sz w:val="17"/>
                <w:szCs w:val="17"/>
                <w:color w:val="0000FF"/>
              </w:rPr>
            </w:pPr>
            <w:hyperlink r:id="rId66">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169"/>
        </w:trPr>
        <w:tc>
          <w:tcPr>
            <w:tcW w:w="1340" w:type="dxa"/>
            <w:vAlign w:val="bottom"/>
          </w:tcPr>
          <w:p>
            <w:pPr>
              <w:spacing w:after="0"/>
              <w:rPr>
                <w:sz w:val="14"/>
                <w:szCs w:val="14"/>
                <w:color w:val="auto"/>
              </w:rPr>
            </w:pPr>
          </w:p>
        </w:tc>
        <w:tc>
          <w:tcPr>
            <w:tcW w:w="9920" w:type="dxa"/>
            <w:vAlign w:val="bottom"/>
            <w:tcBorders>
              <w:top w:val="single" w:sz="8" w:color="0000FF"/>
            </w:tcBorders>
            <w:gridSpan w:val="41"/>
          </w:tcPr>
          <w:p>
            <w:pPr>
              <w:spacing w:after="0" w:line="169" w:lineRule="exact"/>
              <w:rPr>
                <w:rFonts w:ascii="Arial" w:cs="Arial" w:eastAsia="Arial" w:hAnsi="Arial"/>
                <w:sz w:val="17"/>
                <w:szCs w:val="17"/>
                <w:color w:val="0000FF"/>
              </w:rPr>
            </w:pPr>
            <w:hyperlink r:id="rId66">
              <w:r>
                <w:rPr>
                  <w:rFonts w:ascii="Arial" w:cs="Arial" w:eastAsia="Arial" w:hAnsi="Arial"/>
                  <w:sz w:val="17"/>
                  <w:szCs w:val="17"/>
                  <w:color w:val="0000FF"/>
                </w:rPr>
                <w:t>as Trustee (incorporated by reference to Exhibit 4.1 to the Company’s Current Report on Form 8-K dated May 30, 2018).</w:t>
              </w:r>
            </w:hyperlink>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9940" w:type="dxa"/>
            <w:vAlign w:val="bottom"/>
            <w:gridSpan w:val="42"/>
          </w:tcPr>
          <w:p>
            <w:pPr>
              <w:spacing w:after="0"/>
              <w:rPr>
                <w:rFonts w:ascii="Arial" w:cs="Arial" w:eastAsia="Arial" w:hAnsi="Arial"/>
                <w:sz w:val="17"/>
                <w:szCs w:val="17"/>
                <w:color w:val="0000FF"/>
              </w:rPr>
            </w:pPr>
            <w:hyperlink r:id="rId67">
              <w:r>
                <w:rPr>
                  <w:rFonts w:ascii="Arial" w:cs="Arial" w:eastAsia="Arial" w:hAnsi="Arial"/>
                  <w:sz w:val="17"/>
                  <w:szCs w:val="17"/>
                  <w:color w:val="0000FF"/>
                </w:rPr>
                <w:t>First Supplemental Indenture, dated as of March 24, 2020, among Graham Healthcare Group, Inc., a Delaware corporation, a</w:t>
              </w:r>
            </w:hyperlink>
          </w:p>
        </w:tc>
      </w:tr>
      <w:tr>
        <w:trPr>
          <w:trHeight w:val="169"/>
        </w:trPr>
        <w:tc>
          <w:tcPr>
            <w:tcW w:w="1340" w:type="dxa"/>
            <w:vAlign w:val="bottom"/>
          </w:tcPr>
          <w:p>
            <w:pPr>
              <w:spacing w:after="0"/>
              <w:rPr>
                <w:sz w:val="14"/>
                <w:szCs w:val="14"/>
                <w:color w:val="auto"/>
              </w:rPr>
            </w:pPr>
          </w:p>
        </w:tc>
        <w:tc>
          <w:tcPr>
            <w:tcW w:w="9480" w:type="dxa"/>
            <w:vAlign w:val="bottom"/>
            <w:tcBorders>
              <w:top w:val="single" w:sz="8" w:color="0000FF"/>
            </w:tcBorders>
            <w:gridSpan w:val="20"/>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subsidiary of the Company, and The Bank of New York Mellon Trust Company, N.A., as trustee (incorporated by reference 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400" w:type="dxa"/>
            <w:vAlign w:val="bottom"/>
            <w:tcBorders>
              <w:top w:val="single" w:sz="8" w:color="0000FF"/>
            </w:tcBorders>
            <w:gridSpan w:val="18"/>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Exhibit 4.1 to the Company’s Quarterly Report on Form 10-Q for the quarter ended March 31, 2020).</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4.3</w:t>
            </w:r>
          </w:p>
        </w:tc>
        <w:tc>
          <w:tcPr>
            <w:tcW w:w="9940" w:type="dxa"/>
            <w:vAlign w:val="bottom"/>
            <w:gridSpan w:val="42"/>
          </w:tcPr>
          <w:p>
            <w:pPr>
              <w:spacing w:after="0"/>
              <w:rPr>
                <w:rFonts w:ascii="Arial" w:cs="Arial" w:eastAsia="Arial" w:hAnsi="Arial"/>
                <w:sz w:val="17"/>
                <w:szCs w:val="17"/>
                <w:color w:val="0000FF"/>
              </w:rPr>
            </w:pPr>
            <w:hyperlink r:id="rId68">
              <w:r>
                <w:rPr>
                  <w:rFonts w:ascii="Arial" w:cs="Arial" w:eastAsia="Arial" w:hAnsi="Arial"/>
                  <w:sz w:val="17"/>
                  <w:szCs w:val="17"/>
                  <w:color w:val="0000FF"/>
                </w:rPr>
                <w:t>Second Supplemental Indenture, dated as of January 6, 2022, among Graham Automotive LLC, a Delaware limited liability</w:t>
              </w:r>
            </w:hyperlink>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9940" w:type="dxa"/>
            <w:vAlign w:val="bottom"/>
            <w:gridSpan w:val="4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company, a subsidiary of Graham Holdings Company, a Delaware corporation, and The Bank of New York Mellon Trust Company,</w:t>
              </w:r>
            </w:hyperlink>
          </w:p>
        </w:tc>
      </w:tr>
      <w:tr>
        <w:trPr>
          <w:trHeight w:val="156"/>
        </w:trPr>
        <w:tc>
          <w:tcPr>
            <w:tcW w:w="1340" w:type="dxa"/>
            <w:vAlign w:val="bottom"/>
          </w:tcPr>
          <w:p>
            <w:pPr>
              <w:spacing w:after="0"/>
              <w:rPr>
                <w:sz w:val="13"/>
                <w:szCs w:val="13"/>
                <w:color w:val="auto"/>
              </w:rPr>
            </w:pPr>
          </w:p>
        </w:tc>
        <w:tc>
          <w:tcPr>
            <w:tcW w:w="9840" w:type="dxa"/>
            <w:vAlign w:val="bottom"/>
            <w:tcBorders>
              <w:top w:val="single" w:sz="8" w:color="0000FF"/>
            </w:tcBorders>
            <w:gridSpan w:val="37"/>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N.A., as trustee (incorporated by reference to Exhibit 4.3 to the Company’s Annual Report on Form 10-K for the fiscal year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December 31, 2021).</w:t>
              </w:r>
            </w:hyperlink>
          </w:p>
        </w:tc>
        <w:tc>
          <w:tcPr>
            <w:tcW w:w="81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4.4</w:t>
            </w:r>
          </w:p>
        </w:tc>
        <w:tc>
          <w:tcPr>
            <w:tcW w:w="9940" w:type="dxa"/>
            <w:vAlign w:val="bottom"/>
            <w:gridSpan w:val="42"/>
          </w:tcPr>
          <w:p>
            <w:pPr>
              <w:spacing w:after="0"/>
              <w:rPr>
                <w:rFonts w:ascii="Arial" w:cs="Arial" w:eastAsia="Arial" w:hAnsi="Arial"/>
                <w:sz w:val="17"/>
                <w:szCs w:val="17"/>
                <w:color w:val="0000FF"/>
              </w:rPr>
            </w:pPr>
            <w:hyperlink r:id="rId69">
              <w:r>
                <w:rPr>
                  <w:rFonts w:ascii="Arial" w:cs="Arial" w:eastAsia="Arial" w:hAnsi="Arial"/>
                  <w:sz w:val="17"/>
                  <w:szCs w:val="17"/>
                  <w:color w:val="0000FF"/>
                </w:rPr>
                <w:t>Third Supplemental Indenture, dated as of August 15, 2023, among Graham Digital Holding Company LLC, a Delaware limited</w:t>
              </w:r>
            </w:hyperlink>
          </w:p>
        </w:tc>
      </w:tr>
      <w:tr>
        <w:trPr>
          <w:trHeight w:val="142"/>
        </w:trPr>
        <w:tc>
          <w:tcPr>
            <w:tcW w:w="1340" w:type="dxa"/>
            <w:vAlign w:val="bottom"/>
          </w:tcPr>
          <w:p>
            <w:pPr>
              <w:spacing w:after="0"/>
              <w:rPr>
                <w:sz w:val="12"/>
                <w:szCs w:val="12"/>
                <w:color w:val="auto"/>
              </w:rPr>
            </w:pPr>
          </w:p>
        </w:tc>
        <w:tc>
          <w:tcPr>
            <w:tcW w:w="95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liability company, a subsidiary of Graham Holdings Company, a Delaware corporation, and The Bank of New York Mellon Trust</w:t>
              </w:r>
            </w:hyperlink>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134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Company, N.A., as trustee (incorporated by reference to Exhibit 4.4 to the Company’s Quarterly Report on Form 10-Q for the</w:t>
              </w:r>
            </w:hyperlink>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3"/>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quarter ended September 30, 2023).</w:t>
              </w:r>
            </w:hyperlink>
          </w:p>
        </w:tc>
        <w:tc>
          <w:tcPr>
            <w:tcW w:w="6640" w:type="dxa"/>
            <w:vAlign w:val="bottom"/>
            <w:tcBorders>
              <w:top w:val="single" w:sz="8" w:color="0000FF"/>
            </w:tcBorders>
            <w:gridSpan w:val="16"/>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4.5</w:t>
            </w:r>
          </w:p>
        </w:tc>
        <w:tc>
          <w:tcPr>
            <w:tcW w:w="9940" w:type="dxa"/>
            <w:vAlign w:val="bottom"/>
            <w:gridSpan w:val="42"/>
          </w:tcPr>
          <w:p>
            <w:pPr>
              <w:spacing w:after="0"/>
              <w:rPr>
                <w:rFonts w:ascii="Arial" w:cs="Arial" w:eastAsia="Arial" w:hAnsi="Arial"/>
                <w:sz w:val="17"/>
                <w:szCs w:val="17"/>
                <w:color w:val="0000FF"/>
              </w:rPr>
            </w:pPr>
            <w:hyperlink r:id="rId70">
              <w:r>
                <w:rPr>
                  <w:rFonts w:ascii="Arial" w:cs="Arial" w:eastAsia="Arial" w:hAnsi="Arial"/>
                  <w:sz w:val="17"/>
                  <w:szCs w:val="17"/>
                  <w:color w:val="0000FF"/>
                </w:rPr>
                <w:t>Description of the Company’s Securities (incorporated by reference to Exhibit 4.2 to the Company’s Annual Report on Form 10-K</w:t>
              </w:r>
            </w:hyperlink>
          </w:p>
        </w:tc>
      </w:tr>
      <w:tr>
        <w:trPr>
          <w:trHeight w:val="169"/>
        </w:trPr>
        <w:tc>
          <w:tcPr>
            <w:tcW w:w="1340" w:type="dxa"/>
            <w:vAlign w:val="bottom"/>
          </w:tcPr>
          <w:p>
            <w:pPr>
              <w:spacing w:after="0"/>
              <w:rPr>
                <w:sz w:val="14"/>
                <w:szCs w:val="14"/>
                <w:color w:val="auto"/>
              </w:rPr>
            </w:pPr>
          </w:p>
        </w:tc>
        <w:tc>
          <w:tcPr>
            <w:tcW w:w="976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for the fiscal year ended December 31,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9940" w:type="dxa"/>
            <w:vAlign w:val="bottom"/>
            <w:gridSpan w:val="42"/>
          </w:tcPr>
          <w:p>
            <w:pPr>
              <w:spacing w:after="0"/>
              <w:rPr>
                <w:rFonts w:ascii="Arial" w:cs="Arial" w:eastAsia="Arial" w:hAnsi="Arial"/>
                <w:sz w:val="17"/>
                <w:szCs w:val="17"/>
                <w:color w:val="0000FF"/>
              </w:rPr>
            </w:pPr>
            <w:hyperlink r:id="rId71">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69"/>
        </w:trPr>
        <w:tc>
          <w:tcPr>
            <w:tcW w:w="1340" w:type="dxa"/>
            <w:vAlign w:val="bottom"/>
          </w:tcPr>
          <w:p>
            <w:pPr>
              <w:spacing w:after="0"/>
              <w:rPr>
                <w:sz w:val="14"/>
                <w:szCs w:val="14"/>
                <w:color w:val="auto"/>
              </w:rPr>
            </w:pPr>
          </w:p>
        </w:tc>
        <w:tc>
          <w:tcPr>
            <w:tcW w:w="9720" w:type="dxa"/>
            <w:vAlign w:val="bottom"/>
            <w:tcBorders>
              <w:top w:val="single" w:sz="8" w:color="0000FF"/>
              <w:bottom w:val="single" w:sz="8" w:color="0000FF"/>
            </w:tcBorders>
            <w:gridSpan w:val="31"/>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740" w:type="dxa"/>
            <w:vAlign w:val="bottom"/>
            <w:tcBorders>
              <w:bottom w:val="single" w:sz="8" w:color="0000FF"/>
            </w:tcBorders>
            <w:gridSpan w:val="32"/>
          </w:tcPr>
          <w:p>
            <w:pPr>
              <w:spacing w:after="0" w:line="169" w:lineRule="exact"/>
              <w:rPr>
                <w:rFonts w:ascii="Arial" w:cs="Arial" w:eastAsia="Arial" w:hAnsi="Arial"/>
                <w:sz w:val="17"/>
                <w:szCs w:val="17"/>
                <w:color w:val="0000FF"/>
                <w:w w:val="99"/>
              </w:rPr>
            </w:pPr>
            <w:hyperlink r:id="rId71">
              <w:r>
                <w:rPr>
                  <w:rFonts w:ascii="Arial" w:cs="Arial" w:eastAsia="Arial" w:hAnsi="Arial"/>
                  <w:sz w:val="17"/>
                  <w:szCs w:val="17"/>
                  <w:color w:val="0000FF"/>
                  <w:w w:val="99"/>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9780" w:type="dxa"/>
            <w:vAlign w:val="bottom"/>
            <w:tcBorders>
              <w:bottom w:val="single" w:sz="8" w:color="0000FF"/>
            </w:tcBorders>
            <w:gridSpan w:val="34"/>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(incorporated by reference to Exhibit 4.2 to the Company’s Quarterly Report on Form 10-Q for the quarter ended June 30, 2018).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9940" w:type="dxa"/>
            <w:vAlign w:val="bottom"/>
            <w:gridSpan w:val="42"/>
          </w:tcPr>
          <w:p>
            <w:pPr>
              <w:spacing w:after="0"/>
              <w:rPr>
                <w:rFonts w:ascii="Arial" w:cs="Arial" w:eastAsia="Arial" w:hAnsi="Arial"/>
                <w:sz w:val="17"/>
                <w:szCs w:val="17"/>
                <w:color w:val="0000FF"/>
              </w:rPr>
            </w:pPr>
            <w:hyperlink r:id="rId72">
              <w:r>
                <w:rPr>
                  <w:rFonts w:ascii="Arial" w:cs="Arial" w:eastAsia="Arial" w:hAnsi="Arial"/>
                  <w:sz w:val="17"/>
                  <w:szCs w:val="17"/>
                  <w:color w:val="0000FF"/>
                </w:rPr>
                <w:t>First Amendment, dated as of November 23, 2021, to Amended and Restated Five Year Credit Agreement, dated as of May 30,</w:t>
              </w:r>
            </w:hyperlink>
          </w:p>
        </w:tc>
      </w:tr>
      <w:tr>
        <w:trPr>
          <w:trHeight w:val="20"/>
        </w:trPr>
        <w:tc>
          <w:tcPr>
            <w:tcW w:w="1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2"/>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2018, among the Company, and the foreign borrowers from time to time party thereto, and certain of its domestic subsidiaries as</w:t>
              </w:r>
            </w:hyperlink>
          </w:p>
        </w:tc>
      </w:tr>
      <w:tr>
        <w:trPr>
          <w:trHeight w:val="169"/>
        </w:trPr>
        <w:tc>
          <w:tcPr>
            <w:tcW w:w="1340" w:type="dxa"/>
            <w:vAlign w:val="bottom"/>
          </w:tcPr>
          <w:p>
            <w:pPr>
              <w:spacing w:after="0"/>
              <w:rPr>
                <w:sz w:val="14"/>
                <w:szCs w:val="14"/>
                <w:color w:val="auto"/>
              </w:rPr>
            </w:pPr>
          </w:p>
        </w:tc>
        <w:tc>
          <w:tcPr>
            <w:tcW w:w="968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guarantors, the several lenders from time to time party thereto, Wells Fargo Bank, National Association, as Administrative Agent</w:t>
              </w:r>
            </w:hyperlink>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9660" w:type="dxa"/>
            <w:vAlign w:val="bottom"/>
            <w:tcBorders>
              <w:top w:val="single" w:sz="8" w:color="0000FF"/>
            </w:tcBorders>
            <w:gridSpan w:val="28"/>
          </w:tcPr>
          <w:p>
            <w:pPr>
              <w:spacing w:after="0" w:line="155" w:lineRule="exact"/>
              <w:rPr>
                <w:rFonts w:ascii="Arial" w:cs="Arial" w:eastAsia="Arial" w:hAnsi="Arial"/>
                <w:sz w:val="17"/>
                <w:szCs w:val="17"/>
                <w:color w:val="0000FF"/>
              </w:rPr>
            </w:pPr>
            <w:hyperlink r:id="rId72">
              <w:r>
                <w:rPr>
                  <w:rFonts w:ascii="Arial" w:cs="Arial" w:eastAsia="Arial" w:hAnsi="Arial"/>
                  <w:sz w:val="17"/>
                  <w:szCs w:val="17"/>
                  <w:color w:val="0000FF"/>
                </w:rPr>
                <w:t>and JPMorgan Chase Bank, N.A., as Syndication Agent (incorporated by reference to Exhibit 10.2 to the Company’s Annual</w:t>
              </w:r>
            </w:hyperlink>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Report on Form 10-K for the fiscal year ended December 31, 2021).</w:t>
              </w:r>
            </w:hyperlink>
          </w:p>
        </w:tc>
        <w:tc>
          <w:tcPr>
            <w:tcW w:w="4220" w:type="dxa"/>
            <w:vAlign w:val="bottom"/>
            <w:tcBorders>
              <w:top w:val="single" w:sz="8" w:color="0000FF"/>
            </w:tcBorders>
            <w:gridSpan w:val="10"/>
          </w:tcPr>
          <w:p>
            <w:pPr>
              <w:spacing w:after="0"/>
              <w:rPr>
                <w:sz w:val="14"/>
                <w:szCs w:val="14"/>
                <w:color w:val="auto"/>
              </w:rPr>
            </w:pPr>
          </w:p>
        </w:tc>
        <w:tc>
          <w:tcPr>
            <w:tcW w:w="1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9940" w:type="dxa"/>
            <w:vAlign w:val="bottom"/>
            <w:gridSpan w:val="42"/>
          </w:tcPr>
          <w:p>
            <w:pPr>
              <w:spacing w:after="0"/>
              <w:rPr>
                <w:rFonts w:ascii="Arial" w:cs="Arial" w:eastAsia="Arial" w:hAnsi="Arial"/>
                <w:sz w:val="17"/>
                <w:szCs w:val="17"/>
                <w:color w:val="0000FF"/>
              </w:rPr>
            </w:pPr>
            <w:hyperlink r:id="rId73">
              <w:r>
                <w:rPr>
                  <w:rFonts w:ascii="Arial" w:cs="Arial" w:eastAsia="Arial" w:hAnsi="Arial"/>
                  <w:sz w:val="17"/>
                  <w:szCs w:val="17"/>
                  <w:color w:val="0000FF"/>
                </w:rPr>
                <w:t>Second Amended and Restated Five Year Credit Agreement, dated as of May 3, 2022, among the Company, Kaplan U.K. Limited,</w:t>
              </w:r>
            </w:hyperlink>
          </w:p>
        </w:tc>
      </w:tr>
      <w:tr>
        <w:trPr>
          <w:trHeight w:val="169"/>
        </w:trPr>
        <w:tc>
          <w:tcPr>
            <w:tcW w:w="1340" w:type="dxa"/>
            <w:vAlign w:val="bottom"/>
          </w:tcPr>
          <w:p>
            <w:pPr>
              <w:spacing w:after="0"/>
              <w:rPr>
                <w:sz w:val="14"/>
                <w:szCs w:val="14"/>
                <w:color w:val="auto"/>
              </w:rPr>
            </w:pPr>
          </w:p>
        </w:tc>
        <w:tc>
          <w:tcPr>
            <w:tcW w:w="9340" w:type="dxa"/>
            <w:vAlign w:val="bottom"/>
            <w:tcBorders>
              <w:top w:val="single" w:sz="8" w:color="0000FF"/>
              <w:bottom w:val="single" w:sz="8" w:color="0000FF"/>
            </w:tcBorders>
            <w:gridSpan w:val="16"/>
          </w:tcPr>
          <w:p>
            <w:pPr>
              <w:spacing w:after="0" w:line="169" w:lineRule="exact"/>
              <w:rPr>
                <w:rFonts w:ascii="Arial" w:cs="Arial" w:eastAsia="Arial" w:hAnsi="Arial"/>
                <w:sz w:val="17"/>
                <w:szCs w:val="17"/>
                <w:color w:val="0000FF"/>
              </w:rPr>
            </w:pPr>
            <w:hyperlink r:id="rId73">
              <w:r>
                <w:rPr>
                  <w:rFonts w:ascii="Arial" w:cs="Arial" w:eastAsia="Arial" w:hAnsi="Arial"/>
                  <w:sz w:val="17"/>
                  <w:szCs w:val="17"/>
                  <w:color w:val="0000FF"/>
                </w:rPr>
                <w:t>and the foreign borrowers from time to time party thereto, and certain of its domestic subsidiaries as guarantors, the several</w:t>
              </w:r>
            </w:hyperlink>
          </w:p>
        </w:tc>
        <w:tc>
          <w:tcPr>
            <w:tcW w:w="54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2"/>
          </w:tcPr>
          <w:p>
            <w:pPr>
              <w:spacing w:after="0" w:line="169" w:lineRule="exact"/>
              <w:rPr>
                <w:rFonts w:ascii="Arial" w:cs="Arial" w:eastAsia="Arial" w:hAnsi="Arial"/>
                <w:sz w:val="17"/>
                <w:szCs w:val="17"/>
                <w:color w:val="0000FF"/>
              </w:rPr>
            </w:pPr>
            <w:hyperlink r:id="rId73">
              <w:r>
                <w:rPr>
                  <w:rFonts w:ascii="Arial" w:cs="Arial" w:eastAsia="Arial" w:hAnsi="Arial"/>
                  <w:sz w:val="17"/>
                  <w:szCs w:val="17"/>
                  <w:color w:val="0000FF"/>
                </w:rPr>
                <w:t>lenders from time to time party thereto, Wells Fargo Bank, National Association, as Administrative Agent and JPMorgan Chase</w:t>
              </w:r>
            </w:hyperlink>
          </w:p>
        </w:tc>
      </w:tr>
      <w:tr>
        <w:trPr>
          <w:trHeight w:val="155"/>
        </w:trPr>
        <w:tc>
          <w:tcPr>
            <w:tcW w:w="134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5" w:lineRule="exact"/>
              <w:rPr>
                <w:rFonts w:ascii="Arial" w:cs="Arial" w:eastAsia="Arial" w:hAnsi="Arial"/>
                <w:sz w:val="17"/>
                <w:szCs w:val="17"/>
                <w:color w:val="0000FF"/>
              </w:rPr>
            </w:pPr>
            <w:hyperlink r:id="rId73">
              <w:r>
                <w:rPr>
                  <w:rFonts w:ascii="Arial" w:cs="Arial" w:eastAsia="Arial" w:hAnsi="Arial"/>
                  <w:sz w:val="17"/>
                  <w:szCs w:val="17"/>
                  <w:color w:val="0000FF"/>
                </w:rPr>
                <w:t>Bank, N.A., as Syndication Agent (incorporated by reference to Exhibit 10.1 to the Company’s Quarterly Report on Form 10-Q</w:t>
              </w:r>
            </w:hyperlink>
          </w:p>
        </w:tc>
        <w:tc>
          <w:tcPr>
            <w:tcW w:w="340" w:type="dxa"/>
            <w:vAlign w:val="bottom"/>
            <w:gridSpan w:val="18"/>
          </w:tcPr>
          <w:p>
            <w:pPr>
              <w:spacing w:after="0" w:line="155" w:lineRule="exact"/>
              <w:rPr>
                <w:rFonts w:ascii="Arial" w:cs="Arial" w:eastAsia="Arial" w:hAnsi="Arial"/>
                <w:sz w:val="17"/>
                <w:szCs w:val="17"/>
                <w:color w:val="0000FF"/>
              </w:rPr>
            </w:pPr>
            <w:hyperlink r:id="rId73">
              <w:r>
                <w:rPr>
                  <w:rFonts w:ascii="Arial" w:cs="Arial" w:eastAsia="Arial" w:hAnsi="Arial"/>
                  <w:sz w:val="17"/>
                  <w:szCs w:val="17"/>
                  <w:color w:val="0000FF"/>
                </w:rPr>
                <w:t>for</w:t>
              </w:r>
            </w:hyperlink>
          </w:p>
        </w:tc>
      </w:tr>
      <w:tr>
        <w:trPr>
          <w:trHeight w:val="169"/>
        </w:trPr>
        <w:tc>
          <w:tcPr>
            <w:tcW w:w="13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rPr>
            </w:pPr>
            <w:hyperlink r:id="rId73">
              <w:r>
                <w:rPr>
                  <w:rFonts w:ascii="Arial" w:cs="Arial" w:eastAsia="Arial" w:hAnsi="Arial"/>
                  <w:sz w:val="17"/>
                  <w:szCs w:val="17"/>
                  <w:color w:val="0000FF"/>
                </w:rPr>
                <w:t>the quarter ended March 31, 2022).</w:t>
              </w:r>
            </w:hyperlink>
          </w:p>
        </w:tc>
        <w:tc>
          <w:tcPr>
            <w:tcW w:w="7080" w:type="dxa"/>
            <w:vAlign w:val="bottom"/>
            <w:tcBorders>
              <w:top w:val="single" w:sz="8" w:color="0000FF"/>
            </w:tcBorders>
            <w:gridSpan w:val="32"/>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940" w:type="dxa"/>
            <w:vAlign w:val="bottom"/>
            <w:gridSpan w:val="42"/>
          </w:tcPr>
          <w:p>
            <w:pPr>
              <w:spacing w:after="0"/>
              <w:rPr>
                <w:rFonts w:ascii="Arial" w:cs="Arial" w:eastAsia="Arial" w:hAnsi="Arial"/>
                <w:sz w:val="17"/>
                <w:szCs w:val="17"/>
                <w:color w:val="0000FF"/>
              </w:rPr>
            </w:pPr>
            <w:hyperlink r:id="rId74">
              <w:r>
                <w:rPr>
                  <w:rFonts w:ascii="Arial" w:cs="Arial" w:eastAsia="Arial" w:hAnsi="Arial"/>
                  <w:sz w:val="17"/>
                  <w:szCs w:val="17"/>
                  <w:color w:val="0000FF"/>
                </w:rPr>
                <w:t>First Amendment to Second Amended and Restated Five Year Credit Agreement, dated as of July 28, 2023, among the Company,</w:t>
              </w:r>
            </w:hyperlink>
          </w:p>
        </w:tc>
      </w:tr>
      <w:tr>
        <w:trPr>
          <w:trHeight w:val="169"/>
        </w:trPr>
        <w:tc>
          <w:tcPr>
            <w:tcW w:w="1340" w:type="dxa"/>
            <w:vAlign w:val="bottom"/>
          </w:tcPr>
          <w:p>
            <w:pPr>
              <w:spacing w:after="0"/>
              <w:rPr>
                <w:sz w:val="14"/>
                <w:szCs w:val="14"/>
                <w:color w:val="auto"/>
              </w:rPr>
            </w:pPr>
          </w:p>
        </w:tc>
        <w:tc>
          <w:tcPr>
            <w:tcW w:w="9900" w:type="dxa"/>
            <w:vAlign w:val="bottom"/>
            <w:tcBorders>
              <w:top w:val="single" w:sz="8" w:color="0000FF"/>
            </w:tcBorders>
            <w:gridSpan w:val="40"/>
          </w:tcPr>
          <w:p>
            <w:pPr>
              <w:spacing w:after="0" w:line="169" w:lineRule="exact"/>
              <w:rPr>
                <w:rFonts w:ascii="Arial" w:cs="Arial" w:eastAsia="Arial" w:hAnsi="Arial"/>
                <w:sz w:val="17"/>
                <w:szCs w:val="17"/>
                <w:color w:val="0000FF"/>
              </w:rPr>
            </w:pPr>
            <w:hyperlink r:id="rId74">
              <w:r>
                <w:rPr>
                  <w:rFonts w:ascii="Arial" w:cs="Arial" w:eastAsia="Arial" w:hAnsi="Arial"/>
                  <w:sz w:val="17"/>
                  <w:szCs w:val="17"/>
                  <w:color w:val="0000FF"/>
                </w:rPr>
                <w:t>Kaplan U.K. Limited, and the foreign borrowers from time to time party thereto, and certain of its domestic subsidiaries as</w:t>
              </w:r>
            </w:hyperlink>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140" w:type="dxa"/>
            <w:vAlign w:val="bottom"/>
            <w:tcBorders>
              <w:top w:val="single" w:sz="8" w:color="0000FF"/>
            </w:tcBorders>
            <w:gridSpan w:val="14"/>
          </w:tcPr>
          <w:p>
            <w:pPr>
              <w:spacing w:after="0" w:line="169" w:lineRule="exact"/>
              <w:rPr>
                <w:rFonts w:ascii="Arial" w:cs="Arial" w:eastAsia="Arial" w:hAnsi="Arial"/>
                <w:sz w:val="17"/>
                <w:szCs w:val="17"/>
                <w:color w:val="0000FF"/>
              </w:rPr>
            </w:pPr>
            <w:hyperlink r:id="rId74">
              <w:r>
                <w:rPr>
                  <w:rFonts w:ascii="Arial" w:cs="Arial" w:eastAsia="Arial" w:hAnsi="Arial"/>
                  <w:sz w:val="17"/>
                  <w:szCs w:val="17"/>
                  <w:color w:val="0000FF"/>
                </w:rPr>
                <w:t>guarantors, the several lenders from time to time party thereto, Wells Fargo Bank, National Association, as Administrative</w:t>
              </w:r>
            </w:hyperlink>
          </w:p>
        </w:tc>
        <w:tc>
          <w:tcPr>
            <w:tcW w:w="800" w:type="dxa"/>
            <w:vAlign w:val="bottom"/>
            <w:gridSpan w:val="28"/>
          </w:tcPr>
          <w:p>
            <w:pPr>
              <w:ind w:left="80"/>
              <w:spacing w:after="0" w:line="169" w:lineRule="exact"/>
              <w:rPr>
                <w:rFonts w:ascii="Arial" w:cs="Arial" w:eastAsia="Arial" w:hAnsi="Arial"/>
                <w:sz w:val="17"/>
                <w:szCs w:val="17"/>
                <w:color w:val="0000FF"/>
              </w:rPr>
            </w:pPr>
            <w:hyperlink r:id="rId74">
              <w:r>
                <w:rPr>
                  <w:rFonts w:ascii="Arial" w:cs="Arial" w:eastAsia="Arial" w:hAnsi="Arial"/>
                  <w:sz w:val="17"/>
                  <w:szCs w:val="17"/>
                  <w:color w:val="0000FF"/>
                </w:rPr>
                <w:t>Agent</w:t>
              </w:r>
            </w:hyperlink>
          </w:p>
        </w:tc>
      </w:tr>
      <w:tr>
        <w:trPr>
          <w:trHeight w:val="155"/>
        </w:trPr>
        <w:tc>
          <w:tcPr>
            <w:tcW w:w="1340" w:type="dxa"/>
            <w:vAlign w:val="bottom"/>
          </w:tcPr>
          <w:p>
            <w:pPr>
              <w:spacing w:after="0"/>
              <w:rPr>
                <w:sz w:val="13"/>
                <w:szCs w:val="13"/>
                <w:color w:val="auto"/>
              </w:rPr>
            </w:pPr>
          </w:p>
        </w:tc>
        <w:tc>
          <w:tcPr>
            <w:tcW w:w="9660" w:type="dxa"/>
            <w:vAlign w:val="bottom"/>
            <w:tcBorders>
              <w:top w:val="single" w:sz="8" w:color="0000FF"/>
            </w:tcBorders>
            <w:gridSpan w:val="28"/>
          </w:tcPr>
          <w:p>
            <w:pPr>
              <w:spacing w:after="0" w:line="155" w:lineRule="exact"/>
              <w:rPr>
                <w:rFonts w:ascii="Arial" w:cs="Arial" w:eastAsia="Arial" w:hAnsi="Arial"/>
                <w:sz w:val="17"/>
                <w:szCs w:val="17"/>
                <w:color w:val="0000FF"/>
              </w:rPr>
            </w:pPr>
            <w:hyperlink r:id="rId74">
              <w:r>
                <w:rPr>
                  <w:rFonts w:ascii="Arial" w:cs="Arial" w:eastAsia="Arial" w:hAnsi="Arial"/>
                  <w:sz w:val="17"/>
                  <w:szCs w:val="17"/>
                  <w:color w:val="0000FF"/>
                </w:rPr>
                <w:t>and JPMorgan Chase Bank, N.A., as Syndication Agent (incorporated by reference to Exhibit 10.1 to the Company’s Quarterly</w:t>
              </w:r>
            </w:hyperlink>
          </w:p>
        </w:tc>
        <w:tc>
          <w:tcPr>
            <w:tcW w:w="280" w:type="dxa"/>
            <w:vAlign w:val="bottom"/>
            <w:gridSpan w:val="1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rPr>
            </w:pPr>
            <w:hyperlink r:id="rId74">
              <w:r>
                <w:rPr>
                  <w:rFonts w:ascii="Arial" w:cs="Arial" w:eastAsia="Arial" w:hAnsi="Arial"/>
                  <w:sz w:val="17"/>
                  <w:szCs w:val="17"/>
                  <w:color w:val="0000FF"/>
                </w:rPr>
                <w:t>Report on Form 10-Q for the quarter ended June 30, 2023).</w:t>
              </w:r>
            </w:hyperlink>
          </w:p>
        </w:tc>
        <w:tc>
          <w:tcPr>
            <w:tcW w:w="5020" w:type="dxa"/>
            <w:vAlign w:val="bottom"/>
            <w:tcBorders>
              <w:top w:val="single" w:sz="8" w:color="0000FF"/>
            </w:tcBorders>
            <w:gridSpan w:val="15"/>
          </w:tcPr>
          <w:p>
            <w:pPr>
              <w:spacing w:after="0"/>
              <w:rPr>
                <w:sz w:val="14"/>
                <w:szCs w:val="14"/>
                <w:color w:val="auto"/>
              </w:rPr>
            </w:pPr>
          </w:p>
        </w:tc>
        <w:tc>
          <w:tcPr>
            <w:tcW w:w="80" w:type="dxa"/>
            <w:vAlign w:val="bottom"/>
            <w:gridSpan w:val="5"/>
          </w:tcPr>
          <w:p>
            <w:pPr>
              <w:spacing w:after="0"/>
              <w:rPr>
                <w:sz w:val="14"/>
                <w:szCs w:val="14"/>
                <w:color w:val="auto"/>
              </w:rPr>
            </w:pPr>
          </w:p>
        </w:tc>
        <w:tc>
          <w:tcPr>
            <w:tcW w:w="320" w:type="dxa"/>
            <w:vAlign w:val="bottom"/>
            <w:gridSpan w:val="16"/>
          </w:tcPr>
          <w:p>
            <w:pPr>
              <w:spacing w:after="0"/>
              <w:rPr>
                <w:sz w:val="14"/>
                <w:szCs w:val="14"/>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9260" w:type="dxa"/>
            <w:vAlign w:val="bottom"/>
            <w:tcBorders>
              <w:bottom w:val="single" w:sz="8" w:color="0000FF"/>
            </w:tcBorders>
            <w:gridSpan w:val="15"/>
          </w:tcPr>
          <w:p>
            <w:pPr>
              <w:spacing w:after="0"/>
              <w:rPr>
                <w:rFonts w:ascii="Arial" w:cs="Arial" w:eastAsia="Arial" w:hAnsi="Arial"/>
                <w:sz w:val="17"/>
                <w:szCs w:val="17"/>
                <w:color w:val="0000FF"/>
              </w:rPr>
            </w:pPr>
            <w:hyperlink r:id="rId75">
              <w:r>
                <w:rPr>
                  <w:rFonts w:ascii="Arial" w:cs="Arial" w:eastAsia="Arial" w:hAnsi="Arial"/>
                  <w:sz w:val="17"/>
                  <w:szCs w:val="17"/>
                  <w:color w:val="0000FF"/>
                </w:rPr>
                <w:t>Transition and Operations Support Agreement, dated March 22, 2018, by and among Kaplan Higher Education, LLC, Iowa</w:t>
              </w:r>
            </w:hyperlink>
          </w:p>
        </w:tc>
        <w:tc>
          <w:tcPr>
            <w:tcW w:w="680" w:type="dxa"/>
            <w:vAlign w:val="bottom"/>
            <w:gridSpan w:val="27"/>
          </w:tcPr>
          <w:p>
            <w:pPr>
              <w:spacing w:after="0"/>
              <w:rPr>
                <w:sz w:val="24"/>
                <w:szCs w:val="24"/>
                <w:color w:val="auto"/>
              </w:rPr>
            </w:pPr>
          </w:p>
        </w:tc>
      </w:tr>
      <w:tr>
        <w:trPr>
          <w:trHeight w:val="169"/>
        </w:trPr>
        <w:tc>
          <w:tcPr>
            <w:tcW w:w="134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Arial" w:cs="Arial" w:eastAsia="Arial" w:hAnsi="Arial"/>
                <w:sz w:val="17"/>
                <w:szCs w:val="17"/>
                <w:color w:val="0000FF"/>
              </w:rPr>
            </w:pPr>
            <w:hyperlink r:id="rId75">
              <w:r>
                <w:rPr>
                  <w:rFonts w:ascii="Arial" w:cs="Arial" w:eastAsia="Arial" w:hAnsi="Arial"/>
                  <w:sz w:val="17"/>
                  <w:szCs w:val="17"/>
                  <w:color w:val="0000FF"/>
                </w:rPr>
                <w:t>College Acquisition, LLC and Purdue University Global, Inc., with Purdue University as a party to the Transition and Operations</w:t>
              </w:r>
            </w:hyperlink>
          </w:p>
        </w:tc>
        <w:tc>
          <w:tcPr>
            <w:tcW w:w="320" w:type="dxa"/>
            <w:vAlign w:val="bottom"/>
            <w:gridSpan w:val="16"/>
          </w:tcPr>
          <w:p>
            <w:pPr>
              <w:spacing w:after="0"/>
              <w:rPr>
                <w:sz w:val="14"/>
                <w:szCs w:val="14"/>
                <w:color w:val="auto"/>
              </w:rPr>
            </w:pPr>
          </w:p>
        </w:tc>
      </w:tr>
    </w:tbl>
    <w:p>
      <w:pPr>
        <w:ind w:left="1340" w:right="700"/>
        <w:spacing w:after="0"/>
        <w:rPr>
          <w:rFonts w:ascii="Arial" w:cs="Arial" w:eastAsia="Arial" w:hAnsi="Arial"/>
          <w:sz w:val="17"/>
          <w:szCs w:val="17"/>
          <w:u w:val="single" w:color="auto"/>
          <w:color w:val="0000FF"/>
        </w:rPr>
      </w:pPr>
      <w:hyperlink r:id="rId75">
        <w:r>
          <w:rPr>
            <w:rFonts w:ascii="Arial" w:cs="Arial" w:eastAsia="Arial" w:hAnsi="Arial"/>
            <w:sz w:val="17"/>
            <w:szCs w:val="17"/>
            <w:u w:val="single" w:color="auto"/>
            <w:color w:val="0000FF"/>
          </w:rPr>
          <w:t>Support Agreement solely for the purposes of being bound by the Purdue Provisions (as defined therein) (incorporated by</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reference to Exhibit 10.1 to the Company’s Current Report on Form 8-K dated March 22, 2018).**+</w:t>
        </w:r>
      </w:hyperlink>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51" w:name="page52"/>
    <w:bookmarkEnd w:id="51"/>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60"/>
          </w:cols>
          <w:pgMar w:left="320" w:top="1102" w:right="419" w:bottom="1440" w:gutter="0" w:footer="0" w:header="0"/>
        </w:sect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10.6</w:t>
            </w:r>
          </w:p>
        </w:tc>
        <w:tc>
          <w:tcPr>
            <w:tcW w:w="9840" w:type="dxa"/>
            <w:vAlign w:val="bottom"/>
            <w:gridSpan w:val="19"/>
          </w:tcPr>
          <w:p>
            <w:pPr>
              <w:spacing w:after="0"/>
              <w:rPr>
                <w:rFonts w:ascii="Arial" w:cs="Arial" w:eastAsia="Arial" w:hAnsi="Arial"/>
                <w:sz w:val="17"/>
                <w:szCs w:val="17"/>
                <w:color w:val="0000FF"/>
              </w:rPr>
            </w:pPr>
            <w:hyperlink r:id="rId78">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69"/>
        </w:trPr>
        <w:tc>
          <w:tcPr>
            <w:tcW w:w="132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w w:val="99"/>
              </w:rPr>
            </w:pPr>
            <w:hyperlink r:id="rId78">
              <w:r>
                <w:rPr>
                  <w:rFonts w:ascii="Arial" w:cs="Arial" w:eastAsia="Arial" w:hAnsi="Arial"/>
                  <w:sz w:val="17"/>
                  <w:szCs w:val="17"/>
                  <w:color w:val="0000FF"/>
                  <w:w w:val="99"/>
                </w:rPr>
                <w:t>among Kaplan Higher Education, LLC, Iowa College Acquisition, LLC and Purdue University Global, Inc. (the “First Amendment”),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800" w:type="dxa"/>
            <w:vAlign w:val="bottom"/>
            <w:tcBorders>
              <w:bottom w:val="single" w:sz="8" w:color="0000FF"/>
            </w:tcBorders>
            <w:gridSpan w:val="17"/>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with The Trustees of Purdue University as a party to the First Amendment solely for the purposes of continuing to be bound by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820" w:type="dxa"/>
            <w:vAlign w:val="bottom"/>
            <w:gridSpan w:val="18"/>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Purdue Provisions (as defined therein) (incorporated by reference to Exhibit 10.1 to the Company’s Quarterly Report on Form 10-</w:t>
              </w:r>
            </w:hyperlink>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16"/>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Q for the quarter ended September 30, 2019).+</w:t>
              </w:r>
            </w:hyperlink>
          </w:p>
        </w:tc>
        <w:tc>
          <w:tcPr>
            <w:tcW w:w="8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10.7</w:t>
            </w:r>
          </w:p>
        </w:tc>
        <w:tc>
          <w:tcPr>
            <w:tcW w:w="9840" w:type="dxa"/>
            <w:vAlign w:val="bottom"/>
            <w:gridSpan w:val="19"/>
          </w:tcPr>
          <w:p>
            <w:pPr>
              <w:spacing w:after="0"/>
              <w:rPr>
                <w:rFonts w:ascii="Arial" w:cs="Arial" w:eastAsia="Arial" w:hAnsi="Arial"/>
                <w:sz w:val="17"/>
                <w:szCs w:val="17"/>
                <w:color w:val="0000FF"/>
              </w:rPr>
            </w:pPr>
            <w:hyperlink r:id="rId79">
              <w:r>
                <w:rPr>
                  <w:rFonts w:ascii="Arial" w:cs="Arial" w:eastAsia="Arial" w:hAnsi="Arial"/>
                  <w:sz w:val="17"/>
                  <w:szCs w:val="17"/>
                  <w:color w:val="0000FF"/>
                </w:rPr>
                <w:t>Graham Holdings Company 2022 Incentive Compensation Plan, effective May 5, 2022, filed as Appendix A to the Company’s</w:t>
              </w:r>
            </w:hyperlink>
          </w:p>
        </w:tc>
      </w:tr>
      <w:tr>
        <w:trPr>
          <w:trHeight w:val="169"/>
        </w:trPr>
        <w:tc>
          <w:tcPr>
            <w:tcW w:w="1320" w:type="dxa"/>
            <w:vAlign w:val="bottom"/>
          </w:tcPr>
          <w:p>
            <w:pPr>
              <w:spacing w:after="0"/>
              <w:rPr>
                <w:sz w:val="14"/>
                <w:szCs w:val="14"/>
                <w:color w:val="auto"/>
              </w:rPr>
            </w:pPr>
          </w:p>
        </w:tc>
        <w:tc>
          <w:tcPr>
            <w:tcW w:w="9460" w:type="dxa"/>
            <w:vAlign w:val="bottom"/>
            <w:tcBorders>
              <w:top w:val="single" w:sz="8" w:color="0000FF"/>
            </w:tcBorders>
            <w:gridSpan w:val="9"/>
          </w:tcPr>
          <w:p>
            <w:pPr>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Proxy Statement on Form DEF 14A for the fiscal year ended December 31, 2021, and incorporated herein by reference.*</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10.8</w:t>
            </w:r>
          </w:p>
        </w:tc>
        <w:tc>
          <w:tcPr>
            <w:tcW w:w="9840" w:type="dxa"/>
            <w:vAlign w:val="bottom"/>
            <w:gridSpan w:val="19"/>
          </w:tcPr>
          <w:p>
            <w:pPr>
              <w:spacing w:after="0"/>
              <w:rPr>
                <w:rFonts w:ascii="Arial" w:cs="Arial" w:eastAsia="Arial" w:hAnsi="Arial"/>
                <w:sz w:val="17"/>
                <w:szCs w:val="17"/>
                <w:color w:val="0000FF"/>
              </w:rPr>
            </w:pPr>
            <w:hyperlink r:id="rId80">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69"/>
        </w:trPr>
        <w:tc>
          <w:tcPr>
            <w:tcW w:w="1320" w:type="dxa"/>
            <w:vAlign w:val="bottom"/>
          </w:tcPr>
          <w:p>
            <w:pPr>
              <w:spacing w:after="0"/>
              <w:rPr>
                <w:sz w:val="14"/>
                <w:szCs w:val="14"/>
                <w:color w:val="auto"/>
              </w:rPr>
            </w:pPr>
          </w:p>
        </w:tc>
        <w:tc>
          <w:tcPr>
            <w:tcW w:w="9480" w:type="dxa"/>
            <w:vAlign w:val="bottom"/>
            <w:tcBorders>
              <w:top w:val="single" w:sz="8" w:color="0000FF"/>
            </w:tcBorders>
            <w:gridSpan w:val="10"/>
          </w:tcPr>
          <w:p>
            <w:pPr>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(incorporated by reference to Exhibit 10.3 to the Company’s Annual Report on Form 10-K for the fiscal year ended December</w:t>
              </w:r>
            </w:hyperlink>
          </w:p>
        </w:tc>
        <w:tc>
          <w:tcPr>
            <w:tcW w:w="360" w:type="dxa"/>
            <w:vAlign w:val="bottom"/>
            <w:gridSpan w:val="9"/>
          </w:tcPr>
          <w:p>
            <w:pPr>
              <w:jc w:val="right"/>
              <w:ind w:right="100"/>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31,</w:t>
              </w:r>
            </w:hyperlink>
          </w:p>
        </w:tc>
      </w:tr>
      <w:tr>
        <w:trPr>
          <w:trHeight w:val="169"/>
        </w:trPr>
        <w:tc>
          <w:tcPr>
            <w:tcW w:w="1320" w:type="dxa"/>
            <w:vAlign w:val="bottom"/>
          </w:tcPr>
          <w:p>
            <w:pPr>
              <w:spacing w:after="0"/>
              <w:rPr>
                <w:sz w:val="14"/>
                <w:szCs w:val="14"/>
                <w:color w:val="auto"/>
              </w:rPr>
            </w:pPr>
          </w:p>
        </w:tc>
        <w:tc>
          <w:tcPr>
            <w:tcW w:w="358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2013).</w:t>
              </w:r>
              <w:r>
                <w:rPr>
                  <w:rFonts w:ascii="Arial" w:cs="Arial" w:eastAsia="Arial" w:hAnsi="Arial"/>
                  <w:sz w:val="17"/>
                  <w:szCs w:val="17"/>
                  <w:color w:val="000000"/>
                </w:rPr>
                <w:t>*</w:t>
              </w:r>
            </w:hyperlink>
          </w:p>
        </w:tc>
        <w:tc>
          <w:tcPr>
            <w:tcW w:w="30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10.9</w:t>
            </w:r>
          </w:p>
        </w:tc>
        <w:tc>
          <w:tcPr>
            <w:tcW w:w="9840" w:type="dxa"/>
            <w:vAlign w:val="bottom"/>
            <w:gridSpan w:val="19"/>
          </w:tcPr>
          <w:p>
            <w:pPr>
              <w:spacing w:after="0"/>
              <w:rPr>
                <w:rFonts w:ascii="Arial" w:cs="Arial" w:eastAsia="Arial" w:hAnsi="Arial"/>
                <w:sz w:val="17"/>
                <w:szCs w:val="17"/>
                <w:color w:val="0000FF"/>
              </w:rPr>
            </w:pPr>
            <w:hyperlink r:id="rId81">
              <w:r>
                <w:rPr>
                  <w:rFonts w:ascii="Arial" w:cs="Arial" w:eastAsia="Arial" w:hAnsi="Arial"/>
                  <w:sz w:val="17"/>
                  <w:szCs w:val="17"/>
                  <w:color w:val="0000FF"/>
                </w:rPr>
                <w:t>Amendment No. 1 to Graham Holdings Company Supplemental Executive Retirement Plan, effective March 31, 2014</w:t>
              </w:r>
            </w:hyperlink>
          </w:p>
        </w:tc>
      </w:tr>
      <w:tr>
        <w:trPr>
          <w:trHeight w:val="169"/>
        </w:trPr>
        <w:tc>
          <w:tcPr>
            <w:tcW w:w="1320" w:type="dxa"/>
            <w:vAlign w:val="bottom"/>
          </w:tcPr>
          <w:p>
            <w:pPr>
              <w:spacing w:after="0"/>
              <w:rPr>
                <w:sz w:val="14"/>
                <w:szCs w:val="14"/>
                <w:color w:val="auto"/>
              </w:rPr>
            </w:pPr>
          </w:p>
        </w:tc>
        <w:tc>
          <w:tcPr>
            <w:tcW w:w="8840" w:type="dxa"/>
            <w:vAlign w:val="bottom"/>
            <w:tcBorders>
              <w:top w:val="single" w:sz="8" w:color="0000FF"/>
            </w:tcBorders>
            <w:gridSpan w:val="7"/>
          </w:tcPr>
          <w:p>
            <w:pPr>
              <w:spacing w:after="0" w:line="169" w:lineRule="exact"/>
              <w:rPr>
                <w:rFonts w:ascii="Arial" w:cs="Arial" w:eastAsia="Arial" w:hAnsi="Arial"/>
                <w:sz w:val="17"/>
                <w:szCs w:val="17"/>
                <w:color w:val="0000FF"/>
              </w:rPr>
            </w:pPr>
            <w:hyperlink r:id="rId81">
              <w:r>
                <w:rPr>
                  <w:rFonts w:ascii="Arial" w:cs="Arial" w:eastAsia="Arial" w:hAnsi="Arial"/>
                  <w:sz w:val="17"/>
                  <w:szCs w:val="17"/>
                  <w:color w:val="0000FF"/>
                </w:rPr>
                <w:t>(incorporated by reference to Exhibit 10.4 to the Company’s Annual Report on Form 10-K for the fiscal year ended</w:t>
              </w:r>
            </w:hyperlink>
          </w:p>
        </w:tc>
        <w:tc>
          <w:tcPr>
            <w:tcW w:w="1000" w:type="dxa"/>
            <w:vAlign w:val="bottom"/>
            <w:gridSpan w:val="12"/>
          </w:tcPr>
          <w:p>
            <w:pPr>
              <w:jc w:val="right"/>
              <w:ind w:right="100"/>
              <w:spacing w:after="0" w:line="169" w:lineRule="exact"/>
              <w:rPr>
                <w:rFonts w:ascii="Arial" w:cs="Arial" w:eastAsia="Arial" w:hAnsi="Arial"/>
                <w:sz w:val="17"/>
                <w:szCs w:val="17"/>
                <w:color w:val="0000FF"/>
                <w:w w:val="82"/>
              </w:rPr>
            </w:pPr>
            <w:hyperlink r:id="rId81">
              <w:r>
                <w:rPr>
                  <w:rFonts w:ascii="Arial" w:cs="Arial" w:eastAsia="Arial" w:hAnsi="Arial"/>
                  <w:sz w:val="17"/>
                  <w:szCs w:val="17"/>
                  <w:color w:val="0000FF"/>
                  <w:w w:val="82"/>
                </w:rPr>
                <w:t>December 31,</w:t>
              </w:r>
            </w:hyperlink>
          </w:p>
        </w:tc>
      </w:tr>
      <w:tr>
        <w:trPr>
          <w:trHeight w:val="169"/>
        </w:trPr>
        <w:tc>
          <w:tcPr>
            <w:tcW w:w="1320" w:type="dxa"/>
            <w:vAlign w:val="bottom"/>
          </w:tcPr>
          <w:p>
            <w:pPr>
              <w:spacing w:after="0"/>
              <w:rPr>
                <w:sz w:val="14"/>
                <w:szCs w:val="14"/>
                <w:color w:val="auto"/>
              </w:rPr>
            </w:pPr>
          </w:p>
        </w:tc>
        <w:tc>
          <w:tcPr>
            <w:tcW w:w="358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81">
              <w:r>
                <w:rPr>
                  <w:rFonts w:ascii="Arial" w:cs="Arial" w:eastAsia="Arial" w:hAnsi="Arial"/>
                  <w:sz w:val="17"/>
                  <w:szCs w:val="17"/>
                  <w:color w:val="0000FF"/>
                </w:rPr>
                <w:t>2014).</w:t>
              </w:r>
              <w:r>
                <w:rPr>
                  <w:rFonts w:ascii="Arial" w:cs="Arial" w:eastAsia="Arial" w:hAnsi="Arial"/>
                  <w:sz w:val="17"/>
                  <w:szCs w:val="17"/>
                  <w:color w:val="000000"/>
                </w:rPr>
                <w:t>*</w:t>
              </w:r>
            </w:hyperlink>
          </w:p>
        </w:tc>
        <w:tc>
          <w:tcPr>
            <w:tcW w:w="30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840" w:type="dxa"/>
            <w:vAlign w:val="bottom"/>
            <w:gridSpan w:val="19"/>
          </w:tcPr>
          <w:p>
            <w:pPr>
              <w:spacing w:after="0"/>
              <w:rPr>
                <w:rFonts w:ascii="Arial" w:cs="Arial" w:eastAsia="Arial" w:hAnsi="Arial"/>
                <w:sz w:val="17"/>
                <w:szCs w:val="17"/>
                <w:color w:val="0000FF"/>
              </w:rPr>
            </w:pPr>
            <w:hyperlink r:id="rId82">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FF"/>
            </w:tcBorders>
            <w:gridSpan w:val="11"/>
          </w:tcPr>
          <w:p>
            <w:pPr>
              <w:spacing w:after="0" w:line="169" w:lineRule="exact"/>
              <w:rPr>
                <w:rFonts w:ascii="Arial" w:cs="Arial" w:eastAsia="Arial" w:hAnsi="Arial"/>
                <w:sz w:val="17"/>
                <w:szCs w:val="17"/>
                <w:color w:val="0000FF"/>
              </w:rPr>
            </w:pPr>
            <w:hyperlink r:id="rId82">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840" w:type="dxa"/>
            <w:vAlign w:val="bottom"/>
            <w:gridSpan w:val="19"/>
          </w:tcPr>
          <w:p>
            <w:pPr>
              <w:spacing w:after="0"/>
              <w:rPr>
                <w:rFonts w:ascii="Arial" w:cs="Arial" w:eastAsia="Arial" w:hAnsi="Arial"/>
                <w:sz w:val="17"/>
                <w:szCs w:val="17"/>
                <w:color w:val="0000FF"/>
              </w:rPr>
            </w:pPr>
            <w:hyperlink r:id="rId83">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69"/>
        </w:trPr>
        <w:tc>
          <w:tcPr>
            <w:tcW w:w="1320" w:type="dxa"/>
            <w:vAlign w:val="bottom"/>
          </w:tcPr>
          <w:p>
            <w:pPr>
              <w:spacing w:after="0"/>
              <w:rPr>
                <w:sz w:val="14"/>
                <w:szCs w:val="14"/>
                <w:color w:val="auto"/>
              </w:rPr>
            </w:pPr>
          </w:p>
        </w:tc>
        <w:tc>
          <w:tcPr>
            <w:tcW w:w="962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83">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10.12</w:t>
            </w:r>
          </w:p>
        </w:tc>
        <w:tc>
          <w:tcPr>
            <w:tcW w:w="9840" w:type="dxa"/>
            <w:vAlign w:val="bottom"/>
            <w:gridSpan w:val="19"/>
          </w:tcPr>
          <w:p>
            <w:pPr>
              <w:spacing w:after="0"/>
              <w:rPr>
                <w:rFonts w:ascii="Arial" w:cs="Arial" w:eastAsia="Arial" w:hAnsi="Arial"/>
                <w:sz w:val="17"/>
                <w:szCs w:val="17"/>
                <w:color w:val="0000FF"/>
              </w:rPr>
            </w:pPr>
            <w:hyperlink r:id="rId84">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69"/>
        </w:trPr>
        <w:tc>
          <w:tcPr>
            <w:tcW w:w="132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84">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10.13</w:t>
            </w:r>
          </w:p>
        </w:tc>
        <w:tc>
          <w:tcPr>
            <w:tcW w:w="9840" w:type="dxa"/>
            <w:vAlign w:val="bottom"/>
            <w:gridSpan w:val="19"/>
          </w:tcPr>
          <w:p>
            <w:pPr>
              <w:spacing w:after="0"/>
              <w:rPr>
                <w:rFonts w:ascii="Arial" w:cs="Arial" w:eastAsia="Arial" w:hAnsi="Arial"/>
                <w:sz w:val="17"/>
                <w:szCs w:val="17"/>
                <w:color w:val="0000FF"/>
              </w:rPr>
            </w:pPr>
            <w:hyperlink r:id="rId85">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69"/>
        </w:trPr>
        <w:tc>
          <w:tcPr>
            <w:tcW w:w="13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85">
              <w:r>
                <w:rPr>
                  <w:rFonts w:ascii="Arial" w:cs="Arial" w:eastAsia="Arial" w:hAnsi="Arial"/>
                  <w:sz w:val="17"/>
                  <w:szCs w:val="17"/>
                  <w:color w:val="0000FF"/>
                </w:rPr>
                <w:t>to the Company’s Annual Report on Form 10-K for the fiscal year ended December 31, 2018).*</w:t>
              </w:r>
            </w:hyperlink>
          </w:p>
        </w:tc>
        <w:tc>
          <w:tcPr>
            <w:tcW w:w="256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0000FF"/>
        </w:rPr>
        <w:t>Insider Trading and Hedging Policy.</w:t>
      </w:r>
    </w:p>
    <w:p>
      <w:pPr>
        <w:spacing w:after="0" w:line="210" w:lineRule="exact"/>
        <w:rPr>
          <w:sz w:val="20"/>
          <w:szCs w:val="20"/>
          <w:color w:val="auto"/>
        </w:rPr>
      </w:pPr>
    </w:p>
    <w:p>
      <w:pPr>
        <w:ind w:left="1340" w:hanging="1314"/>
        <w:spacing w:after="0"/>
        <w:tabs>
          <w:tab w:leader="none" w:pos="134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0000FF"/>
        </w:rPr>
        <w:t>List of subsidiaries of the Company.</w:t>
      </w:r>
    </w:p>
    <w:p>
      <w:pPr>
        <w:spacing w:after="0" w:line="210" w:lineRule="exact"/>
        <w:rPr>
          <w:sz w:val="20"/>
          <w:szCs w:val="20"/>
          <w:color w:val="auto"/>
        </w:rPr>
      </w:pPr>
    </w:p>
    <w:p>
      <w:pPr>
        <w:ind w:left="1340" w:hanging="1314"/>
        <w:spacing w:after="0"/>
        <w:tabs>
          <w:tab w:leader="none" w:pos="134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209" w:lineRule="exact"/>
        <w:rPr>
          <w:rFonts w:ascii="Arial" w:cs="Arial" w:eastAsia="Arial" w:hAnsi="Arial"/>
          <w:sz w:val="17"/>
          <w:szCs w:val="17"/>
          <w:color w:val="auto"/>
        </w:rPr>
      </w:pPr>
    </w:p>
    <w:p>
      <w:pPr>
        <w:ind w:left="1340" w:hanging="1314"/>
        <w:spacing w:after="0"/>
        <w:tabs>
          <w:tab w:leader="none" w:pos="134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0000FF"/>
        </w:rPr>
        <w:t>Power of Attorney dated January 18, 2024.</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31.1</w:t>
            </w:r>
          </w:p>
        </w:tc>
        <w:tc>
          <w:tcPr>
            <w:tcW w:w="19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9"/>
              </w:rPr>
              <w:t>Certification of the Chief Executive Officer.</w:t>
            </w:r>
          </w:p>
        </w:tc>
      </w:tr>
      <w:tr>
        <w:trPr>
          <w:trHeight w:val="38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31.2</w:t>
            </w:r>
          </w:p>
        </w:tc>
        <w:tc>
          <w:tcPr>
            <w:tcW w:w="1960" w:type="dxa"/>
            <w:vAlign w:val="bottom"/>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gridSpan w:val="2"/>
          </w:tcPr>
          <w:p>
            <w:pPr>
              <w:ind w:left="20"/>
              <w:spacing w:after="0"/>
              <w:rPr>
                <w:sz w:val="20"/>
                <w:szCs w:val="20"/>
                <w:color w:val="auto"/>
              </w:rPr>
            </w:pPr>
            <w:r>
              <w:rPr>
                <w:rFonts w:ascii="Arial" w:cs="Arial" w:eastAsia="Arial" w:hAnsi="Arial"/>
                <w:sz w:val="17"/>
                <w:szCs w:val="17"/>
                <w:color w:val="0000FF"/>
              </w:rPr>
              <w:t>Certification of the Chief Financial Officer.</w:t>
            </w:r>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0000FF"/>
        </w:rPr>
        <w:t>Section 1350 Certification of the Chief Executive Officer and the Chief Financial Officer.</w:t>
      </w:r>
    </w:p>
    <w:p>
      <w:pPr>
        <w:spacing w:after="0" w:line="210" w:lineRule="exact"/>
        <w:rPr>
          <w:sz w:val="20"/>
          <w:szCs w:val="20"/>
          <w:color w:val="auto"/>
        </w:rPr>
      </w:pPr>
    </w:p>
    <w:p>
      <w:pPr>
        <w:ind w:left="1340" w:right="180" w:hanging="1314"/>
        <w:spacing w:after="0" w:line="267" w:lineRule="auto"/>
        <w:tabs>
          <w:tab w:leader="none" w:pos="1340" w:val="left"/>
        </w:tabs>
        <w:numPr>
          <w:ilvl w:val="0"/>
          <w:numId w:val="66"/>
        </w:numPr>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Graham Holdings Company Clawback Policy (incorporated by reference to Exhibit 97 to the Company’s Annual Report on Form</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10-K for the fiscal year ended December 31, 2023).</w:t>
        </w:r>
      </w:hyperlink>
    </w:p>
    <w:p>
      <w:pPr>
        <w:spacing w:after="0" w:line="153"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5"/>
        </w:trPr>
        <w:tc>
          <w:tcPr>
            <w:tcW w:w="10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2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0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ectPr>
          <w:pgSz w:w="11900" w:h="16838" w:orient="portrait"/>
          <w:cols w:equalWidth="0" w:num="1">
            <w:col w:w="11160"/>
          </w:cols>
          <w:pgMar w:left="320" w:top="1102" w:right="419" w:bottom="1440" w:gutter="0" w:footer="0" w:header="0"/>
          <w:type w:val="continuous"/>
        </w:sect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5" w:lineRule="exact"/>
        <w:rPr>
          <w:rFonts w:ascii="Arial" w:cs="Arial" w:eastAsia="Arial" w:hAnsi="Arial"/>
          <w:sz w:val="17"/>
          <w:szCs w:val="17"/>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2" w:right="419" w:bottom="1440" w:gutter="0" w:footer="0" w:header="0"/>
          <w:type w:val="continuous"/>
        </w:sectPr>
      </w:pPr>
    </w:p>
    <w:bookmarkStart w:id="52" w:name="page53"/>
    <w:bookmarkEnd w:id="5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2025.</w:t>
      </w:r>
    </w:p>
    <w:p>
      <w:pPr>
        <w:spacing w:after="0" w:line="200" w:lineRule="exact"/>
        <w:rPr>
          <w:sz w:val="20"/>
          <w:szCs w:val="20"/>
          <w:color w:val="auto"/>
        </w:rPr>
      </w:pPr>
    </w:p>
    <w:p>
      <w:pPr>
        <w:spacing w:after="0" w:line="3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34925</wp:posOffset>
            </wp:positionV>
            <wp:extent cx="2743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26, 2025:</w:t>
      </w:r>
    </w:p>
    <w:p>
      <w:pPr>
        <w:spacing w:after="0" w:line="200" w:lineRule="exact"/>
        <w:rPr>
          <w:sz w:val="20"/>
          <w:szCs w:val="20"/>
          <w:color w:val="auto"/>
        </w:rPr>
      </w:pP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203"/>
        </w:trPr>
        <w:tc>
          <w:tcPr>
            <w:tcW w:w="3140" w:type="dxa"/>
            <w:vAlign w:val="bottom"/>
          </w:tcPr>
          <w:p>
            <w:pPr>
              <w:spacing w:after="0"/>
              <w:rPr>
                <w:sz w:val="17"/>
                <w:szCs w:val="17"/>
                <w:color w:val="auto"/>
              </w:rPr>
            </w:pPr>
          </w:p>
        </w:tc>
        <w:tc>
          <w:tcPr>
            <w:tcW w:w="3660" w:type="dxa"/>
            <w:vAlign w:val="bottom"/>
          </w:tcPr>
          <w:p>
            <w:pPr>
              <w:ind w:left="1060"/>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369"/>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405"/>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 of the Board</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Chairman Emeritus</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Tony Allen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Danielle Conley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6480" w:type="dxa"/>
        <w:tblCellMar>
          <w:top w:w="0" w:type="dxa"/>
          <w:left w:w="0" w:type="dxa"/>
          <w:bottom w:w="0" w:type="dxa"/>
          <w:right w:w="0" w:type="dxa"/>
        </w:tblCellMar>
      </w:tblPr>
      <w:tr>
        <w:trPr>
          <w:trHeight w:val="27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4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2"/>
        </w:trPr>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1"/>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0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FF"/>
              </w:rPr>
              <w:t>53</w:t>
            </w:r>
          </w:p>
        </w:tc>
      </w:tr>
      <w:tr>
        <w:trPr>
          <w:trHeight w:val="504"/>
        </w:trPr>
        <w:tc>
          <w:tcPr>
            <w:tcW w:w="10880" w:type="dxa"/>
            <w:vAlign w:val="bottom"/>
          </w:tcPr>
          <w:p>
            <w:pPr>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1"/>
        </w:trPr>
        <w:tc>
          <w:tcPr>
            <w:tcW w:w="1088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 (PCAOB ID 238)</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70</w:t>
            </w:r>
          </w:p>
        </w:tc>
      </w:tr>
      <w:tr>
        <w:trPr>
          <w:trHeight w:val="371"/>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2024</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72</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Income (Loss) for the Three Years Ended December 31, 2024</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73</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2024 and 2023</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74</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2024</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371"/>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2024</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86</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88</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Accounts Receivable, Accounts Payable, Vehicle Floor Plan Payable and Accrued Liabilities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Debt</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100</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102</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104</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Other Non-Operating Income</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118</w:t>
            </w:r>
          </w:p>
        </w:tc>
      </w:tr>
    </w:tbl>
    <w:p>
      <w:pPr>
        <w:spacing w:after="0" w:line="17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4" w:name="page55"/>
    <w:bookmarkEnd w:id="54"/>
    <w:p>
      <w:pPr>
        <w:ind w:left="100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analysis should be read in conjunction with the Consolidated Financial Statements and the notes thereto. Refer to Item 7. Management’s Discussion and Analysis of Financial Condition and Results of Operations in the Graham Holdings Company’s 2023 Annual</w:t>
      </w:r>
    </w:p>
    <w:p>
      <w:pPr>
        <w:spacing w:after="0" w:line="1"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color w:val="auto"/>
        </w:rPr>
        <w:t>Report on Form 10-K for management’s discussion and analysis of financial condition and results of operations for the year ended December 31, 2023 compared to the year ended December 31,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Education is the largest operating division of the Company, making up 35% of the Company’s consolidated revenues in 2024. Through its</w:t>
      </w:r>
    </w:p>
    <w:p>
      <w:pPr>
        <w:spacing w:after="0" w:line="14"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subsidiary Kaplan, Inc., the Company provides extensive worldwide education services for individuals, schools and businesses. The Company has devoted significant resources and attention to this division for many years, given its geographic and product diversity, the</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investment opportunities and growth prospects during this time, and challenges related to government regulation. Kaplan is organized into the following three operating segments: Kaplan International (KI), Kaplan Higher Education (KHE) and Supplemental Education.</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KI reported revenue and operating income growth for 2024 due largely to increases at Pathways, Australia, UK Professional and Singapore. KHE revenue declined due to reduced reimbursable expenses from Purdue University Global (Purdue Global), partially offset by an increase</w:t>
      </w:r>
    </w:p>
    <w:p>
      <w:pPr>
        <w:spacing w:after="0" w:line="226" w:lineRule="auto"/>
        <w:rPr>
          <w:sz w:val="20"/>
          <w:szCs w:val="20"/>
          <w:color w:val="auto"/>
        </w:rPr>
      </w:pPr>
      <w:r>
        <w:rPr>
          <w:rFonts w:ascii="Arial" w:cs="Arial" w:eastAsia="Arial" w:hAnsi="Arial"/>
          <w:sz w:val="18"/>
          <w:szCs w:val="18"/>
          <w:color w:val="auto"/>
        </w:rPr>
        <w:t>in the fees from Purdue Global and growth in other higher education programs. KHE operating results improved in 2024 due to an increase in the Purdue Global fee recorded, partially offset by an increase in higher education development costs. Supplemental Education revenues</w:t>
      </w:r>
    </w:p>
    <w:p>
      <w:pPr>
        <w:spacing w:after="0" w:line="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declined slightly in 2024, while operating results improved due largely to cost reductions from lower headcount, partially offset by increased employee healthcare and pension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From an operating income standpoint, television broadcasting is the Company’s largest business. The Company’s television broadcasting</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division reported higher revenues and operating income in 2024, due largely to a significant increase in political advertising revenue from the 2024 election cycle, partially offset by a decline in local advertising revenue. Retransmission revenues, net of network fee expense, trended</w:t>
      </w:r>
    </w:p>
    <w:p>
      <w:pPr>
        <w:spacing w:after="0" w:line="236" w:lineRule="auto"/>
        <w:rPr>
          <w:sz w:val="20"/>
          <w:szCs w:val="20"/>
          <w:color w:val="auto"/>
        </w:rPr>
      </w:pPr>
      <w:r>
        <w:rPr>
          <w:rFonts w:ascii="Arial" w:cs="Arial" w:eastAsia="Arial" w:hAnsi="Arial"/>
          <w:sz w:val="18"/>
          <w:szCs w:val="18"/>
          <w:color w:val="auto"/>
        </w:rPr>
        <w:t>down modestly in 2024 with this trend expected to continue in the future due largely to adverse subscriber trends from cord cutting. In recent</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years, the television broadcasting division has consistently generated significantly higher operating income amounts and operating income margins than the education division and the Company’s other reporting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division has provided meaningful operating cash flow over the last few years, although revenues and</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operating results at Hoover and Dekko have been adversely impacted by lower product demand. Graham Healthcare Group (GHG) has grown substantially over the last few years and provided meaningful operating cash flow from internal growth and acquisitions. In recent</w:t>
      </w:r>
    </w:p>
    <w:p>
      <w:pPr>
        <w:spacing w:after="0" w:line="235" w:lineRule="auto"/>
        <w:rPr>
          <w:sz w:val="20"/>
          <w:szCs w:val="20"/>
          <w:color w:val="auto"/>
        </w:rPr>
      </w:pPr>
      <w:r>
        <w:rPr>
          <w:rFonts w:ascii="Arial" w:cs="Arial" w:eastAsia="Arial" w:hAnsi="Arial"/>
          <w:sz w:val="18"/>
          <w:szCs w:val="18"/>
          <w:color w:val="auto"/>
        </w:rPr>
        <w:t>years, GHG has expanded from its home health and hospice operations into new lines of business. The largest of these is CSI Pharmacy</w:t>
      </w:r>
    </w:p>
    <w:p>
      <w:pPr>
        <w:ind w:right="160"/>
        <w:spacing w:after="0"/>
        <w:rPr>
          <w:sz w:val="20"/>
          <w:szCs w:val="20"/>
          <w:color w:val="auto"/>
        </w:rPr>
      </w:pPr>
      <w:r>
        <w:rPr>
          <w:rFonts w:ascii="Arial" w:cs="Arial" w:eastAsia="Arial" w:hAnsi="Arial"/>
          <w:sz w:val="17"/>
          <w:szCs w:val="17"/>
          <w:color w:val="auto"/>
        </w:rPr>
        <w:t>Holding Company, LLC (CSI), which provides nursing care and prescription services for patients receiving in-home infusion treatments. CSI reported significant revenue growth and substantially higher operating results in 2024 from an expansion of infusion treatment offerings and</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patient service areas in 2024. Automotive revenues grew in 2024 due largely to the Toyota of Richmond acquisition, while operating results declined modestly.</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Company’s other businesses include several investment stage businesses as well as investments into new lines of business over the last few years. In total, there are eleven operating business units that make up this group in three categories: retail, media and specialty. The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largest of these businesses from a revenue standpoint is Clyde’s Restaurant Group (CRG), followed by the combined three former Leaf businesses, and then Framebridge, a custom framing service company. In 2024, CRG and Slate each reported positive operating income,</w:t>
      </w:r>
    </w:p>
    <w:p>
      <w:pPr>
        <w:spacing w:after="0" w:line="1"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while the other businesses each reported operating losses, which were significant at the combined three former Leaf businesses and Framebridge.</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Net income attributable to common shares was $724.6 million ($163.40 per share) for the year ended December 31, 2024, compared to $205.3 million ($43.82 per share)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Items included in the Company’s net income for 2024 are listed below:</w:t>
      </w:r>
    </w:p>
    <w:p>
      <w:pPr>
        <w:spacing w:after="0" w:line="104" w:lineRule="exact"/>
        <w:rPr>
          <w:sz w:val="20"/>
          <w:szCs w:val="20"/>
          <w:color w:val="auto"/>
        </w:rPr>
      </w:pPr>
    </w:p>
    <w:p>
      <w:pPr>
        <w:ind w:left="160" w:hanging="152"/>
        <w:spacing w:after="0"/>
        <w:tabs>
          <w:tab w:leader="none" w:pos="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$49.8 million in goodwill and other long-lived asset impairment charges (after-tax impact of $39.4 million, or $8.89 per share);</w:t>
      </w:r>
    </w:p>
    <w:p>
      <w:pPr>
        <w:spacing w:after="0" w:line="90" w:lineRule="exact"/>
        <w:rPr>
          <w:rFonts w:ascii="Arial" w:cs="Arial" w:eastAsia="Arial" w:hAnsi="Arial"/>
          <w:sz w:val="18"/>
          <w:szCs w:val="18"/>
          <w:color w:val="auto"/>
        </w:rPr>
      </w:pPr>
    </w:p>
    <w:p>
      <w:pPr>
        <w:ind w:left="180" w:right="100" w:hanging="172"/>
        <w:spacing w:after="0" w:line="271"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$653.4 million fourth quarter settlement gain related to a retiree annuity pension purchase (after-tax impact of $486.1 million, or $109.62 per share);</w:t>
      </w:r>
    </w:p>
    <w:p>
      <w:pPr>
        <w:spacing w:after="0" w:line="45" w:lineRule="exact"/>
        <w:rPr>
          <w:rFonts w:ascii="Arial" w:cs="Arial" w:eastAsia="Arial" w:hAnsi="Arial"/>
          <w:sz w:val="18"/>
          <w:szCs w:val="18"/>
          <w:color w:val="auto"/>
        </w:rPr>
      </w:pPr>
    </w:p>
    <w:p>
      <w:pPr>
        <w:ind w:left="180" w:right="40" w:hanging="172"/>
        <w:spacing w:after="0" w:line="245"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$21.0 million in non-operating expenses related to a Voluntary Retirement Incentive Program (VRIP) at the television broadcasting division and the corporate office, and Separation Incentive Programs (SIPs) at Kaplan, manufacturing and other businesses (after-tax impact of $15.6 million, or $3.52 per share);</w:t>
      </w:r>
    </w:p>
    <w:p>
      <w:pPr>
        <w:spacing w:after="0" w:line="68" w:lineRule="exact"/>
        <w:rPr>
          <w:rFonts w:ascii="Arial" w:cs="Arial" w:eastAsia="Arial" w:hAnsi="Arial"/>
          <w:sz w:val="18"/>
          <w:szCs w:val="18"/>
          <w:color w:val="auto"/>
        </w:rPr>
      </w:pPr>
    </w:p>
    <w:p>
      <w:pPr>
        <w:ind w:left="180" w:right="140" w:hanging="172"/>
        <w:spacing w:after="0" w:line="256"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$119.3 million in interest expense to adjust the fair value of the mandatorily redeemable noncontrolling interest (after-tax impact of $113.7 million, or $25.65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$181.3 million in net gains on marketable equity securities (after-tax impact of $134.9 million, or $30.41 per share);</w:t>
      </w:r>
    </w:p>
    <w:p>
      <w:pPr>
        <w:spacing w:after="0" w:line="103" w:lineRule="exact"/>
        <w:rPr>
          <w:rFonts w:ascii="Arial" w:cs="Arial" w:eastAsia="Arial" w:hAnsi="Arial"/>
          <w:sz w:val="18"/>
          <w:szCs w:val="18"/>
          <w:color w:val="auto"/>
        </w:rPr>
      </w:pPr>
    </w:p>
    <w:p>
      <w:pPr>
        <w:ind w:left="180" w:right="360" w:hanging="172"/>
        <w:spacing w:after="0" w:line="256"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$3.5 million in net losses of affiliates whose operations are not managed by the Company (after-tax impact of $2.6 million, or $0.59 per share);</w:t>
      </w:r>
    </w:p>
    <w:p>
      <w:pPr>
        <w:spacing w:after="0" w:line="57" w:lineRule="exact"/>
        <w:rPr>
          <w:rFonts w:ascii="Arial" w:cs="Arial" w:eastAsia="Arial" w:hAnsi="Arial"/>
          <w:sz w:val="18"/>
          <w:szCs w:val="18"/>
          <w:color w:val="auto"/>
        </w:rPr>
      </w:pPr>
    </w:p>
    <w:p>
      <w:pPr>
        <w:ind w:left="180" w:right="100" w:hanging="172"/>
        <w:spacing w:after="0" w:line="271"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non-operating gain of $7.2 million from the sale of certain businesses and websites (after-tax impact of $5.3 million, or $1.19 per share); and</w:t>
      </w:r>
    </w:p>
    <w:p>
      <w:pPr>
        <w:spacing w:after="0" w:line="32" w:lineRule="exact"/>
        <w:rPr>
          <w:rFonts w:ascii="Arial" w:cs="Arial" w:eastAsia="Arial" w:hAnsi="Arial"/>
          <w:sz w:val="18"/>
          <w:szCs w:val="18"/>
          <w:color w:val="auto"/>
        </w:rPr>
      </w:pPr>
    </w:p>
    <w:p>
      <w:pPr>
        <w:ind w:left="180" w:right="80" w:hanging="172"/>
        <w:spacing w:after="0" w:line="271" w:lineRule="auto"/>
        <w:tabs>
          <w:tab w:leader="none" w:pos="1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net non-operating loss of $16.7 million from the impairments and valuation adjustments of equity and cost method investments (after-tax impact of $12.4 million, or $2.80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2023 are listed below:</w:t>
      </w:r>
    </w:p>
    <w:p>
      <w:pPr>
        <w:spacing w:after="0" w:line="90" w:lineRule="exact"/>
        <w:rPr>
          <w:sz w:val="20"/>
          <w:szCs w:val="20"/>
          <w:color w:val="auto"/>
        </w:rPr>
      </w:pPr>
    </w:p>
    <w:p>
      <w:pPr>
        <w:ind w:left="180" w:right="100" w:hanging="172"/>
        <w:spacing w:after="0" w:line="271"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$7.0 million net credit related to fair value changes in contingent consideration from prior acquisitions (after-tax impact of $6.5 million, or $1.38 per share);</w:t>
      </w:r>
    </w:p>
    <w:p>
      <w:pPr>
        <w:spacing w:after="0" w:line="72"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$99.1 million in goodwill and other long-lived asset impairment charges (after-tax impact of $88.9 million, or $18.97 per share);</w:t>
      </w:r>
    </w:p>
    <w:p>
      <w:pPr>
        <w:spacing w:after="0" w:line="103" w:lineRule="exact"/>
        <w:rPr>
          <w:rFonts w:ascii="Arial" w:cs="Arial" w:eastAsia="Arial" w:hAnsi="Arial"/>
          <w:sz w:val="18"/>
          <w:szCs w:val="18"/>
          <w:color w:val="auto"/>
        </w:rPr>
      </w:pPr>
    </w:p>
    <w:p>
      <w:pPr>
        <w:ind w:left="180" w:right="140" w:hanging="172"/>
        <w:spacing w:after="0" w:line="256"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$9.9 million in expenses related to non-operating SIPs at other businesses and the education and television broadcasting divisions (after-tax impact of $7.3 million, or $1.57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$138.1 million in net gains on marketable equity securities (after-tax impact of $102.7 million, or $21.93 per share);</w:t>
      </w:r>
    </w:p>
    <w:p>
      <w:pPr>
        <w:spacing w:after="0" w:line="103" w:lineRule="exact"/>
        <w:rPr>
          <w:rFonts w:ascii="Arial" w:cs="Arial" w:eastAsia="Arial" w:hAnsi="Arial"/>
          <w:sz w:val="18"/>
          <w:szCs w:val="18"/>
          <w:color w:val="auto"/>
        </w:rPr>
      </w:pPr>
    </w:p>
    <w:p>
      <w:pPr>
        <w:ind w:left="180" w:right="180" w:hanging="172"/>
        <w:spacing w:after="0" w:line="256"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$16.0 million in net losses of affiliates whose operations are not managed by the Company (after-tax impact of $11.9 million, or $2.53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 impact of $7.4 million, or $1.59 per share);</w:t>
      </w:r>
    </w:p>
    <w:p>
      <w:pPr>
        <w:spacing w:after="0" w:line="103" w:lineRule="exact"/>
        <w:rPr>
          <w:rFonts w:ascii="Arial" w:cs="Arial" w:eastAsia="Arial" w:hAnsi="Arial"/>
          <w:sz w:val="18"/>
          <w:szCs w:val="18"/>
          <w:color w:val="auto"/>
        </w:rPr>
      </w:pPr>
    </w:p>
    <w:p>
      <w:pPr>
        <w:ind w:left="180" w:hanging="172"/>
        <w:spacing w:after="0" w:line="256"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non-operating gains, net, of $3.4 million from write-ups, sales and impairments of cost method investments (after-tax impact of $2.5 million, or $0.54 per share);</w:t>
      </w:r>
    </w:p>
    <w:p>
      <w:pPr>
        <w:spacing w:after="0" w:line="57" w:lineRule="exact"/>
        <w:rPr>
          <w:rFonts w:ascii="Arial" w:cs="Arial" w:eastAsia="Arial" w:hAnsi="Arial"/>
          <w:sz w:val="18"/>
          <w:szCs w:val="18"/>
          <w:color w:val="auto"/>
        </w:rPr>
      </w:pPr>
    </w:p>
    <w:p>
      <w:pPr>
        <w:ind w:left="180" w:right="260" w:hanging="172"/>
        <w:spacing w:after="0" w:line="271"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32" w:lineRule="exact"/>
        <w:rPr>
          <w:rFonts w:ascii="Arial" w:cs="Arial" w:eastAsia="Arial" w:hAnsi="Arial"/>
          <w:sz w:val="18"/>
          <w:szCs w:val="18"/>
          <w:color w:val="auto"/>
        </w:rPr>
      </w:pPr>
    </w:p>
    <w:p>
      <w:pPr>
        <w:ind w:left="180" w:right="420" w:hanging="172"/>
        <w:spacing w:after="0" w:line="271"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$10.1 million in interest expense to adjust the fair value of the mandatorily redeemable noncontrolling interest (after-tax impact of $9.6 million, or $2.05 per share).</w:t>
      </w:r>
    </w:p>
    <w:p>
      <w:pPr>
        <w:spacing w:after="0" w:line="46"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Revenue for 2024 was $4,790.9 million, up 9% from $ 4,414.9 million in 2023. Revenues increased at education, television broadcasting, healthcare and automotive, partially offset by declines at manufacturing and other businesses. Operating costs and expenses for the year</w:t>
      </w:r>
    </w:p>
    <w:p>
      <w:pPr>
        <w:spacing w:after="0" w:line="235" w:lineRule="auto"/>
        <w:rPr>
          <w:sz w:val="20"/>
          <w:szCs w:val="20"/>
          <w:color w:val="auto"/>
        </w:rPr>
      </w:pPr>
      <w:r>
        <w:rPr>
          <w:rFonts w:ascii="Arial" w:cs="Arial" w:eastAsia="Arial" w:hAnsi="Arial"/>
          <w:sz w:val="18"/>
          <w:szCs w:val="18"/>
          <w:color w:val="auto"/>
        </w:rPr>
        <w:t>increased to $4,575.4 million in 2024, from $4,345.5 million in 2023. Expenses in 2024 increased at education, healthcare and automotive,</w:t>
      </w:r>
    </w:p>
    <w:p>
      <w:pPr>
        <w:ind w:right="180"/>
        <w:spacing w:after="0" w:line="226" w:lineRule="auto"/>
        <w:rPr>
          <w:sz w:val="20"/>
          <w:szCs w:val="20"/>
          <w:color w:val="auto"/>
        </w:rPr>
      </w:pPr>
      <w:r>
        <w:rPr>
          <w:rFonts w:ascii="Arial" w:cs="Arial" w:eastAsia="Arial" w:hAnsi="Arial"/>
          <w:sz w:val="18"/>
          <w:szCs w:val="18"/>
          <w:color w:val="auto"/>
        </w:rPr>
        <w:t>partially offset by a decrease at television broadcasting, manufacturing and other businesses. The Company reported operating income for 2024 of $215.5 million, compared to $69.4 million in 2023. Excluding goodwill and other long-lived asset impairment charges, the</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improvement in operating results is due to increases at education, television broadcasting and healthcare, partially offset by declines at manufacturing and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2024 totaled $1,691.8 million, up 7% from $1,587.6 million in 2023. Kaplan reported operating income of</w:t>
      </w:r>
    </w:p>
    <w:p>
      <w:pPr>
        <w:ind w:right="140"/>
        <w:spacing w:after="0" w:line="250" w:lineRule="auto"/>
        <w:rPr>
          <w:sz w:val="20"/>
          <w:szCs w:val="20"/>
          <w:color w:val="auto"/>
        </w:rPr>
      </w:pPr>
      <w:r>
        <w:rPr>
          <w:rFonts w:ascii="Arial" w:cs="Arial" w:eastAsia="Arial" w:hAnsi="Arial"/>
          <w:sz w:val="18"/>
          <w:szCs w:val="18"/>
          <w:color w:val="auto"/>
        </w:rPr>
        <w:t>$100.8 million for 2024, a decrease from $104.5 million in 2023. Excluding long-lived asset impairment charges, operating results improved significantly in 2024.</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1,074,207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966,879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324,815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326,961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291,630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292,776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5,761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11,012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(10,047)</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1,691,778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1,587,581</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101,699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87,530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40,750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38,942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26,934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22,472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(35,148)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(29,891)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(10,487)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(14,076)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(22,930)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100,829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104,471</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Kaplan International includes postsecondary education, professional training and language training businesses largely outside the United States. Kaplan International revenue increased 11% in 2024 (9% on a constant currency basis). The increase in 2024 is due largely to growth</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at Pathways, Australia, UK Professional and Singapore. Kaplan International reported operating income of $101.7 million in 2024, compared to $87.5 million in 2023. The increase is due largely to improved results at Australia, UK Professional, Pathways and Singapore, partially</w:t>
      </w:r>
    </w:p>
    <w:p>
      <w:pPr>
        <w:spacing w:after="0" w:line="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offset by a decline at Languages and increased incentive compensation costs. In the fourth quarter of 2024, revenue and operating results were down at Australia due to lower new student enrollments at Kaplan Business School resulting from changes in student visa policies.</w:t>
      </w:r>
    </w:p>
    <w:p>
      <w:pPr>
        <w:spacing w:after="0" w:line="8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decreased 1% in 2024 due to reduced reimbursable expenses from Purdue Global, partially offset by an increase in the fees from Purdue Global and</w:t>
      </w:r>
    </w:p>
    <w:p>
      <w:pPr>
        <w:ind w:right="200"/>
        <w:spacing w:after="0" w:line="226" w:lineRule="auto"/>
        <w:rPr>
          <w:sz w:val="20"/>
          <w:szCs w:val="20"/>
          <w:color w:val="auto"/>
        </w:rPr>
      </w:pPr>
      <w:r>
        <w:rPr>
          <w:rFonts w:ascii="Arial" w:cs="Arial" w:eastAsia="Arial" w:hAnsi="Arial"/>
          <w:sz w:val="18"/>
          <w:szCs w:val="18"/>
          <w:color w:val="auto"/>
        </w:rPr>
        <w:t>growth in other higher education programs. Enrollments at Purdue Global, the largest institutional client, increased 5% for 2024 compared with the end of 2023. In 2024 and 2023, Kaplan recorded a portion of the fee with Purdue Global. The Company will continue to assess the</w:t>
      </w:r>
    </w:p>
    <w:p>
      <w:pPr>
        <w:spacing w:after="0" w:line="236" w:lineRule="auto"/>
        <w:rPr>
          <w:sz w:val="20"/>
          <w:szCs w:val="20"/>
          <w:color w:val="auto"/>
        </w:rPr>
      </w:pPr>
      <w:r>
        <w:rPr>
          <w:rFonts w:ascii="Arial" w:cs="Arial" w:eastAsia="Arial" w:hAnsi="Arial"/>
          <w:sz w:val="18"/>
          <w:szCs w:val="18"/>
          <w:color w:val="auto"/>
        </w:rPr>
        <w:t>fee it records from Purdue Global on a quarterly basis to make a determination as to whether to record all or part of the fee in the future and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whether to make adjustments to fee amounts recognized in earlier periods. During 2024 and 2023, Kaplan recorded $54.5 million and $50.3 million, respectively, in fees from Purdue Global in its Higher Education operating results. Higher Education results improved in 2024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Purdue Global fee recorded, partially offset by an increase in higher education development costs.</w:t>
      </w:r>
    </w:p>
    <w:p>
      <w:pPr>
        <w:spacing w:after="0" w:line="140"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slightly in 2024, driven mostly by softness in Medical Licensure test</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preparation, wealth management and Real Estate, offset in part by growth in Insurance, CFA, Legal assessment services, Architecture and Engineering and MCAT test preparation. Operating results improved in 2024 due largely to cost reductions from lower headcount, partially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offset by increased employee healthcare and pension expense.</w:t>
      </w:r>
    </w:p>
    <w:p>
      <w:pPr>
        <w:spacing w:after="0" w:line="14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In 2024, Kaplan offered SIPs to certain employees, primarily at Supplemental Education; $2.8 million in related non-operating pension expense was recorded.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activities. Overall, Kaplan corporate and other expenses increased in 2024 due to increased employee benefit and incentive compensation costs.</w:t>
      </w:r>
    </w:p>
    <w:p>
      <w:pPr>
        <w:spacing w:after="0" w:line="1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 the fourth quarter of 2024, Kaplan recorded an intangible asset impairment charge of $22.9 million related to Mander Portman Woodward (MPW), which is part of Kaplan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535,678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472,436</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201,165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133,938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(GMG) owns seven television stations located in Houston, TX; Detroit, MI; Orlando, FL; San Antonio, TX;</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Jacksonville, FL; and Roanoke, VA, as well as SocialNewsDesk, a provider of social media management tools designed to connect newsrooms with their users. Revenue at the television broadcasting division increased 13% to $535.7 million in 2024, from $472.4 million in</w:t>
      </w:r>
    </w:p>
    <w:p>
      <w:pPr>
        <w:spacing w:after="0" w:line="235" w:lineRule="auto"/>
        <w:rPr>
          <w:sz w:val="20"/>
          <w:szCs w:val="20"/>
          <w:color w:val="auto"/>
        </w:rPr>
      </w:pPr>
      <w:r>
        <w:rPr>
          <w:rFonts w:ascii="Arial" w:cs="Arial" w:eastAsia="Arial" w:hAnsi="Arial"/>
          <w:sz w:val="18"/>
          <w:szCs w:val="18"/>
          <w:color w:val="auto"/>
        </w:rPr>
        <w:t>2023. The revenue increase is due to a $90.5 million increase in political advertising revenue, increases from summer Olympics-related</w:t>
      </w:r>
    </w:p>
    <w:p>
      <w:pPr>
        <w:ind w:right="260"/>
        <w:spacing w:after="0" w:line="226" w:lineRule="auto"/>
        <w:rPr>
          <w:sz w:val="20"/>
          <w:szCs w:val="20"/>
          <w:color w:val="auto"/>
        </w:rPr>
      </w:pPr>
      <w:r>
        <w:rPr>
          <w:rFonts w:ascii="Arial" w:cs="Arial" w:eastAsia="Arial" w:hAnsi="Arial"/>
          <w:sz w:val="18"/>
          <w:szCs w:val="18"/>
          <w:color w:val="auto"/>
        </w:rPr>
        <w:t>advertising revenue at the Company’s NBC stations and an increase in digital advertising revenue, partially offset by a decline in local advertising revenue due to lower demand and fewer available advertising spots, and an $8.0 million decrease in retransmission revenues.</w:t>
      </w:r>
    </w:p>
    <w:p>
      <w:pPr>
        <w:spacing w:after="0" w:line="236" w:lineRule="auto"/>
        <w:rPr>
          <w:sz w:val="20"/>
          <w:szCs w:val="20"/>
          <w:color w:val="auto"/>
        </w:rPr>
      </w:pPr>
      <w:r>
        <w:rPr>
          <w:rFonts w:ascii="Arial" w:cs="Arial" w:eastAsia="Arial" w:hAnsi="Arial"/>
          <w:sz w:val="18"/>
          <w:szCs w:val="18"/>
          <w:color w:val="auto"/>
        </w:rPr>
        <w:t>Operating income for 2024 was up 50% to $201.2 million, from $133.9 million in 2023, due to higher revenues, cost reductions from lower</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headcount, and lower network fees; partially offset by increased pension expense. While per subscriber rates from cable, satellite and OTT providers have grown, overall cable and satellite subscribers are down due to cord cutting, resulting in retransmission revenue net of network</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fees in 2024 to decline modestly compared with 2023, and this trend is expected to continue in the future. Operating margin at the television broadcasting division was 38% in 2024 and 28% in 2023.</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In the second quarter of 2024, GMG offered a VRIP to certain employees; $14.3 million in related non-operating pension expense was recorded.</w:t>
      </w:r>
    </w:p>
    <w:p>
      <w:pPr>
        <w:spacing w:after="0" w:line="10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GMG’s media hubs continued to strengthen their position as top contenders for local news in their respective markets. In traditional broadcasting, KSAT in San Antonio and WJXT in Jacksonville led their respective markets with top-rated newscasts at 6 am, 6 pm, and late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evening, particularly excelling in the important 25-54 audience segment. Throughout 2024, KPRC in Houston ranked solidly in second place for evening news, led late news broadcasts, and finished third in the mornings. WDIV in Detroit dominated the 6 pm and 11 pm slots, while</w:t>
      </w:r>
    </w:p>
    <w:p>
      <w:pPr>
        <w:spacing w:after="0" w:line="236" w:lineRule="auto"/>
        <w:rPr>
          <w:sz w:val="20"/>
          <w:szCs w:val="20"/>
          <w:color w:val="auto"/>
        </w:rPr>
      </w:pPr>
      <w:r>
        <w:rPr>
          <w:rFonts w:ascii="Arial" w:cs="Arial" w:eastAsia="Arial" w:hAnsi="Arial"/>
          <w:sz w:val="18"/>
          <w:szCs w:val="18"/>
          <w:color w:val="auto"/>
        </w:rPr>
        <w:t>securing second place at 6 am. WKMG in Orlando posted strong results at 6 am, ranking second, while its 11 pm newscast placed third and</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its 6 pm broadcast came in fourth. In Roanoke, WSLS finished third in the 6 am, 6 pm, and 11 pm timeslots. On the digital side, GMG’s streaming platforms saw consistent growth in live stream viewership and total hours watched, while Insider membership registrations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continued to climb. GMG’s local media websites also retained their positions as the leading digital platforms in their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395,642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447,910</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18,370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(16,793)</w:t>
            </w:r>
          </w:p>
        </w:tc>
        <w:tc>
          <w:tcPr>
            <w:tcW w:w="1220" w:type="dxa"/>
            <w:vAlign w:val="bottom"/>
          </w:tcPr>
          <w:p>
            <w:pPr>
              <w:jc w:val="center"/>
              <w:ind w:left="822"/>
              <w:spacing w:after="0"/>
              <w:rPr>
                <w:sz w:val="20"/>
                <w:szCs w:val="20"/>
                <w:color w:val="auto"/>
              </w:rPr>
            </w:pPr>
            <w:r>
              <w:rPr>
                <w:rFonts w:ascii="Arial" w:cs="Arial" w:eastAsia="Arial" w:hAnsi="Arial"/>
                <w:sz w:val="16"/>
                <w:szCs w:val="16"/>
                <w:color w:val="auto"/>
                <w:w w:val="99"/>
              </w:rPr>
              <w:t>—</w:t>
            </w:r>
          </w:p>
        </w:tc>
      </w:tr>
    </w:tbl>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Manufacturing revenues decreased 12% in 2024 due to lower revenues at Hoover, Dekko and Joyce, partially offset by increased revenues at Forney. The revenue decline at Hoover is due largely to a decrease in overall product demand, particularly for multi-family housing.</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Revenues declined at Dekko due to lower product demand. Overall, Hoover results included wood gains on inventory sales in 2024 and 2023, with gains in 2024 much lower than the prior year. Manufacturing operating results improved in 2024 due to a $47.8 million goodwill</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impairment charge at Dekko in 2023. Excluding the impairment charge at Dekko, manufacturing results were down in 2024, due to significant declines at Hoover and Dekko, along with declines at Joyce and Forney.</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third and fourth quarters of 2024, Dekko offered SIPs to certain employees; $0.2 million in related non-operating pension expense was recorded.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611,109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459,481</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50,885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23,845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GHG provides home health and hospice services in seven states. GHG also provides nursing care and prescription services for patients</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receiving in-home infusion treatments through its 87.5% interest in CSI, and other healthcare services through Clarus (provides call management SaaS-based solution for physician groups and hospitals), Impact Medical (an Allergy, Asthma and Immunology physician</w:t>
      </w:r>
    </w:p>
    <w:p>
      <w:pPr>
        <w:spacing w:after="0" w:line="235" w:lineRule="auto"/>
        <w:rPr>
          <w:sz w:val="20"/>
          <w:szCs w:val="20"/>
          <w:color w:val="auto"/>
        </w:rPr>
      </w:pPr>
      <w:r>
        <w:rPr>
          <w:rFonts w:ascii="Arial" w:cs="Arial" w:eastAsia="Arial" w:hAnsi="Arial"/>
          <w:sz w:val="18"/>
          <w:szCs w:val="18"/>
          <w:color w:val="auto"/>
        </w:rPr>
        <w:t>practice), Skin Clique (a concierge provider of aesthetics products and services) and Surpass Behavioral Health (provides therapy for autism</w:t>
      </w:r>
    </w:p>
    <w:p>
      <w:pPr>
        <w:ind w:right="520"/>
        <w:spacing w:after="0" w:line="237" w:lineRule="auto"/>
        <w:rPr>
          <w:sz w:val="20"/>
          <w:szCs w:val="20"/>
          <w:color w:val="auto"/>
        </w:rPr>
      </w:pPr>
      <w:r>
        <w:rPr>
          <w:rFonts w:ascii="Arial" w:cs="Arial" w:eastAsia="Arial" w:hAnsi="Arial"/>
          <w:sz w:val="18"/>
          <w:szCs w:val="18"/>
          <w:color w:val="auto"/>
        </w:rPr>
        <w:t>patients). Healthcare revenues increased 33% in 2024, largely due to significant growth at CSI from an expansion of infusion treatment offerings and patient service areas; revenues also grew in home health and hospice services and at the other healthcare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GHG operating results in 2024 is due to substantially higher earnings at CSI from significant revenue growth, along with</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improved results in home health and at Surpass Behavioral Health, partly offset by increased pension expense. In January 2022, GHG implemented a pension credit retention program offering a pension credit up to $50,000 per employee, cliff vested after three years of</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continuous employment for certain existing employees and new employees. Effective April 1, 2024, this program is no longer being offered to new employees.</w:t>
      </w:r>
    </w:p>
    <w:p>
      <w:pPr>
        <w:spacing w:after="0" w:line="1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In 2024 and 2023, the Company recorded equity in earnings of $13.7 million and $9.9 million, respectively, from these joint ventures.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 Change</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1,200,477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1,079,893</w:t>
            </w:r>
          </w:p>
        </w:tc>
        <w:tc>
          <w:tcPr>
            <w:tcW w:w="1220" w:type="dxa"/>
            <w:vAlign w:val="bottom"/>
          </w:tcPr>
          <w:p>
            <w:pPr>
              <w:ind w:left="980"/>
              <w:spacing w:after="0"/>
              <w:rPr>
                <w:sz w:val="20"/>
                <w:szCs w:val="20"/>
                <w:color w:val="auto"/>
              </w:rPr>
            </w:pPr>
            <w:r>
              <w:rPr>
                <w:rFonts w:ascii="Arial" w:cs="Arial" w:eastAsia="Arial" w:hAnsi="Arial"/>
                <w:sz w:val="16"/>
                <w:szCs w:val="16"/>
                <w:color w:val="auto"/>
              </w:rPr>
              <w:t>11</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38,015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39,258</w:t>
            </w:r>
          </w:p>
        </w:tc>
        <w:tc>
          <w:tcPr>
            <w:tcW w:w="1220" w:type="dxa"/>
            <w:vAlign w:val="bottom"/>
          </w:tcPr>
          <w:p>
            <w:pPr>
              <w:ind w:left="1000"/>
              <w:spacing w:after="0"/>
              <w:rPr>
                <w:sz w:val="20"/>
                <w:szCs w:val="20"/>
                <w:color w:val="auto"/>
              </w:rPr>
            </w:pPr>
            <w:r>
              <w:rPr>
                <w:rFonts w:ascii="Arial" w:cs="Arial" w:eastAsia="Arial" w:hAnsi="Arial"/>
                <w:sz w:val="16"/>
                <w:szCs w:val="16"/>
                <w:color w:val="auto"/>
              </w:rPr>
              <w:t>(3)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Rockville, Ourisman Honda of Tysons Corner, Ourisman Jeep Bethesda, Ourisman Ford of Manassas, Toyota of Woodbridge, Ourisman Chrysler-Dodge-Jeep-Ram (CDJR) of Woodbridge and Ourisman Toyota of Richmond, which was acquired on September 27, 2023. The</w:t>
      </w:r>
    </w:p>
    <w:p>
      <w:pPr>
        <w:spacing w:after="0" w:line="235" w:lineRule="auto"/>
        <w:rPr>
          <w:sz w:val="20"/>
          <w:szCs w:val="20"/>
          <w:color w:val="auto"/>
        </w:rPr>
      </w:pPr>
      <w:r>
        <w:rPr>
          <w:rFonts w:ascii="Arial" w:cs="Arial" w:eastAsia="Arial" w:hAnsi="Arial"/>
          <w:sz w:val="18"/>
          <w:szCs w:val="18"/>
          <w:color w:val="auto"/>
        </w:rPr>
        <w:t>automotive group was awarded a Kia Open Point dealership in Bethesda, MD which commenced operations at the end of December 2023.</w:t>
      </w:r>
    </w:p>
    <w:p>
      <w:pPr>
        <w:ind w:right="740"/>
        <w:spacing w:after="0" w:line="237" w:lineRule="auto"/>
        <w:rPr>
          <w:sz w:val="20"/>
          <w:szCs w:val="20"/>
          <w:color w:val="auto"/>
        </w:rPr>
      </w:pPr>
      <w:r>
        <w:rPr>
          <w:rFonts w:ascii="Arial" w:cs="Arial" w:eastAsia="Arial" w:hAnsi="Arial"/>
          <w:sz w:val="18"/>
          <w:szCs w:val="18"/>
          <w:color w:val="auto"/>
        </w:rPr>
        <w:t>Christopher J. Ourisman, a member of the Ourisman Automotive Group family of dealerships, and his team of industry professionals operates and manages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2024 increased 11% due to the Toyota of Richmond acquisition and the addition of the Kia dealership, as well as sales growth</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for services and parts, partially offset by a decline in new and used vehicle sales and a decline in sales of finance and insurance products offerings. Operating results for 2024 declined modestly due to lower sales and overall gross margins on new vehicles, a decline in finance</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and insurance product sales, and lower overall gross profit on used vehicles; partially offset by earnings from the Toyota of Richmond acquisition and higher overall gross profit on services and parts.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110,286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124,323</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92,583</w:t>
            </w:r>
          </w:p>
        </w:tc>
        <w:tc>
          <w:tcPr>
            <w:tcW w:w="3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106,236</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153,651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139,094</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w:t>
            </w:r>
          </w:p>
        </w:tc>
      </w:tr>
      <w:tr>
        <w:trPr>
          <w:trHeight w:val="220"/>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356,520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369,653</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World of Good Brands (WGB) (formerly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CRG, Decile and Supporting Cast</w:t>
      </w:r>
    </w:p>
    <w:p>
      <w:pPr>
        <w:spacing w:after="0" w:line="15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Overall, revenue from other businesses declined 4% in 2024. Retail revenue declined largely due to significantly lower revenue at Society6, partially offset by revenue growth at Framebridge and Saatchi Art. Media revenue declined due to lower revenue at WGB, Code3 and</w:t>
      </w:r>
    </w:p>
    <w:p>
      <w:pPr>
        <w:ind w:right="120"/>
        <w:spacing w:after="0" w:line="237" w:lineRule="auto"/>
        <w:rPr>
          <w:sz w:val="20"/>
          <w:szCs w:val="20"/>
          <w:color w:val="auto"/>
        </w:rPr>
      </w:pPr>
      <w:r>
        <w:rPr>
          <w:rFonts w:ascii="Arial" w:cs="Arial" w:eastAsia="Arial" w:hAnsi="Arial"/>
          <w:sz w:val="18"/>
          <w:szCs w:val="18"/>
          <w:color w:val="auto"/>
        </w:rPr>
        <w:t>Foreign Policy, partially offset by revenue growth at Slate and City Cast. Specialty revenue increased due to revenue growth at CRG, Decile and Supporting Cast. Excluding the former Leaf businesses, revenues from other businesses increased in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results at other businesses improved in 2024 due largely to $26.3 million in goodwill and intangible asset impairment</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charges at WGB in 2024 compared to $50.2 million in goodwill impairment charges at WGB in 2023. Excluding these impairment charges and increased pension expense, operating losses in 2024 were modestly lower than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14"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builds enduring, creator-driven brands that reach passionate audiences in large and growing lifestyle categories, including fitness and wellness (Well+Good and Livestrong.com), and home, art and design (Saatchi Art and Society6).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w:t>
      </w:r>
    </w:p>
    <w:p>
      <w:pPr>
        <w:spacing w:after="0" w:line="14"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Marketplace), Saatchi Art (formerly included in Leaf Marketplace) and WGB (formerly Leaf Media). The transition process for this restructuring has involved various cost reduction initiatives, including elimination of shared services costs and functions; transitioning</w:t>
      </w:r>
    </w:p>
    <w:p>
      <w:pPr>
        <w:spacing w:after="0" w:line="236" w:lineRule="auto"/>
        <w:rPr>
          <w:sz w:val="20"/>
          <w:szCs w:val="20"/>
          <w:color w:val="auto"/>
        </w:rPr>
      </w:pPr>
      <w:r>
        <w:rPr>
          <w:rFonts w:ascii="Arial" w:cs="Arial" w:eastAsia="Arial" w:hAnsi="Arial"/>
          <w:sz w:val="18"/>
          <w:szCs w:val="18"/>
          <w:color w:val="auto"/>
        </w:rPr>
        <w:t>financial and human resources systems; and rationalizing physical facilities and data centers. In the first and second quarters of 2023, Leaf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offered a SIP to reduce the number of employees; $2.9 million and $3.9 million in related non-operating pension expense was recorded in the first and second quarters of 2023, respectively. Each of Society6, Saatchi Art and WGB has continued with the transition and cost reduction</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process, which was largely complete at the end of the second quarter of 2024. In the third quarter of 2024, the Company offered an additional SIP at Society6, Saatchi Art and WGB; $0.5 million in related non-operating pension expense was recorded. In the fourth quarter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2024, the Company offered an additional SIP at WGB; $0.2 million in related non-operating pension expense was recorded.</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Revenues at Society6 and WGB declined substantially in 2024. Revenue declines at Society6 are due to declines in traffic, largely driven by a significant decrease in advertising spend, as well as softer demand in the home decor category. Revenue declines at WGB are due to</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reduced traffic and the soft digital advertising market for programmatic. Revenues at Saatchi Art grew in 2024. Overall, the former Leaf businesses reported significant operating losses for 2024 and 2023.</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 a $50.2 million goodwill impairment charge in the third quarter of 2023. In the second quarter of 2024, the Company recorded an additional</w:t>
      </w:r>
    </w:p>
    <w:p>
      <w:pPr>
        <w:ind w:right="80"/>
        <w:spacing w:after="0" w:line="237" w:lineRule="auto"/>
        <w:rPr>
          <w:sz w:val="20"/>
          <w:szCs w:val="20"/>
          <w:color w:val="auto"/>
        </w:rPr>
      </w:pPr>
      <w:r>
        <w:rPr>
          <w:rFonts w:ascii="Arial" w:cs="Arial" w:eastAsia="Arial" w:hAnsi="Arial"/>
          <w:sz w:val="18"/>
          <w:szCs w:val="18"/>
          <w:color w:val="auto"/>
        </w:rPr>
        <w:t>$26.3 million in goodwill and intangible asset impairment charges at WGB. Excluding these impairment charges, losses were down modestly in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CRG owns and operates 14 restaurants and entertainment venues in the Washington, D.C. metropolitan area, including Old Ebbitt Grill and</w:t>
      </w:r>
    </w:p>
    <w:p>
      <w:pPr>
        <w:spacing w:after="0" w:line="14" w:lineRule="exact"/>
        <w:rPr>
          <w:sz w:val="20"/>
          <w:szCs w:val="20"/>
          <w:color w:val="auto"/>
        </w:rPr>
      </w:pPr>
    </w:p>
    <w:p>
      <w:pPr>
        <w:jc w:val="both"/>
        <w:ind w:right="140"/>
        <w:spacing w:after="0"/>
        <w:rPr>
          <w:sz w:val="20"/>
          <w:szCs w:val="20"/>
          <w:color w:val="auto"/>
        </w:rPr>
      </w:pPr>
      <w:r>
        <w:rPr>
          <w:rFonts w:ascii="Arial" w:cs="Arial" w:eastAsia="Arial" w:hAnsi="Arial"/>
          <w:sz w:val="17"/>
          <w:szCs w:val="17"/>
          <w:color w:val="auto"/>
        </w:rPr>
        <w:t>The Hamilton. In July 2024, CRG opened Rye Street Tavern, a new restaurant in Baltimore, MD. In November 2024, CRG opened Cordelia Fishbar, a new restaurant in Washington, D.C. Revenue increased in 2024 due to the new restaurant openings and modest price increases.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CRG reported an operating profit in 2024 and 2023. Overall, operating results declined in 2024; excluding pre-opening expenses incurred for new restaurants, operating results improved.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CRG plans to open a new restaurant in Reston, VA in 2026.</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Framebridge is a custom framing service company, headquartered in Washington, D.C., with 32 retail locations and two manufacturing facilities in Kentucky and Virginia. Framebridge opened 10 new stores in 2024 and continues to actively explore opportunities for further store</w:t>
      </w:r>
    </w:p>
    <w:p>
      <w:pPr>
        <w:spacing w:after="0" w:line="235" w:lineRule="auto"/>
        <w:rPr>
          <w:sz w:val="20"/>
          <w:szCs w:val="20"/>
          <w:color w:val="auto"/>
        </w:rPr>
      </w:pPr>
      <w:r>
        <w:rPr>
          <w:rFonts w:ascii="Arial" w:cs="Arial" w:eastAsia="Arial" w:hAnsi="Arial"/>
          <w:sz w:val="18"/>
          <w:szCs w:val="18"/>
          <w:color w:val="auto"/>
        </w:rPr>
        <w:t>expansion. Revenues increased in 2024 due to an increase in retail revenue from same-store sales growth and operating additional retail</w:t>
      </w:r>
    </w:p>
    <w:p>
      <w:pPr>
        <w:ind w:right="460"/>
        <w:spacing w:after="0" w:line="226" w:lineRule="auto"/>
        <w:rPr>
          <w:sz w:val="20"/>
          <w:szCs w:val="20"/>
          <w:color w:val="auto"/>
        </w:rPr>
      </w:pPr>
      <w:r>
        <w:rPr>
          <w:rFonts w:ascii="Arial" w:cs="Arial" w:eastAsia="Arial" w:hAnsi="Arial"/>
          <w:sz w:val="18"/>
          <w:szCs w:val="18"/>
          <w:color w:val="auto"/>
        </w:rPr>
        <w:t>stores compared to 2023, as well as higher online revenues, particularly during the holiday season. Framebridge is an investment stage business and reported significant operating losses in 2024 and 2023. Excluding increased pension expense, operating losses 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Framebridge in 2024 were similar to losses in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first and second quarters of 2024, Framebridge offered a SIP; $1.4 million in related non-operating pension expense was recorded.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 Code3, a performance marketing agency focused on driving performance for brands through three core</w:t>
      </w:r>
    </w:p>
    <w:p>
      <w:pPr>
        <w:spacing w:after="0" w:line="14"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elements of digital success: media, creative and commerce; Slate and Foreign Policy, which publish online and print magazines and websites; and three investment stage businesses, Decile, City Cast and Supporting Cast. Slate, City Cast, Supporting Cast and Decile</w:t>
      </w:r>
    </w:p>
    <w:p>
      <w:pPr>
        <w:spacing w:after="0" w:line="236" w:lineRule="auto"/>
        <w:rPr>
          <w:sz w:val="20"/>
          <w:szCs w:val="20"/>
          <w:color w:val="auto"/>
        </w:rPr>
      </w:pPr>
      <w:r>
        <w:rPr>
          <w:rFonts w:ascii="Arial" w:cs="Arial" w:eastAsia="Arial" w:hAnsi="Arial"/>
          <w:sz w:val="18"/>
          <w:szCs w:val="18"/>
          <w:color w:val="auto"/>
        </w:rPr>
        <w:t>reported revenue growth in 2024, while Code3 and Foreign Policy reported a revenue decline. Losses from City Cast, Decile, Code3,</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Supporting Cast and Foreign Policy in 2024 adversely affected operating results, while Slate reported an operating profit. Operating results in 2024 improved at Code3, with declines at Foreign Policy and increased losses at City Cast.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Pinna, which was sold in June 2023 when the Company entered into a merger agreement with Realm of</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Possibility, Inc. (Realm), a provider of audio entertainment services, to merge Pinna with Realm in return for a noncontrolling financial interest in the merged entity. In connection with the merger, the Company recorded a $10.0 million non-cash, non-operating gain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transaction. The Company’s investment in Realm is reported as an equity method investment.</w:t>
      </w:r>
    </w:p>
    <w:p>
      <w:pPr>
        <w:spacing w:after="0" w:line="12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In 2024, the Company offered SIPs to certain employees at Code3, Decile and Slate to reduce the number of employees; $1.1 million in related non-operating pension expense was recorded.</w:t>
      </w:r>
    </w:p>
    <w:p>
      <w:pPr>
        <w:spacing w:after="0" w:line="10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the first and second quarters of 2023, Code3 offered a SIP to reduce the number of employees; $1.9 million in related non-operating pension expense was recorded.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Corporate office includes the expenses of the Company’s corporate office, certain continuing obligations related to prior business dispositions, and a net credit recorded in 2023 from fair value changes in contingent consideration related to the Framebridge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 Changes</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Effective January 1, 2024, the Company’s defined benefit pension plan was amended to provide many of the current employees who are current plan participants with an increased pension benefit, and to provide certain current employees from several business units with a new</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pension benefit offering. The increased and new pension benefits are funded by the assets of the Company’s pension plan. As a result of these changes, the Company’s matching contribution to certain of its 401(k) Savings Plans was eliminated.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of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Company held an approximate 18% interest in Intersection Holdings, LLC (Intersection), a company that provides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digital marketing and advertising services and products for cities, transit systems, airports, and other public and private spaces; and a 41.4% interest in Realm on a fully diluted basis. The Company also holds interests in several other affiliates, including a number of home health and</w:t>
      </w:r>
    </w:p>
    <w:p>
      <w:pPr>
        <w:spacing w:after="0" w:line="236" w:lineRule="auto"/>
        <w:rPr>
          <w:sz w:val="20"/>
          <w:szCs w:val="20"/>
          <w:color w:val="auto"/>
        </w:rPr>
      </w:pPr>
      <w:r>
        <w:rPr>
          <w:rFonts w:ascii="Arial" w:cs="Arial" w:eastAsia="Arial" w:hAnsi="Arial"/>
          <w:sz w:val="18"/>
          <w:szCs w:val="18"/>
          <w:color w:val="auto"/>
        </w:rPr>
        <w:t>hospice joint ventures managed by GHG and two joint ventures managed by Kaplan. Overall, the Company recorded equity in losses of</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affiliates of $3.3 million for 2024, compared to $5.2 million for 2023. These amounts include $3.5 million and $16.0 million in net losses for 2024 and 2023, respectively, from affiliates whose operations are not managed by the Company. The 2024 amount also includes a $14.4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impairment loss on the Company’s investment in N2K Networks.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 incurred net interest expense of $176.3 million in 2024, compared to $56.2 million in 2023. The Company recorded net interest expense of $119.3 million and $10.1 million in 2024 and 2023, respectively, to adjust the fair value of the mandatorily redeemable</w:t>
      </w:r>
    </w:p>
    <w:p>
      <w:pPr>
        <w:ind w:right="260"/>
        <w:spacing w:after="0" w:line="237" w:lineRule="auto"/>
        <w:rPr>
          <w:sz w:val="20"/>
          <w:szCs w:val="20"/>
          <w:color w:val="auto"/>
        </w:rPr>
      </w:pPr>
      <w:r>
        <w:rPr>
          <w:rFonts w:ascii="Arial" w:cs="Arial" w:eastAsia="Arial" w:hAnsi="Arial"/>
          <w:sz w:val="18"/>
          <w:szCs w:val="18"/>
          <w:color w:val="auto"/>
        </w:rPr>
        <w:t>noncontrolling interest at GHG. The significant adjustment recorded in 2024 is largely related to a substantial increase in the estimated fair value of CSI.</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In September 2023, the automotive subsidiary of the Company entered into a credit agreement with Truist Bank to finance the acquisition of</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Toyota of Richmond dealership and to repay the outstanding balance of the automotive subsidiary commercial notes that were maturing in 2031 and 2032. The related interest rate swaps were also terminated, resulting in a realized gain of $4.6 million recorded as a credit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during the third quarter of 2023.</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Excluding these adjustments, the increase in net interest expense relates primarily to higher average debt balances, higher interest rates on the Company’s variable debt, and increased floor plan interest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Company had $748.2 million in borrowings outstanding at an average interest rate of 6.0%, and cash, marketable</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equity securities and other investments of $1,156.6 million. At December 31, 2024, the Company had $62.8 million outstanding on its $300 million revolving credit facility. At December 31, 2023, the Company had $811.8 million in borrowings outstanding at an average interest 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6.4%, and cash, marketable equity securities and other investments of $898.9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$794.9 million in 2024, compared to $133.8 million in 2023.</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fourth quarter of 2024, the Company recorded a pre-tax, noncash settlement gain of $653.4 million in connection with the purchase of an irrevocable group annuity contract from an insurance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Also in the fourth quarter of 2024, the Company recorded $0.5 million in expenses related to non-operating SIPs at Kaplan, manufacturing</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and other businesses. In the third quarter of 2024, the Company recorded $3.7 million in expenses related to non-operating SIPs at Kaplan, manufacturing and other businesses. In the second quarter of 2024, the Company recorded $14.8 million in expenses related to a VRIP at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television broadcasting division and the corporate office and $1.6 million in expenses related to non-operating SIPs at other businesses. In the first quarter of 2024, the Company recorded $0.4 million in expenses related to a non-operating SIP at other businesses. The SIPs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VRIP were funded by the assets of the Company’s pension plan.</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the fourth quarter of 2023, the Company recorded $0.2 million in expenses related to a non-operating SIP at the television broadcasting division. In the second quarter of 2023, the Company recorded $5.5 million in expenses related to non-operating SIPs at other businesses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and the education and television broadcasting divisions. In the first quarter of 2023, the Company recorded $4.1 million in expenses related to non-operating SIPs at other businesses. The SIPs were funded by the assets of the Company’s pension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$181.3 million in net gains on marketable equity securities in 2024 compared to $138.1 million in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Company recorded total other non-operating income, net, of $12.5 million in 2024, compared to $19.1 million in 2023. The 2024 amounts included gains of $7.2 million on the sales of certain businesses and websites; $5.4 million in foreign currency gains; $0.9 million in</w:t>
      </w:r>
    </w:p>
    <w:p>
      <w:pPr>
        <w:ind w:right="300"/>
        <w:spacing w:after="0"/>
        <w:rPr>
          <w:sz w:val="20"/>
          <w:szCs w:val="20"/>
          <w:color w:val="auto"/>
        </w:rPr>
      </w:pPr>
      <w:r>
        <w:rPr>
          <w:rFonts w:ascii="Arial" w:cs="Arial" w:eastAsia="Arial" w:hAnsi="Arial"/>
          <w:sz w:val="17"/>
          <w:szCs w:val="17"/>
          <w:color w:val="auto"/>
        </w:rPr>
        <w:t>gains related to the sale of businesses and contingent consideration, and other items; partially offset by $1.5 million in net fair value decreases on cost method investments and $0.7 million impairment on cost method investments. The 2023 amounts included a non-cash</w:t>
      </w:r>
    </w:p>
    <w:p>
      <w:pPr>
        <w:spacing w:after="0" w:line="235" w:lineRule="auto"/>
        <w:rPr>
          <w:sz w:val="20"/>
          <w:szCs w:val="20"/>
          <w:color w:val="auto"/>
        </w:rPr>
      </w:pPr>
      <w:r>
        <w:rPr>
          <w:rFonts w:ascii="Arial" w:cs="Arial" w:eastAsia="Arial" w:hAnsi="Arial"/>
          <w:sz w:val="18"/>
          <w:szCs w:val="18"/>
          <w:color w:val="auto"/>
        </w:rPr>
        <w:t>gain of $10.0 million on the sale of Pinna; $5.6 million in gains related to sales of businesses and contingent consideration; a $3.1 million</w:t>
      </w:r>
    </w:p>
    <w:p>
      <w:pPr>
        <w:ind w:right="460"/>
        <w:spacing w:after="0" w:line="237" w:lineRule="auto"/>
        <w:rPr>
          <w:sz w:val="20"/>
          <w:szCs w:val="20"/>
          <w:color w:val="auto"/>
        </w:rPr>
      </w:pPr>
      <w:r>
        <w:rPr>
          <w:rFonts w:ascii="Arial" w:cs="Arial" w:eastAsia="Arial" w:hAnsi="Arial"/>
          <w:sz w:val="18"/>
          <w:szCs w:val="18"/>
          <w:color w:val="auto"/>
        </w:rPr>
        <w:t>increase in the fair value of cost method investments; a $1.0 million gain on sales of cost method investments, and other items; partially offset by $1.1 million in foreign currency losses and a $0.5 million impairment on a cost method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Company’s effective tax rates for 2024 and 2023 were 28.5% and 29.2%, respectively. The Company’s effective tax rates in 2024 and 2023 were unfavorably impacted by permanent differences related to the goodwill and intangible asset impairment charges and the interest</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expense recorded to adjust the fair value of the mandatorily redeemable noncontrolling interest at GHG. Excluding the impact of these items, the overall income tax rates for 2024 and 2023 were 25.8% and 24.0%,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calculation of diluted earnings per share for the 2024 was based on 4,404,807 weighted average shares outstanding, compared to 4,653,626 for 2023. At December 31, 2024, there were 4,332,307 shares outstanding.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260,852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169,897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37,001</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31,994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858,743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697,028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748,192</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811,833</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equity securities, which is considered when assessing the Company’s sources of liquidity. An additional source of liquidity includes the undrawn portion of the Company’s $300 million revolving credit facility, amounting to $237.2 million at December 31, 2024 and the undrawn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$50.0 million delayed draw term loan at the automotive subsidiary.</w:t>
      </w:r>
    </w:p>
    <w:p>
      <w:pPr>
        <w:spacing w:after="0" w:line="140"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During 2024, the Company’s cash and cash equivalents increased by $91.0 million, due to cash generated from operations and the net proceeds from the sale and purchase of marketable equity securities, which were partially offset by share repurchases, payment of</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borrowings, capital expenditures and dividend payments. In 2024, the Company’s borrowings decreased by $63.6 million, primarily due to repayments under the revolving credit facility, term loan and commercial notes at the automotive subsidiary.</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 of December 31, 2024 and 2023, the Company had money market investments of $3.9 million and $5.6 million, respectively, that were included in cash and cash equivalents. At December 31, 2024, the Company held approximately $170 million in cash and cash equivalents in</w:t>
      </w:r>
    </w:p>
    <w:p>
      <w:pPr>
        <w:ind w:right="220"/>
        <w:spacing w:after="0"/>
        <w:rPr>
          <w:sz w:val="20"/>
          <w:szCs w:val="20"/>
          <w:color w:val="auto"/>
        </w:rPr>
      </w:pPr>
      <w:r>
        <w:rPr>
          <w:rFonts w:ascii="Arial" w:cs="Arial" w:eastAsia="Arial" w:hAnsi="Arial"/>
          <w:sz w:val="17"/>
          <w:szCs w:val="17"/>
          <w:color w:val="auto"/>
        </w:rPr>
        <w:t>businesses domiciled outside the U.S., of which approximately $8 million is not available for immediate use in operations or for distribution. Additionally, Kaplan’s business operations outside the U.S. retain cash balances to support ongoing working capital requirements, capital</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fair value of the Company’s investments in marketable equity securities was $852.4 million, which includes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investments in the common stock of four publicly traded companies. The Company purchased $5.0 million of marketable equity securities during 2024 and sold marketable equity securities that generated proceeds of $23.5 million. At December 31, 2024, the net unrealized gain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Company’s investments totaled $625.3 million.</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May 2024, the Company entered into a convertible promissory note agreement to loan N2K Networks $2.0 million. The convertible promissory note bears interest at a rate of 12% per annum and, subject to conversion provisions, all unpaid interest and principal are due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2027.</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 principal and interest on the note are payable in monthly installments over five years with the final payment due by May 2028.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$25.7 million as of December 31, 2024.</w:t>
      </w:r>
    </w:p>
    <w:p>
      <w:pPr>
        <w:spacing w:after="0" w:line="140"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Company had working capital of $898.8 million and $619.6 million at December 31, 2024 and 2023, respectively. The Company maintains working capital levels consistent with its underlying business requirements and consistently generates cash from operations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required interest or principal payments.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At December 31, 2024 and 2023, the Company had borrowings outstanding of $748.2 million and $ 811.8 million, respectively. The Company’s borrowings at December 31, 2024 were mostly from $400.0 million of 5.75% unsecured notes due June 1, 2026, $62.8 million in</w:t>
      </w:r>
    </w:p>
    <w:p>
      <w:pPr>
        <w:spacing w:after="0" w:line="235" w:lineRule="auto"/>
        <w:rPr>
          <w:sz w:val="20"/>
          <w:szCs w:val="20"/>
          <w:color w:val="auto"/>
        </w:rPr>
      </w:pPr>
      <w:r>
        <w:rPr>
          <w:rFonts w:ascii="Arial" w:cs="Arial" w:eastAsia="Arial" w:hAnsi="Arial"/>
          <w:sz w:val="18"/>
          <w:szCs w:val="18"/>
          <w:color w:val="auto"/>
        </w:rPr>
        <w:t>outstanding borrowings under the Company’s revolving credit facility, a term loan of $140.1 million, and real estate and capital term loans of</w:t>
      </w:r>
    </w:p>
    <w:p>
      <w:pPr>
        <w:ind w:right="380"/>
        <w:spacing w:after="0"/>
        <w:rPr>
          <w:sz w:val="20"/>
          <w:szCs w:val="20"/>
          <w:color w:val="auto"/>
        </w:rPr>
      </w:pPr>
      <w:r>
        <w:rPr>
          <w:rFonts w:ascii="Arial" w:cs="Arial" w:eastAsia="Arial" w:hAnsi="Arial"/>
          <w:sz w:val="17"/>
          <w:szCs w:val="17"/>
          <w:color w:val="auto"/>
        </w:rPr>
        <w:t>$127.6 million at the automotive subsidiary. The Company’s borrowings at December 31, 2023 were mostly from $400.0 million of 5.75% unsecured notes due June 1, 2026, $97.9 million in outstanding borrowings under the Company’s revolving credit facility, a term loan of</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$147.5 million, and real estate and capital term loans of $137.6 million at the automotive subsidiary. The interest on the $400.0 million of 5.75% unsecured notes is payable semi-annually on June 1 and December 1.</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During 2024 and 2023, the Company had average borrowings outstanding of approximately $804.7 million and $745.0 million, respectively, at average annual interest rates of approximately 6.3% and 6.1%, respectively. The Company incurred net interest expense of $176.3 million</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and $56.2 million, respectively, during 2024 and 2023. Included in the 2024 and 2023 interest expense is $119.3 million and $10.1 million, respectively, to adjust the fair value of the mandatorily redeemable noncontrolling interest (see Note 11).</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to finance the acquisition of</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Toyota of Richmond dealership and to repay the outstanding balances of the commercial notes maturing in 2031 and 2032. The related interest rate swap agreements maturing in 2031 and 2032 were also terminated resulting in realized gains of $4.6 million that reduced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during the third quarter of 2023.</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December 20, 2024, Moody’s affirmed the Company’s credit rating and maintained the outlook as Stable. On April 2, 2024, Standard &amp; Poor’s affirmed the Company’s credit rating and maintained the outlook as Stable.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December 31, 2024, the Company had $62.8 million outstanding under the</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$300 million revolving credit facility. In management’s opinion, the Company will have sufficient financial resources to meet its business requirements in the next 12 months, including working capital requirements, capital expenditures, interest payments, potential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investments, dividends and stock repurchases.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1"/>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60" w:hanging="447"/>
        <w:spacing w:after="0"/>
        <w:tabs>
          <w:tab w:leader="none" w:pos="4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406,988  </w:t>
      </w:r>
      <w:r>
        <w:rPr>
          <w:rFonts w:ascii="Arial" w:cs="Arial" w:eastAsia="Arial" w:hAnsi="Arial"/>
          <w:sz w:val="16"/>
          <w:szCs w:val="16"/>
          <w:color w:val="auto"/>
        </w:rPr>
        <w:t>$259,875  $235,604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(62,330)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(152,975)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(184,066)</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(240,967)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(99,835)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(18,107)</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95,962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11,459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31,589</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2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732,610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211,704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70,434</w:t>
            </w: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173,987</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235,169</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261,138</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63,253</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67,734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67,568</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settlement gain and early retirement and separation program costs</w:t>
            </w:r>
          </w:p>
        </w:tc>
        <w:tc>
          <w:tcPr>
            <w:tcW w:w="24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(740,152)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(101,398)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(166,611)</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65,949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(84,399)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130,230</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111,341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(127,155)</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406,988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259,875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235,604</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2024 compared to 2023, the increase in net cash provided by operating activities is primarily due to changes in operating assets and</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liabilities, partially offset by lower net income, net of non-cash adjustments. Changes in operating assets and liabilities were driven by a significant increase in the value of the mandatorily redeemable noncontrolling interest and lower purchases of inventory. The change in non-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cash activities is largely the result of a significant increase in the provision for deferred income taxes, partially offset by fluctuations in the share prices of the Company’s investments in marketable equity securities with larger gains in 2024 compared to 2023.</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For 2023 compared to 2022, the increase in net cash provided by operating activities is primarily due to changes in operating assets and liabilities, partially offset by lower net income, net of non-cash adjustments. Changes in operating assets and liabilities were primarily driven</w:t>
      </w:r>
    </w:p>
    <w:p>
      <w:pPr>
        <w:ind w:right="320"/>
        <w:spacing w:after="0" w:line="237" w:lineRule="auto"/>
        <w:rPr>
          <w:sz w:val="20"/>
          <w:szCs w:val="20"/>
          <w:color w:val="auto"/>
        </w:rPr>
      </w:pPr>
      <w:r>
        <w:rPr>
          <w:rFonts w:ascii="Arial" w:cs="Arial" w:eastAsia="Arial" w:hAnsi="Arial"/>
          <w:sz w:val="18"/>
          <w:szCs w:val="18"/>
          <w:color w:val="auto"/>
        </w:rPr>
        <w:t>by increases in accounts payable and accrued liabilities. The change in non-cash activities is largely the result of fluctuations in the share prices of the Company’s investments in marketable equity securities with gains in 2023 compared to losses in 2022.</w:t>
      </w:r>
    </w:p>
    <w:p>
      <w:pPr>
        <w:sectPr>
          <w:pgSz w:w="11900" w:h="16838" w:orient="portrait"/>
          <w:cols w:equalWidth="0" w:num="1">
            <w:col w:w="11220"/>
          </w:cols>
          <w:pgMar w:left="320" w:top="1039"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(82,912)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(93,447)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(82,684)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proceeds from sales of marketable equity securities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18,524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55,817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61,522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(4,554)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(38,894)</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(4,118)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(78,149)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(130,106)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Loan to related party</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(2,000)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12,730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6,854</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6,096</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(62,330)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(152,975)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(184,066)</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Statements of Cash Flows are based on cash payments made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periods, whereas the Company’s capital expenditures for 2024, 2023 and 2022 disclosed in Note 19 to the Consolidated Financial</w:t>
      </w:r>
    </w:p>
    <w:p>
      <w:pPr>
        <w:spacing w:after="0" w:line="237" w:lineRule="auto"/>
        <w:rPr>
          <w:sz w:val="20"/>
          <w:szCs w:val="20"/>
          <w:color w:val="auto"/>
        </w:rPr>
      </w:pPr>
      <w:r>
        <w:rPr>
          <w:rFonts w:ascii="Arial" w:cs="Arial" w:eastAsia="Arial" w:hAnsi="Arial"/>
          <w:sz w:val="18"/>
          <w:szCs w:val="18"/>
          <w:color w:val="auto"/>
        </w:rPr>
        <w:t>Statements include assets acquired during the year. The Company estimates that its capital expenditures will be in the range of $90 million to $100 million in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Proceeds from Sales of Marketable Equity Securities. </w:t>
      </w:r>
      <w:r>
        <w:rPr>
          <w:rFonts w:ascii="Arial" w:cs="Arial" w:eastAsia="Arial" w:hAnsi="Arial"/>
          <w:sz w:val="18"/>
          <w:szCs w:val="18"/>
          <w:color w:val="auto"/>
        </w:rPr>
        <w:t>During 2024, 2023 and 2022, the Company sold marketable securities that</w:t>
      </w:r>
    </w:p>
    <w:p>
      <w:pPr>
        <w:spacing w:after="0" w:line="14"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generated proceeds of $23.5 million, $62.0 million and $102.0 million, respectively. The Company purchased $5.0 million, $4.6 million, and $42.1 million, of which $1.5 million was settled in January 2023, of marketable equity securities during 2024, 2023 and 2022,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2023, the Company made additional investments in Intersection and Realm. During 2022, GHG</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invested an additional $18.5 million in two affiliates to fund their acquisition of an interest in a health system in Illinois and the Company also made an additional investment of $5.0 million in N2K Networks, the new parent entity formed through the CyberVista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2024, the Company acquired two small businesses. During 2023, the Company acquired five businesses: one in</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automotive, three small businesses in healthcare and one in other businesses for $83.3 million in cash and contingent consideration and the assumption of floor plan payables. In September 2023, the Company’s automotive subsidiary acquired a Toyota automotive dealership,</w:t>
      </w:r>
    </w:p>
    <w:p>
      <w:pPr>
        <w:spacing w:after="0" w:line="236" w:lineRule="auto"/>
        <w:rPr>
          <w:sz w:val="20"/>
          <w:szCs w:val="20"/>
          <w:color w:val="auto"/>
        </w:rPr>
      </w:pPr>
      <w:r>
        <w:rPr>
          <w:rFonts w:ascii="Arial" w:cs="Arial" w:eastAsia="Arial" w:hAnsi="Arial"/>
          <w:sz w:val="18"/>
          <w:szCs w:val="18"/>
          <w:color w:val="auto"/>
        </w:rPr>
        <w:t>including the real property for the dealership operations. In addition to a cash payment and the assumption of $2.2 million in floor plan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payables, the automotive subsidiary borrowed $37.0 million to finance the acquisition. During 2022, the Company acquired seven businesses: five in healthcare and two in automotive, for $143.2 million in cash and contingent consideration and the assumption of floor plan</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payables. GHG acquired two small businesses in August 2022, a 100% interest in a multi-state provider of Applied Behavioral Analysis clinics (Surpass Behavioral Health) in July 2022, and two small businesses in May 2022. In July 2022, the Company’s automotive subsidiary</w:t>
      </w:r>
    </w:p>
    <w:p>
      <w:pPr>
        <w:spacing w:after="0" w:line="1"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acquired two automotive dealerships, including the real property for the dealership operations. In addition to a cash payment and the assumption of $10.9 million in floor plan payables, the automotive subsidiary borrowed $77.4 million to finance the acquisition.</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 xml:space="preserve">Loan to Related Party. </w:t>
      </w:r>
      <w:r>
        <w:rPr>
          <w:rFonts w:ascii="Arial" w:cs="Arial" w:eastAsia="Arial" w:hAnsi="Arial"/>
          <w:sz w:val="17"/>
          <w:szCs w:val="17"/>
          <w:color w:val="auto"/>
        </w:rPr>
        <w:t>In May 2024, the Company entered into a convertible promissory note agreement to loan N2K Networks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 bears interest at a rate of 12% per annum and, subject to conversion provisions, all unpaid interest and</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principal are due by May 2027. In April 2023, the Company entered into a term note agreement to loan Intersection $30.0 million at an interest rate of 9% per annum. The principal and interest on the note are payable in monthly installments over five years with the final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payment due by May 2028. The outstanding balance on this loan was $25.7 million as of December 31,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(114,101)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(193,160)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(71,386)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(payments) borrowing under revolving credit facilities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(35,756)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(104,244)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(Repayments) issuance of borrowings,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(27,637)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171,643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62,815</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(416)</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73,732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26,230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(30,347)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(30,953)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(30,712)</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(32,710)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(16,853)</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(240,967)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(18,107)</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2024, 2023, and 2022, the Company purchased a total of 152,948, 325,134, and 121,761 shares,</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7"/>
          <w:szCs w:val="17"/>
          <w:color w:val="auto"/>
        </w:rPr>
        <w:t>respectively, of its Class B common stock at a cost of approximately $115.2 million, $195.0 million, and $71.4 million, respectively, including commissions and accrued excise tax of $1.1 million and $1.8 million for 2024 and 2023 purchases, respectively. On September 12, 2024, the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Board of Directors authorized the Company to acquire up to 500,000 shares of its Class B common stock. The Company did not announce a ceiling</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65" w:name="page66"/>
    <w:bookmarkEnd w:id="65"/>
    <w:p>
      <w:pPr>
        <w:ind w:right="680"/>
        <w:spacing w:after="0" w:line="271" w:lineRule="auto"/>
        <w:rPr>
          <w:sz w:val="20"/>
          <w:szCs w:val="20"/>
          <w:color w:val="auto"/>
        </w:rPr>
      </w:pPr>
      <w:r>
        <w:rPr>
          <w:rFonts w:ascii="Arial" w:cs="Arial" w:eastAsia="Arial" w:hAnsi="Arial"/>
          <w:sz w:val="18"/>
          <w:szCs w:val="18"/>
          <w:color w:val="auto"/>
        </w:rPr>
        <w:t>price or time limit for the purchases. At December 31, 2024, the Company had remaining authorization from the Board of Directors to purchase up to 466,460 shares of Class B common stock.</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i w:val="1"/>
          <w:iCs w:val="1"/>
          <w:color w:val="auto"/>
        </w:rPr>
        <w:t xml:space="preserve">Borrowings and Vehicle Floor Plan Payable. </w:t>
      </w:r>
      <w:r>
        <w:rPr>
          <w:rFonts w:ascii="Arial" w:cs="Arial" w:eastAsia="Arial" w:hAnsi="Arial"/>
          <w:sz w:val="17"/>
          <w:szCs w:val="17"/>
          <w:color w:val="auto"/>
        </w:rPr>
        <w:t>In 2024, the Company repaid amounts borrowed under the $300 million revolving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term loan and commercial notes at the automotive subsidiary. In September 2023, the Company’s automotive subsidiary entered into a credit</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agreement with Truist Bank which includes (i) a $75.2 million real estate term loan, (ii) a $ 65.0 million capital term loan, (iii) a $50.0 million delayed draw term loan, and (iv) establishment of a revolving floor plan credit facility. The automotive subsidiary used the net proceeds from</w:t>
      </w:r>
    </w:p>
    <w:p>
      <w:pPr>
        <w:spacing w:after="0" w:line="235" w:lineRule="auto"/>
        <w:rPr>
          <w:sz w:val="20"/>
          <w:szCs w:val="20"/>
          <w:color w:val="auto"/>
        </w:rPr>
      </w:pPr>
      <w:r>
        <w:rPr>
          <w:rFonts w:ascii="Arial" w:cs="Arial" w:eastAsia="Arial" w:hAnsi="Arial"/>
          <w:sz w:val="18"/>
          <w:szCs w:val="18"/>
          <w:color w:val="auto"/>
        </w:rPr>
        <w:t>the real estate and capital term loans to acquire an automotive dealership, including the real property for the dealership operations, and to</w:t>
      </w:r>
    </w:p>
    <w:p>
      <w:pPr>
        <w:ind w:right="340"/>
        <w:spacing w:after="0" w:line="226" w:lineRule="auto"/>
        <w:rPr>
          <w:sz w:val="20"/>
          <w:szCs w:val="20"/>
          <w:color w:val="auto"/>
        </w:rPr>
      </w:pPr>
      <w:r>
        <w:rPr>
          <w:rFonts w:ascii="Arial" w:cs="Arial" w:eastAsia="Arial" w:hAnsi="Arial"/>
          <w:sz w:val="18"/>
          <w:szCs w:val="18"/>
          <w:color w:val="auto"/>
        </w:rPr>
        <w:t>repay the outstanding balances of the commercial notes maturing in 2031 and 2032. On July 28, 2023, the Company entered into a $150 million term loan and used the proceeds to repay the U.S. dollar borrowings of the $300 million revolving credit facility. In July 2022, the</w:t>
      </w:r>
    </w:p>
    <w:p>
      <w:pPr>
        <w:spacing w:after="0" w:line="236" w:lineRule="auto"/>
        <w:rPr>
          <w:sz w:val="20"/>
          <w:szCs w:val="20"/>
          <w:color w:val="auto"/>
        </w:rPr>
      </w:pPr>
      <w:r>
        <w:rPr>
          <w:rFonts w:ascii="Arial" w:cs="Arial" w:eastAsia="Arial" w:hAnsi="Arial"/>
          <w:sz w:val="18"/>
          <w:szCs w:val="18"/>
          <w:color w:val="auto"/>
        </w:rPr>
        <w:t>Company’s automotive subsidiary amended its commercial note to, among other things, increase the aggregate loan amount to $71.6 million</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and entered into three commercial notes in an aggregate amount of $27.2 million. The additional borrowings were used to acquire two automotive dealerships, including the real property for the dealership operations. In 2024, 2023, and 2022, the Company used vehicle floor</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plan financing to fund the purchase of new, used and service loaner vehicles at its automotive subsidiary. The (repayments of) proceeds from the vehicle floor plan payable fluctuates with changes in the amount of vehicle inventory held by the automotive dealerships.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$6.88, $6.60 and $6.32 in 2024, 2023 and 2022, respectively.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 dividend of $7.20 per share in 2025.</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In 2024, 2023 and 2022, the Company paid $5.4 million, $5.3 million and $5.7 million, respectively, related to contingent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deferred payments from prior acquisitions. In December 2023, the Company acquired some of the minority-owned shares of CSI for a</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total amount of $ 20.0 million. The Company paid cash of $5.0 million and entered into a promissory note with the minority owners for the remaining $15.0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70,829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456,265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212,051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16,445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91,447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847,291</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18,511</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3,966</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1,242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23,740</w:t>
            </w:r>
          </w:p>
        </w:tc>
      </w:tr>
      <w:tr>
        <w:trPr>
          <w:trHeight w:val="230"/>
        </w:trPr>
        <w:tc>
          <w:tcPr>
            <w:tcW w:w="35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102,977</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72,629</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64,432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53,599</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47,271</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256,558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597,466</w:t>
            </w:r>
          </w:p>
        </w:tc>
      </w:tr>
      <w:tr>
        <w:trPr>
          <w:trHeight w:val="244"/>
        </w:trPr>
        <w:tc>
          <w:tcPr>
            <w:tcW w:w="3500" w:type="dxa"/>
            <w:vAlign w:val="bottom"/>
          </w:tcPr>
          <w:p>
            <w:pPr>
              <w:ind w:left="20"/>
              <w:spacing w:after="0"/>
              <w:rPr>
                <w:sz w:val="20"/>
                <w:szCs w:val="20"/>
                <w:color w:val="auto"/>
              </w:rPr>
            </w:pPr>
            <w:r>
              <w:rPr>
                <w:rFonts w:ascii="Arial" w:cs="Arial" w:eastAsia="Arial" w:hAnsi="Arial"/>
                <w:sz w:val="16"/>
                <w:szCs w:val="16"/>
                <w:color w:val="auto"/>
              </w:rPr>
              <w:t xml:space="preserve">Television broadcasting commitments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78,451</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43,796</w:t>
            </w:r>
          </w:p>
        </w:tc>
        <w:tc>
          <w:tcPr>
            <w:tcW w:w="28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12,280</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5,014</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139,541</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IT software and services</w:t>
            </w:r>
          </w:p>
        </w:tc>
        <w:tc>
          <w:tcPr>
            <w:tcW w:w="22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37,951</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32,009</w:t>
            </w:r>
          </w:p>
        </w:tc>
        <w:tc>
          <w:tcPr>
            <w:tcW w:w="28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20,840</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4,754</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95,638</w:t>
            </w:r>
          </w:p>
        </w:tc>
      </w:tr>
      <w:tr>
        <w:trPr>
          <w:trHeight w:val="244"/>
        </w:trPr>
        <w:tc>
          <w:tcPr>
            <w:tcW w:w="3500" w:type="dxa"/>
            <w:vAlign w:val="bottom"/>
          </w:tcPr>
          <w:p>
            <w:pPr>
              <w:ind w:left="2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25,816</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7,617</w:t>
            </w:r>
          </w:p>
        </w:tc>
        <w:tc>
          <w:tcPr>
            <w:tcW w:w="28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33,715</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2,267</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2,247</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2,221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2,759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13,943</w:t>
            </w:r>
          </w:p>
        </w:tc>
      </w:tr>
      <w:tr>
        <w:trPr>
          <w:trHeight w:val="223"/>
        </w:trPr>
        <w:tc>
          <w:tcPr>
            <w:tcW w:w="350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336,802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618,529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313,312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82,086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141,034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259,571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1,751,334</w:t>
            </w: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23" w:lineRule="exact"/>
        <w:rPr>
          <w:sz w:val="20"/>
          <w:szCs w:val="20"/>
          <w:color w:val="auto"/>
        </w:rPr>
      </w:pPr>
    </w:p>
    <w:p>
      <w:pPr>
        <w:ind w:left="360" w:hanging="334"/>
        <w:spacing w:after="0"/>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network fees, employment agreements and programming purchase commitments for the Company’s television broadcasting business.</w:t>
      </w:r>
    </w:p>
    <w:p>
      <w:pPr>
        <w:spacing w:after="0" w:line="109" w:lineRule="exact"/>
        <w:rPr>
          <w:rFonts w:ascii="Arial" w:cs="Arial" w:eastAsia="Arial" w:hAnsi="Arial"/>
          <w:sz w:val="14"/>
          <w:szCs w:val="14"/>
          <w:color w:val="auto"/>
        </w:rPr>
      </w:pPr>
    </w:p>
    <w:p>
      <w:pPr>
        <w:ind w:left="360" w:right="400" w:hanging="334"/>
        <w:spacing w:after="0" w:line="24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purchase obligations related to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64" w:lineRule="exact"/>
        <w:rPr>
          <w:rFonts w:ascii="Arial" w:cs="Arial" w:eastAsia="Arial" w:hAnsi="Arial"/>
          <w:sz w:val="14"/>
          <w:szCs w:val="14"/>
          <w:color w:val="auto"/>
        </w:rPr>
      </w:pPr>
    </w:p>
    <w:p>
      <w:pPr>
        <w:ind w:left="360" w:right="300" w:hanging="334"/>
        <w:spacing w:after="0" w:line="243" w:lineRule="auto"/>
        <w:tabs>
          <w:tab w:leader="none" w:pos="3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long-term deferred revenue and mandatorily redeemable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judgments that affect the amounts reported in the financial statements. On an ongoing basis, the Company evaluates its estimates and assumptions. The Company bases its estimates on historical experience and other assumptions believed to be reasonable under the</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circumstances, the results of which form the basis for making judgments about the carrying value of assets and liabilities that are not readily apparent from other sources. Actual results could differ from these estimates.</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postsecondary education services, professional education and test preparation services. Revenue, net of any refunds, corporate discounts, scholarships and employee tuition discounts, is recognized ratably over the instruction period or access period for higher education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services.</w:t>
      </w:r>
    </w:p>
    <w:p>
      <w:pPr>
        <w:spacing w:after="0" w:line="140"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At Kaplan International and Kaplan Supplemental Education, estimates of average student course length are developed for each course, along with estimates for the anticipated level of student drops and refunds from test performance guarantees, and these estimates are</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evaluated on an ongoing basis and adjusted as necessary. As Kaplan’s businesses and related course offerings have changed, including more online programs, the complexity and significance of management’s estimates have increased.</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advertising, back-office</w:t>
      </w:r>
    </w:p>
    <w:p>
      <w:pPr>
        <w:ind w:right="120"/>
        <w:spacing w:after="0" w:line="226" w:lineRule="auto"/>
        <w:rPr>
          <w:sz w:val="20"/>
          <w:szCs w:val="20"/>
          <w:color w:val="auto"/>
        </w:rPr>
      </w:pPr>
      <w:r>
        <w:rPr>
          <w:rFonts w:ascii="Arial" w:cs="Arial" w:eastAsia="Arial" w:hAnsi="Arial"/>
          <w:sz w:val="18"/>
          <w:szCs w:val="18"/>
          <w:color w:val="auto"/>
        </w:rPr>
        <w:t>business functions, and certain student recruitment services. KHE is not entitled to receive any reimbursement of costs incurred in providing support services, or any fee, unless and until Purdue Global has first covered all of its academic costs (subject to a cap) and, if applicable,</w:t>
      </w:r>
    </w:p>
    <w:p>
      <w:pPr>
        <w:spacing w:after="0" w:line="236" w:lineRule="auto"/>
        <w:rPr>
          <w:sz w:val="20"/>
          <w:szCs w:val="20"/>
          <w:color w:val="auto"/>
        </w:rPr>
      </w:pPr>
      <w:r>
        <w:rPr>
          <w:rFonts w:ascii="Arial" w:cs="Arial" w:eastAsia="Arial" w:hAnsi="Arial"/>
          <w:sz w:val="18"/>
          <w:szCs w:val="18"/>
          <w:color w:val="auto"/>
        </w:rPr>
        <w:t>received payment for cost efficiencies. KHE will receive reimbursement for its operating costs of providing the support services after payment</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of Purdue Global’s operating costs and cost efficiency payments. If there are sufficient revenues, KHE may be entitled to a cost efficiency payment, if any, and an additional fee equal to 12.5% of Purdue Global’s revenue. Subject to certain limitations, a portion of the fee that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earned by KHE in one year may be carried over to subsequent years for payment to Kaplan.</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operating results of Purdue Global, the availability of cash at the end of each fiscal year, and the consideration it expects to receive from Purdue Global annually. Key assumptions used in the forecast model include student census and degree enrollment data, Purdue Global and</w:t>
      </w:r>
    </w:p>
    <w:p>
      <w:pPr>
        <w:spacing w:after="0" w:line="235" w:lineRule="auto"/>
        <w:rPr>
          <w:sz w:val="20"/>
          <w:szCs w:val="20"/>
          <w:color w:val="auto"/>
        </w:rPr>
      </w:pPr>
      <w:r>
        <w:rPr>
          <w:rFonts w:ascii="Arial" w:cs="Arial" w:eastAsia="Arial" w:hAnsi="Arial"/>
          <w:sz w:val="18"/>
          <w:szCs w:val="18"/>
          <w:color w:val="auto"/>
        </w:rPr>
        <w:t>KHE expenses, changes to working capital, contractually stipulated minimum payments, and lead conversion rates. The forecast is updated</w:t>
      </w:r>
    </w:p>
    <w:p>
      <w:pPr>
        <w:ind w:right="80"/>
        <w:spacing w:after="0" w:line="226" w:lineRule="auto"/>
        <w:rPr>
          <w:sz w:val="20"/>
          <w:szCs w:val="20"/>
          <w:color w:val="auto"/>
        </w:rPr>
      </w:pPr>
      <w:r>
        <w:rPr>
          <w:rFonts w:ascii="Arial" w:cs="Arial" w:eastAsia="Arial" w:hAnsi="Arial"/>
          <w:sz w:val="18"/>
          <w:szCs w:val="18"/>
          <w:color w:val="auto"/>
        </w:rPr>
        <w:t>as uncertainties are resolved. The Company reviews and updates the assumptions regularly, as a significant change in one or more of these estimates could affect the revenue recognized. Changes to the estimated variable consideration were not material for the year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Kaplan International business has a contract with an examination body through August 2029 comprised of two performance obligations, one to build and create a professional exam and another to manage the delivery of that exam to qualified candidates. The first obligation was</w:t>
      </w:r>
    </w:p>
    <w:p>
      <w:pPr>
        <w:spacing w:after="0" w:line="235" w:lineRule="auto"/>
        <w:rPr>
          <w:sz w:val="20"/>
          <w:szCs w:val="20"/>
          <w:color w:val="auto"/>
        </w:rPr>
      </w:pPr>
      <w:r>
        <w:rPr>
          <w:rFonts w:ascii="Arial" w:cs="Arial" w:eastAsia="Arial" w:hAnsi="Arial"/>
          <w:sz w:val="18"/>
          <w:szCs w:val="18"/>
          <w:color w:val="auto"/>
        </w:rPr>
        <w:t>completed in 2021. The second obligation began after the first obligation was completed and is expected to continue through the end of the</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contract term. Revenues are recognized for both of these obligations by allocating the transaction price based on forecasted financial results and the use of a market-based profit margin applied to costs incurred during the financial reporting period. This profit margin, determined at</w:t>
      </w:r>
    </w:p>
    <w:p>
      <w:pPr>
        <w:spacing w:after="0" w:line="236" w:lineRule="auto"/>
        <w:rPr>
          <w:sz w:val="20"/>
          <w:szCs w:val="20"/>
          <w:color w:val="auto"/>
        </w:rPr>
      </w:pPr>
      <w:r>
        <w:rPr>
          <w:rFonts w:ascii="Arial" w:cs="Arial" w:eastAsia="Arial" w:hAnsi="Arial"/>
          <w:sz w:val="18"/>
          <w:szCs w:val="18"/>
          <w:color w:val="auto"/>
        </w:rPr>
        <w:t>contract inception, is different for each obligation as a result of the different value created by each distinct obligation. The forecast, including</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key assumptions such as expected candidate volumes and related exam-management expenses, is updated as future uncertainties are resolved, which may result in changes to the transaction price. The Company reviews and updates the assumptions regularly, as a significant</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change in one or more of these estimates could affect revenue recognized. Changes to the estimated variable consideration were not material for the year ended December 31, 2024.</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w:t>
      </w:r>
    </w:p>
    <w:p>
      <w:pPr>
        <w:ind w:right="40"/>
        <w:spacing w:after="0" w:line="226" w:lineRule="auto"/>
        <w:rPr>
          <w:sz w:val="20"/>
          <w:szCs w:val="20"/>
          <w:color w:val="auto"/>
        </w:rPr>
      </w:pPr>
      <w:r>
        <w:rPr>
          <w:rFonts w:ascii="Arial" w:cs="Arial" w:eastAsia="Arial" w:hAnsi="Arial"/>
          <w:sz w:val="18"/>
          <w:szCs w:val="18"/>
          <w:color w:val="auto"/>
        </w:rPr>
        <w:t>equal to the net amount retained when the fee is earned. In these cases, costs incurred with third-party suppliers are excluded from the Company’s revenue. The Company assesses whether it obtained control of the specified goods or services before they are transferred to the</w:t>
      </w:r>
    </w:p>
    <w:p>
      <w:pPr>
        <w:spacing w:after="0" w:line="2"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customer as part of this assessment. In addition, the Company considers other indicators such as the party primarily responsible for fulfillment, inventory risk and discretion in establishing price.</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w:t>
      </w:r>
    </w:p>
    <w:p>
      <w:pPr>
        <w:ind w:right="140"/>
        <w:spacing w:after="0"/>
        <w:rPr>
          <w:sz w:val="20"/>
          <w:szCs w:val="20"/>
          <w:color w:val="auto"/>
        </w:rPr>
      </w:pPr>
      <w:r>
        <w:rPr>
          <w:rFonts w:ascii="Arial" w:cs="Arial" w:eastAsia="Arial" w:hAnsi="Arial"/>
          <w:sz w:val="17"/>
          <w:szCs w:val="17"/>
          <w:color w:val="auto"/>
        </w:rPr>
        <w:t>economic conditions and management’s evaluation of the financial condition of the customer. The Company generally considers an account past due or delinquent when a student or customer misses a scheduled payment. The Company writes off accounts receivable balances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deemed uncollectible against the allowance for credit losses following the passage of a certain period of time, or generally when the account is turned over for collection to an outside collection agency.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ind w:right="260"/>
        <w:spacing w:after="0" w:line="27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r>
      <w:tr>
        <w:trPr>
          <w:trHeight w:val="223"/>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1,664.4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1,713.1</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7,677.2</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7,187.7</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22 %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24 %</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are reviewed for possible impairment between annual tests if an event occurred or circumstances changed that would more likely than not reduce the fair value of the reporting unit or other intangible assets below its carrying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w:t>
      </w:r>
    </w:p>
    <w:p>
      <w:pPr>
        <w:spacing w:after="0" w:line="235" w:lineRule="auto"/>
        <w:rPr>
          <w:sz w:val="20"/>
          <w:szCs w:val="20"/>
          <w:color w:val="auto"/>
        </w:rPr>
      </w:pPr>
      <w:r>
        <w:rPr>
          <w:rFonts w:ascii="Arial" w:cs="Arial" w:eastAsia="Arial" w:hAnsi="Arial"/>
          <w:sz w:val="18"/>
          <w:szCs w:val="18"/>
          <w:color w:val="auto"/>
        </w:rPr>
        <w:t>test. The Company quantitatively tests goodwill for impairment if, based on its assessment of the qualitative factors, it determines that it is</w:t>
      </w:r>
    </w:p>
    <w:p>
      <w:pPr>
        <w:spacing w:after="0" w:line="226" w:lineRule="auto"/>
        <w:rPr>
          <w:sz w:val="20"/>
          <w:szCs w:val="20"/>
          <w:color w:val="auto"/>
        </w:rPr>
      </w:pPr>
      <w:r>
        <w:rPr>
          <w:rFonts w:ascii="Arial" w:cs="Arial" w:eastAsia="Arial" w:hAnsi="Arial"/>
          <w:sz w:val="18"/>
          <w:szCs w:val="18"/>
          <w:color w:val="auto"/>
        </w:rPr>
        <w:t>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is recognized for the amount by which the carrying amount exceeds the reporting unit’s fair value.</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 performed an interim impairment review of goodwill at the WGB reporting unit in the second quarter of 2024 due to substantial digital advertising revenue declines and continued significant operating losses. The Company recorded a $7.5 million goodwill impairment</w:t>
      </w:r>
    </w:p>
    <w:p>
      <w:pPr>
        <w:spacing w:after="0" w:line="235" w:lineRule="auto"/>
        <w:rPr>
          <w:sz w:val="20"/>
          <w:szCs w:val="20"/>
          <w:color w:val="auto"/>
        </w:rPr>
      </w:pPr>
      <w:r>
        <w:rPr>
          <w:rFonts w:ascii="Arial" w:cs="Arial" w:eastAsia="Arial" w:hAnsi="Arial"/>
          <w:sz w:val="18"/>
          <w:szCs w:val="18"/>
          <w:color w:val="auto"/>
        </w:rPr>
        <w:t>charge at the WGB reporting unit as a result of the interim impairment review. The Company estimated the fair value of the reporting unit by</w:t>
      </w:r>
    </w:p>
    <w:p>
      <w:pPr>
        <w:ind w:right="40"/>
        <w:spacing w:after="0"/>
        <w:rPr>
          <w:sz w:val="20"/>
          <w:szCs w:val="20"/>
          <w:color w:val="auto"/>
        </w:rPr>
      </w:pPr>
      <w:r>
        <w:rPr>
          <w:rFonts w:ascii="Arial" w:cs="Arial" w:eastAsia="Arial" w:hAnsi="Arial"/>
          <w:sz w:val="17"/>
          <w:szCs w:val="17"/>
          <w:color w:val="auto"/>
        </w:rPr>
        <w:t>utilizing a discounted cash flow model. The carrying value of the reporting unit exceeded its indicated fair value by more than the goodwill balance, which resulted in a goodwill impairment charge for the remaining goodwill at the reporting unit. As a result of the impairment charge,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goodwill remains at the WGB reporting unit, which is included in other businesses.</w:t>
      </w:r>
    </w:p>
    <w:p>
      <w:pPr>
        <w:spacing w:after="0" w:line="12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Company had 21 reporting units as of December 31, 2024. The reporting units with significant goodwill balances as of December 31, 2024, were as follows, representing 95% of the total goodwill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5"/>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580.5</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39"/>
        </w:trPr>
        <w:tc>
          <w:tcPr>
            <w:tcW w:w="9960" w:type="dxa"/>
            <w:vAlign w:val="bottom"/>
          </w:tcPr>
          <w:p>
            <w:pPr>
              <w:ind w:left="20"/>
              <w:spacing w:after="0"/>
              <w:rPr>
                <w:sz w:val="20"/>
                <w:szCs w:val="20"/>
                <w:color w:val="auto"/>
              </w:rPr>
            </w:pPr>
            <w:r>
              <w:rPr>
                <w:rFonts w:ascii="Arial" w:cs="Arial" w:eastAsia="Arial" w:hAnsi="Arial"/>
                <w:sz w:val="16"/>
                <w:szCs w:val="16"/>
                <w:color w:val="auto"/>
              </w:rPr>
              <w:t>Framebridge</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1,422.4</w:t>
            </w:r>
          </w:p>
        </w:tc>
      </w:tr>
      <w:tr>
        <w:trPr>
          <w:trHeight w:val="21"/>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color w:val="auto"/>
        </w:rPr>
        <w:t>As of November 30, 2024, in connection with the Company’s annual impairment testing, the Company decided to perform the quantitative goodwill impairment process at all of the reporting units. The Company’s policy requires the performance of a quantitative impairment review</w:t>
      </w:r>
    </w:p>
    <w:p>
      <w:pPr>
        <w:ind w:right="260"/>
        <w:spacing w:after="0" w:line="226" w:lineRule="auto"/>
        <w:rPr>
          <w:sz w:val="20"/>
          <w:szCs w:val="20"/>
          <w:color w:val="auto"/>
        </w:rPr>
      </w:pPr>
      <w:r>
        <w:rPr>
          <w:rFonts w:ascii="Arial" w:cs="Arial" w:eastAsia="Arial" w:hAnsi="Arial"/>
          <w:sz w:val="18"/>
          <w:szCs w:val="18"/>
          <w:color w:val="auto"/>
        </w:rPr>
        <w:t>of the goodwill at least once every three years. The Company used a discounted cash flow model, and, where appropriate, a market value approach was also utilized to supplement the discounted cash flow model to determine the estimated fair value of its reporting units. The</w:t>
      </w:r>
    </w:p>
    <w:p>
      <w:pPr>
        <w:spacing w:after="0" w:line="236" w:lineRule="auto"/>
        <w:rPr>
          <w:sz w:val="20"/>
          <w:szCs w:val="20"/>
          <w:color w:val="auto"/>
        </w:rPr>
      </w:pPr>
      <w:r>
        <w:rPr>
          <w:rFonts w:ascii="Arial" w:cs="Arial" w:eastAsia="Arial" w:hAnsi="Arial"/>
          <w:sz w:val="18"/>
          <w:szCs w:val="18"/>
          <w:color w:val="auto"/>
        </w:rPr>
        <w:t>Company made estimates and assumptions regarding future cash flows, discount rates, long-term growth rates and market values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determine each reporting unit’s estimated fair value. The methodology used to estimate the fair value of the Company’s reporting units on November 30, 2024, was consistent with the one used during the 2023 annual goodwill impairment test.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Company made changes to certain of its assumptions utilized in the discounted cash flow models for 2024 compared with the prior year</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take into account changes in the economic environment, regulations and their impact on the Company’s businesses. The key assumptions used by the Company were as follows:</w:t>
      </w:r>
    </w:p>
    <w:p>
      <w:pPr>
        <w:spacing w:after="0" w:line="127" w:lineRule="exact"/>
        <w:rPr>
          <w:sz w:val="20"/>
          <w:szCs w:val="20"/>
          <w:color w:val="auto"/>
        </w:rPr>
      </w:pPr>
    </w:p>
    <w:p>
      <w:pPr>
        <w:ind w:left="180" w:right="740" w:hanging="172"/>
        <w:spacing w:after="0" w:line="241" w:lineRule="auto"/>
        <w:tabs>
          <w:tab w:leader="none" w:pos="1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2025 through 2029 were used. The Company used expected cash flows for the periods 2025 through 2031 and 2025 through 2034 for the Framebridge and Hoover reporting units, respectively. The expected cash flows took into account historical growth rates, the effect of the changed economic outlook at the Company’s businesses, industry challenges and an estimate for the possible impact of any applicable regulations.</w:t>
      </w:r>
    </w:p>
    <w:p>
      <w:pPr>
        <w:spacing w:after="0" w:line="127" w:lineRule="exact"/>
        <w:rPr>
          <w:rFonts w:ascii="Arial" w:cs="Arial" w:eastAsia="Arial" w:hAnsi="Arial"/>
          <w:sz w:val="18"/>
          <w:szCs w:val="18"/>
          <w:color w:val="auto"/>
        </w:rPr>
      </w:pPr>
    </w:p>
    <w:p>
      <w:pPr>
        <w:ind w:left="180" w:right="700" w:hanging="172"/>
        <w:spacing w:after="0" w:line="256" w:lineRule="auto"/>
        <w:tabs>
          <w:tab w:leader="none" w:pos="1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flows beyond the forecasted years, where applicable, were projected to grow at a long-term growth rate, which the Company estimated between 1.5% and 3% for each reporting unit.</w:t>
      </w:r>
    </w:p>
    <w:p>
      <w:pPr>
        <w:spacing w:after="0" w:line="111" w:lineRule="exact"/>
        <w:rPr>
          <w:rFonts w:ascii="Arial" w:cs="Arial" w:eastAsia="Arial" w:hAnsi="Arial"/>
          <w:sz w:val="18"/>
          <w:szCs w:val="18"/>
          <w:color w:val="auto"/>
        </w:rPr>
      </w:pPr>
    </w:p>
    <w:p>
      <w:pPr>
        <w:ind w:right="620" w:firstLine="8"/>
        <w:spacing w:after="0" w:line="414" w:lineRule="auto"/>
        <w:tabs>
          <w:tab w:leader="none" w:pos="1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used a discount rate of 8.5% to 20.5% to risk adjust the cash flow projections in determining the estimated fair value. The fair value of each of the reporting units exceeded its respective carrying value as of November 30, 2024.</w:t>
      </w:r>
    </w:p>
    <w:p>
      <w:pPr>
        <w:spacing w:after="0" w:line="1"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The estimated fair value of the Framebridge reporting unit exceeded its carrying values by a margin of less than 35%. The total goodwill at the Framebridge reporting unit was $60.9 million as of December 31, 2024, or 4% of the total goodwill of the Company. There exists a</w:t>
      </w:r>
    </w:p>
    <w:p>
      <w:pPr>
        <w:ind w:right="480"/>
        <w:spacing w:after="0" w:line="237" w:lineRule="auto"/>
        <w:rPr>
          <w:sz w:val="20"/>
          <w:szCs w:val="20"/>
          <w:color w:val="auto"/>
        </w:rPr>
      </w:pPr>
      <w:r>
        <w:rPr>
          <w:rFonts w:ascii="Arial" w:cs="Arial" w:eastAsia="Arial" w:hAnsi="Arial"/>
          <w:sz w:val="18"/>
          <w:szCs w:val="18"/>
          <w:color w:val="auto"/>
        </w:rPr>
        <w:t>reasonable possibility that a decrease in the assumed projected cash flows or long-term growth rate, or an increase in the discount rate assumption used in the discounted cash flow model of this reporting unit, could result in a possible impairment charge.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by a margin in excess of 35%. It is possible that impairment charges could occur in the future, as changes in market conditions and the inherent variability in projecting future operating performance could result in adverse changes in projections for future operating results or</w:t>
      </w:r>
    </w:p>
    <w:p>
      <w:pPr>
        <w:spacing w:after="0" w:line="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other key assumptions, such as projected revenue, profit margin, capital expenditures or cash flows associated with fair value estimates and could lead to additional future impairments, which could be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56"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Company’s intangible assets with an indefinite life are principally from franchise rights, trade names and FCC licenses. The Company initially assesses qualitative factors to determine if it is more likely than not that the fair value of its indefinite-lived intangible assets is less</w:t>
      </w:r>
    </w:p>
    <w:p>
      <w:pPr>
        <w:spacing w:after="0" w:line="235" w:lineRule="auto"/>
        <w:rPr>
          <w:sz w:val="20"/>
          <w:szCs w:val="20"/>
          <w:color w:val="auto"/>
        </w:rPr>
      </w:pPr>
      <w:r>
        <w:rPr>
          <w:rFonts w:ascii="Arial" w:cs="Arial" w:eastAsia="Arial" w:hAnsi="Arial"/>
          <w:sz w:val="18"/>
          <w:szCs w:val="18"/>
          <w:color w:val="auto"/>
        </w:rPr>
        <w:t>than its carrying value. The Company compares the fair value of the indefinite-lived intangible asset with its carrying value if the qualitative</w:t>
      </w:r>
    </w:p>
    <w:p>
      <w:pPr>
        <w:ind w:right="120"/>
        <w:spacing w:after="0"/>
        <w:rPr>
          <w:sz w:val="20"/>
          <w:szCs w:val="20"/>
          <w:color w:val="auto"/>
        </w:rPr>
      </w:pPr>
      <w:r>
        <w:rPr>
          <w:rFonts w:ascii="Arial" w:cs="Arial" w:eastAsia="Arial" w:hAnsi="Arial"/>
          <w:sz w:val="17"/>
          <w:szCs w:val="17"/>
          <w:color w:val="auto"/>
        </w:rPr>
        <w:t>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w:t>
      </w:r>
    </w:p>
    <w:p>
      <w:pPr>
        <w:spacing w:after="0" w:line="235" w:lineRule="auto"/>
        <w:rPr>
          <w:sz w:val="20"/>
          <w:szCs w:val="20"/>
          <w:color w:val="auto"/>
        </w:rPr>
      </w:pPr>
      <w:r>
        <w:rPr>
          <w:rFonts w:ascii="Arial" w:cs="Arial" w:eastAsia="Arial" w:hAnsi="Arial"/>
          <w:sz w:val="18"/>
          <w:szCs w:val="18"/>
          <w:color w:val="auto"/>
        </w:rPr>
        <w:t>the assets for the difference in the values. The Company uses a discounted cash flow model, and, in certain cases, a market value approach</w:t>
      </w:r>
    </w:p>
    <w:p>
      <w:pPr>
        <w:ind w:right="240"/>
        <w:spacing w:after="0" w:line="226" w:lineRule="auto"/>
        <w:rPr>
          <w:sz w:val="20"/>
          <w:szCs w:val="20"/>
          <w:color w:val="auto"/>
        </w:rPr>
      </w:pPr>
      <w:r>
        <w:rPr>
          <w:rFonts w:ascii="Arial" w:cs="Arial" w:eastAsia="Arial" w:hAnsi="Arial"/>
          <w:sz w:val="18"/>
          <w:szCs w:val="18"/>
          <w:color w:val="auto"/>
        </w:rPr>
        <w:t>is also utilized to supplement the discounted cash flow model to determine the estimated fair value of the indefinite-lived intangible assets. The Company makes estimates and assumptions regarding future cash flows, discount rates, long-term growth rates and other market</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values to determine the estimated fair value of the indefinite-lived intangible assets. The Company’s policy requires the performance of a quantitative impairment review of the indefinite-lived intangible assets at least once every three years.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conjunction with the Company’s annual impairment review, as a result of reduced enrollments at MPW and the recent U.K. government elimination of the Value Added Tax (VAT) exemption on private school tuition coupled with an overall downward trend in enrollments at sixth-</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form colleges leading to uncertainty regarding future enrollments, the Company recorded an indefinite-lived intangible asset impairment charge of $22.9 million at MPW. The Company estimated the fair value of the trade name by utilizing the relief from royalty method under a</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discounted cash flow model. The carrying value of the MPW trademark indefinite-lived intangible asset exceeded its estimated fair value, resulting in an indefinite-lived intangible asset impairment charge for the excess amount. MPW is included in Kaplan International.</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With the exception of the MPW trademark indefinite-lived intangible asset, the fair value of all the indefinite-lived intangible assets exceeded their respective carrying values as of November 30, 2024. The estimated fair values of indefinite-lived intangible assets with a total carrying</w:t>
      </w:r>
    </w:p>
    <w:p>
      <w:pPr>
        <w:ind w:right="380"/>
        <w:spacing w:after="0" w:line="226" w:lineRule="auto"/>
        <w:rPr>
          <w:sz w:val="20"/>
          <w:szCs w:val="20"/>
          <w:color w:val="auto"/>
        </w:rPr>
      </w:pPr>
      <w:r>
        <w:rPr>
          <w:rFonts w:ascii="Arial" w:cs="Arial" w:eastAsia="Arial" w:hAnsi="Arial"/>
          <w:sz w:val="18"/>
          <w:szCs w:val="18"/>
          <w:color w:val="auto"/>
        </w:rPr>
        <w:t>value of $17.0 million exceeded their carrying value by a margin of less than 10%. There exists a reasonable possibility that impairment charges could occur in the future, as changes in market conditions and the inherent variability in projecting future operating performance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could result in adverse changes in projections for future operating results or other key assumptions, such as projected revenue, profit margin, capital expenditures or cash flows associated with fair value estimates and could lead to future impairments, which could be material.</w:t>
      </w:r>
    </w:p>
    <w:p>
      <w:pPr>
        <w:spacing w:after="0" w:line="10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was $107.7 million, $111.3 million and $170.2 million for 2024, 2023 and 2022, respectively. The Company’s pension benefit obligation and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related credits are actuarially determined and are significantly impacted by the Company’s assumptions related to future events, including the discount rate, expected return on plan assets and rate of compensation increases. The Company evaluates these critical assumptions at</w:t>
      </w:r>
    </w:p>
    <w:p>
      <w:pPr>
        <w:spacing w:after="0" w:line="236" w:lineRule="auto"/>
        <w:rPr>
          <w:sz w:val="20"/>
          <w:szCs w:val="20"/>
          <w:color w:val="auto"/>
        </w:rPr>
      </w:pPr>
      <w:r>
        <w:rPr>
          <w:rFonts w:ascii="Arial" w:cs="Arial" w:eastAsia="Arial" w:hAnsi="Arial"/>
          <w:sz w:val="18"/>
          <w:szCs w:val="18"/>
          <w:color w:val="auto"/>
        </w:rPr>
        <w:t>least annually and, periodically, evaluates other assumptions involving demographic factors, such as retirement age, mortality and turnover,</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and updates them to reflect its experience and expectations for the future. Actual results in any given year will often differ from actuarial assumptions because of economic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assumed a 6.25% expected return on plan assets for 2024, 2023 and 2022. The Company’s actual return (loss) on plan</w:t>
      </w:r>
    </w:p>
    <w:p>
      <w:pPr>
        <w:spacing w:after="0" w:line="1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assets was 19.1% in 2024, 23.2% in 2023 and (23.4%) in 2022. The 10-year and 20-year actual returns on plan assets on an annual basis were 8.8% and 9.6%,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cash payments using the weighted average of market-observed yields for high-quality fixed-income securities with maturities that correspond to the payment of benefits. Lower discount rates increase present values and generally increase subsequent-year pension costs; higher</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discount rates decrease present values and decrease subsequent-year pension costs. The Company’s discount rate at December 31, 2024, 2023 and 2022, was 5.8%, 5.2% and 5.5%, respectively, reflecting market interest rates.</w:t>
      </w:r>
    </w:p>
    <w:p>
      <w:pPr>
        <w:spacing w:after="0" w:line="10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2024 pension credit, excluding curtailment gains, settlement gains and special termination benefits:</w:t>
      </w:r>
    </w:p>
    <w:p>
      <w:pPr>
        <w:spacing w:after="0" w:line="100" w:lineRule="exact"/>
        <w:rPr>
          <w:sz w:val="20"/>
          <w:szCs w:val="20"/>
          <w:color w:val="auto"/>
        </w:rPr>
      </w:pPr>
    </w:p>
    <w:p>
      <w:pPr>
        <w:ind w:left="180" w:right="800" w:hanging="172"/>
        <w:spacing w:after="0" w:line="256" w:lineRule="auto"/>
        <w:tabs>
          <w:tab w:leader="none" w:pos="2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$26.5 million.</w:t>
      </w:r>
    </w:p>
    <w:p>
      <w:pPr>
        <w:spacing w:after="0" w:line="111" w:lineRule="exact"/>
        <w:rPr>
          <w:rFonts w:ascii="Arial" w:cs="Arial" w:eastAsia="Arial" w:hAnsi="Arial"/>
          <w:sz w:val="18"/>
          <w:szCs w:val="18"/>
          <w:color w:val="auto"/>
        </w:rPr>
      </w:pPr>
    </w:p>
    <w:p>
      <w:pPr>
        <w:ind w:left="180" w:right="40" w:hanging="172"/>
        <w:spacing w:after="0" w:line="285" w:lineRule="auto"/>
        <w:tabs>
          <w:tab w:leader="none" w:pos="281"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$7.2 million. A 1% increase to the Company’s assumed discount rate would have increased the pension credit by approximately $5.7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assets assumption applied to a market-related value of plan assets. The market-related value of plan assets is determined using a five-year average market value method, which recognizes realized and unrealized appreciation and depreciation in market values over a five-year</w:t>
      </w:r>
    </w:p>
    <w:p>
      <w:pPr>
        <w:spacing w:after="0" w:line="235" w:lineRule="auto"/>
        <w:rPr>
          <w:sz w:val="20"/>
          <w:szCs w:val="20"/>
          <w:color w:val="auto"/>
        </w:rPr>
      </w:pPr>
      <w:r>
        <w:rPr>
          <w:rFonts w:ascii="Arial" w:cs="Arial" w:eastAsia="Arial" w:hAnsi="Arial"/>
          <w:sz w:val="18"/>
          <w:szCs w:val="18"/>
          <w:color w:val="auto"/>
        </w:rPr>
        <w:t>period. The value resulting from applying this method is adjusted, if necessary, such that it cannot be less than 80% or more than 120% of</w:t>
      </w:r>
    </w:p>
    <w:p>
      <w:pPr>
        <w:ind w:right="120"/>
        <w:spacing w:after="0" w:line="237" w:lineRule="auto"/>
        <w:rPr>
          <w:sz w:val="20"/>
          <w:szCs w:val="20"/>
          <w:color w:val="auto"/>
        </w:rPr>
      </w:pPr>
      <w:r>
        <w:rPr>
          <w:rFonts w:ascii="Arial" w:cs="Arial" w:eastAsia="Arial" w:hAnsi="Arial"/>
          <w:sz w:val="18"/>
          <w:szCs w:val="18"/>
          <w:color w:val="auto"/>
        </w:rPr>
        <w:t>the market value of plan assets as of the relevant measurement date. As a result, year-to-year increases or decreases in the market-related value of plan assets impact the return on plan assets component of pension credit for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other differences in actual versus expected experience to form a net unamortized actuarial gain or loss in accumulated other comprehensive income. Only those net actuarial gains or losses in excess of the deferred realized and unrealized appreciation and depreciation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potentially subject to amortization.</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112"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57" w:lineRule="exact"/>
        <w:rPr>
          <w:rFonts w:ascii="Arial" w:cs="Arial" w:eastAsia="Arial" w:hAnsi="Arial"/>
          <w:sz w:val="18"/>
          <w:szCs w:val="18"/>
          <w:color w:val="auto"/>
        </w:rPr>
      </w:pPr>
    </w:p>
    <w:p>
      <w:pPr>
        <w:ind w:left="180" w:right="200" w:hanging="172"/>
        <w:spacing w:after="0" w:line="245" w:lineRule="auto"/>
        <w:tabs>
          <w:tab w:leader="none" w:pos="2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unamortized gain or loss in accumulated other comprehensive income exceeds 10% of the greater of the benefit obligation or the market-related value of assets (10% corridor). The amortization component is equal to that excess divided by the average remaining service period</w:t>
      </w:r>
    </w:p>
    <w:p>
      <w:pPr>
        <w:spacing w:after="0" w:line="236" w:lineRule="auto"/>
        <w:rPr>
          <w:sz w:val="20"/>
          <w:szCs w:val="20"/>
          <w:color w:val="auto"/>
        </w:rPr>
      </w:pPr>
      <w:r>
        <w:rPr>
          <w:rFonts w:ascii="Arial" w:cs="Arial" w:eastAsia="Arial" w:hAnsi="Arial"/>
          <w:sz w:val="18"/>
          <w:szCs w:val="18"/>
          <w:color w:val="auto"/>
        </w:rPr>
        <w:t>of active employees expected to receive benefits under the plan. At the end of 2021, the Company had net unamortized actuarial gains in</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accumulated other comprehensive income subject to amortization outside the 10% corridor, and therefore, an amortized gain of $68.7 million was included in the pension credit for 2022.</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2022, there were significant pension asset losses partially offset by an increase in the discount rate that resulted in net unamortized actuarial gains in accumulated other comprehensive income subject to amortization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outside the 10% corridor, and therefore, an amortized gain of $39.8 million was included in the pension credit for 2023.</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During 2023, there were significant pension asset gains partially offset by a decrease in the discount rate that resulted in net unamortized actuarial gains in accumulated other comprehensive income subject to amortization outside the 10% corridor, and therefore, an amortized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gain of $37.9 million was included in the pension credit for the first nine and a half months of 2024.</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As a result of the irrevocable group annuity purchase, the Company remeasured the accumulated and projected benefit obligations as of October 17, 2024, and recorded a settlement gain. During the first nine and a half months, there were significant pension asset gains offset</w:t>
      </w:r>
    </w:p>
    <w:p>
      <w:pPr>
        <w:spacing w:after="0" w:line="235" w:lineRule="auto"/>
        <w:rPr>
          <w:sz w:val="20"/>
          <w:szCs w:val="20"/>
          <w:color w:val="auto"/>
        </w:rPr>
      </w:pPr>
      <w:r>
        <w:rPr>
          <w:rFonts w:ascii="Arial" w:cs="Arial" w:eastAsia="Arial" w:hAnsi="Arial"/>
          <w:sz w:val="18"/>
          <w:szCs w:val="18"/>
          <w:color w:val="auto"/>
        </w:rPr>
        <w:t>by the $653.4 million settlement gain following the purchase of the irrevocable group annuity contract that resulted in no net unamortized</w:t>
      </w:r>
    </w:p>
    <w:p>
      <w:pPr>
        <w:ind w:right="280"/>
        <w:spacing w:after="0"/>
        <w:rPr>
          <w:sz w:val="20"/>
          <w:szCs w:val="20"/>
          <w:color w:val="auto"/>
        </w:rPr>
      </w:pPr>
      <w:r>
        <w:rPr>
          <w:rFonts w:ascii="Arial" w:cs="Arial" w:eastAsia="Arial" w:hAnsi="Arial"/>
          <w:sz w:val="17"/>
          <w:szCs w:val="17"/>
          <w:color w:val="auto"/>
        </w:rPr>
        <w:t>actuarial gains in accumulated other comprehensive income subject to amortization outside the 10% corridor, and therefore, no amortized gain amount was included in the pension credit for the last two and a half months of 2024. During the last two and a half months of 2024,</w:t>
      </w:r>
    </w:p>
    <w:p>
      <w:pPr>
        <w:spacing w:after="0" w:line="235" w:lineRule="auto"/>
        <w:rPr>
          <w:sz w:val="20"/>
          <w:szCs w:val="20"/>
          <w:color w:val="auto"/>
        </w:rPr>
      </w:pPr>
      <w:r>
        <w:rPr>
          <w:rFonts w:ascii="Arial" w:cs="Arial" w:eastAsia="Arial" w:hAnsi="Arial"/>
          <w:sz w:val="18"/>
          <w:szCs w:val="18"/>
          <w:color w:val="auto"/>
        </w:rPr>
        <w:t>there was an increase in the discount rate; however, the Company currently estimates that there will be no net unamortized actuarial gains in</w:t>
      </w:r>
    </w:p>
    <w:p>
      <w:pPr>
        <w:ind w:right="460"/>
        <w:spacing w:after="0" w:line="237" w:lineRule="auto"/>
        <w:rPr>
          <w:sz w:val="20"/>
          <w:szCs w:val="20"/>
          <w:color w:val="auto"/>
        </w:rPr>
      </w:pPr>
      <w:r>
        <w:rPr>
          <w:rFonts w:ascii="Arial" w:cs="Arial" w:eastAsia="Arial" w:hAnsi="Arial"/>
          <w:sz w:val="18"/>
          <w:szCs w:val="18"/>
          <w:color w:val="auto"/>
        </w:rPr>
        <w:t>accumulated other comprehensive income subject to amortization outside the 10% corridor, and therefore, no amortized gain amount is included in the estimated pension credit for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$95.1 million in 2025.</w:t>
      </w:r>
    </w:p>
    <w:p>
      <w:pPr>
        <w:spacing w:after="0" w:line="158" w:lineRule="exact"/>
        <w:rPr>
          <w:sz w:val="20"/>
          <w:szCs w:val="20"/>
          <w:color w:val="auto"/>
        </w:rPr>
      </w:pPr>
    </w:p>
    <w:p>
      <w:pPr>
        <w:ind w:right="1080"/>
        <w:spacing w:after="0" w:line="256"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recent financial operations. These assumptions require significant judgment about forecasts of future taxable income.</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of December 31, 2024, the Company had state income tax net operating loss carryforwards of $1,163.4 million, which will expire at various future dates. Also at December 31, 2024, the Company had $84.1 million of non-U.S. income tax loss carryforwards, of which $36.2</w:t>
      </w:r>
    </w:p>
    <w:p>
      <w:pPr>
        <w:spacing w:after="0" w:line="235" w:lineRule="auto"/>
        <w:rPr>
          <w:sz w:val="20"/>
          <w:szCs w:val="20"/>
          <w:color w:val="auto"/>
        </w:rPr>
      </w:pPr>
      <w:r>
        <w:rPr>
          <w:rFonts w:ascii="Arial" w:cs="Arial" w:eastAsia="Arial" w:hAnsi="Arial"/>
          <w:sz w:val="18"/>
          <w:szCs w:val="18"/>
          <w:color w:val="auto"/>
        </w:rPr>
        <w:t>million may be carried forward indefinitely; $41.7 million of losses that, if unutilized, will expire in varying amounts through 2029; and $6.2</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million of losses that, if unutilized, will start to expire after 2029. At December 31, 2024, the Company has established approximately $74.8 million in total valuation allowances, primarily against deferred state tax assets, net of U.S. Federal income taxes, and non-U.S. deferred tax</w:t>
      </w:r>
    </w:p>
    <w:p>
      <w:pPr>
        <w:spacing w:after="0" w:line="235" w:lineRule="auto"/>
        <w:rPr>
          <w:sz w:val="20"/>
          <w:szCs w:val="20"/>
          <w:color w:val="auto"/>
        </w:rPr>
      </w:pPr>
      <w:r>
        <w:rPr>
          <w:rFonts w:ascii="Arial" w:cs="Arial" w:eastAsia="Arial" w:hAnsi="Arial"/>
          <w:sz w:val="18"/>
          <w:szCs w:val="18"/>
          <w:color w:val="auto"/>
        </w:rPr>
        <w:t>assets, as the Company believes that it is more likely than not that the benefit from certain state and non-U.S. net operating loss</w:t>
      </w:r>
    </w:p>
    <w:p>
      <w:pPr>
        <w:ind w:right="480"/>
        <w:spacing w:after="0"/>
        <w:rPr>
          <w:sz w:val="20"/>
          <w:szCs w:val="20"/>
          <w:color w:val="auto"/>
        </w:rPr>
      </w:pPr>
      <w:r>
        <w:rPr>
          <w:rFonts w:ascii="Arial" w:cs="Arial" w:eastAsia="Arial" w:hAnsi="Arial"/>
          <w:sz w:val="17"/>
          <w:szCs w:val="17"/>
          <w:color w:val="auto"/>
        </w:rPr>
        <w:t>carryforwards and other deferred tax assets will not be realized. In most instances, the Company has established valuation allowances against state income tax benefits recognized, without considering potentially offsetting deferred tax liabilities established with respect to</w:t>
      </w:r>
    </w:p>
    <w:p>
      <w:pPr>
        <w:spacing w:after="0" w:line="235" w:lineRule="auto"/>
        <w:rPr>
          <w:sz w:val="20"/>
          <w:szCs w:val="20"/>
          <w:color w:val="auto"/>
        </w:rPr>
      </w:pPr>
      <w:r>
        <w:rPr>
          <w:rFonts w:ascii="Arial" w:cs="Arial" w:eastAsia="Arial" w:hAnsi="Arial"/>
          <w:sz w:val="18"/>
          <w:szCs w:val="18"/>
          <w:color w:val="auto"/>
        </w:rPr>
        <w:t>prepaid pension cost and goodwill. Prepaid pension cost and goodwill have not been considered a source of future taxable income for</w:t>
      </w:r>
    </w:p>
    <w:p>
      <w:pPr>
        <w:ind w:right="180"/>
        <w:spacing w:after="0" w:line="226" w:lineRule="auto"/>
        <w:rPr>
          <w:sz w:val="20"/>
          <w:szCs w:val="20"/>
          <w:color w:val="auto"/>
        </w:rPr>
      </w:pPr>
      <w:r>
        <w:rPr>
          <w:rFonts w:ascii="Arial" w:cs="Arial" w:eastAsia="Arial" w:hAnsi="Arial"/>
          <w:sz w:val="18"/>
          <w:szCs w:val="18"/>
          <w:color w:val="auto"/>
        </w:rPr>
        <w:t>realizing deferred tax benefits recognized since these temporary differences are not likely to reverse in the foreseeable future. However, certain deferred state tax assets have an indefinite life. As a result, the Company has considered deferred tax liabilities for prepaid pension</w:t>
      </w:r>
    </w:p>
    <w:p>
      <w:pPr>
        <w:spacing w:after="0" w:line="236" w:lineRule="auto"/>
        <w:rPr>
          <w:sz w:val="20"/>
          <w:szCs w:val="20"/>
          <w:color w:val="auto"/>
        </w:rPr>
      </w:pPr>
      <w:r>
        <w:rPr>
          <w:rFonts w:ascii="Arial" w:cs="Arial" w:eastAsia="Arial" w:hAnsi="Arial"/>
          <w:sz w:val="18"/>
          <w:szCs w:val="18"/>
          <w:color w:val="auto"/>
        </w:rPr>
        <w:t>cost and goodwill as a source of future taxable income for realizing those deferred state tax assets with indefinite lives. The valuation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allowances established against state and non-U.S. income tax benefits recorded may increase or decrease within the next 12 months, based on operating results or the market value of investment holdings; as a result, the Company is unable to estimate the potential tax impact,</w:t>
      </w:r>
    </w:p>
    <w:p>
      <w:pPr>
        <w:spacing w:after="0" w:line="236" w:lineRule="auto"/>
        <w:rPr>
          <w:sz w:val="20"/>
          <w:szCs w:val="20"/>
          <w:color w:val="auto"/>
        </w:rPr>
      </w:pPr>
      <w:r>
        <w:rPr>
          <w:rFonts w:ascii="Arial" w:cs="Arial" w:eastAsia="Arial" w:hAnsi="Arial"/>
          <w:sz w:val="18"/>
          <w:szCs w:val="18"/>
          <w:color w:val="auto"/>
        </w:rPr>
        <w:t>given the uncertain operating and market environment. The Company will be monitoring future operating results and projected future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results on a quarterly basis to determine whether the valuation allowances provided against state and non-U.S. deferred tax assets should be increased or decreased, as future circumstances warrant.</w:t>
      </w:r>
    </w:p>
    <w:p>
      <w:pPr>
        <w:spacing w:after="0" w:line="12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1" w:name="page72"/>
    <w:bookmarkEnd w:id="71"/>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Graham Holdings Company and its subsidiaries (the “Company”) as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December 31, 2024 and 2023, and the related consolidated statements of operations, of comprehensive income (loss), of changes in common stockholders' equity and of cash flows for each of the three years in the period ended December 31, 2024, including the related</w:t>
      </w:r>
    </w:p>
    <w:p>
      <w:pPr>
        <w:spacing w:after="0" w:line="235" w:lineRule="auto"/>
        <w:rPr>
          <w:sz w:val="20"/>
          <w:szCs w:val="20"/>
          <w:color w:val="auto"/>
        </w:rPr>
      </w:pPr>
      <w:r>
        <w:rPr>
          <w:rFonts w:ascii="Arial" w:cs="Arial" w:eastAsia="Arial" w:hAnsi="Arial"/>
          <w:sz w:val="18"/>
          <w:szCs w:val="18"/>
          <w:color w:val="auto"/>
        </w:rPr>
        <w:t>notes (collectively referred to as the “consolidated financial statements”). We also have audited the Company's internal control over financial</w:t>
      </w:r>
    </w:p>
    <w:p>
      <w:pPr>
        <w:ind w:right="60"/>
        <w:spacing w:after="0" w:line="237" w:lineRule="auto"/>
        <w:rPr>
          <w:sz w:val="20"/>
          <w:szCs w:val="20"/>
          <w:color w:val="auto"/>
        </w:rPr>
      </w:pPr>
      <w:r>
        <w:rPr>
          <w:rFonts w:ascii="Arial" w:cs="Arial" w:eastAsia="Arial" w:hAnsi="Arial"/>
          <w:sz w:val="18"/>
          <w:szCs w:val="18"/>
          <w:color w:val="auto"/>
        </w:rPr>
        <w:t xml:space="preserve">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Company as of December 31, 2024 and 2023, and the results of its operations and its cash flows for each of the three years in the period ended December 31, 2024 in conformity with accounting principles generally accepted in the United States of America. Also in our opinion,</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2"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spacing w:after="0" w:line="236" w:lineRule="auto"/>
        <w:rPr>
          <w:sz w:val="20"/>
          <w:szCs w:val="20"/>
          <w:color w:val="auto"/>
        </w:rPr>
      </w:pPr>
      <w:r>
        <w:rPr>
          <w:rFonts w:ascii="Arial" w:cs="Arial" w:eastAsia="Arial" w:hAnsi="Arial"/>
          <w:sz w:val="18"/>
          <w:szCs w:val="18"/>
          <w:color w:val="auto"/>
        </w:rPr>
        <w:t>presentation of the consolidated financial statements. Our audit of internal control over financial reporting included obtaining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we considered necessary in the circumstances. We believe that our audits provide a reasonable basis for our opinions.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w:t>
      </w:r>
    </w:p>
    <w:p>
      <w:pPr>
        <w:spacing w:after="0" w:line="14" w:lineRule="exact"/>
        <w:rPr>
          <w:sz w:val="20"/>
          <w:szCs w:val="20"/>
          <w:color w:val="auto"/>
        </w:rPr>
      </w:pPr>
    </w:p>
    <w:p>
      <w:pPr>
        <w:jc w:val="both"/>
        <w:ind w:right="140"/>
        <w:spacing w:after="0"/>
        <w:rPr>
          <w:sz w:val="20"/>
          <w:szCs w:val="20"/>
          <w:color w:val="auto"/>
        </w:rPr>
      </w:pPr>
      <w:r>
        <w:rPr>
          <w:rFonts w:ascii="Arial" w:cs="Arial" w:eastAsia="Arial" w:hAnsi="Arial"/>
          <w:sz w:val="17"/>
          <w:szCs w:val="17"/>
          <w:color w:val="auto"/>
        </w:rPr>
        <w:t>financial reporting and the preparation of financial statements for external purposes in accordance with generally accepted accounting principles. A company’s internal control over financial reporting includes those policies and procedures that (i) pertain to the maintenance of</w:t>
      </w:r>
    </w:p>
    <w:p>
      <w:pPr>
        <w:spacing w:after="0" w:line="235"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(ii) provide</w:t>
      </w:r>
    </w:p>
    <w:p>
      <w:pPr>
        <w:ind w:right="20"/>
        <w:spacing w:after="0" w:line="226"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pacing w:after="0" w:line="2"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color w:val="auto"/>
        </w:rPr>
        <w:t>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w:t>
      </w:r>
    </w:p>
    <w:p>
      <w:pPr>
        <w:spacing w:after="0" w:line="235" w:lineRule="auto"/>
        <w:rPr>
          <w:sz w:val="20"/>
          <w:szCs w:val="20"/>
          <w:color w:val="auto"/>
        </w:rPr>
      </w:pPr>
      <w:r>
        <w:rPr>
          <w:rFonts w:ascii="Arial" w:cs="Arial" w:eastAsia="Arial" w:hAnsi="Arial"/>
          <w:sz w:val="18"/>
          <w:szCs w:val="18"/>
          <w:color w:val="auto"/>
        </w:rPr>
        <w:t>the consolidated financial statements and (ii) involved our especially challenging, subjective, or complex judgments. The communication of</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it relates.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Assessment - Framebridge Reporting Unit</w:t>
      </w:r>
    </w:p>
    <w:p>
      <w:pPr>
        <w:spacing w:after="0" w:line="14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As described in Notes 2 and 9 to the consolidated financial statements, the Company’s consolidated goodwill balance was $1,500.0 million as of December 31, 2024, and as disclosed by management, the goodwill associated with the Framebridge reporting unit was $60.9 million</w:t>
      </w:r>
    </w:p>
    <w:p>
      <w:pPr>
        <w:ind w:right="120"/>
        <w:spacing w:after="0" w:line="226" w:lineRule="auto"/>
        <w:rPr>
          <w:sz w:val="20"/>
          <w:szCs w:val="20"/>
          <w:color w:val="auto"/>
        </w:rPr>
      </w:pPr>
      <w:r>
        <w:rPr>
          <w:rFonts w:ascii="Arial" w:cs="Arial" w:eastAsia="Arial" w:hAnsi="Arial"/>
          <w:sz w:val="18"/>
          <w:szCs w:val="18"/>
          <w:color w:val="auto"/>
        </w:rPr>
        <w:t>as of December 31, 2024. Management reviews goodwill for possible impairment at least annually, as of November 30, or between annual tests if an event occurs or circumstances change that would more likely than not reduce the fair value of the reporting unit below its carrying</w:t>
      </w:r>
    </w:p>
    <w:p>
      <w:pPr>
        <w:spacing w:after="0" w:line="236" w:lineRule="auto"/>
        <w:rPr>
          <w:sz w:val="20"/>
          <w:szCs w:val="20"/>
          <w:color w:val="auto"/>
        </w:rPr>
      </w:pPr>
      <w:r>
        <w:rPr>
          <w:rFonts w:ascii="Arial" w:cs="Arial" w:eastAsia="Arial" w:hAnsi="Arial"/>
          <w:sz w:val="18"/>
          <w:szCs w:val="18"/>
          <w:color w:val="auto"/>
        </w:rPr>
        <w:t>value. An impairment charge is recognized for the amount by which the carrying value exceeds the reporting unit’s fair value. The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quantitative goodwill impairment analysis at Framebridge indicated the estimated fair value of the reporting unit exceeded its carrying value as of November 30, 2024, the annual goodwill impairment assessment date. Management uses a discounted cash flow model, and, where</w:t>
      </w:r>
    </w:p>
    <w:p>
      <w:pPr>
        <w:spacing w:after="0" w:line="235" w:lineRule="auto"/>
        <w:rPr>
          <w:sz w:val="20"/>
          <w:szCs w:val="20"/>
          <w:color w:val="auto"/>
        </w:rPr>
      </w:pPr>
      <w:r>
        <w:rPr>
          <w:rFonts w:ascii="Arial" w:cs="Arial" w:eastAsia="Arial" w:hAnsi="Arial"/>
          <w:sz w:val="18"/>
          <w:szCs w:val="18"/>
          <w:color w:val="auto"/>
        </w:rPr>
        <w:t>appropriate, a market value approach is also utilized to supplement the discounted cash flow model, to determine the estimated fair value of</w:t>
      </w:r>
    </w:p>
    <w:p>
      <w:pPr>
        <w:ind w:right="480"/>
        <w:spacing w:after="0" w:line="237" w:lineRule="auto"/>
        <w:rPr>
          <w:sz w:val="20"/>
          <w:szCs w:val="20"/>
          <w:color w:val="auto"/>
        </w:rPr>
      </w:pPr>
      <w:r>
        <w:rPr>
          <w:rFonts w:ascii="Arial" w:cs="Arial" w:eastAsia="Arial" w:hAnsi="Arial"/>
          <w:sz w:val="18"/>
          <w:szCs w:val="18"/>
          <w:color w:val="auto"/>
        </w:rPr>
        <w:t>the reporting units. Management makes assumptions regarding estimated future cash flows, discount rates, long-term growth rates and market values to determine the estimated fair value of each reporting unit.</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principal considerations for our determination that performing procedures relating to the annual goodwill impairment assessment of the Framebridge reporting unit is a critical audit matter are (i) the significant judgment by management when developing the fair value estimate of</w:t>
      </w:r>
    </w:p>
    <w:p>
      <w:pPr>
        <w:spacing w:after="0" w:line="235" w:lineRule="auto"/>
        <w:rPr>
          <w:sz w:val="20"/>
          <w:szCs w:val="20"/>
          <w:color w:val="auto"/>
        </w:rPr>
      </w:pPr>
      <w:r>
        <w:rPr>
          <w:rFonts w:ascii="Arial" w:cs="Arial" w:eastAsia="Arial" w:hAnsi="Arial"/>
          <w:sz w:val="18"/>
          <w:szCs w:val="18"/>
          <w:color w:val="auto"/>
        </w:rPr>
        <w:t>the Framebridge reporting unit; (ii) a high degree of auditor judgment, subjectivity, and effort in performing procedures and evaluating</w:t>
      </w:r>
    </w:p>
    <w:p>
      <w:pPr>
        <w:ind w:right="420"/>
        <w:spacing w:after="0" w:line="237" w:lineRule="auto"/>
        <w:rPr>
          <w:sz w:val="20"/>
          <w:szCs w:val="20"/>
          <w:color w:val="auto"/>
        </w:rPr>
      </w:pPr>
      <w:r>
        <w:rPr>
          <w:rFonts w:ascii="Arial" w:cs="Arial" w:eastAsia="Arial" w:hAnsi="Arial"/>
          <w:sz w:val="18"/>
          <w:szCs w:val="18"/>
          <w:color w:val="auto"/>
        </w:rPr>
        <w:t>management’s significant assumptions related to the estimated future cash flows and the discount rate used in the discounted cash flow model; and (iii) the audit effort involved the use of professionals with specialized skill and knowledge.</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w:t>
      </w:r>
    </w:p>
    <w:p>
      <w:pPr>
        <w:spacing w:after="0" w:line="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impairment assessment, including controls over the valuation of the Framebridge reporting unit. These procedures also included, among others (i) testing management’s process for developing the fair value estimate of the Framebridge reporting unit; (ii) evaluating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appropriateness of the discounted cash flow model used by management; (iii) testing the completeness and accuracy of underlying data used in the discounted cash flow model; and (iv) evaluating the reasonableness of the significant assumptions related to the estimated future</w:t>
      </w:r>
    </w:p>
    <w:p>
      <w:pPr>
        <w:spacing w:after="0" w:line="236" w:lineRule="auto"/>
        <w:rPr>
          <w:sz w:val="20"/>
          <w:szCs w:val="20"/>
          <w:color w:val="auto"/>
        </w:rPr>
      </w:pPr>
      <w:r>
        <w:rPr>
          <w:rFonts w:ascii="Arial" w:cs="Arial" w:eastAsia="Arial" w:hAnsi="Arial"/>
          <w:sz w:val="18"/>
          <w:szCs w:val="18"/>
          <w:color w:val="auto"/>
        </w:rPr>
        <w:t>cash flows and the discount rate used in the discounted cash flow model. Evaluating management’s assumption related to the estimated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future cash flows involved evaluating whether the assumption used by management was reasonable considering (i) the past and present performance of the Framebridge reporting unit; (ii) the consistency with external market and industry data; and (iii) whether the assumption</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was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2,697,314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2,484,327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2,328,869</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2,093,590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1,930,550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1,595,624</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4,790,904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4,414,877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3,924,493</w:t>
            </w:r>
          </w:p>
        </w:tc>
        <w:tc>
          <w:tcPr>
            <w:tcW w:w="0" w:type="dxa"/>
            <w:vAlign w:val="bottom"/>
          </w:tcPr>
          <w:p>
            <w:pPr>
              <w:spacing w:after="0"/>
              <w:rPr>
                <w:sz w:val="1"/>
                <w:szCs w:val="1"/>
                <w:color w:val="auto"/>
              </w:rPr>
            </w:pPr>
          </w:p>
        </w:tc>
      </w:t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1,558,639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1,468,114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1,346,519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1,765,899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1,634,820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1,311,199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1,076,875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1,007,381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921,739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87,046</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86,064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73,297</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37,119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50,039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58,851</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49,822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99,066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128,990</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4,575,400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4,345,484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3,840,595</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215,504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69,393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83,898</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(3,303)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9,868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7,122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(186,149)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(63,301)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(54,403)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794,949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133,812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197,939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181,295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138,067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(139,589)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12,546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19,094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1,024,710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299,004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121,734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292,100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87,300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732,610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211,704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70,434</w:t>
            </w:r>
          </w:p>
        </w:tc>
        <w:tc>
          <w:tcPr>
            <w:tcW w:w="0" w:type="dxa"/>
            <w:vAlign w:val="bottom"/>
          </w:tcPr>
          <w:p>
            <w:pPr>
              <w:spacing w:after="0"/>
              <w:rPr>
                <w:sz w:val="1"/>
                <w:szCs w:val="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724,634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205,288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67,079</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5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164.62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4,372</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163.40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4,405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4,654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0"/>
        </w:trPr>
        <w:tc>
          <w:tcPr>
            <w:tcW w:w="760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480" w:right="2380"/>
        <w:spacing w:after="0" w:line="339" w:lineRule="auto"/>
        <w:rPr>
          <w:sz w:val="20"/>
          <w:szCs w:val="20"/>
          <w:color w:val="auto"/>
        </w:rPr>
      </w:pPr>
      <w:r>
        <w:rPr>
          <w:rFonts w:ascii="Arial" w:cs="Arial" w:eastAsia="Arial" w:hAnsi="Arial"/>
          <w:sz w:val="16"/>
          <w:szCs w:val="16"/>
          <w:color w:val="auto"/>
        </w:rPr>
        <w:t>Translation adjustments arising during the year Adjustment for sale of a business with foreign operations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Actuarial gain (loss)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Prior service credit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prior service (credit) cost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flow hedges gain (loss)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 (Loss)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732,610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211,704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70,434</w:t>
            </w:r>
          </w:p>
        </w:tc>
      </w:tr>
      <w:tr>
        <w:trPr>
          <w:trHeight w:val="688"/>
        </w:trPr>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(24,568)</w:t>
            </w:r>
          </w:p>
        </w:tc>
        <w:tc>
          <w:tcPr>
            <w:tcW w:w="3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21,927</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(48,340)</w:t>
            </w:r>
          </w:p>
        </w:tc>
      </w:tr>
      <w:tr>
        <w:trPr>
          <w:trHeight w:val="233"/>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(25,333)</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21,927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(48,340)</w:t>
            </w:r>
          </w:p>
        </w:tc>
      </w:tr>
      <w:tr>
        <w:trPr>
          <w:trHeight w:val="458"/>
        </w:trPr>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351,322</w:t>
            </w:r>
          </w:p>
        </w:tc>
        <w:tc>
          <w:tcPr>
            <w:tcW w:w="3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380,593</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(727,097)</w:t>
            </w:r>
          </w:p>
        </w:tc>
      </w:tr>
      <w:tr>
        <w:trPr>
          <w:trHeight w:val="229"/>
        </w:trPr>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734</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11,263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(39,742)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(70,833)</w:t>
            </w:r>
          </w:p>
        </w:tc>
      </w:tr>
      <w:tr>
        <w:trPr>
          <w:trHeight w:val="23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(1,951)</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1,641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233"/>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(653,427)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(343,064)</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350,264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(795,066)</w:t>
            </w:r>
          </w:p>
        </w:tc>
      </w:tr>
      <w:tr>
        <w:trPr>
          <w:trHeight w:val="233"/>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w:t>
            </w:r>
          </w:p>
        </w:tc>
      </w:tr>
      <w:tr>
        <w:trPr>
          <w:trHeight w:val="22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(367,005)</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366,561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(838,641)</w:t>
            </w:r>
          </w:p>
        </w:tc>
      </w:tr>
      <w:tr>
        <w:trPr>
          <w:trHeight w:val="233"/>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87,465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(88,375)</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203,404</w:t>
            </w:r>
          </w:p>
        </w:tc>
      </w:tr>
      <w:tr>
        <w:trPr>
          <w:trHeight w:val="223"/>
        </w:trPr>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(279,540)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278,186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(635,237)</w:t>
            </w:r>
          </w:p>
        </w:tc>
      </w:tr>
      <w:tr>
        <w:trPr>
          <w:trHeight w:val="220"/>
        </w:trPr>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453,070</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489,890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(564,803)</w:t>
            </w:r>
          </w:p>
        </w:tc>
      </w:tr>
      <w:tr>
        <w:trPr>
          <w:trHeight w:val="233"/>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r>
      <w:tr>
        <w:trPr>
          <w:trHeight w:val="223"/>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445,094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483,474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(568,158)</w:t>
            </w:r>
          </w:p>
        </w:tc>
      </w:tr>
      <w:tr>
        <w:trPr>
          <w:trHeight w:val="24"/>
        </w:trPr>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594"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260,852</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169,897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37,001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31,994</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858,743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697,028</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514,426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525,087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295,808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297,211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116,472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119,933</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7,714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6,848</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7,608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1,298</w:t>
            </w:r>
          </w:p>
        </w:tc>
        <w:tc>
          <w:tcPr>
            <w:tcW w:w="0" w:type="dxa"/>
            <w:vAlign w:val="bottom"/>
          </w:tcPr>
          <w:p>
            <w:pPr>
              <w:spacing w:after="0"/>
              <w:rPr>
                <w:sz w:val="1"/>
                <w:szCs w:val="1"/>
                <w:color w:val="auto"/>
              </w:rPr>
            </w:pPr>
          </w:p>
        </w:tc>
      </w:tr>
      <w:tr>
        <w:trPr>
          <w:trHeight w:val="212"/>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2,098,624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1,849,296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549,364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560,314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388,419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409,183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169,125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186,480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1,500,036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1,525,194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164,323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187,862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56,696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112,194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2,510,520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2,113,638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8,908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10,578</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231,190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232,991</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7,677,205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7,187,730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vehicle floor plan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712,505</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694,521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390,976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396,754</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11,502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7,406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58,239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64,247</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26,577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66,751</w:t>
            </w:r>
          </w:p>
        </w:tc>
        <w:tc>
          <w:tcPr>
            <w:tcW w:w="0" w:type="dxa"/>
            <w:vAlign w:val="bottom"/>
          </w:tcPr>
          <w:p>
            <w:pPr>
              <w:spacing w:after="0"/>
              <w:rPr>
                <w:sz w:val="1"/>
                <w:szCs w:val="1"/>
                <w:color w:val="auto"/>
              </w:rPr>
            </w:pPr>
          </w:p>
        </w:tc>
      </w:tr>
      <w:tr>
        <w:trPr>
          <w:trHeight w:val="211"/>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1,199,799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1,229,679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136,101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137,275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27,361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32,076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739,260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600,124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159,548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40,764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362,885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376,677</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721,615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745,082</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3,346,569</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3,161,677</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43,821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24,185</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3"/>
        </w:trPr>
        <w:tc>
          <w:tcPr>
            <w:tcW w:w="8820" w:type="dxa"/>
            <w:vAlign w:val="bottom"/>
          </w:tcPr>
          <w:p>
            <w:pPr>
              <w:ind w:left="460"/>
              <w:spacing w:after="0"/>
              <w:rPr>
                <w:sz w:val="20"/>
                <w:szCs w:val="20"/>
                <w:color w:val="auto"/>
              </w:rPr>
            </w:pPr>
            <w:r>
              <w:rPr>
                <w:rFonts w:ascii="Arial" w:cs="Arial" w:eastAsia="Arial" w:hAnsi="Arial"/>
                <w:sz w:val="15"/>
                <w:szCs w:val="15"/>
                <w:color w:val="auto"/>
              </w:rPr>
              <w:t>Class B Common stock, $1 par value; 40,000,000 shares authorized; 19,035,999 shares issued; 3,368,306 and 3,514,809</w:t>
            </w:r>
          </w:p>
        </w:tc>
        <w:tc>
          <w:tcPr>
            <w:tcW w:w="200" w:type="dxa"/>
            <w:vAlign w:val="bottom"/>
          </w:tcPr>
          <w:p>
            <w:pPr>
              <w:spacing w:after="0"/>
              <w:rPr>
                <w:sz w:val="15"/>
                <w:szCs w:val="15"/>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356,919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372,040</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8,031,750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7,337,463</w:t>
            </w: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(58,044)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(32,711)</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393,949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649,185</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(1,108)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(2,137)</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Cost of 15,667,693 and 15,521,190 shares of Class B common stock held in treasury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(4,486,805)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(4,368,103)</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4,256,661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3,975,737</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30,154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26,131</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4,286,815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4,001,868</w:t>
            </w:r>
          </w:p>
        </w:tc>
        <w:tc>
          <w:tcPr>
            <w:tcW w:w="0" w:type="dxa"/>
            <w:vAlign w:val="bottom"/>
          </w:tcPr>
          <w:p>
            <w:pPr>
              <w:spacing w:after="0"/>
              <w:rPr>
                <w:sz w:val="1"/>
                <w:szCs w:val="1"/>
                <w:color w:val="auto"/>
              </w:rPr>
            </w:pPr>
          </w:p>
        </w:tc>
      </w:tr>
      <w:tr>
        <w:trPr>
          <w:trHeight w:val="210"/>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7,677,205</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7,187,730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121"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121"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732,610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211,704</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70,434</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impairments</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173,987</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235,169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261,138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63,253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67,734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67,568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settlement gain and early retirement and separation program costs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(740,152)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(101,398)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(166,611)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loss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(179,024)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(140,671)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134,011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 and provision for other receivables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3,591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6,045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2,958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 of forfeitures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6,326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6,712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Accretion expense and change in fair value of contingent consideration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(6,593)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(5,105)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(gain) loss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(5,415)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1,141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on disposition of businesses, property, plant and equipment, investments and other assets,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(7,674)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(11,811)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(24,220)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losses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18,844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20,751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13,503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Provision for (benefit from) deferred income taxes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227,400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43,765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(3,844)</w:t>
            </w: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11,317</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8,231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45,518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8,297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(62,873)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(64,324)</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13,910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24,695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(33,588)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6,435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38,497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18,219</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3,217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6,152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6,766</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(62,516)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(71,471)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(78,471)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130,681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(12,166)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(21,275)</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1,786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(3,738)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4,783</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406,988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259,875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235,604</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(82,912)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(93,447)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(82,684)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23,524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61,979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102,040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sales of businesses, property, plant and equipment, investments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8,387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4,294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5,057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(5,000)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(6,162)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(40,518)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(4,554)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(14,050)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(38,894)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(4,118)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(78,149)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(130,106)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Loan to related party</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(2,000)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4,343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2,560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1,039</w:t>
            </w:r>
          </w:p>
        </w:tc>
        <w:tc>
          <w:tcPr>
            <w:tcW w:w="0" w:type="dxa"/>
            <w:vAlign w:val="bottom"/>
          </w:tcPr>
          <w:p>
            <w:pPr>
              <w:spacing w:after="0"/>
              <w:rPr>
                <w:sz w:val="1"/>
                <w:szCs w:val="1"/>
                <w:color w:val="auto"/>
              </w:rPr>
            </w:pPr>
          </w:p>
        </w:tc>
      </w:tr>
      <w:tr>
        <w:trPr>
          <w:trHeight w:val="209"/>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(62,330)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(152,975)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(184,066)</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(114,101)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(193,160)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(71,386)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(payments) borrowings under revolving credit facilities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(35,756)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(104,244)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(30,347)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(30,953)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(30,712)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(29,026)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(121,744)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(14,484)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Principal payments of finance leases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(13,425)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(4,814)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Distributions paid to noncontrolling interests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(6,116)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(5,306)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(2,978)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Deferred payments of acquisitions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(5,390)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(5,328)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(5,731)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(1,985)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(4,988)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(1,200)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1,389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293,387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77,299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604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3,931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4,918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(repayments of) proceeds from vehicle floor plan 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(416)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73,732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26,230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3,200</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(6,398)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(240,967)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(99,835)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(18,107)</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(7,729)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4,394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95,962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11,459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31,589</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201,891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190,432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158,843</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297,853</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201,891</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190,432</w:t>
            </w:r>
          </w:p>
        </w:tc>
        <w:tc>
          <w:tcPr>
            <w:tcW w:w="0" w:type="dxa"/>
            <w:vAlign w:val="bottom"/>
          </w:tcPr>
          <w:p>
            <w:pPr>
              <w:spacing w:after="0"/>
              <w:rPr>
                <w:sz w:val="1"/>
                <w:szCs w:val="1"/>
                <w:color w:val="auto"/>
              </w:rPr>
            </w:pPr>
          </w:p>
        </w:tc>
      </w:tr>
      <w:tr>
        <w:trPr>
          <w:trHeight w:val="21"/>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39,000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48,000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69,000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51,000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37,000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93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932"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9"/>
              </w:rPr>
              <w:t>Class A</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10"/>
                <w:szCs w:val="10"/>
                <w:color w:val="auto"/>
              </w:rPr>
            </w:pPr>
          </w:p>
        </w:tc>
        <w:tc>
          <w:tcPr>
            <w:tcW w:w="860" w:type="dxa"/>
            <w:vAlign w:val="bottom"/>
          </w:tcPr>
          <w:p>
            <w:pPr>
              <w:jc w:val="center"/>
              <w:ind w:right="77"/>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760" w:type="dxa"/>
            <w:vAlign w:val="bottom"/>
            <w:vMerge w:val="restart"/>
          </w:tcPr>
          <w:p>
            <w:pPr>
              <w:jc w:val="right"/>
              <w:ind w:right="175"/>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3"/>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14"/>
              <w:spacing w:after="0" w:line="122"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6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40" w:type="dxa"/>
            <w:vAlign w:val="bottom"/>
          </w:tcPr>
          <w:p>
            <w:pPr>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34"/>
              <w:spacing w:after="0" w:line="108"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3"/>
              </w:rPr>
              <w:t>Stock</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Par Value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8"/>
              </w:rPr>
              <w:t>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Interest</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$ 19,036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389,456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7,126,761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971,388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(4,108,022)</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12,086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4,411,669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14,311</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70,434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70,434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3,900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3,900</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512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Sale of equity in subsidiary</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3,054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(3,384)</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3,384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(6,027)</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(5,780)</w:t>
            </w:r>
          </w:p>
        </w:tc>
        <w:tc>
          <w:tcPr>
            <w:tcW w:w="14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6,281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(1,905)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(30,712)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(30,712)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(71,386)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(71,386)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(733)</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341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7,596</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7,596</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(635,237)</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(635,237)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390,438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7,163,128</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336,151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(4,178,334)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21,278</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3,752,661</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21,827</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211,704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211,704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3,520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3,520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Purchase of equity from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(5,742)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(4,988)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(3,512)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(2,904)</w:t>
            </w:r>
          </w:p>
        </w:tc>
        <w:tc>
          <w:tcPr>
            <w:tcW w:w="14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2,904</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(15,441)</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(14,923)</w:t>
            </w:r>
          </w:p>
        </w:tc>
        <w:tc>
          <w:tcPr>
            <w:tcW w:w="14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15,660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(3,451)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(3,451)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(30,953)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(30,953)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(195,002)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(195,002)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(4,110)</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5,233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1,123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6,895</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6,895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278,186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278,186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(14,965)</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372,040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7,337,463</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614,337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(4,368,103)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26,131</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4,001,868</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732,610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732,610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400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400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(4,799)</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4,799</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(3,177)</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(3,177)</w:t>
            </w:r>
          </w:p>
        </w:tc>
        <w:tc>
          <w:tcPr>
            <w:tcW w:w="14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3,177</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(20,987)</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1,493</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(19,494)</w:t>
            </w:r>
          </w:p>
        </w:tc>
        <w:tc>
          <w:tcPr>
            <w:tcW w:w="14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21,176</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(2,669)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(2,669)</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(2,732)</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(30,347)</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(30,347)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(115,186)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(115,186)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(769)</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460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(3,976)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(3,976)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6,635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6,635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b w:val="1"/>
                <w:bCs w:val="1"/>
                <w:color w:val="auto"/>
              </w:rPr>
              <w:t>(279,540)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(279,540)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Purchase of redeemable noncontrolling interest</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(1,985)</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356,919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8,031,750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rPr>
              <w:t>334,797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(4,486,805)</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30,154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4,286,815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43,821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5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Kaplan’s educational services include academic preparation programs</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for international students; English-language programs; operations support services for pre-college, certificate, undergraduate and graduate programs; exam preparation for high school and graduate students and for professional certifications and licensures; career and academic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advisement services to businesses; and a United Kingdom (U.K.) sixth-form college that prepares students for A-level examinations.</w:t>
      </w:r>
    </w:p>
    <w:p>
      <w:pPr>
        <w:spacing w:after="0" w:line="14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manufacturing companies include a supplier of pressure-treated wood, a manufacturer of electrical solutions, a manufacturer of lifting solutions, and a supplier of parts used in electric utilities and industrial systems.</w:t>
      </w:r>
    </w:p>
    <w:p>
      <w:pPr>
        <w:spacing w:after="0" w:line="8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30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 online commerce platform featuring original art and designs on an array of consumer products; and an owner and operator of websites.</w:t>
      </w:r>
    </w:p>
    <w:p>
      <w:pPr>
        <w:spacing w:after="0" w:line="127"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5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U.S. and include the assets, liabilities, results of operations and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cash flows of the Company and its majority-owned and controlled subsidiaries. All significant intercompany accounts and transactions have been eliminated in consolidation.</w:t>
      </w:r>
    </w:p>
    <w:p>
      <w:pPr>
        <w:spacing w:after="0" w:line="104"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that affect the amounts reported in the financial statements. Management bases its estimates and assumptions on historical</w:t>
      </w:r>
    </w:p>
    <w:p>
      <w:pPr>
        <w:spacing w:after="0" w:line="226" w:lineRule="auto"/>
        <w:rPr>
          <w:sz w:val="20"/>
          <w:szCs w:val="20"/>
          <w:color w:val="auto"/>
        </w:rPr>
      </w:pPr>
      <w:r>
        <w:rPr>
          <w:rFonts w:ascii="Arial" w:cs="Arial" w:eastAsia="Arial" w:hAnsi="Arial"/>
          <w:sz w:val="18"/>
          <w:szCs w:val="18"/>
          <w:color w:val="auto"/>
        </w:rPr>
        <w:t>experience and on various other factors that are believed to be reasonable under the circumstances. Due to the inherent uncertainty involved in making estimates, actual results reported in future periods may be affected by changes in those estimates. On an ongoing basis,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evaluates its estimates and assumptions.</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w:t>
      </w:r>
    </w:p>
    <w:p>
      <w:pPr>
        <w:spacing w:after="0" w:line="235" w:lineRule="auto"/>
        <w:rPr>
          <w:sz w:val="20"/>
          <w:szCs w:val="20"/>
          <w:color w:val="auto"/>
        </w:rPr>
      </w:pPr>
      <w:r>
        <w:rPr>
          <w:rFonts w:ascii="Arial" w:cs="Arial" w:eastAsia="Arial" w:hAnsi="Arial"/>
          <w:sz w:val="18"/>
          <w:szCs w:val="18"/>
          <w:color w:val="auto"/>
        </w:rPr>
        <w:t>cost of an acquired entity over the net of the amounts assigned to the assets acquired and liabilities assumed is recognized as goodwill. The</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net assets and results of operations of an acquired entity are included in the Company’s Consolidated Financial Statements from the acquisition date.</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 funds to ensure these funds are only used for the benefit of eligible students.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strength of significant customers, and this assessment, combined with the large number and geographical diversity of its customers, limits the Company’s concentration of risk with respect to receivables from contracts with customers.</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receivables. The current expected credit losses are estimated based on historical write-offs, current macroeconomic</w:t>
      </w:r>
    </w:p>
    <w:p>
      <w:pPr>
        <w:spacing w:after="0"/>
        <w:rPr>
          <w:sz w:val="20"/>
          <w:szCs w:val="20"/>
          <w:color w:val="auto"/>
        </w:rPr>
      </w:pPr>
      <w:r>
        <w:rPr>
          <w:rFonts w:ascii="Arial" w:cs="Arial" w:eastAsia="Arial" w:hAnsi="Arial"/>
          <w:sz w:val="17"/>
          <w:szCs w:val="17"/>
          <w:color w:val="auto"/>
        </w:rPr>
        <w:t>conditions and reasonable and supportable forecasts of future economic conditions. Reserves are also established against specific receivables based on aging category, historical collection experience and management’s evaluation of the financial condition of the customer.</w:t>
      </w:r>
    </w:p>
    <w:p>
      <w:pPr>
        <w:spacing w:after="0" w:line="235" w:lineRule="auto"/>
        <w:rPr>
          <w:sz w:val="20"/>
          <w:szCs w:val="20"/>
          <w:color w:val="auto"/>
        </w:rPr>
      </w:pPr>
      <w:r>
        <w:rPr>
          <w:rFonts w:ascii="Arial" w:cs="Arial" w:eastAsia="Arial" w:hAnsi="Arial"/>
          <w:sz w:val="18"/>
          <w:szCs w:val="18"/>
          <w:color w:val="auto"/>
        </w:rPr>
        <w:t>The Company generally considers an account past due or delinquent when a student or customer misses a scheduled payment. The</w:t>
      </w:r>
    </w:p>
    <w:p>
      <w:pPr>
        <w:ind w:right="300"/>
        <w:spacing w:after="0" w:line="237" w:lineRule="auto"/>
        <w:rPr>
          <w:sz w:val="20"/>
          <w:szCs w:val="20"/>
          <w:color w:val="auto"/>
        </w:rPr>
      </w:pPr>
      <w:r>
        <w:rPr>
          <w:rFonts w:ascii="Arial" w:cs="Arial" w:eastAsia="Arial" w:hAnsi="Arial"/>
          <w:sz w:val="18"/>
          <w:szCs w:val="18"/>
          <w:color w:val="auto"/>
        </w:rPr>
        <w:t>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w:t>
      </w:r>
    </w:p>
    <w:p>
      <w:pPr>
        <w:spacing w:after="0" w:line="235"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w:t>
      </w:r>
    </w:p>
    <w:p>
      <w:pPr>
        <w:ind w:right="120"/>
        <w:spacing w:after="0"/>
        <w:rPr>
          <w:sz w:val="20"/>
          <w:szCs w:val="20"/>
          <w:color w:val="auto"/>
        </w:rPr>
      </w:pPr>
      <w:r>
        <w:rPr>
          <w:rFonts w:ascii="Arial" w:cs="Arial" w:eastAsia="Arial" w:hAnsi="Arial"/>
          <w:sz w:val="17"/>
          <w:szCs w:val="17"/>
          <w:color w:val="auto"/>
        </w:rPr>
        <w:t>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measurements requires judgment and may affect the valuation of the assets and liabilities being measured and their placement within the fair value hierarchy.</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inputs are primarily valued by reference to quoted prices of similar assets or liabilities in active markets, adjusted for any terms specific to that asset or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assets—including goodwill; intangible assets; property, plant and equipment; lease right-of-use (ROU)</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assets; cost and equity-method investments—at fair value on a nonrecurring basis when they are deemed to be impaired. The fair value of these assets is determined with valuation techniques using the best information available and may include quoted market prices,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comparables and discounted cash flow models.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w:t>
      </w:r>
    </w:p>
    <w:p>
      <w:pPr>
        <w:spacing w:after="0" w:line="235" w:lineRule="auto"/>
        <w:rPr>
          <w:sz w:val="20"/>
          <w:szCs w:val="20"/>
          <w:color w:val="auto"/>
        </w:rPr>
      </w:pPr>
      <w:r>
        <w:rPr>
          <w:rFonts w:ascii="Arial" w:cs="Arial" w:eastAsia="Arial" w:hAnsi="Arial"/>
          <w:sz w:val="18"/>
          <w:szCs w:val="18"/>
          <w:color w:val="auto"/>
        </w:rPr>
        <w:t>the current portion of debt approximate fair value because of the short-term nature of these financial instruments. The fair value of long-term</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debt is determined based on a number of observable inputs, including the current market activity of the Company’s publicly traded notes, trends in investor demands and market values of comparable publicly traded debt. The fair value of interest rate hedges is determined based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a number of observable inputs, including time to maturity and market interest rates.</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based on the first-in, first-out (FIFO) method. Inventory costs include direct material, direct and indirect labor, and applicable</w:t>
      </w:r>
    </w:p>
    <w:p>
      <w:pPr>
        <w:spacing w:after="0" w:line="235" w:lineRule="auto"/>
        <w:rPr>
          <w:sz w:val="20"/>
          <w:szCs w:val="20"/>
          <w:color w:val="auto"/>
        </w:rPr>
      </w:pPr>
      <w:r>
        <w:rPr>
          <w:rFonts w:ascii="Arial" w:cs="Arial" w:eastAsia="Arial" w:hAnsi="Arial"/>
          <w:sz w:val="18"/>
          <w:szCs w:val="18"/>
          <w:color w:val="auto"/>
        </w:rPr>
        <w:t>manufacturing overhead. The Company allocates manufacturing overhead based on normal production capacity and recognizes unabsorbed</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manufacturing costs in earnings. The provision for excess and obsolete inventory is based on management’s evaluation of inventories on hand relative to historical usage, estimated future usage and technological developments.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equipment added, reconditioning and transportation. In certain instances, vehicle manufacturers provide incentives, which are reflected as a reduction in the carrying value of each vehicle purchased.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is recorded at cost and includes interest capitalized in connection with major</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machinery and equipment; 20 to 50 years for buildings. The costs of leasehold improvements are amortized over the lesser of their useful lives or the terms of the respective leases.</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not to be</w:t>
      </w:r>
    </w:p>
    <w:p>
      <w:pPr>
        <w:ind w:right="20"/>
        <w:spacing w:after="0" w:line="226" w:lineRule="auto"/>
        <w:rPr>
          <w:sz w:val="20"/>
          <w:szCs w:val="20"/>
          <w:color w:val="auto"/>
        </w:rPr>
      </w:pPr>
      <w:r>
        <w:rPr>
          <w:rFonts w:ascii="Arial" w:cs="Arial" w:eastAsia="Arial" w:hAnsi="Arial"/>
          <w:sz w:val="18"/>
          <w:szCs w:val="18"/>
          <w:color w:val="auto"/>
        </w:rPr>
        <w:t>recoverable when the undiscounted estimated future cash flows are less than the asset’s recorded value. An impairment charge is measured based on estimated fair market value, determined primarily using estimated future cash flows on a discounted basis. Losses on long-lived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to be disposed of are determined in a similar manner, but the fair market value would be reduced for estimated costs to dispose.</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franchise agreements, trade names and trademarks and</w:t>
      </w:r>
    </w:p>
    <w:p>
      <w:pPr>
        <w:spacing w:after="0" w:line="235" w:lineRule="auto"/>
        <w:rPr>
          <w:sz w:val="20"/>
          <w:szCs w:val="20"/>
          <w:color w:val="auto"/>
        </w:rPr>
      </w:pPr>
      <w:r>
        <w:rPr>
          <w:rFonts w:ascii="Arial" w:cs="Arial" w:eastAsia="Arial" w:hAnsi="Arial"/>
          <w:sz w:val="18"/>
          <w:szCs w:val="18"/>
          <w:color w:val="auto"/>
        </w:rPr>
        <w:t>Federal Communications Commission (FCC) licenses. Amortized intangible assets are primarily student and customer relationships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trade names and trademarks, with amortization periods up to 10 years. Costs associated with renewing or extending intangible assets are insignificant and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and indefinite-lived intangible assets are reviewed for possible impairment between annual tests if an event occurs or circumstances change that would more likely than not reduce the fair value of the reporting unit or indefinite-lived intangible asset below its carrying value. The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w:t>
      </w:r>
    </w:p>
    <w:p>
      <w:pPr>
        <w:spacing w:after="0" w:line="235" w:lineRule="auto"/>
        <w:rPr>
          <w:sz w:val="20"/>
          <w:szCs w:val="20"/>
          <w:color w:val="auto"/>
        </w:rPr>
      </w:pPr>
      <w:r>
        <w:rPr>
          <w:rFonts w:ascii="Arial" w:cs="Arial" w:eastAsia="Arial" w:hAnsi="Arial"/>
          <w:sz w:val="18"/>
          <w:szCs w:val="18"/>
          <w:color w:val="auto"/>
        </w:rPr>
        <w:t>impairment review. The Company reviews the goodwill and indefinite-lived assets for impairment using the quantitative process if, based on</w:t>
      </w:r>
    </w:p>
    <w:p>
      <w:pPr>
        <w:ind w:right="260"/>
        <w:spacing w:after="0"/>
        <w:rPr>
          <w:sz w:val="20"/>
          <w:szCs w:val="20"/>
          <w:color w:val="auto"/>
        </w:rPr>
      </w:pPr>
      <w:r>
        <w:rPr>
          <w:rFonts w:ascii="Arial" w:cs="Arial" w:eastAsia="Arial" w:hAnsi="Arial"/>
          <w:sz w:val="17"/>
          <w:szCs w:val="17"/>
          <w:color w:val="auto"/>
        </w:rPr>
        <w:t>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w:t>
      </w:r>
    </w:p>
    <w:p>
      <w:pPr>
        <w:spacing w:after="0" w:line="235" w:lineRule="auto"/>
        <w:rPr>
          <w:sz w:val="20"/>
          <w:szCs w:val="20"/>
          <w:color w:val="auto"/>
        </w:rPr>
      </w:pPr>
      <w:r>
        <w:rPr>
          <w:rFonts w:ascii="Arial" w:cs="Arial" w:eastAsia="Arial" w:hAnsi="Arial"/>
          <w:sz w:val="18"/>
          <w:szCs w:val="18"/>
          <w:color w:val="auto"/>
        </w:rPr>
        <w:t>flow model, and, where appropriate, a market value approach is also utilized to supplement the discounted cash flow model, to determine the</w:t>
      </w:r>
    </w:p>
    <w:p>
      <w:pPr>
        <w:ind w:right="80"/>
        <w:spacing w:after="0" w:line="226" w:lineRule="auto"/>
        <w:rPr>
          <w:sz w:val="20"/>
          <w:szCs w:val="20"/>
          <w:color w:val="auto"/>
        </w:rPr>
      </w:pPr>
      <w:r>
        <w:rPr>
          <w:rFonts w:ascii="Arial" w:cs="Arial" w:eastAsia="Arial" w:hAnsi="Arial"/>
          <w:sz w:val="18"/>
          <w:szCs w:val="18"/>
          <w:color w:val="auto"/>
        </w:rPr>
        <w:t>estimated fair value of its reporting units and indefinite-lived intangible assets. The Company makes assumptions regarding estimated future cash flows, discount rates, long-term growth rates and market values to determine the estimated fair value of each reporting unit and</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indefinite-lived intangible asset. If these estimates or related assumptions change in the future, the Company may be required to record impairment charges.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The Company uses the equity method of accounting for its investments in and earnings or losses of affiliates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it does not control, but over which it exerts significant influence. Significant influence is generally deemed to exist if the Company has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ownership interest in the voting stock of an investee between 20% and 50%. The Company also uses the equity method of accounting for its investments in a partnership or limited liability company with specific ownership accounts, if the Company has an ownership interest of 3% or</w:t>
      </w:r>
    </w:p>
    <w:p>
      <w:pPr>
        <w:spacing w:after="0" w:line="236" w:lineRule="auto"/>
        <w:rPr>
          <w:sz w:val="20"/>
          <w:szCs w:val="20"/>
          <w:color w:val="auto"/>
        </w:rPr>
      </w:pPr>
      <w:r>
        <w:rPr>
          <w:rFonts w:ascii="Arial" w:cs="Arial" w:eastAsia="Arial" w:hAnsi="Arial"/>
          <w:sz w:val="18"/>
          <w:szCs w:val="18"/>
          <w:color w:val="auto"/>
        </w:rPr>
        <w:t>more. The Company considers whether the fair values of any of its equity method investments have declined below their carrying values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whenever adverse events or changes in circumstances indicate that recorded values may not be recoverable. If the Company considered any such decline to be other than temporary (based on various factors, including historical financial results, product development activities</w:t>
      </w:r>
    </w:p>
    <w:p>
      <w:pPr>
        <w:spacing w:after="0" w:line="235" w:lineRule="auto"/>
        <w:rPr>
          <w:sz w:val="20"/>
          <w:szCs w:val="20"/>
          <w:color w:val="auto"/>
        </w:rPr>
      </w:pPr>
      <w:r>
        <w:rPr>
          <w:rFonts w:ascii="Arial" w:cs="Arial" w:eastAsia="Arial" w:hAnsi="Arial"/>
          <w:sz w:val="18"/>
          <w:szCs w:val="18"/>
          <w:color w:val="auto"/>
        </w:rPr>
        <w:t>and the overall health of the affiliate’s industry), a write-down would be recorded to estimated fair value. The Company records its share of</w:t>
      </w:r>
    </w:p>
    <w:p>
      <w:pPr>
        <w:ind w:right="400"/>
        <w:spacing w:after="0" w:line="237" w:lineRule="auto"/>
        <w:rPr>
          <w:sz w:val="20"/>
          <w:szCs w:val="20"/>
          <w:color w:val="auto"/>
        </w:rPr>
      </w:pPr>
      <w:r>
        <w:rPr>
          <w:rFonts w:ascii="Arial" w:cs="Arial" w:eastAsia="Arial" w:hAnsi="Arial"/>
          <w:sz w:val="18"/>
          <w:szCs w:val="18"/>
          <w:color w:val="auto"/>
        </w:rPr>
        <w:t>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identifies a contract for revenue recognition when there is approval and commitment from both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the rights of the parties and payment terms are identified, the contract has commercial substance and the collectability of consideration is probable. The Company evaluates each contract to determine the number of distinct performance obligations in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requires the use of judgment.</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Education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Education revenue is primarily derived from postsecondary education and supplementary education services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domestically and abroad. Generally, tuition and other fees are paid upfront and recorded in deferred revenue in advance of the date</w:t>
      </w:r>
    </w:p>
    <w:p>
      <w:pPr>
        <w:spacing w:after="0" w:line="235" w:lineRule="auto"/>
        <w:rPr>
          <w:sz w:val="20"/>
          <w:szCs w:val="20"/>
          <w:color w:val="auto"/>
        </w:rPr>
      </w:pPr>
      <w:r>
        <w:rPr>
          <w:rFonts w:ascii="Arial" w:cs="Arial" w:eastAsia="Arial" w:hAnsi="Arial"/>
          <w:sz w:val="18"/>
          <w:szCs w:val="18"/>
          <w:color w:val="auto"/>
        </w:rPr>
        <w:t>when education services are provided to the student. In some instances, installment billing is available to students, which reduces the</w:t>
      </w:r>
    </w:p>
    <w:p>
      <w:pPr>
        <w:ind w:right="720"/>
        <w:spacing w:after="0"/>
        <w:rPr>
          <w:sz w:val="20"/>
          <w:szCs w:val="20"/>
          <w:color w:val="auto"/>
        </w:rPr>
      </w:pPr>
      <w:r>
        <w:rPr>
          <w:rFonts w:ascii="Arial" w:cs="Arial" w:eastAsia="Arial" w:hAnsi="Arial"/>
          <w:sz w:val="17"/>
          <w:szCs w:val="17"/>
          <w:color w:val="auto"/>
        </w:rPr>
        <w:t>amount of cash consideration received in advance of performing the service. The contractual terms and conditions associated with installment billing indicate that the student is liable for the total contract price, therefore mitigating the Company’s exposure to losses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nonpayment. The Company determined the installment billing does not represent a significant financing component.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students primarily in the U.K., Singapore, and Australia. Some Kaplan International contracts consist of one performance obligation that is a combination of indistinct promises to the student, while other Kaplan International contracts include multiple performance obligations, as the</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w:t>
      </w:r>
    </w:p>
    <w:p>
      <w:pPr>
        <w:ind w:right="680"/>
        <w:spacing w:after="0" w:line="263" w:lineRule="auto"/>
        <w:rPr>
          <w:sz w:val="20"/>
          <w:szCs w:val="20"/>
          <w:color w:val="auto"/>
        </w:rPr>
      </w:pPr>
      <w:r>
        <w:rPr>
          <w:rFonts w:ascii="Arial" w:cs="Arial" w:eastAsia="Arial" w:hAnsi="Arial"/>
          <w:sz w:val="17"/>
          <w:szCs w:val="17"/>
          <w:color w:val="auto"/>
        </w:rPr>
        <w:t>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services. Kaplan International generally uses the time elapsed method, an input measure, as it best depicts the simultaneous consumption and delivery of these services. Course materials determined to be a separate performance obligation are recognized at the point in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when control transfers to the student, generally when the products are delivered to the student.</w:t>
      </w:r>
    </w:p>
    <w:p>
      <w:pPr>
        <w:spacing w:after="0" w:line="14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One Kaplan International business has a contract with a customer consisting of two performance obligations which consisted entirely of variable consideration at contract inception. The Company allocates revenue to each performance obligation based on the expected cost</w:t>
      </w:r>
    </w:p>
    <w:p>
      <w:pPr>
        <w:spacing w:after="0" w:line="235" w:lineRule="auto"/>
        <w:rPr>
          <w:sz w:val="20"/>
          <w:szCs w:val="20"/>
          <w:color w:val="auto"/>
        </w:rPr>
      </w:pPr>
      <w:r>
        <w:rPr>
          <w:rFonts w:ascii="Arial" w:cs="Arial" w:eastAsia="Arial" w:hAnsi="Arial"/>
          <w:sz w:val="18"/>
          <w:szCs w:val="18"/>
          <w:color w:val="auto"/>
        </w:rPr>
        <w:t>plus a margin. The margin was determined by a market assessment performed at contract inception. Revenue is recognized over time, using</w:t>
      </w:r>
    </w:p>
    <w:p>
      <w:pPr>
        <w:spacing w:after="0" w:line="1"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107"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i w:val="1"/>
          <w:iCs w:val="1"/>
          <w:color w:val="auto"/>
        </w:rPr>
        <w:t>Kaplan Higher Education (KHE)</w:t>
      </w:r>
      <w:r>
        <w:rPr>
          <w:rFonts w:ascii="Arial" w:cs="Arial" w:eastAsia="Arial" w:hAnsi="Arial"/>
          <w:sz w:val="17"/>
          <w:szCs w:val="17"/>
          <w:color w:val="auto"/>
        </w:rPr>
        <w:t>. KHE primarily provides non-academic operations support services to Purdue University Global (Purdue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pursuant to a Transition and Operations Support Agreement (TOSA). This contract has a 30-year term and consists of one</w:t>
      </w:r>
    </w:p>
    <w:p>
      <w:pPr>
        <w:spacing w:after="0" w:line="235" w:lineRule="auto"/>
        <w:rPr>
          <w:sz w:val="20"/>
          <w:szCs w:val="20"/>
          <w:color w:val="auto"/>
        </w:rPr>
      </w:pPr>
      <w:r>
        <w:rPr>
          <w:rFonts w:ascii="Arial" w:cs="Arial" w:eastAsia="Arial" w:hAnsi="Arial"/>
          <w:sz w:val="18"/>
          <w:szCs w:val="18"/>
          <w:color w:val="auto"/>
        </w:rPr>
        <w:t>performance obligation, which represents a series of daily promises to provide support services to Purdue Global. The transaction price is</w:t>
      </w:r>
    </w:p>
    <w:p>
      <w:pPr>
        <w:ind w:right="600"/>
        <w:spacing w:after="0"/>
        <w:rPr>
          <w:sz w:val="20"/>
          <w:szCs w:val="20"/>
          <w:color w:val="auto"/>
        </w:rPr>
      </w:pPr>
      <w:r>
        <w:rPr>
          <w:rFonts w:ascii="Arial" w:cs="Arial" w:eastAsia="Arial" w:hAnsi="Arial"/>
          <w:sz w:val="17"/>
          <w:szCs w:val="17"/>
          <w:color w:val="auto"/>
        </w:rPr>
        <w:t>entirely made up of variable consideration related to the reimbursement of KHE support costs and the KHE fee. The TOSA outlines a payment structure, which dictates how cash will be distributed at the end of Purdue Global’s fiscal year, which is the 30th of June. The</w:t>
      </w:r>
    </w:p>
    <w:p>
      <w:pPr>
        <w:spacing w:after="0" w:line="235" w:lineRule="auto"/>
        <w:rPr>
          <w:sz w:val="20"/>
          <w:szCs w:val="20"/>
          <w:color w:val="auto"/>
        </w:rPr>
      </w:pPr>
      <w:r>
        <w:rPr>
          <w:rFonts w:ascii="Arial" w:cs="Arial" w:eastAsia="Arial" w:hAnsi="Arial"/>
          <w:sz w:val="18"/>
          <w:szCs w:val="18"/>
          <w:color w:val="auto"/>
        </w:rPr>
        <w:t>collectability of the KHE support costs and KHE fee is entirely dependent on the availability of cash at the end of the fiscal year. This variable</w:t>
      </w:r>
    </w:p>
    <w:p>
      <w:pPr>
        <w:spacing w:after="0"/>
        <w:rPr>
          <w:sz w:val="20"/>
          <w:szCs w:val="20"/>
          <w:color w:val="auto"/>
        </w:rPr>
      </w:pPr>
      <w:r>
        <w:rPr>
          <w:rFonts w:ascii="Arial" w:cs="Arial" w:eastAsia="Arial" w:hAnsi="Arial"/>
          <w:sz w:val="17"/>
          <w:szCs w:val="17"/>
          <w:color w:val="auto"/>
        </w:rPr>
        <w:t>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a series, the variable consideration is allocated to the distinct service period to which it relates, which is the Purdue Global fiscal year.</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expected to be collected for the fiscal year. The Company used these input measures as Purdue Global simultaneously receives and consumes the benefits of the services provided by KHE.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i w:val="1"/>
          <w:iCs w:val="1"/>
          <w:color w:val="auto"/>
        </w:rPr>
        <w:t>Kaplan Supplemental Education</w:t>
      </w:r>
      <w:r>
        <w:rPr>
          <w:rFonts w:ascii="Arial" w:cs="Arial" w:eastAsia="Arial" w:hAnsi="Arial"/>
          <w:sz w:val="17"/>
          <w:szCs w:val="17"/>
          <w:color w:val="auto"/>
        </w:rPr>
        <w:t>. Supplemental Education offers test preparation services and materials to students, as well as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exam preparation for professional certifications and licensures to students. Generally, Supplemental Education contracts consist</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of multiple performance obligations, as promises for these services are distinct within the context of the contract. The transaction price is stated in the contract and known at the time of contract inception, therefore no variable consideration exists. Revenue is allocated to each</w:t>
      </w:r>
    </w:p>
    <w:p>
      <w:pPr>
        <w:spacing w:after="0" w:line="236" w:lineRule="auto"/>
        <w:rPr>
          <w:sz w:val="20"/>
          <w:szCs w:val="20"/>
          <w:color w:val="auto"/>
        </w:rPr>
      </w:pPr>
      <w:r>
        <w:rPr>
          <w:rFonts w:ascii="Arial" w:cs="Arial" w:eastAsia="Arial" w:hAnsi="Arial"/>
          <w:sz w:val="18"/>
          <w:szCs w:val="18"/>
          <w:color w:val="auto"/>
        </w:rPr>
        <w:t>performance obligation based on its standalone selling price. Supplemental Education generally determines standalone selling prices based</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services revenue is recognized ratably over the period of access to the education materials. An estimate of the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average access period is developed for each course, and this estimate is evaluated on an ongoing basis and adjusted as necessary. The time elapsed method, an input measure, is used as it best depicts the simultaneous consumption and availability of access to the services.</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Revenue associated with distinct course materials is recognized at the point in time when control transfers to the student, generally when products are delivered to the student.</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ind w:right="280"/>
        <w:spacing w:after="0" w:line="271"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86"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w:t>
      </w:r>
    </w:p>
    <w:p>
      <w:pPr>
        <w:ind w:right="220"/>
        <w:spacing w:after="0" w:line="226" w:lineRule="auto"/>
        <w:rPr>
          <w:sz w:val="20"/>
          <w:szCs w:val="20"/>
          <w:color w:val="auto"/>
        </w:rPr>
      </w:pPr>
      <w:r>
        <w:rPr>
          <w:rFonts w:ascii="Arial" w:cs="Arial" w:eastAsia="Arial" w:hAnsi="Arial"/>
          <w:sz w:val="18"/>
          <w:szCs w:val="18"/>
          <w:color w:val="auto"/>
        </w:rPr>
        <w:t>output method, as GMG has the right to consideration that equals the value provided to the customer for advertisements delivered to date. As a result of the election to use the right to invoice practical expedient, GMG does not determine the transaction price or allocate any</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variable consideration at contract inception. Rather, GMG recognizes revenue commensurate with the amount to which it has the right to invoice the customer. Payment is typically received in arrears within 60 days of revenue recognition.</w:t>
      </w:r>
    </w:p>
    <w:p>
      <w:pPr>
        <w:spacing w:after="0" w:line="10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their designated market areas. The retransmission rights</w:t>
      </w:r>
    </w:p>
    <w:p>
      <w:pPr>
        <w:ind w:right="560"/>
        <w:spacing w:after="0"/>
        <w:rPr>
          <w:sz w:val="20"/>
          <w:szCs w:val="20"/>
          <w:color w:val="auto"/>
        </w:rPr>
      </w:pPr>
      <w:r>
        <w:rPr>
          <w:rFonts w:ascii="Arial" w:cs="Arial" w:eastAsia="Arial" w:hAnsi="Arial"/>
          <w:sz w:val="17"/>
          <w:szCs w:val="17"/>
          <w:color w:val="auto"/>
        </w:rPr>
        <w:t>granted to MVPDs are accounted for as a license of functional intellectual property, as the retransmitted broadcast provides significant standalone functionality. As such, each retransmission contract with an MVPD includes one performance obligation for each station’s</w:t>
      </w:r>
    </w:p>
    <w:p>
      <w:pPr>
        <w:spacing w:after="0" w:line="235" w:lineRule="auto"/>
        <w:rPr>
          <w:sz w:val="20"/>
          <w:szCs w:val="20"/>
          <w:color w:val="auto"/>
        </w:rPr>
      </w:pPr>
      <w:r>
        <w:rPr>
          <w:rFonts w:ascii="Arial" w:cs="Arial" w:eastAsia="Arial" w:hAnsi="Arial"/>
          <w:sz w:val="18"/>
          <w:szCs w:val="18"/>
          <w:color w:val="auto"/>
        </w:rPr>
        <w:t>retransmission license. GMG recognizes revenue using the usage-based royalty method, in which revenue is recognized in the month the</w:t>
      </w:r>
    </w:p>
    <w:p>
      <w:pPr>
        <w:ind w:right="580"/>
        <w:spacing w:after="0" w:line="237" w:lineRule="auto"/>
        <w:rPr>
          <w:sz w:val="20"/>
          <w:szCs w:val="20"/>
          <w:color w:val="auto"/>
        </w:rPr>
      </w:pPr>
      <w:r>
        <w:rPr>
          <w:rFonts w:ascii="Arial" w:cs="Arial" w:eastAsia="Arial" w:hAnsi="Arial"/>
          <w:sz w:val="18"/>
          <w:szCs w:val="18"/>
          <w:color w:val="auto"/>
        </w:rPr>
        <w:t>broadcast is retransmitted based on the number of MVPD subscribers and the applicable per-user rate identified in the retransmission contract. Payment is typically received in arrears within 60 days of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revenue consists primarily of product sales generated by four businesses: Hoover, Dekko, Joyce,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and Forney. The Company has determined that each item ordered by the customer is a distinct performance obligation, as it has standalone value and is distinct within the context of the contract. For arrangements with multiple performance obligations, the Company initially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specific performance obligation or obligations in the contract.</w:t>
      </w:r>
    </w:p>
    <w:p>
      <w:pPr>
        <w:spacing w:after="0" w:line="140" w:lineRule="exact"/>
        <w:rPr>
          <w:sz w:val="20"/>
          <w:szCs w:val="20"/>
          <w:color w:val="auto"/>
        </w:rPr>
      </w:pPr>
    </w:p>
    <w:p>
      <w:pPr>
        <w:ind w:right="940"/>
        <w:spacing w:after="0" w:line="256"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manufacturing period, if the product created for the customer does not have an alternative use for the Company and the Company has an enforceable right to payment for performance completed to date. The determination of the method by which the Company measures its</w:t>
      </w:r>
    </w:p>
    <w:p>
      <w:pPr>
        <w:spacing w:after="0" w:line="236" w:lineRule="auto"/>
        <w:rPr>
          <w:sz w:val="20"/>
          <w:szCs w:val="20"/>
          <w:color w:val="auto"/>
        </w:rPr>
      </w:pPr>
      <w:r>
        <w:rPr>
          <w:rFonts w:ascii="Arial" w:cs="Arial" w:eastAsia="Arial" w:hAnsi="Arial"/>
          <w:sz w:val="18"/>
          <w:szCs w:val="18"/>
          <w:color w:val="auto"/>
        </w:rPr>
        <w:t>progress toward the satisfaction of its performance obligations requires judgment. The Company measures its progress for these products</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using the units delivered method, an output measure. These arrangements represented 21%, 19%, and 21% of the manufacturing revenue recognized for the years ended December 31, 2024,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shipped. Some customers have a bill-and-hold arrangement with the Company. Revenue for bill-and-hold arrangements is recognized when control transfers to the customer, even though the customer does not have physical possession of the goods. Control transfers when the bill-</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and-hold arrangement has been requested from the customer, the product is identified as belonging to the customer and is ready for physical transfer, and the product cannot be directed for use by anyone but the customer.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5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revenue consists primarily of home health and hospice services; in-home specialty pharmacy infusion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therapies at CSI Pharmacy Holding Company (CSI); applied behavior analysis therapy; physician services for allergy, asthma and immunology patients; in-home aesthetics; healthcare software-as-a-service technology; and management services related to equity affiliates.</w:t>
      </w:r>
    </w:p>
    <w:p>
      <w:pPr>
        <w:spacing w:after="0" w:line="10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 xml:space="preserve">Home Health and Hospice Revenue. </w:t>
      </w:r>
      <w:r>
        <w:rPr>
          <w:rFonts w:ascii="Arial" w:cs="Arial" w:eastAsia="Arial" w:hAnsi="Arial"/>
          <w:sz w:val="17"/>
          <w:szCs w:val="17"/>
          <w:color w:val="auto"/>
        </w:rPr>
        <w:t>The Company contracts with patients to provide home health or hospice services. Payment is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third-party payors such as Medicare, Medicaid, and private insurers. The payor is a third party to the contract that stipulates</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transaction price of the contract. The Company identifies the patient as the party who benefits from its healthcare services and as such, the patient is its customer.</w:t>
      </w:r>
    </w:p>
    <w:p>
      <w:pPr>
        <w:spacing w:after="0" w:line="12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Home health services contracts generally have one performance obligation to provide home health services to patients. The Company recognizes revenue using the right to invoice practical expedient, an output method, as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contractual right to revenue corresponds directly with the transfer of services to the patient. Given the election of the practical expedient, the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Company does not determine the transaction price or allocate any variable consideration at contract inception. Rather, the Company recognizes revenue commensurate with the amount to which it has the right to invoice the customer, which is a function of the average length</w:t>
      </w:r>
    </w:p>
    <w:p>
      <w:pPr>
        <w:spacing w:after="0" w:line="235" w:lineRule="auto"/>
        <w:rPr>
          <w:sz w:val="20"/>
          <w:szCs w:val="20"/>
          <w:color w:val="auto"/>
        </w:rPr>
      </w:pPr>
      <w:r>
        <w:rPr>
          <w:rFonts w:ascii="Arial" w:cs="Arial" w:eastAsia="Arial" w:hAnsi="Arial"/>
          <w:sz w:val="18"/>
          <w:szCs w:val="18"/>
          <w:color w:val="auto"/>
        </w:rPr>
        <w:t>of stay within each of the two 30-day payment periods. Payment is typically received from Medicare within 30 days after a claim is filed.</w:t>
      </w:r>
    </w:p>
    <w:p>
      <w:pPr>
        <w:spacing w:after="0"/>
        <w:rPr>
          <w:sz w:val="20"/>
          <w:szCs w:val="20"/>
          <w:color w:val="auto"/>
        </w:rPr>
      </w:pPr>
      <w:r>
        <w:rPr>
          <w:rFonts w:ascii="Arial" w:cs="Arial" w:eastAsia="Arial" w:hAnsi="Arial"/>
          <w:sz w:val="18"/>
          <w:szCs w:val="18"/>
          <w:color w:val="auto"/>
        </w:rPr>
        <w:t>Medicare is the most common third-party payor for home health services.</w:t>
      </w:r>
    </w:p>
    <w:p>
      <w:pPr>
        <w:spacing w:after="0" w:line="12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w:t>
      </w:r>
    </w:p>
    <w:p>
      <w:pPr>
        <w:ind w:right="80"/>
        <w:spacing w:after="0" w:line="237" w:lineRule="auto"/>
        <w:rPr>
          <w:sz w:val="20"/>
          <w:szCs w:val="20"/>
          <w:color w:val="auto"/>
        </w:rPr>
      </w:pPr>
      <w:r>
        <w:rPr>
          <w:rFonts w:ascii="Arial" w:cs="Arial" w:eastAsia="Arial" w:hAnsi="Arial"/>
          <w:sz w:val="18"/>
          <w:szCs w:val="18"/>
          <w:color w:val="auto"/>
        </w:rPr>
        <w:t>original performance obligation, the Company accounts for the contract modification as an adjustment to revenue (either as an increase in or a reduction of revenue) on a cumulative catch-up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reflects the amount of revenue the Company expects to receive in exchange for providing these services. As the transaction price for healthcare services is known at the time of contract inception, no variable consideration exists. Hospice service revenue is recognized ratably</w:t>
      </w:r>
    </w:p>
    <w:p>
      <w:pPr>
        <w:spacing w:after="0" w:line="236" w:lineRule="auto"/>
        <w:rPr>
          <w:sz w:val="20"/>
          <w:szCs w:val="20"/>
          <w:color w:val="auto"/>
        </w:rPr>
      </w:pPr>
      <w:r>
        <w:rPr>
          <w:rFonts w:ascii="Arial" w:cs="Arial" w:eastAsia="Arial" w:hAnsi="Arial"/>
          <w:sz w:val="18"/>
          <w:szCs w:val="18"/>
          <w:color w:val="auto"/>
        </w:rPr>
        <w:t>over the period of care. The Company generally uses the time-elapsed method, an input measure, as it best depicts the simultaneous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delivery and consumption of healthcare services. Payment is received from third-party payors for hospice services within 60 days after a claim is filed, or in some cases in two installments, one during the contract and one after the services have been provided. Medicare is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most common third-party payor.</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i w:val="1"/>
          <w:iCs w:val="1"/>
          <w:color w:val="auto"/>
        </w:rPr>
        <w:t xml:space="preserve">Specialty Pharmacy Revenue. </w:t>
      </w:r>
      <w:r>
        <w:rPr>
          <w:rFonts w:ascii="Arial" w:cs="Arial" w:eastAsia="Arial" w:hAnsi="Arial"/>
          <w:sz w:val="18"/>
          <w:szCs w:val="18"/>
          <w:color w:val="auto"/>
        </w:rPr>
        <w:t>CSI contracts with patients to provide specialty pharmacy infusion and other therapies. Payment 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third-party payors such as private insurers and Medicare. The payor is a third party to the contract that stipulates the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transaction price of the contract. The Company identifies the customer as the party who benefits from its therapies and as such, the patient is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Specialty pharmacy contracts generally have one performance obligation to deliver the prescribed infusion therapy to the patient’s location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in some cases, another performance obligation for nursing services to administer the infusion. The transaction price is the total amount CSI expects to receive from a payor as result of fulfilling its performance obligation. Revenue is recognized at the point in time the infusion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therapy is delivered to the patient; revenue related to the nursing services is recognized as the services are provided.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Applied Behavior Analysis Revenue. </w:t>
      </w:r>
      <w:r>
        <w:rPr>
          <w:rFonts w:ascii="Arial" w:cs="Arial" w:eastAsia="Arial" w:hAnsi="Arial"/>
          <w:sz w:val="18"/>
          <w:szCs w:val="18"/>
          <w:color w:val="auto"/>
        </w:rPr>
        <w:t>Applied behavior analysis revenue at Surpass is recognized as services are provided to the customer.</w:t>
      </w:r>
    </w:p>
    <w:p>
      <w:pPr>
        <w:spacing w:after="0"/>
        <w:rPr>
          <w:sz w:val="20"/>
          <w:szCs w:val="20"/>
          <w:color w:val="auto"/>
        </w:rPr>
      </w:pPr>
      <w:r>
        <w:rPr>
          <w:rFonts w:ascii="Arial" w:cs="Arial" w:eastAsia="Arial" w:hAnsi="Arial"/>
          <w:sz w:val="18"/>
          <w:szCs w:val="18"/>
          <w:color w:val="auto"/>
        </w:rPr>
        <w:t>Payments are generally received in arrears, from customers as well as third-party payors.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Physician Services Revenue. </w:t>
      </w:r>
      <w:r>
        <w:rPr>
          <w:rFonts w:ascii="Arial" w:cs="Arial" w:eastAsia="Arial" w:hAnsi="Arial"/>
          <w:sz w:val="18"/>
          <w:szCs w:val="18"/>
          <w:color w:val="auto"/>
        </w:rPr>
        <w:t>Physician services revenue at Impact Medical consists of revenue from physician and nurse visits as well as</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revenue related to allergy and immunology treatments. Each treatment is a separate performance obligation and revenue is recognized as the performance obligation is satisfied.</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i w:val="1"/>
          <w:iCs w:val="1"/>
          <w:color w:val="auto"/>
        </w:rPr>
        <w:t xml:space="preserve">In-home Aesthetics Revenue. </w:t>
      </w:r>
      <w:r>
        <w:rPr>
          <w:rFonts w:ascii="Arial" w:cs="Arial" w:eastAsia="Arial" w:hAnsi="Arial"/>
          <w:sz w:val="18"/>
          <w:szCs w:val="18"/>
          <w:color w:val="auto"/>
        </w:rPr>
        <w:t>In-home aesthetics revenue at Skin Clique primarily represents treatments provided to a customer by a Skin</w:t>
      </w:r>
      <w:r>
        <w:rPr>
          <w:rFonts w:ascii="Arial" w:cs="Arial" w:eastAsia="Arial" w:hAnsi="Arial"/>
          <w:sz w:val="18"/>
          <w:szCs w:val="18"/>
          <w:i w:val="1"/>
          <w:iCs w:val="1"/>
          <w:color w:val="auto"/>
        </w:rPr>
        <w:t xml:space="preserve"> </w:t>
      </w:r>
      <w:r>
        <w:rPr>
          <w:rFonts w:ascii="Arial" w:cs="Arial" w:eastAsia="Arial" w:hAnsi="Arial"/>
          <w:sz w:val="18"/>
          <w:szCs w:val="18"/>
          <w:color w:val="auto"/>
        </w:rPr>
        <w:t>Clique representative. Revenue is recognized as the service is being provided.</w:t>
      </w:r>
    </w:p>
    <w:p>
      <w:pPr>
        <w:spacing w:after="0" w:line="86" w:lineRule="exact"/>
        <w:rPr>
          <w:sz w:val="20"/>
          <w:szCs w:val="20"/>
          <w:color w:val="auto"/>
        </w:rPr>
      </w:pPr>
    </w:p>
    <w:p>
      <w:pPr>
        <w:ind w:right="140"/>
        <w:spacing w:after="0" w:line="359" w:lineRule="auto"/>
        <w:rPr>
          <w:sz w:val="20"/>
          <w:szCs w:val="20"/>
          <w:color w:val="auto"/>
        </w:rPr>
      </w:pPr>
      <w:r>
        <w:rPr>
          <w:rFonts w:ascii="Arial" w:cs="Arial" w:eastAsia="Arial" w:hAnsi="Arial"/>
          <w:sz w:val="17"/>
          <w:szCs w:val="17"/>
          <w:i w:val="1"/>
          <w:iCs w:val="1"/>
          <w:color w:val="auto"/>
        </w:rPr>
        <w:t>Healthcare Software-as-a-service Revenue</w:t>
      </w:r>
      <w:r>
        <w:rPr>
          <w:rFonts w:ascii="Arial" w:cs="Arial" w:eastAsia="Arial" w:hAnsi="Arial"/>
          <w:sz w:val="17"/>
          <w:szCs w:val="17"/>
          <w:color w:val="auto"/>
        </w:rPr>
        <w:t>. Software-as-a-service revenue at Clarus is recognized ratably over the subscription period.</w:t>
      </w:r>
      <w:r>
        <w:rPr>
          <w:rFonts w:ascii="Arial" w:cs="Arial" w:eastAsia="Arial" w:hAnsi="Arial"/>
          <w:sz w:val="17"/>
          <w:szCs w:val="17"/>
          <w:i w:val="1"/>
          <w:iCs w:val="1"/>
          <w:color w:val="auto"/>
        </w:rPr>
        <w:t xml:space="preserve"> Management Services Revenue</w:t>
      </w:r>
      <w:r>
        <w:rPr>
          <w:rFonts w:ascii="Arial" w:cs="Arial" w:eastAsia="Arial" w:hAnsi="Arial"/>
          <w:sz w:val="17"/>
          <w:szCs w:val="17"/>
          <w:color w:val="auto"/>
        </w:rPr>
        <w:t>. The Company accounts for the management services provided to each of its affiliates as one performance</w:t>
      </w:r>
    </w:p>
    <w:p>
      <w:pPr>
        <w:ind w:right="220"/>
        <w:spacing w:after="0"/>
        <w:rPr>
          <w:sz w:val="20"/>
          <w:szCs w:val="20"/>
          <w:color w:val="auto"/>
        </w:rPr>
      </w:pPr>
      <w:r>
        <w:rPr>
          <w:rFonts w:ascii="Arial" w:cs="Arial" w:eastAsia="Arial" w:hAnsi="Arial"/>
          <w:sz w:val="17"/>
          <w:szCs w:val="17"/>
          <w:color w:val="auto"/>
        </w:rPr>
        <w:t>obligation and recognizes revenue over time as the services are delivered. The Company uses the right to invoice practical expedient, an output method, as the Company’s right to revenue corresponds directly with the value delivered to the affiliate. As a result of the election to</w:t>
      </w:r>
    </w:p>
    <w:p>
      <w:pPr>
        <w:spacing w:after="0" w:line="235" w:lineRule="auto"/>
        <w:rPr>
          <w:sz w:val="20"/>
          <w:szCs w:val="20"/>
          <w:color w:val="auto"/>
        </w:rPr>
      </w:pPr>
      <w:r>
        <w:rPr>
          <w:rFonts w:ascii="Arial" w:cs="Arial" w:eastAsia="Arial" w:hAnsi="Arial"/>
          <w:sz w:val="18"/>
          <w:szCs w:val="18"/>
          <w:color w:val="auto"/>
        </w:rPr>
        <w:t>use the right to invoice practical expedient, the Company does not determine the transaction price or allocate any variable consideration at</w:t>
      </w:r>
    </w:p>
    <w:p>
      <w:pPr>
        <w:ind w:right="180"/>
        <w:spacing w:after="0" w:line="237" w:lineRule="auto"/>
        <w:rPr>
          <w:sz w:val="20"/>
          <w:szCs w:val="20"/>
          <w:color w:val="auto"/>
        </w:rPr>
      </w:pPr>
      <w:r>
        <w:rPr>
          <w:rFonts w:ascii="Arial" w:cs="Arial" w:eastAsia="Arial" w:hAnsi="Arial"/>
          <w:sz w:val="18"/>
          <w:szCs w:val="18"/>
          <w:color w:val="auto"/>
        </w:rPr>
        <w:t>contract inception. Rather, the Company recognizes revenue commensurate with the amount to which it has the right to invoice the affiliate, which is based on contractually identified percentages. Payment is received monthly in arrears.</w:t>
      </w:r>
    </w:p>
    <w:p>
      <w:pPr>
        <w:spacing w:after="0" w:line="127" w:lineRule="exact"/>
        <w:rPr>
          <w:sz w:val="20"/>
          <w:szCs w:val="20"/>
          <w:color w:val="auto"/>
        </w:rPr>
      </w:pPr>
    </w:p>
    <w:p>
      <w:pPr>
        <w:jc w:val="both"/>
        <w:ind w:right="140"/>
        <w:spacing w:after="0" w:line="301" w:lineRule="auto"/>
        <w:rPr>
          <w:sz w:val="20"/>
          <w:szCs w:val="20"/>
          <w:color w:val="auto"/>
        </w:rPr>
      </w:pPr>
      <w:r>
        <w:rPr>
          <w:rFonts w:ascii="Arial" w:cs="Arial" w:eastAsia="Arial" w:hAnsi="Arial"/>
          <w:sz w:val="17"/>
          <w:szCs w:val="17"/>
          <w:b w:val="1"/>
          <w:bCs w:val="1"/>
          <w:i w:val="1"/>
          <w:iCs w:val="1"/>
          <w:color w:val="auto"/>
        </w:rPr>
        <w:t xml:space="preserve">Automotive Revenue. </w:t>
      </w:r>
      <w:r>
        <w:rPr>
          <w:rFonts w:ascii="Arial" w:cs="Arial" w:eastAsia="Arial" w:hAnsi="Arial"/>
          <w:sz w:val="17"/>
          <w:szCs w:val="17"/>
          <w:color w:val="auto"/>
        </w:rPr>
        <w:t>The automotive subsidiary generates revenue primarily through the sale of new and used vehicles; the arrangement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 financing, insurance and other service contracts (F&amp;I revenue); and the performance of vehicle repair and maintenance services.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is recognized at the point in time when the agreement between the customer and financing, insurance or service provider is executed. As the automotive subsidiary acts as an agent in these F&amp;I revenue transactions, revenue is recognized net of any financing, insurance and service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provider costs. Repair and maintenance services revenue is recognized over time, as the service is performed.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Restaurant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revenues consist of sales generated by Clyde’s Restaurant Group (CRG). Food and</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 Framing Services Revenue. </w:t>
      </w:r>
      <w:r>
        <w:rPr>
          <w:rFonts w:ascii="Arial" w:cs="Arial" w:eastAsia="Arial" w:hAnsi="Arial"/>
          <w:sz w:val="18"/>
          <w:szCs w:val="18"/>
          <w:color w:val="auto"/>
        </w:rPr>
        <w:t>Framebridge sells custom framing solutions to customers. Custom framing services revenue, net of</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discounts and taxes, is recognized when the products are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Company determined that Code3 contracts generally have one performance obligation made up of a series of promises to manage the client’s media spend on advertising platforms for the duration of the contract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recognizes revenue, net of media acquisition costs, over time as media management services are delivered to the customer.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Generally, Code3 recognizes revenue using the right to invoice practical expedient, an output method, as Code3’s right to revenue corresponds directly with the value delivered to its customer. As a result of the election to use the right to invoice practical expedient, Code3</w:t>
      </w:r>
    </w:p>
    <w:p>
      <w:pPr>
        <w:spacing w:after="0" w:line="235" w:lineRule="auto"/>
        <w:rPr>
          <w:sz w:val="20"/>
          <w:szCs w:val="20"/>
          <w:color w:val="auto"/>
        </w:rPr>
      </w:pPr>
      <w:r>
        <w:rPr>
          <w:rFonts w:ascii="Arial" w:cs="Arial" w:eastAsia="Arial" w:hAnsi="Arial"/>
          <w:sz w:val="18"/>
          <w:szCs w:val="18"/>
          <w:color w:val="auto"/>
        </w:rPr>
        <w:t>does not determine the transaction price or allocate any variable consideration at contract inception. Rather, Code3 recognizes revenue</w:t>
      </w:r>
    </w:p>
    <w:p>
      <w:pPr>
        <w:ind w:right="360"/>
        <w:spacing w:after="0" w:line="237" w:lineRule="auto"/>
        <w:rPr>
          <w:sz w:val="20"/>
          <w:szCs w:val="20"/>
          <w:color w:val="auto"/>
        </w:rPr>
      </w:pPr>
      <w:r>
        <w:rPr>
          <w:rFonts w:ascii="Arial" w:cs="Arial" w:eastAsia="Arial" w:hAnsi="Arial"/>
          <w:sz w:val="18"/>
          <w:szCs w:val="18"/>
          <w:color w:val="auto"/>
        </w:rPr>
        <w:t>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contracts. Code3 presents revenue for media management services, net of media acquisition costs, as an agent, as Code3 does not control the media before placement on social media platforms.</w:t>
      </w:r>
    </w:p>
    <w:p>
      <w:pPr>
        <w:spacing w:after="0" w:line="1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i w:val="1"/>
          <w:iCs w:val="1"/>
          <w:color w:val="auto"/>
        </w:rPr>
        <w:t xml:space="preserve">World of Good Brands (WGB) Revenue. </w:t>
      </w:r>
      <w:r>
        <w:rPr>
          <w:rFonts w:ascii="Arial" w:cs="Arial" w:eastAsia="Arial" w:hAnsi="Arial"/>
          <w:sz w:val="18"/>
          <w:szCs w:val="18"/>
          <w:color w:val="auto"/>
        </w:rPr>
        <w:t>Revenue is primarily derived from advertisements displayed on WGB’s online media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recognized over time as the performance obligation is delivered. Revenue is generally recognized based on an output measure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impressions delivered, cost per click or time-based advertisements.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i w:val="1"/>
          <w:iCs w:val="1"/>
          <w:color w:val="auto"/>
        </w:rPr>
        <w:t xml:space="preserve">Society6 Revenue. </w:t>
      </w:r>
      <w:r>
        <w:rPr>
          <w:rFonts w:ascii="Arial" w:cs="Arial" w:eastAsia="Arial" w:hAnsi="Arial"/>
          <w:sz w:val="17"/>
          <w:szCs w:val="17"/>
          <w:color w:val="auto"/>
        </w:rPr>
        <w:t>Revenue is primarily derived from the sale of products. Each product ordered is generally accounted for as an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 Product revenue, net of discounts and taxes, is recognized when control of the promised good is transferred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i w:val="1"/>
          <w:iCs w:val="1"/>
          <w:color w:val="auto"/>
        </w:rPr>
        <w:t xml:space="preserve">Saatchi Art Revenue. </w:t>
      </w:r>
      <w:r>
        <w:rPr>
          <w:rFonts w:ascii="Arial" w:cs="Arial" w:eastAsia="Arial" w:hAnsi="Arial"/>
          <w:sz w:val="17"/>
          <w:szCs w:val="17"/>
          <w:color w:val="auto"/>
        </w:rPr>
        <w:t>Commissions revenue is primarily derived through the sale of artwork through Saatchi’s online art gallery or in-person</w:t>
      </w:r>
      <w:r>
        <w:rPr>
          <w:rFonts w:ascii="Arial" w:cs="Arial" w:eastAsia="Arial" w:hAnsi="Arial"/>
          <w:sz w:val="17"/>
          <w:szCs w:val="17"/>
          <w:i w:val="1"/>
          <w:iCs w:val="1"/>
          <w:color w:val="auto"/>
        </w:rPr>
        <w:t xml:space="preserve"> </w:t>
      </w:r>
      <w:r>
        <w:rPr>
          <w:rFonts w:ascii="Arial" w:cs="Arial" w:eastAsia="Arial" w:hAnsi="Arial"/>
          <w:sz w:val="17"/>
          <w:szCs w:val="17"/>
          <w:color w:val="auto"/>
        </w:rPr>
        <w:t>art fairs. Each individual art piece ordered is generally accounted for as an individual performance obligation. Revenue is recognized net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artist fees when control of the promised good is transferred to the customer.</w:t>
      </w:r>
    </w:p>
    <w:p>
      <w:pPr>
        <w:spacing w:after="0" w:line="140"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Other revenue primarily includes advertising, circulation and subscription revenue from Slate, Decile, Pinna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Policy. The Company accounts for other advertising revenues consistently with the advertising revenue streams addressed above.</w:t>
      </w:r>
    </w:p>
    <w:p>
      <w:pPr>
        <w:spacing w:after="0" w:line="235" w:lineRule="auto"/>
        <w:rPr>
          <w:sz w:val="20"/>
          <w:szCs w:val="20"/>
          <w:color w:val="auto"/>
        </w:rPr>
      </w:pPr>
      <w:r>
        <w:rPr>
          <w:rFonts w:ascii="Arial" w:cs="Arial" w:eastAsia="Arial" w:hAnsi="Arial"/>
          <w:sz w:val="18"/>
          <w:szCs w:val="18"/>
          <w:color w:val="auto"/>
        </w:rPr>
        <w:t>Circulation revenue consists of fees that provide customers access to online and print publications. The Company recognizes circulation and</w:t>
      </w:r>
    </w:p>
    <w:p>
      <w:pPr>
        <w:ind w:right="380"/>
        <w:spacing w:after="0"/>
        <w:rPr>
          <w:sz w:val="20"/>
          <w:szCs w:val="20"/>
          <w:color w:val="auto"/>
        </w:rPr>
      </w:pPr>
      <w:r>
        <w:rPr>
          <w:rFonts w:ascii="Arial" w:cs="Arial" w:eastAsia="Arial" w:hAnsi="Arial"/>
          <w:sz w:val="17"/>
          <w:szCs w:val="17"/>
          <w:color w:val="auto"/>
        </w:rPr>
        <w:t>subscription revenue ratably over the subscription period beginning on the date that the publication or product is made available to the customer. Circulation revenue contracts are generally annual or monthly subscription contracts that are paid in advance of the delivery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obligations.</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obligations is recognized when control of the good transfers to the customer, which is when the good is ready for shipment. The Company accrues the related shipping and handling costs over the period when revenue is recognized.</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w:t>
      </w:r>
    </w:p>
    <w:p>
      <w:pPr>
        <w:spacing w:after="0" w:line="235" w:lineRule="auto"/>
        <w:rPr>
          <w:sz w:val="20"/>
          <w:szCs w:val="20"/>
          <w:color w:val="auto"/>
        </w:rPr>
      </w:pPr>
      <w:r>
        <w:rPr>
          <w:rFonts w:ascii="Arial" w:cs="Arial" w:eastAsia="Arial" w:hAnsi="Arial"/>
          <w:sz w:val="18"/>
          <w:szCs w:val="18"/>
          <w:color w:val="auto"/>
        </w:rPr>
        <w:t>Company has the right to invoice the customer for services performed, (iii) contracts for which the consideration received is a usage-based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w:t>
      </w:r>
    </w:p>
    <w:p>
      <w:pPr>
        <w:spacing w:after="0" w:line="236" w:lineRule="auto"/>
        <w:rPr>
          <w:sz w:val="20"/>
          <w:szCs w:val="20"/>
          <w:color w:val="auto"/>
        </w:rPr>
      </w:pPr>
      <w:r>
        <w:rPr>
          <w:rFonts w:ascii="Arial" w:cs="Arial" w:eastAsia="Arial" w:hAnsi="Arial"/>
          <w:sz w:val="18"/>
          <w:szCs w:val="18"/>
          <w:color w:val="auto"/>
        </w:rPr>
        <w:t>one year or less. The amortization period is defined in the guidance as the contract term, inclusive of any expected contract renewal periods.</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Company has elected to apply this practical expedient to all contracts except for third-party contracts in its international education division. In the international education division, costs to obtain a contract are amortized over the applicable amortization period except for</w:t>
      </w:r>
    </w:p>
    <w:p>
      <w:pPr>
        <w:spacing w:after="0" w:line="236" w:lineRule="auto"/>
        <w:rPr>
          <w:sz w:val="20"/>
          <w:szCs w:val="20"/>
          <w:color w:val="auto"/>
        </w:rPr>
      </w:pPr>
      <w:r>
        <w:rPr>
          <w:rFonts w:ascii="Arial" w:cs="Arial" w:eastAsia="Arial" w:hAnsi="Arial"/>
          <w:sz w:val="18"/>
          <w:szCs w:val="18"/>
          <w:color w:val="auto"/>
        </w:rPr>
        <w:t>cases in which commissions paid on initial contracts and renewals are commensurate. The Company amortizes these costs to obtain a</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contract on a straight-line basis over the amortization period. These expenses are included as cost of services or products in the Company’s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substantially all of its educational facilities, corporate offices and other facilities used in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conducting its business, as well as certain equipment. The Company determines if an arrangement is a lease at inception. Operating leases are included in lease ROU assets, current portion of lease liabilities, and lease liabilities on the Company’s Consolidated Balance Sheets.</w:t>
      </w:r>
    </w:p>
    <w:p>
      <w:pPr>
        <w:spacing w:after="0" w:line="235"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w:t>
      </w:r>
    </w:p>
    <w:p>
      <w:pPr>
        <w:ind w:right="360"/>
        <w:spacing w:after="0"/>
        <w:rPr>
          <w:sz w:val="20"/>
          <w:szCs w:val="20"/>
          <w:color w:val="auto"/>
        </w:rPr>
      </w:pPr>
      <w:r>
        <w:rPr>
          <w:rFonts w:ascii="Arial" w:cs="Arial" w:eastAsia="Arial" w:hAnsi="Arial"/>
          <w:sz w:val="17"/>
          <w:szCs w:val="17"/>
          <w:color w:val="auto"/>
        </w:rPr>
        <w:t>obligation to make lease payments arising from the lease. Operating lease ROU assets and liabilities are recognized at the lease commencement date based on the present value of lease payments over the lease term. ROU assets also include any initial direct costs,</w:t>
      </w:r>
    </w:p>
    <w:p>
      <w:pPr>
        <w:spacing w:after="0" w:line="235" w:lineRule="auto"/>
        <w:rPr>
          <w:sz w:val="20"/>
          <w:szCs w:val="20"/>
          <w:color w:val="auto"/>
        </w:rPr>
      </w:pPr>
      <w:r>
        <w:rPr>
          <w:rFonts w:ascii="Arial" w:cs="Arial" w:eastAsia="Arial" w:hAnsi="Arial"/>
          <w:sz w:val="18"/>
          <w:szCs w:val="18"/>
          <w:color w:val="auto"/>
        </w:rPr>
        <w:t>prepaid lease payments and lease incentives received, when applicable. As most of the Company’s leases do not provide an implicit rate, the</w:t>
      </w:r>
    </w:p>
    <w:p>
      <w:pPr>
        <w:ind w:right="620"/>
        <w:spacing w:after="0" w:line="226" w:lineRule="auto"/>
        <w:rPr>
          <w:sz w:val="20"/>
          <w:szCs w:val="20"/>
          <w:color w:val="auto"/>
        </w:rPr>
      </w:pPr>
      <w:r>
        <w:rPr>
          <w:rFonts w:ascii="Arial" w:cs="Arial" w:eastAsia="Arial" w:hAnsi="Arial"/>
          <w:sz w:val="18"/>
          <w:szCs w:val="18"/>
          <w:color w:val="auto"/>
        </w:rPr>
        <w:t>Company used its incremental borrowing rate based on the information available at the lease commencement date in determining the present value of lease payments. The Company used the incremental borrowing rate on December 31, 2018 for operating leases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commenced prior to that date.</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Company’s lease terms may include options to extend or terminate the lease by one to 10 years or more when it is reasonably certain that the option will be exercised. Leases with a term of 12 months or less are not recorded on the balance sheet; however, lease expense for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these leases is recognized on a straight-line basis. The Company has elected the practical expedient to not separate lease components from nonlease components. As such, lease expense includes these nonlease components, when applicable. Fixed lease expense is recognized</w:t>
      </w:r>
    </w:p>
    <w:p>
      <w:pPr>
        <w:spacing w:after="0" w:line="236" w:lineRule="auto"/>
        <w:rPr>
          <w:sz w:val="20"/>
          <w:szCs w:val="20"/>
          <w:color w:val="auto"/>
        </w:rPr>
      </w:pPr>
      <w:r>
        <w:rPr>
          <w:rFonts w:ascii="Arial" w:cs="Arial" w:eastAsia="Arial" w:hAnsi="Arial"/>
          <w:sz w:val="18"/>
          <w:szCs w:val="18"/>
          <w:color w:val="auto"/>
        </w:rPr>
        <w:t>on a straight-line basis over the lease term. Variable lease expense is recognized when incurred. The Company’s lease agreements do not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contain any significant residual value guarantees or restrictive covenants. In some instances, the Company subleases its leased real estate facilities to third parties. The Company has several restaurant leases with an entity affiliated with some of CRG’s senior managers and some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automotive leases with an entity affiliated with automotive’s minority shareholder.</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Finance leases are included in property, plant and equipment, net, accounts payable and accrued liabilities and other liabilities on the Company’s Consolidated Balance Sheets. The Company primarily has finance leases for its vehicle fleet at the healthcare subsidiary and</w:t>
      </w:r>
    </w:p>
    <w:p>
      <w:pPr>
        <w:spacing w:after="0" w:line="235" w:lineRule="auto"/>
        <w:rPr>
          <w:sz w:val="20"/>
          <w:szCs w:val="20"/>
          <w:color w:val="auto"/>
        </w:rPr>
      </w:pPr>
      <w:r>
        <w:rPr>
          <w:rFonts w:ascii="Arial" w:cs="Arial" w:eastAsia="Arial" w:hAnsi="Arial"/>
          <w:sz w:val="18"/>
          <w:szCs w:val="18"/>
          <w:color w:val="auto"/>
        </w:rPr>
        <w:t>service loaner vehicles at the automotive subsidiary. Service loaner vehicles are generally purchased from the lessor within six months of</w:t>
      </w:r>
    </w:p>
    <w:p>
      <w:pPr>
        <w:ind w:right="480"/>
        <w:spacing w:after="0" w:line="226" w:lineRule="auto"/>
        <w:rPr>
          <w:sz w:val="20"/>
          <w:szCs w:val="20"/>
          <w:color w:val="auto"/>
        </w:rPr>
      </w:pPr>
      <w:r>
        <w:rPr>
          <w:rFonts w:ascii="Arial" w:cs="Arial" w:eastAsia="Arial" w:hAnsi="Arial"/>
          <w:sz w:val="18"/>
          <w:szCs w:val="18"/>
          <w:color w:val="auto"/>
        </w:rPr>
        <w:t>contract commencement and upon purchase, the vehicles are placed into used vehicle inventory at cost. As of December 31, 2024 and 2023, the Company had $10.5 million and $10.9 million, respectively, in net, property, plant and equipment and current finance lease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liabilities related to service loaner vehicles at the automotive subsidiary.</w:t>
      </w:r>
    </w:p>
    <w:p>
      <w:pPr>
        <w:spacing w:after="0" w:line="140"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healthcare and life insurance benefits to certain retired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employees. These employees become eligible for benefits after meeting age and service requirements.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w:t>
      </w:r>
    </w:p>
    <w:p>
      <w:pPr>
        <w:spacing w:after="0" w:line="235" w:lineRule="auto"/>
        <w:rPr>
          <w:sz w:val="20"/>
          <w:szCs w:val="20"/>
          <w:color w:val="auto"/>
        </w:rPr>
      </w:pPr>
      <w:r>
        <w:rPr>
          <w:rFonts w:ascii="Arial" w:cs="Arial" w:eastAsia="Arial" w:hAnsi="Arial"/>
          <w:sz w:val="18"/>
          <w:szCs w:val="18"/>
          <w:color w:val="auto"/>
        </w:rPr>
        <w:t>income. The Company measures changes in the funded status of its plans using the projected unit credit method and several actuarial</w:t>
      </w:r>
    </w:p>
    <w:p>
      <w:pPr>
        <w:spacing w:after="0" w:line="219" w:lineRule="auto"/>
        <w:rPr>
          <w:sz w:val="20"/>
          <w:szCs w:val="20"/>
          <w:color w:val="auto"/>
        </w:rPr>
      </w:pPr>
      <w:r>
        <w:rPr>
          <w:rFonts w:ascii="Arial" w:cs="Arial" w:eastAsia="Arial" w:hAnsi="Arial"/>
          <w:sz w:val="18"/>
          <w:szCs w:val="18"/>
          <w:color w:val="auto"/>
        </w:rPr>
        <w:t>assumptions, the most significant of which are the discount rate, the expected return on plan assets and the rate of compensation increase.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employee healthcare and dental care, disability benefits, workers’ compensation, general liability, property damage and business interruption. Liabilities associated with these plans are estimated based on, among other things, the Company’s historical claims experience, severity</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factors and other actuarial assumptions. The expected loss accruals are based on estimates, and, while the Company believes that the amounts accrued are adequate, the ultimate loss may differ from the amounts provided.</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included in the financial statements. Under this method, deferred tax assets and liabilities are determined based on the differences between</w:t>
      </w:r>
    </w:p>
    <w:p>
      <w:pPr>
        <w:spacing w:after="0" w:line="1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the financial statements and tax basis of assets and liabilities using enacted tax rates in effect for the year in which the differences are expected to reverse. The effect of a change in tax rates on deferred tax assets and liabilities is recognized in income in the period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includes the enactment date.</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w:t>
      </w:r>
    </w:p>
    <w:p>
      <w:pPr>
        <w:spacing w:after="0" w:line="235" w:lineRule="auto"/>
        <w:rPr>
          <w:sz w:val="20"/>
          <w:szCs w:val="20"/>
          <w:color w:val="auto"/>
        </w:rPr>
      </w:pPr>
      <w:r>
        <w:rPr>
          <w:rFonts w:ascii="Arial" w:cs="Arial" w:eastAsia="Arial" w:hAnsi="Arial"/>
          <w:sz w:val="18"/>
          <w:szCs w:val="18"/>
          <w:color w:val="auto"/>
        </w:rPr>
        <w:t>differences, projected future taxable income, tax planning strategies and recent financial operations; this evaluation is made on an ongoing</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basis. In the event the Company were to determine that it was able to realize net deferred income tax assets in the future in excess of their net recorded amount, the Company would record an adjustment to the valuation allowance, which would reduce the provision for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w:t>
      </w:r>
    </w:p>
    <w:p>
      <w:pPr>
        <w:ind w:right="20"/>
        <w:spacing w:after="0" w:line="226" w:lineRule="auto"/>
        <w:rPr>
          <w:sz w:val="20"/>
          <w:szCs w:val="20"/>
          <w:color w:val="auto"/>
        </w:rPr>
      </w:pPr>
      <w:r>
        <w:rPr>
          <w:rFonts w:ascii="Arial" w:cs="Arial" w:eastAsia="Arial" w:hAnsi="Arial"/>
          <w:sz w:val="18"/>
          <w:szCs w:val="18"/>
          <w:color w:val="auto"/>
        </w:rPr>
        <w:t>rate of exchange for the period, and assets and liabilities are converted at the closing rates on the period end date. Gains and losses on translation of these accounts are accumulated and reported as a separate component of equity and other comprehensive income. Gains and</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losses on foreign currency transactions, including foreign currency denominated intercompany loans on entities with a functional currency in U.S. dollars, are recognized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value of the award. The Company measures compensation expense for awards settled in cash, or that may be settled in cash, based on the fair value at each reporting date. The Company recognizes the expense over the requisite service period, which is generally the vesting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 of the award. Stock award forfeitures are accounted for as they occur.</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calculated under the two-class method. The Company treats restricted stock as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security due to its nonforfeitable right to dividends. Under the two-class method, the Company allocates to the participating</w:t>
      </w:r>
    </w:p>
    <w:p>
      <w:pPr>
        <w:spacing w:after="0" w:line="235" w:lineRule="auto"/>
        <w:rPr>
          <w:sz w:val="20"/>
          <w:szCs w:val="20"/>
          <w:color w:val="auto"/>
        </w:rPr>
      </w:pPr>
      <w:r>
        <w:rPr>
          <w:rFonts w:ascii="Arial" w:cs="Arial" w:eastAsia="Arial" w:hAnsi="Arial"/>
          <w:sz w:val="18"/>
          <w:szCs w:val="18"/>
          <w:color w:val="auto"/>
        </w:rPr>
        <w:t>securities their portion of dividends declared and undistributed earnings to the extent the participating securities may share in the earnings as</w:t>
      </w:r>
    </w:p>
    <w:p>
      <w:pPr>
        <w:ind w:right="360"/>
        <w:spacing w:after="0" w:line="226" w:lineRule="auto"/>
        <w:rPr>
          <w:sz w:val="20"/>
          <w:szCs w:val="20"/>
          <w:color w:val="auto"/>
        </w:rPr>
      </w:pPr>
      <w:r>
        <w:rPr>
          <w:rFonts w:ascii="Arial" w:cs="Arial" w:eastAsia="Arial" w:hAnsi="Arial"/>
          <w:sz w:val="18"/>
          <w:szCs w:val="18"/>
          <w:color w:val="auto"/>
        </w:rPr>
        <w:t>if all earnings for the period had been distributed. Basic earnings per share is calculated by dividing the income available to common stockholders by the weighted average number of common shares outstanding during the period. Diluted earnings per share is calculated</w:t>
      </w:r>
    </w:p>
    <w:p>
      <w:pPr>
        <w:spacing w:after="0" w:line="236" w:lineRule="auto"/>
        <w:rPr>
          <w:sz w:val="20"/>
          <w:szCs w:val="20"/>
          <w:color w:val="auto"/>
        </w:rPr>
      </w:pPr>
      <w:r>
        <w:rPr>
          <w:rFonts w:ascii="Arial" w:cs="Arial" w:eastAsia="Arial" w:hAnsi="Arial"/>
          <w:sz w:val="18"/>
          <w:szCs w:val="18"/>
          <w:color w:val="auto"/>
        </w:rPr>
        <w:t>similarly except that the weighted average number of common shares outstanding during the period includes the dilutive effect of the</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assumed exercise of options and restricted stock issuable under the Company’s stock plans. The dilutive effect of potentially dilutive securities is reflected in diluted earnings per share by application of the treasury stock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of a group of minority shareholders, consisting of a group of senior managers of the healthcare business, in subsidiaries of Graham Healthcare Group (GHG). The Company established GHC One LLC (GHC One) and GHC Two LLC (GHC Two) as vehicles to invest in a</w:t>
      </w:r>
    </w:p>
    <w:p>
      <w:pPr>
        <w:spacing w:after="0" w:line="235" w:lineRule="auto"/>
        <w:rPr>
          <w:sz w:val="20"/>
          <w:szCs w:val="20"/>
          <w:color w:val="auto"/>
        </w:rPr>
      </w:pPr>
      <w:r>
        <w:rPr>
          <w:rFonts w:ascii="Arial" w:cs="Arial" w:eastAsia="Arial" w:hAnsi="Arial"/>
          <w:sz w:val="18"/>
          <w:szCs w:val="18"/>
          <w:color w:val="auto"/>
        </w:rPr>
        <w:t>portfolio of healthcare businesses together with the group of senior managers of GHG. As the holder of preferred units, the Company is</w:t>
      </w:r>
    </w:p>
    <w:p>
      <w:pPr>
        <w:spacing w:after="0"/>
        <w:rPr>
          <w:sz w:val="20"/>
          <w:szCs w:val="20"/>
          <w:color w:val="auto"/>
        </w:rPr>
      </w:pPr>
      <w:r>
        <w:rPr>
          <w:rFonts w:ascii="Arial" w:cs="Arial" w:eastAsia="Arial" w:hAnsi="Arial"/>
          <w:sz w:val="17"/>
          <w:szCs w:val="17"/>
          <w:color w:val="auto"/>
        </w:rPr>
        <w:t>obligated to contribute 95% of the capital required for the acquisition of portfolio investments with the remaining 5% of the capital coming from the group of senior managers. The operating agreements of GHC One and GHC Two require the dissolution of the entities on March 31,</w:t>
      </w:r>
    </w:p>
    <w:p>
      <w:pPr>
        <w:spacing w:after="0" w:line="235" w:lineRule="auto"/>
        <w:rPr>
          <w:sz w:val="20"/>
          <w:szCs w:val="20"/>
          <w:color w:val="auto"/>
        </w:rPr>
      </w:pPr>
      <w:r>
        <w:rPr>
          <w:rFonts w:ascii="Arial" w:cs="Arial" w:eastAsia="Arial" w:hAnsi="Arial"/>
          <w:sz w:val="18"/>
          <w:szCs w:val="18"/>
          <w:color w:val="auto"/>
        </w:rPr>
        <w:t>2026, and March 31, 2029, respectively, at which time the net assets will be distributed to its members. As a preferred unit holder, the</w:t>
      </w:r>
    </w:p>
    <w:p>
      <w:pPr>
        <w:ind w:right="180"/>
        <w:spacing w:after="0"/>
        <w:rPr>
          <w:sz w:val="20"/>
          <w:szCs w:val="20"/>
          <w:color w:val="auto"/>
        </w:rPr>
      </w:pPr>
      <w:r>
        <w:rPr>
          <w:rFonts w:ascii="Arial" w:cs="Arial" w:eastAsia="Arial" w:hAnsi="Arial"/>
          <w:sz w:val="17"/>
          <w:szCs w:val="17"/>
          <w:color w:val="auto"/>
        </w:rPr>
        <w:t>Company will receive an amount up to its contributed capital plus a preferred annual return of 8% (guaranteed return) after the group of senior managers has received the redemption of their 5% interest in net assets (manager return). All distributions in excess of the manager</w:t>
      </w:r>
    </w:p>
    <w:p>
      <w:pPr>
        <w:spacing w:after="0" w:line="235" w:lineRule="auto"/>
        <w:rPr>
          <w:sz w:val="20"/>
          <w:szCs w:val="20"/>
          <w:color w:val="auto"/>
        </w:rPr>
      </w:pPr>
      <w:r>
        <w:rPr>
          <w:rFonts w:ascii="Arial" w:cs="Arial" w:eastAsia="Arial" w:hAnsi="Arial"/>
          <w:sz w:val="18"/>
          <w:szCs w:val="18"/>
          <w:color w:val="auto"/>
        </w:rPr>
        <w:t>and guaranteed return will be paid to common unit holders, which currently comprise the group of senior managers of GHG. The Company</w:t>
      </w:r>
    </w:p>
    <w:p>
      <w:pPr>
        <w:ind w:right="20"/>
        <w:spacing w:after="0" w:line="226" w:lineRule="auto"/>
        <w:rPr>
          <w:sz w:val="20"/>
          <w:szCs w:val="20"/>
          <w:color w:val="auto"/>
        </w:rPr>
      </w:pPr>
      <w:r>
        <w:rPr>
          <w:rFonts w:ascii="Arial" w:cs="Arial" w:eastAsia="Arial" w:hAnsi="Arial"/>
          <w:sz w:val="18"/>
          <w:szCs w:val="18"/>
          <w:color w:val="auto"/>
        </w:rPr>
        <w:t>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w:t>
      </w:r>
    </w:p>
    <w:p>
      <w:pPr>
        <w:spacing w:after="0" w:line="236" w:lineRule="auto"/>
        <w:rPr>
          <w:sz w:val="20"/>
          <w:szCs w:val="20"/>
          <w:color w:val="auto"/>
        </w:rPr>
      </w:pPr>
      <w:r>
        <w:rPr>
          <w:rFonts w:ascii="Arial" w:cs="Arial" w:eastAsia="Arial" w:hAnsi="Arial"/>
          <w:sz w:val="18"/>
          <w:szCs w:val="18"/>
          <w:color w:val="auto"/>
        </w:rPr>
        <w:t>redeemable noncontrolling interest is reported as a noncurrent liability at December 31, 2024 and 2023 in the Consolidated Balance Sheets.</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Company presents this liability at fair value, which is computed quarterly at the current redemption value. Changes in the redemption value are recorded as interest expense or income in the Company’s Consolidated Statement of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7" w:name="page88"/>
    <w:bookmarkEnd w:id="87"/>
    <w:p>
      <w:pPr>
        <w:ind w:right="100"/>
        <w:spacing w:after="0" w:line="271"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CSI,</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87.5% owned; Framebridge, which is 93.4% owned; Impact Medical, which is 50.1% owned; and Skin Clique, which is 51% owned.</w:t>
      </w:r>
    </w:p>
    <w:p>
      <w:pPr>
        <w:spacing w:after="0" w:line="8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CSI’s minority shareholders may put up to 50% of their shares to the Company. The first put period began in 2022. A second put period for another tranche of shares began in 2024. In December 2024, the Company acquired some of the minority-owned shares of CSI for a total</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estimated amount of $2.0 million. Prior to the redemption, the Company owned 86.7% of CSI. In December 2023, the Company acquired some of the minority-owned shares of CSI for a total amount of $20.0 million. Prior to the redemption, the Company owned 76.5% of CSI. In</w:t>
      </w:r>
    </w:p>
    <w:p>
      <w:pPr>
        <w:spacing w:after="0" w:line="235" w:lineRule="auto"/>
        <w:rPr>
          <w:sz w:val="20"/>
          <w:szCs w:val="20"/>
          <w:color w:val="auto"/>
        </w:rPr>
      </w:pPr>
      <w:r>
        <w:rPr>
          <w:rFonts w:ascii="Arial" w:cs="Arial" w:eastAsia="Arial" w:hAnsi="Arial"/>
          <w:sz w:val="18"/>
          <w:szCs w:val="18"/>
          <w:color w:val="auto"/>
        </w:rPr>
        <w:t>November 2022, a CSI minority shareholder put some shares to the Company, which had a redemption value of $1.2 million. Prior to the</w:t>
      </w:r>
    </w:p>
    <w:p>
      <w:pPr>
        <w:ind w:right="440"/>
        <w:spacing w:after="0" w:line="226" w:lineRule="auto"/>
        <w:rPr>
          <w:sz w:val="20"/>
          <w:szCs w:val="20"/>
          <w:color w:val="auto"/>
        </w:rPr>
      </w:pPr>
      <w:r>
        <w:rPr>
          <w:rFonts w:ascii="Arial" w:cs="Arial" w:eastAsia="Arial" w:hAnsi="Arial"/>
          <w:sz w:val="18"/>
          <w:szCs w:val="18"/>
          <w:color w:val="auto"/>
        </w:rPr>
        <w:t>redemption, the Company owned 75% of CSI. The minority shareholder of Framebridge has an option to put 20% of the shares to the Company annually starting in 2024. The minority shareholder of Impact Medical has an option to put 10% of the shares to the Company</w:t>
      </w:r>
    </w:p>
    <w:p>
      <w:pPr>
        <w:spacing w:after="0" w:line="236" w:lineRule="auto"/>
        <w:rPr>
          <w:sz w:val="20"/>
          <w:szCs w:val="20"/>
          <w:color w:val="auto"/>
        </w:rPr>
      </w:pPr>
      <w:r>
        <w:rPr>
          <w:rFonts w:ascii="Arial" w:cs="Arial" w:eastAsia="Arial" w:hAnsi="Arial"/>
          <w:sz w:val="18"/>
          <w:szCs w:val="18"/>
          <w:color w:val="auto"/>
        </w:rPr>
        <w:t>annually starting in 2026 and may put all of the shares starting in 2033. The minority shareholders of Skin Clique have the option to put all or</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 portion of their shares to the Company starting in 2029 and ending in 2032. The Company presents the redeemable noncontrolling interests at the greater of its carrying amount or redemption value at the end of each reporting period in the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redemption value are recorded as capital in excess of par value in the Company’s Consolidated Balance Sheets.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November 2023, the Financial Accounting Standards Board (FASB)</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issued new guidance that requires enhanced disclosures related to reportable segments that includes, among other disclosures, identifying significant segment expenses on an annual and interim basis. The standard was adopted by the Company in the fourth quarter of 2024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was applied retrospectively to all prior periods presented in the Consolidated Financial Statements.</w:t>
      </w:r>
    </w:p>
    <w:p>
      <w:pPr>
        <w:spacing w:after="0" w:line="126"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In December 2023, the FASB issued new guidance that requires enhanced income tax disclosures related to the rate reconciliation, information on income taxes paid and other items. The guidance is effective for annual periods beginning after December 15, 2024. Early</w:t>
      </w:r>
    </w:p>
    <w:p>
      <w:pPr>
        <w:ind w:right="80"/>
        <w:spacing w:after="0" w:line="237" w:lineRule="auto"/>
        <w:rPr>
          <w:sz w:val="20"/>
          <w:szCs w:val="20"/>
          <w:color w:val="auto"/>
        </w:rPr>
      </w:pPr>
      <w:r>
        <w:rPr>
          <w:rFonts w:ascii="Arial" w:cs="Arial" w:eastAsia="Arial" w:hAnsi="Arial"/>
          <w:sz w:val="18"/>
          <w:szCs w:val="18"/>
          <w:color w:val="auto"/>
        </w:rPr>
        <w:t>adoption is permitted. The standard permits both prospective and retrospective application. The Company is in the process of evaluating the impact of this new guidance on the disclosures within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2024, the FASB issued new guidance that requires disclosures about certain significant expense categories including inventory</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purchases, employee compensation, depreciation, amortization, and selling expenses. The guidance is effective for fiscal years beginning after December 15, 2026, and interim periods within fiscal years beginning after December 15, 2027. Early adoption is permitted.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is in the process of evaluating the impact of this new guidance on the disclosures within its Consolidated Financial Statements.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new accounting pronouncements issued but not effective until after December 31, 2024, are not expected to have a material impact on the Company’s Consolidated Financial Statements.</w:t>
      </w:r>
    </w:p>
    <w:p>
      <w:pPr>
        <w:spacing w:after="0" w:line="112"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58"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2024, the Company acquired two small businesses. The assets and liabilities of the companies acquired were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at their estimated fair values at the date of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2024, the Company acquired one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May 2024, Kaplan acquired one small business which is included in its international division.</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2023, the Company acquired five businesses: three in healthcare, one in automotive, and one in other businesses for $83.3 million in cash and contingent consideration and the assumption of floor plan payables. The assets and liabilities of the companies acquired were recorded at their estimated fair values at the date of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5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 dealership operations. In addition to a cash payment and the assumption of $2.2 million in floor plan payables, the automotive subsidiary</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borrowed $37.0 million to finance the acquisition. The dealership is operated and managed by an entity affiliated with Christopher J. Ourisman, a member of the Ourisman Automotive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Group family of dealerships. This acquisition expands the Company’s automotive business operations and is included in automotive.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healthcare.</w:t>
      </w:r>
    </w:p>
    <w:p>
      <w:pPr>
        <w:spacing w:after="0" w:line="14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During 2022, the Company acquired seven businesses: five in healthcare and two in automotive, for $143.2 million in cash and contingent consideration and the assumption of floor plan payables. The assets and liabilities of the companies acquired were recorded at their estimated fair values at the date of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operations. In addition to a cash payment and the assumption of $10.9 million in floor plan payables, the automotive subsidiary borrowed $77.4 million to finance the acquisition. The dealerships are operated and managed by an entity affiliated with Christopher J. Ourisman, a</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member of the Ourisman Automotive Group family of dealerships. These acquisitions expand the Company’s automotive business operations and are included in automotive.</w:t>
      </w:r>
    </w:p>
    <w:p>
      <w:pPr>
        <w:spacing w:after="0" w:line="10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In July 2022, GHG acquired a 100% interest in a multi-state provider of Applied Behavior Analysis (ABA) clinics, now known as Surpass Behavioral Health. The acquisition is expected to expand the product offerings of the healthcare division and is included in healthcare.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GHG acquired two small businesses which are included in healthcare.</w:t>
      </w:r>
    </w:p>
    <w:p>
      <w:pPr>
        <w:spacing w:after="0" w:line="14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Acquisition-related costs for acquisitions that closed during 2023 and 2022 were $1.2 million and $1.7 million, respectively, and were expensed as incurred. The aggregate purchase price of these acquisitions was allocated as follows, based on acquisition date fair values to the following assets and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Purchase Price Allocation</w:t>
            </w:r>
          </w:p>
        </w:tc>
      </w:tr>
      <w:tr>
        <w:trPr>
          <w:trHeight w:val="209"/>
        </w:trPr>
        <w:tc>
          <w:tcPr>
            <w:tcW w:w="8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94"/>
        </w:trPr>
        <w:tc>
          <w:tcPr>
            <w:tcW w:w="8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16"/>
                <w:szCs w:val="16"/>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color w:val="auto"/>
              </w:rPr>
              <w:t>2022</w:t>
            </w:r>
          </w:p>
        </w:tc>
      </w:tr>
      <w:tr>
        <w:trPr>
          <w:trHeight w:val="22"/>
        </w:trPr>
        <w:tc>
          <w:tcPr>
            <w:tcW w:w="8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8"/>
        </w:trPr>
        <w:tc>
          <w:tcPr>
            <w:tcW w:w="85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3,172</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5,224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21,278</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29,859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36,255</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4,773</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45,968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53,946</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6,300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41,800</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(2,215)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(10,908)</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(935)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(3,798)</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(1,184)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(5,865)</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(2,164)</w:t>
            </w:r>
          </w:p>
        </w:tc>
      </w:tr>
      <w:tr>
        <w:trPr>
          <w:trHeight w:val="238"/>
        </w:trPr>
        <w:tc>
          <w:tcPr>
            <w:tcW w:w="85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83,324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142,116</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$45.0 million and $39.7 million of goodwill for income tax purposes for the acquisitions completed in 2023 and 2022, respectively.</w:t>
      </w:r>
    </w:p>
    <w:p>
      <w:pPr>
        <w:spacing w:after="0" w:line="10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includes the 2023 acquisitions as if they occurred at the beginning of 2022 and the 2022 acquisitions as if they had occurred at the beginning of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060" w:type="dxa"/>
            <w:vAlign w:val="bottom"/>
          </w:tcPr>
          <w:p>
            <w:pPr>
              <w:jc w:val="right"/>
              <w:ind w:right="464"/>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6"/>
                <w:szCs w:val="16"/>
                <w:color w:val="auto"/>
              </w:rPr>
            </w:pPr>
          </w:p>
        </w:tc>
        <w:tc>
          <w:tcPr>
            <w:tcW w:w="1020" w:type="dxa"/>
            <w:vAlign w:val="bottom"/>
          </w:tcPr>
          <w:p>
            <w:pPr>
              <w:jc w:val="right"/>
              <w:ind w:right="422"/>
              <w:spacing w:after="0"/>
              <w:rPr>
                <w:sz w:val="20"/>
                <w:szCs w:val="20"/>
                <w:color w:val="auto"/>
              </w:rPr>
            </w:pPr>
            <w:r>
              <w:rPr>
                <w:rFonts w:ascii="Arial" w:cs="Arial" w:eastAsia="Arial" w:hAnsi="Arial"/>
                <w:sz w:val="14"/>
                <w:szCs w:val="14"/>
                <w:color w:val="auto"/>
              </w:rPr>
              <w:t>2022</w:t>
            </w:r>
          </w:p>
        </w:tc>
      </w:tr>
      <w:tr>
        <w:trPr>
          <w:trHeight w:val="21"/>
        </w:trPr>
        <w:tc>
          <w:tcPr>
            <w:tcW w:w="8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84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4,529,817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4,252,847</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9"/>
                <w:szCs w:val="19"/>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218,205</w:t>
            </w:r>
          </w:p>
        </w:tc>
        <w:tc>
          <w:tcPr>
            <w:tcW w:w="4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87,571</w:t>
            </w:r>
          </w:p>
        </w:tc>
      </w:tr>
    </w:tbl>
    <w:p>
      <w:pPr>
        <w:spacing w:after="0" w:line="2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transaction-related expenses incurred by the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Company and the acquired entities. The pro forma information does not include efficiencies, cost reductions and synergies expected to result</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June and September 2024, WGB completed the sales of small businesses, which were included in other</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businesses. In July 2024, Kaplan completed the sale of a small business, Red Marker, which was included in Kaplan International (see Note 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2023, the Company entered into an agreement to merge the Pinna business with Realm of Possibility, Inc. (Realm) in return for an</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additional noncontrolling financial interest in Realm (the Pinna transaction). The Company deconsolidated the Pinna subsidiary, which was included in other businesses, and continues to account for its interest in Realm under the equity method of accounting (see Notes 4 and 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October 2022, the Company entered into an agreement to merge the CyberVista business with CyberWire, Inc. in return for a</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noncontrolling financial interest in the merged entity, N2K Networks, Inc. (the CyberVista transaction). The Company deconsolidated the CyberVista subsidiary, which was included in other businesses, and accounts for its continuing interest in N2K Networks under the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method of accounting (see Notes 4 and 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December 2024, the Company acquired some of the minority-owned shares of CSI for a total estimated amount of</w:t>
      </w:r>
    </w:p>
    <w:p>
      <w:pPr>
        <w:spacing w:after="0" w:line="242" w:lineRule="auto"/>
        <w:rPr>
          <w:sz w:val="20"/>
          <w:szCs w:val="20"/>
          <w:color w:val="auto"/>
        </w:rPr>
      </w:pPr>
      <w:r>
        <w:rPr>
          <w:rFonts w:ascii="Arial" w:cs="Arial" w:eastAsia="Arial" w:hAnsi="Arial"/>
          <w:sz w:val="18"/>
          <w:szCs w:val="18"/>
          <w:color w:val="auto"/>
        </w:rPr>
        <w:t>$2.0 million. The Company will pay cash of $0.6 million and has entered into a promissory note with the minority owner for the remaining $1.4 million at an interest rate of 5.5% per annum. The note is included in other indebtedness (see Note 11) and is due and payable on January 31, 2026. Following the redemption, the Company owns 87.5% of CSI.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the Company acquired some of the minority-owned shares of CSI for a total amount of $20.0 million. The Company paid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cash of $5.0 million and entered into a promissory note with the minority owners for the remaining $15.0 million at an interest rate of 8% per annum. The note is included in other indebtedness (see Note 11) and payable in quarterly installments with the final payment due by January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2027. Following the redemption, the Company owned 86.7% of CSI.</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November 2022, a CSI minority shareholder put some shares to the Company, which had a redemption value of $1.2 million. Following the redemption, the Company owned 76.5% of CSI.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Company holds a controlling financial interest in GHC One and GHC Two and therefore includes the assets,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liabilities, results of operations and cash flows in its consolidated financial statements. GHC One acquired CSI and Clarus during 2019. GHC Two acquired Impact Medical during 2021 and Skin Clique and Surpass in 2022. The Company accounts for the minority ownership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group of senior managers in GHC One and GHC Two as a mandatorily redeemable noncontrolling interest (see Note 2 and 12).</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color w:val="auto"/>
        </w:rPr>
        <w:t>On February 25, 2025, the Company and a group of minority shareholders entered into an agreement to settle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mandatorily redeemable noncontrolling interest related to GHC One, including CSI, for a total of $205 million,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consists of approximately $186.25 million in cash and $18.75 million in Graham Holdings Company Class B common stock.</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settlement agreement resulted in a $ 66.2 million increase to the mandatorily redeemable noncontrolling interest obligation, which the Company will record as interest expense in the first quarter of 2025. The transaction, which materialized subsequent to year-end, closed on</w:t>
      </w:r>
    </w:p>
    <w:p>
      <w:pPr>
        <w:spacing w:after="0" w:line="1" w:lineRule="exact"/>
        <w:rPr>
          <w:sz w:val="20"/>
          <w:szCs w:val="20"/>
          <w:color w:val="auto"/>
        </w:rPr>
      </w:pPr>
    </w:p>
    <w:p>
      <w:pPr>
        <w:ind w:right="780"/>
        <w:spacing w:after="0" w:line="250" w:lineRule="auto"/>
        <w:rPr>
          <w:sz w:val="20"/>
          <w:szCs w:val="20"/>
          <w:color w:val="auto"/>
        </w:rPr>
      </w:pPr>
      <w:r>
        <w:rPr>
          <w:rFonts w:ascii="Arial" w:cs="Arial" w:eastAsia="Arial" w:hAnsi="Arial"/>
          <w:sz w:val="18"/>
          <w:szCs w:val="18"/>
          <w:color w:val="auto"/>
        </w:rPr>
        <w:t>February 25, 2025; the remaining mandatorily redeemable noncontrolling interest obligation related to GHC One and GHC Two was $20.7 million at December 31, 2024.</w:t>
      </w:r>
    </w:p>
    <w:p>
      <w:pPr>
        <w:spacing w:after="0" w:line="104"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58"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2024 and 2023, the Company had money market investments of $3.9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$5.6 million, respectively, that are classified as cash and cash equivalents in the Company’s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227,153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225,971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627,760</w:t>
            </w:r>
          </w:p>
        </w:tc>
        <w:tc>
          <w:tcPr>
            <w:tcW w:w="30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464,182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(2,479)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852,434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690,153</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At December 31, 2024 and 2023, the Company owned 55,430 shares in Markel Group Inc. (Markel) valued at $95.7 million and $78.7 million,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respectively. The Chief Executive Officer of Markel, Mr. Thomas S. Gayner, is a member of the Company’s Board of Directors. As of December 31, 2024, the Company owned 422 Class A and 482,945 Class B shares in Berkshire Hathaway valued at $506.3 million, which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exceeded 5% of the Company’s total assets.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purchased $5.0 million, $4.6 million, and $42.1 million, of which $1.5 million was settled in January 2023, of marketable equity securities during 2024, 2023 and 2022, respectively.</w:t>
      </w:r>
    </w:p>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2024, 2023 and 2022, the gross cumulative realized net gains from the sales of marketable equity securities were $20.2 million, $13.0 million and $58.1 million, respectively. The total proceeds from such sales were $23.5 million, $62.0 million and $102.0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181,295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138,067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(139,589)</w:t>
            </w:r>
          </w:p>
        </w:tc>
        <w:tc>
          <w:tcPr>
            <w:tcW w:w="0" w:type="dxa"/>
            <w:vAlign w:val="bottom"/>
          </w:tcPr>
          <w:p>
            <w:pPr>
              <w:spacing w:after="0"/>
              <w:rPr>
                <w:sz w:val="1"/>
                <w:szCs w:val="1"/>
                <w:color w:val="auto"/>
              </w:rPr>
            </w:pPr>
          </w:p>
        </w:tc>
      </w:tr>
      <w:tr>
        <w:trPr>
          <w:trHeight w:val="231"/>
        </w:trPr>
        <w:tc>
          <w:tcPr>
            <w:tcW w:w="7680" w:type="dxa"/>
            <w:vAlign w:val="bottom"/>
          </w:tcPr>
          <w:p>
            <w:pPr>
              <w:ind w:left="2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(6,010)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27,786</w:t>
            </w:r>
          </w:p>
        </w:tc>
        <w:tc>
          <w:tcPr>
            <w:tcW w:w="0" w:type="dxa"/>
            <w:vAlign w:val="bottom"/>
          </w:tcPr>
          <w:p>
            <w:pPr>
              <w:spacing w:after="0"/>
              <w:rPr>
                <w:sz w:val="1"/>
                <w:szCs w:val="1"/>
                <w:color w:val="auto"/>
              </w:rPr>
            </w:pPr>
          </w:p>
        </w:tc>
      </w:tr>
      <w:tr>
        <w:trPr>
          <w:trHeight w:val="161"/>
        </w:trPr>
        <w:tc>
          <w:tcPr>
            <w:tcW w:w="76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gains (losses) in earnings from marketable equity securities still held at the end of</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175,285</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132,592</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(111,803)</w:t>
            </w:r>
          </w:p>
        </w:tc>
        <w:tc>
          <w:tcPr>
            <w:tcW w:w="0" w:type="dxa"/>
            <w:vAlign w:val="bottom"/>
          </w:tcPr>
          <w:p>
            <w:pPr>
              <w:spacing w:after="0"/>
              <w:rPr>
                <w:sz w:val="1"/>
                <w:szCs w:val="1"/>
                <w:color w:val="auto"/>
              </w:rPr>
            </w:pPr>
          </w:p>
        </w:tc>
      </w:tr>
      <w:tr>
        <w:trPr>
          <w:trHeight w:val="208"/>
        </w:trPr>
        <w:tc>
          <w:tcPr>
            <w:tcW w:w="7680" w:type="dxa"/>
            <w:vAlign w:val="bottom"/>
          </w:tcPr>
          <w:p>
            <w:pPr>
              <w:ind w:left="180"/>
              <w:spacing w:after="0"/>
              <w:rPr>
                <w:sz w:val="20"/>
                <w:szCs w:val="20"/>
                <w:color w:val="auto"/>
              </w:rPr>
            </w:pPr>
            <w:r>
              <w:rPr>
                <w:rFonts w:ascii="Arial" w:cs="Arial" w:eastAsia="Arial" w:hAnsi="Arial"/>
                <w:sz w:val="16"/>
                <w:szCs w:val="16"/>
                <w:b w:val="1"/>
                <w:bCs w:val="1"/>
                <w:color w:val="auto"/>
              </w:rPr>
              <w:t>the year</w:t>
            </w:r>
          </w:p>
        </w:tc>
        <w:tc>
          <w:tcPr>
            <w:tcW w:w="2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2024, the Company’s healthcare subsidiary held investments in several affiliates that GHG</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manages; GHG held a 40% interest in each of the following affiliates: Residential Home Health Illinois, Residential Hospice Illinois,</w:t>
      </w:r>
    </w:p>
    <w:p>
      <w:pPr>
        <w:spacing w:after="0" w:line="235" w:lineRule="auto"/>
        <w:rPr>
          <w:sz w:val="20"/>
          <w:szCs w:val="20"/>
          <w:color w:val="auto"/>
        </w:rPr>
      </w:pPr>
      <w:r>
        <w:rPr>
          <w:rFonts w:ascii="Arial" w:cs="Arial" w:eastAsia="Arial" w:hAnsi="Arial"/>
          <w:sz w:val="18"/>
          <w:szCs w:val="18"/>
          <w:color w:val="auto"/>
        </w:rPr>
        <w:t>Mary Free Bed at Home, and Allegheny Health Network (AHN) Healthcare at Home. During the first quarter of 2022, GHG invested an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additional $18.5 million in the Residential Home Health Illinois and Residential Hospice Illinois affiliates to fund their acquisition of certain home health and hospice assets of the NorthShore University HealthSystem. The transaction diluted GHG’s interest in Residential Hospice</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Illinois resulting in a $0.6 million gain on sale of investment in affiliate (see Note 16). For the years ended December 31, 2024, 2023 and 2022, GHG recorded $17.5 million, $15.6 million and $13.9 million, respectively, in revenue for services provided to its affiliates.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Company held an approximate 18% interest in Intersection Holdings, LLC (Intersection), and accounts for its</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investment under the equity method. The Company holds two of the 10 seats of Intersection’s governing board, which allows the Company to exercise significant influence over Intersection. In April 2023, the Company loaned Intersection $30.0 million, which is repayable over five</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years at an interest rate of 9% per annum. The outstanding balance on this loan was $25.7 million as of December 31, 2024. The loan is repayable by May 2028.</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As of December 31, 2024, the Company held a 50.4% interest in N2K Networks on a fully diluted basis, and accounts for its investment under the equity method. The Company holds two of the five seats of N2K Networks’ governing board with the other shareholders retaining</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substantive participation rights to control the financial and operating decisions of N2K Networks through their representation on the board. In May 2024, the Company entered into a convertible promissory note agreement to loan N2K Networks $2.0 million. The convertible</w:t>
      </w:r>
    </w:p>
    <w:p>
      <w:pPr>
        <w:spacing w:after="0" w:line="236" w:lineRule="auto"/>
        <w:rPr>
          <w:sz w:val="20"/>
          <w:szCs w:val="20"/>
          <w:color w:val="auto"/>
        </w:rPr>
      </w:pPr>
      <w:r>
        <w:rPr>
          <w:rFonts w:ascii="Arial" w:cs="Arial" w:eastAsia="Arial" w:hAnsi="Arial"/>
          <w:sz w:val="18"/>
          <w:szCs w:val="18"/>
          <w:color w:val="auto"/>
        </w:rPr>
        <w:t>promissory note bears interest at a rate of 12% per annum and, subject to conversion provisions, all unpaid interest and principal are due by</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May 2027. In the third quarter of 2024, the Company recorded an impairment charge of $14.4 million on its investment in N2K Networks as a result of the investee exiting a significant product offering following losses incurred in the current and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2023, the Company entered into an agreement to merge the Pinna business with Realm in return for an additional noncontrolling</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financial interest in Realm. The Company held an equity interest in Realm prior to the merger transaction, which was accounted for under the equity method. Following the merger transaction, the Company’s convertible note in Realm was converted into equity and the Company also</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made an additional investment in Realm. As of December 31, 2024, the Company held a 41.4% interest in Realm on a fully diluted basis, and continues to account for its investment under the equity method.</w:t>
      </w:r>
    </w:p>
    <w:p>
      <w:pPr>
        <w:spacing w:after="0" w:line="104"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$38.0 million and $36.9 million in its investment account that represents cumulative undistributed income in its investments in affiliates as of December 31, 2024 and 2023, respectively.</w:t>
      </w:r>
    </w:p>
    <w:p>
      <w:pPr>
        <w:spacing w:after="0" w:line="1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£19.3 million as of December 31, 2024. The loan is repayable by December 2041.</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identical or similar investments of the same issuer. The carrying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value of these investments was $74.8 million and $74.0 million as of December 31, 2024 and 2023, respectively. During the year ended</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December 31, 2024, the Company recorded losses of $1.7 million to those equity securities based on observable transactions. During the years ended December 31, 2024, 2023 and 2022, the Company recorded gains of $0.2 million, $3.1 million and $6.9 million, respectively, to</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those equity securities based on observable transactions. For the years ended December 31, 2024, 2023 and 2022, the Company recorded impairment losses of $0.7 million, $0.5 million and $1.3 million, respectively, to those securities.</w:t>
      </w:r>
    </w:p>
    <w:p>
      <w:pPr>
        <w:spacing w:after="0" w:line="104"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VEHICLE FLOOR PLAN PAYABLE AND 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$23,719 and $24,667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477,827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496,172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36,599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28,915</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514,426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525,087</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were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Additions –</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740" w:type="dxa"/>
            <w:vAlign w:val="bottom"/>
          </w:tcPr>
          <w:p>
            <w:pPr>
              <w:jc w:val="center"/>
              <w:ind w:left="2268"/>
              <w:spacing w:after="0" w:line="149" w:lineRule="exact"/>
              <w:rPr>
                <w:sz w:val="20"/>
                <w:szCs w:val="20"/>
                <w:color w:val="auto"/>
              </w:rPr>
            </w:pPr>
            <w:r>
              <w:rPr>
                <w:rFonts w:ascii="Arial" w:cs="Arial" w:eastAsia="Arial" w:hAnsi="Arial"/>
                <w:sz w:val="14"/>
                <w:szCs w:val="14"/>
                <w:b w:val="1"/>
                <w:bCs w:val="1"/>
                <w:color w:val="auto"/>
              </w:rPr>
              <w:t>Balance at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Charged to</w:t>
            </w:r>
          </w:p>
        </w:tc>
        <w:tc>
          <w:tcPr>
            <w:tcW w:w="1320" w:type="dxa"/>
            <w:vAlign w:val="bottom"/>
          </w:tcPr>
          <w:p>
            <w:pPr>
              <w:spacing w:after="0"/>
              <w:rPr>
                <w:sz w:val="12"/>
                <w:szCs w:val="12"/>
                <w:color w:val="auto"/>
              </w:rPr>
            </w:pPr>
          </w:p>
        </w:tc>
        <w:tc>
          <w:tcPr>
            <w:tcW w:w="10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2"/>
        </w:trPr>
        <w:tc>
          <w:tcPr>
            <w:tcW w:w="3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740" w:type="dxa"/>
            <w:vAlign w:val="bottom"/>
          </w:tcPr>
          <w:p>
            <w:pPr>
              <w:jc w:val="center"/>
              <w:ind w:left="2308"/>
              <w:spacing w:after="0"/>
              <w:rPr>
                <w:sz w:val="20"/>
                <w:szCs w:val="20"/>
                <w:color w:val="auto"/>
              </w:rPr>
            </w:pPr>
            <w:r>
              <w:rPr>
                <w:rFonts w:ascii="Arial" w:cs="Arial" w:eastAsia="Arial" w:hAnsi="Arial"/>
                <w:sz w:val="14"/>
                <w:szCs w:val="14"/>
                <w:b w:val="1"/>
                <w:bCs w:val="1"/>
                <w:color w:val="auto"/>
              </w:rPr>
              <w:t>Beginning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1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Deductions</w:t>
            </w: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3740" w:type="dxa"/>
            <w:vAlign w:val="bottom"/>
          </w:tcPr>
          <w:p>
            <w:pPr>
              <w:jc w:val="center"/>
              <w:ind w:left="2308"/>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320" w:type="dxa"/>
            <w:vAlign w:val="bottom"/>
            <w:vMerge w:val="continue"/>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0" w:type="dxa"/>
            <w:vAlign w:val="bottom"/>
            <w:tcBorders>
              <w:top w:val="single" w:sz="8" w:color="auto"/>
            </w:tcBorders>
          </w:tcPr>
          <w:p>
            <w:pPr>
              <w:jc w:val="right"/>
              <w:ind w:right="2739"/>
              <w:spacing w:after="0"/>
              <w:rPr>
                <w:sz w:val="20"/>
                <w:szCs w:val="20"/>
                <w:color w:val="auto"/>
              </w:rPr>
            </w:pPr>
            <w:r>
              <w:rPr>
                <w:rFonts w:ascii="Arial" w:cs="Arial" w:eastAsia="Arial" w:hAnsi="Arial"/>
                <w:sz w:val="16"/>
                <w:szCs w:val="16"/>
                <w:b w:val="1"/>
                <w:bCs w:val="1"/>
                <w:color w:val="auto"/>
              </w:rPr>
              <w:t>2024</w:t>
            </w:r>
          </w:p>
        </w:tc>
        <w:tc>
          <w:tcPr>
            <w:tcW w:w="31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24,667</w:t>
            </w:r>
          </w:p>
        </w:tc>
        <w:tc>
          <w:tcPr>
            <w:tcW w:w="5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3,591</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(4,539)</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23,719</w:t>
            </w:r>
          </w:p>
        </w:tc>
      </w:tr>
      <w:tr>
        <w:trPr>
          <w:trHeight w:val="221"/>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2023</w:t>
            </w:r>
          </w:p>
        </w:tc>
        <w:tc>
          <w:tcPr>
            <w:tcW w:w="3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21,387</w:t>
            </w:r>
          </w:p>
        </w:tc>
        <w:tc>
          <w:tcPr>
            <w:tcW w:w="5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24,667</w:t>
            </w:r>
          </w:p>
        </w:tc>
      </w:tr>
      <w:tr>
        <w:trPr>
          <w:trHeight w:val="229"/>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2022</w:t>
            </w:r>
          </w:p>
        </w:tc>
        <w:tc>
          <w:tcPr>
            <w:tcW w:w="3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21,836</w:t>
            </w:r>
          </w:p>
        </w:tc>
        <w:tc>
          <w:tcPr>
            <w:tcW w:w="5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2,958</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(3,407)</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21,387</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160,384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154,484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147,884</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148,300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172,915</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154,580</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231,322</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237,157</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712,505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694,521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$0.5 million are included in accounts payable at December 31, 2023.</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(Truist and Toyota floor plan facility) and Ford Motor Credit Company (Ford floor plan facility). On September 26,</w:t>
      </w:r>
    </w:p>
    <w:p>
      <w:pPr>
        <w:spacing w:after="0" w:line="235" w:lineRule="auto"/>
        <w:rPr>
          <w:sz w:val="20"/>
          <w:szCs w:val="20"/>
          <w:color w:val="auto"/>
        </w:rPr>
      </w:pPr>
      <w:r>
        <w:rPr>
          <w:rFonts w:ascii="Arial" w:cs="Arial" w:eastAsia="Arial" w:hAnsi="Arial"/>
          <w:sz w:val="18"/>
          <w:szCs w:val="18"/>
          <w:color w:val="auto"/>
        </w:rPr>
        <w:t>2023, the Company entered into a credit agreement with Truist Bank (see Note 11) to, among other things, establish a new revolving floor</w:t>
      </w:r>
    </w:p>
    <w:p>
      <w:pPr>
        <w:spacing w:after="0"/>
        <w:rPr>
          <w:sz w:val="20"/>
          <w:szCs w:val="20"/>
          <w:color w:val="auto"/>
        </w:rPr>
      </w:pPr>
      <w:r>
        <w:rPr>
          <w:rFonts w:ascii="Arial" w:cs="Arial" w:eastAsia="Arial" w:hAnsi="Arial"/>
          <w:sz w:val="17"/>
          <w:szCs w:val="17"/>
          <w:color w:val="auto"/>
        </w:rPr>
        <w:t>plan credit facility with an aggregate capacity of $115.0 million. The Truist and Toyota floor plan facility bears interest at variable rates that are based on Secured Overnight Financing Rate (SOFR) plus 1.25% per annum. In connection with the establishment of the Truist and Toyota</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floor plan facility, the previous Truist floor plan facility, dated July 5, 2022, was repaid and terminated. At December 31, 2024, the floor plan facilities bore interest at variable rates that are based on SOFR and prime-based interest rates. The weighted average interest rate for the</w:t>
      </w:r>
    </w:p>
    <w:p>
      <w:pPr>
        <w:spacing w:after="0" w:line="235" w:lineRule="auto"/>
        <w:rPr>
          <w:sz w:val="20"/>
          <w:szCs w:val="20"/>
          <w:color w:val="auto"/>
        </w:rPr>
      </w:pPr>
      <w:r>
        <w:rPr>
          <w:rFonts w:ascii="Arial" w:cs="Arial" w:eastAsia="Arial" w:hAnsi="Arial"/>
          <w:sz w:val="18"/>
          <w:szCs w:val="18"/>
          <w:color w:val="auto"/>
        </w:rPr>
        <w:t>floor plan facilities was 6.7%, 6.2% and 3.2% for the years ended December 31, 2024, 2023 and 2022, respectively. The Company incurred</w:t>
      </w:r>
    </w:p>
    <w:p>
      <w:pPr>
        <w:ind w:right="240"/>
        <w:spacing w:after="0" w:line="226" w:lineRule="auto"/>
        <w:rPr>
          <w:sz w:val="20"/>
          <w:szCs w:val="20"/>
          <w:color w:val="auto"/>
        </w:rPr>
      </w:pPr>
      <w:r>
        <w:rPr>
          <w:rFonts w:ascii="Arial" w:cs="Arial" w:eastAsia="Arial" w:hAnsi="Arial"/>
          <w:sz w:val="18"/>
          <w:szCs w:val="18"/>
          <w:color w:val="auto"/>
        </w:rPr>
        <w:t>floor plan interest expense of $11.5 million, $6.6 million and $1.6 million during 2024, 2023 and 2022, respectively, which is included in interest expense in the Consolidated Statements of Operations. Changes in the vehicle floor plan payable are reported as cash flows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in the Consolidated Statements of Cash Flows.</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w:t>
      </w:r>
    </w:p>
    <w:p>
      <w:pPr>
        <w:spacing w:after="0" w:line="1" w:lineRule="exact"/>
        <w:rPr>
          <w:sz w:val="20"/>
          <w:szCs w:val="20"/>
          <w:color w:val="auto"/>
        </w:rPr>
      </w:pPr>
    </w:p>
    <w:p>
      <w:pPr>
        <w:ind w:right="920"/>
        <w:spacing w:after="0" w:line="250" w:lineRule="auto"/>
        <w:rPr>
          <w:sz w:val="20"/>
          <w:szCs w:val="20"/>
          <w:color w:val="auto"/>
        </w:rPr>
      </w:pPr>
      <w:r>
        <w:rPr>
          <w:rFonts w:ascii="Arial" w:cs="Arial" w:eastAsia="Arial" w:hAnsi="Arial"/>
          <w:sz w:val="18"/>
          <w:szCs w:val="18"/>
          <w:color w:val="auto"/>
        </w:rPr>
        <w:t>ownership, officers and key management personnel. The Company was in compliance with all of these restrictive covenants as of December 31, 2024.</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associated inventory is sold. For the years ended December 31, 2024, 2023 and 2022, the Company recognized a reduction in cost of goods sold of $9.3 million, $6.7 million and $4.6 million, respectively, related to manufacturer floor plan assistance.</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Activity related to floor plan facilities associated with new vehicles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2023</w:t>
            </w: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Obligations outstanding at the beginning of the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128,929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69,190</w:t>
            </w:r>
          </w:p>
        </w:tc>
      </w:tr>
      <w:tr>
        <w:trPr>
          <w:trHeight w:val="229"/>
        </w:trPr>
        <w:tc>
          <w:tcPr>
            <w:tcW w:w="90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733,304</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646,083</w:t>
            </w:r>
          </w:p>
        </w:tc>
      </w:tr>
      <w:tr>
        <w:trPr>
          <w:trHeight w:val="233"/>
        </w:trPr>
        <w:tc>
          <w:tcPr>
            <w:tcW w:w="90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(728,782)</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(586,344)</w:t>
            </w:r>
          </w:p>
        </w:tc>
      </w:tr>
      <w:tr>
        <w:trPr>
          <w:trHeight w:val="227"/>
        </w:trPr>
        <w:tc>
          <w:tcPr>
            <w:tcW w:w="9000" w:type="dxa"/>
            <w:vAlign w:val="bottom"/>
          </w:tcPr>
          <w:p>
            <w:pPr>
              <w:ind w:left="20"/>
              <w:spacing w:after="0"/>
              <w:rPr>
                <w:sz w:val="20"/>
                <w:szCs w:val="20"/>
                <w:color w:val="auto"/>
              </w:rPr>
            </w:pPr>
            <w:r>
              <w:rPr>
                <w:rFonts w:ascii="Arial" w:cs="Arial" w:eastAsia="Arial" w:hAnsi="Arial"/>
                <w:sz w:val="16"/>
                <w:szCs w:val="16"/>
                <w:color w:val="auto"/>
              </w:rPr>
              <w:t>Obligations outstanding at the end of the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133,451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128,929</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46,058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63,884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12,685</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15,387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234,344</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215,283</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2,721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2,657</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295,808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297,211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2023</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100,274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98,332</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248,978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238,776</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533,781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521,773</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185,674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225,004</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30,864</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36,217</w:t>
            </w:r>
          </w:p>
        </w:tc>
      </w:tr>
      <w:tr>
        <w:trPr>
          <w:trHeight w:val="220"/>
        </w:trPr>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1,099,571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1,120,102</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(550,207)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(559,788)</w:t>
            </w:r>
          </w:p>
        </w:tc>
      </w:tr>
      <w:tr>
        <w:trPr>
          <w:trHeight w:val="223"/>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549,364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560,314</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$87.0 million, $86.1 million, and $73.3 million in 2024, 2023 and 2022, respectively.</w:t>
      </w:r>
    </w:p>
    <w:p>
      <w:pPr>
        <w:spacing w:after="0" w:line="15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recorded property, plant and equipment impairment charges of $0.3 million in 2023. The Company estimated the fair value of the property, plant and equipment using income and market approaches.</w:t>
      </w:r>
    </w:p>
    <w:p>
      <w:pPr>
        <w:spacing w:after="0" w:line="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components of operating lease expense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87,204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89,994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91,613</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47,048</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44,457</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30,754</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20,410</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23,080</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21,265</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(9,135)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(14,734)</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145,527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141,496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128,898</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recorded impairment charges of $0.6 million and $0.8 million in 2024 and 2023, respectively. The Company estimated the fair value of the ROU assets using an income approach.</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Supplemental information related to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2022</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16"/>
                <w:szCs w:val="16"/>
                <w:color w:val="auto"/>
              </w:rPr>
              <w:t>Operating cash flows from operating leases (payments)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86,210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94,630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100,207</w:t>
            </w:r>
          </w:p>
        </w:tc>
      </w:tr>
      <w:tr>
        <w:trPr>
          <w:trHeight w:val="229"/>
        </w:trPr>
        <w:tc>
          <w:tcPr>
            <w:tcW w:w="768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260" w:type="dxa"/>
            <w:vAlign w:val="bottom"/>
          </w:tcPr>
          <w:p>
            <w:pPr>
              <w:spacing w:after="0"/>
              <w:rPr>
                <w:sz w:val="19"/>
                <w:szCs w:val="19"/>
                <w:color w:val="auto"/>
              </w:rPr>
            </w:pP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55,283</w:t>
            </w:r>
          </w:p>
        </w:tc>
        <w:tc>
          <w:tcPr>
            <w:tcW w:w="260" w:type="dxa"/>
            <w:vAlign w:val="bottom"/>
          </w:tcPr>
          <w:p>
            <w:pPr>
              <w:spacing w:after="0"/>
              <w:rPr>
                <w:sz w:val="19"/>
                <w:szCs w:val="19"/>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38,967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81,838</w:t>
            </w:r>
          </w:p>
        </w:tc>
      </w:tr>
      <w:tr>
        <w:trPr>
          <w:trHeight w:val="433"/>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2023</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388,419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409,183</w:t>
            </w:r>
          </w:p>
        </w:tc>
      </w:tr>
      <w:tr>
        <w:trPr>
          <w:trHeight w:val="445"/>
        </w:trPr>
        <w:tc>
          <w:tcPr>
            <w:tcW w:w="7680" w:type="dxa"/>
            <w:vAlign w:val="bottom"/>
          </w:tcPr>
          <w:p>
            <w:pPr>
              <w:ind w:left="180"/>
              <w:spacing w:after="0"/>
              <w:rPr>
                <w:sz w:val="20"/>
                <w:szCs w:val="20"/>
                <w:color w:val="auto"/>
              </w:rPr>
            </w:pPr>
            <w:r>
              <w:rPr>
                <w:rFonts w:ascii="Arial" w:cs="Arial" w:eastAsia="Arial" w:hAnsi="Arial"/>
                <w:sz w:val="16"/>
                <w:szCs w:val="16"/>
                <w:color w:val="auto"/>
              </w:rPr>
              <w:t>Current lease liabilities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58,239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64,247</w:t>
            </w:r>
          </w:p>
        </w:tc>
      </w:tr>
      <w:tr>
        <w:trPr>
          <w:trHeight w:val="233"/>
        </w:trPr>
        <w:tc>
          <w:tcPr>
            <w:tcW w:w="7680" w:type="dxa"/>
            <w:vAlign w:val="bottom"/>
          </w:tcPr>
          <w:p>
            <w:pPr>
              <w:ind w:left="180"/>
              <w:spacing w:after="0"/>
              <w:rPr>
                <w:sz w:val="20"/>
                <w:szCs w:val="20"/>
                <w:color w:val="auto"/>
              </w:rPr>
            </w:pPr>
            <w:r>
              <w:rPr>
                <w:rFonts w:ascii="Arial" w:cs="Arial" w:eastAsia="Arial" w:hAnsi="Arial"/>
                <w:sz w:val="16"/>
                <w:szCs w:val="16"/>
                <w:color w:val="auto"/>
              </w:rPr>
              <w:t>Noncurrent lease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362,885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376,677</w:t>
            </w:r>
          </w:p>
        </w:tc>
      </w:tr>
      <w:tr>
        <w:trPr>
          <w:trHeight w:val="227"/>
        </w:trPr>
        <w:tc>
          <w:tcPr>
            <w:tcW w:w="768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421,124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440,924</w:t>
            </w:r>
          </w:p>
        </w:tc>
      </w:tr>
      <w:tr>
        <w:trPr>
          <w:trHeight w:val="21"/>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6"/>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10.4</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5.4 %</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471"/>
        </w:trPr>
        <w:tc>
          <w:tcPr>
            <w:tcW w:w="7680" w:type="dxa"/>
            <w:vAlign w:val="bottom"/>
          </w:tcPr>
          <w:p>
            <w:pPr>
              <w:spacing w:after="0"/>
              <w:rPr>
                <w:sz w:val="20"/>
                <w:szCs w:val="20"/>
                <w:color w:val="auto"/>
              </w:rPr>
            </w:pPr>
            <w:r>
              <w:rPr>
                <w:rFonts w:ascii="Arial" w:cs="Arial" w:eastAsia="Arial" w:hAnsi="Arial"/>
                <w:sz w:val="18"/>
                <w:szCs w:val="18"/>
                <w:color w:val="auto"/>
              </w:rPr>
              <w:t>At December 31, 2024, maturities of operating lease liabilities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4"/>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 2024</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85"/>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73,339</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72,629</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64,432</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53,599</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2029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47,271</w:t>
            </w:r>
          </w:p>
        </w:tc>
      </w:tr>
      <w:tr>
        <w:trPr>
          <w:trHeight w:val="239"/>
        </w:trPr>
        <w:tc>
          <w:tcPr>
            <w:tcW w:w="7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256,558</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567,828</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(146,704)</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center"/>
              <w:ind w:right="425"/>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421,124</w:t>
            </w:r>
          </w:p>
        </w:tc>
      </w:tr>
      <w:tr>
        <w:trPr>
          <w:trHeight w:val="20"/>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December 31, 2024, the Company has entered into operating leases, including restaurant and other facilities, that have not yet commenced and have minimum lease payments of $14.0 million. These operating leases will commence in fiscal year 2025 with contractual lease terms of 5 to 21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Finance Leases. </w:t>
      </w:r>
      <w:r>
        <w:rPr>
          <w:rFonts w:ascii="Arial" w:cs="Arial" w:eastAsia="Arial" w:hAnsi="Arial"/>
          <w:sz w:val="18"/>
          <w:szCs w:val="18"/>
          <w:color w:val="auto"/>
        </w:rPr>
        <w:t>The components of financing lease expense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Amortization of right-of-use assets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8,431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5,687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2,351</w:t>
            </w:r>
          </w:p>
        </w:tc>
      </w:tr>
      <w:tr>
        <w:trPr>
          <w:trHeight w:val="230"/>
        </w:trPr>
        <w:tc>
          <w:tcPr>
            <w:tcW w:w="7660" w:type="dxa"/>
            <w:vAlign w:val="bottom"/>
          </w:tcPr>
          <w:p>
            <w:pPr>
              <w:ind w:left="180"/>
              <w:spacing w:after="0"/>
              <w:rPr>
                <w:sz w:val="20"/>
                <w:szCs w:val="20"/>
                <w:color w:val="auto"/>
              </w:rPr>
            </w:pPr>
            <w:r>
              <w:rPr>
                <w:rFonts w:ascii="Arial" w:cs="Arial" w:eastAsia="Arial" w:hAnsi="Arial"/>
                <w:sz w:val="16"/>
                <w:szCs w:val="16"/>
                <w:color w:val="auto"/>
              </w:rPr>
              <w:t>Interest on lease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1,456</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w:t>
            </w:r>
          </w:p>
        </w:tc>
      </w:tr>
      <w:tr>
        <w:trPr>
          <w:trHeight w:val="223"/>
        </w:trPr>
        <w:tc>
          <w:tcPr>
            <w:tcW w:w="7660" w:type="dxa"/>
            <w:vAlign w:val="bottom"/>
          </w:tcPr>
          <w:p>
            <w:pPr>
              <w:ind w:left="440"/>
              <w:spacing w:after="0"/>
              <w:rPr>
                <w:sz w:val="20"/>
                <w:szCs w:val="20"/>
                <w:color w:val="auto"/>
              </w:rPr>
            </w:pPr>
            <w:r>
              <w:rPr>
                <w:rFonts w:ascii="Arial" w:cs="Arial" w:eastAsia="Arial" w:hAnsi="Arial"/>
                <w:sz w:val="16"/>
                <w:szCs w:val="16"/>
                <w:color w:val="auto"/>
              </w:rPr>
              <w:t>Finance lease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9,887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6,676</w:t>
            </w:r>
          </w:p>
        </w:tc>
        <w:tc>
          <w:tcPr>
            <w:tcW w:w="3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2,668</w:t>
            </w:r>
          </w:p>
        </w:tc>
      </w:tr>
      <w:tr>
        <w:trPr>
          <w:trHeight w:val="233"/>
        </w:trPr>
        <w:tc>
          <w:tcPr>
            <w:tcW w:w="76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r>
      <w:tr>
        <w:trPr>
          <w:trHeight w:val="227"/>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10,103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2,753</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Supplemental information related to finance leases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85"/>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auto"/>
            </w:tcBorders>
          </w:tcPr>
          <w:p>
            <w:pPr>
              <w:spacing w:after="0"/>
              <w:rPr>
                <w:sz w:val="18"/>
                <w:szCs w:val="18"/>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Operating cash flows from finance leases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1,456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989</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19"/>
                <w:szCs w:val="19"/>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Financing cash flows from finance leases (payments)</w:t>
            </w:r>
          </w:p>
        </w:tc>
        <w:tc>
          <w:tcPr>
            <w:tcW w:w="26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13,425</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10,376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6,237</w:t>
            </w:r>
          </w:p>
        </w:tc>
        <w:tc>
          <w:tcPr>
            <w:tcW w:w="20" w:type="dxa"/>
            <w:vAlign w:val="bottom"/>
          </w:tcPr>
          <w:p>
            <w:pPr>
              <w:spacing w:after="0"/>
              <w:rPr>
                <w:sz w:val="19"/>
                <w:szCs w:val="19"/>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new finance lease liabilities (noncash)</w:t>
            </w:r>
          </w:p>
        </w:tc>
        <w:tc>
          <w:tcPr>
            <w:tcW w:w="26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12,569</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20,265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9,182</w:t>
            </w:r>
          </w:p>
        </w:tc>
        <w:tc>
          <w:tcPr>
            <w:tcW w:w="20" w:type="dxa"/>
            <w:vAlign w:val="bottom"/>
          </w:tcPr>
          <w:p>
            <w:pPr>
              <w:spacing w:after="0"/>
              <w:rPr>
                <w:sz w:val="19"/>
                <w:szCs w:val="19"/>
                <w:color w:val="auto"/>
              </w:rPr>
            </w:pPr>
          </w:p>
        </w:tc>
      </w:tr>
      <w:tr>
        <w:trPr>
          <w:trHeight w:val="433"/>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85"/>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auto"/>
            </w:tcBorders>
          </w:tcPr>
          <w:p>
            <w:pPr>
              <w:spacing w:after="0"/>
              <w:rPr>
                <w:sz w:val="18"/>
                <w:szCs w:val="18"/>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21,716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22,831</w:t>
            </w:r>
          </w:p>
        </w:tc>
        <w:tc>
          <w:tcPr>
            <w:tcW w:w="20" w:type="dxa"/>
            <w:vAlign w:val="bottom"/>
          </w:tcPr>
          <w:p>
            <w:pPr>
              <w:spacing w:after="0"/>
              <w:rPr>
                <w:sz w:val="19"/>
                <w:szCs w:val="19"/>
                <w:color w:val="auto"/>
              </w:rPr>
            </w:pPr>
          </w:p>
        </w:tc>
      </w:tr>
      <w:tr>
        <w:trPr>
          <w:trHeight w:val="445"/>
        </w:trPr>
        <w:tc>
          <w:tcPr>
            <w:tcW w:w="764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18,028</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17,357</w:t>
            </w:r>
          </w:p>
        </w:tc>
        <w:tc>
          <w:tcPr>
            <w:tcW w:w="20" w:type="dxa"/>
            <w:vAlign w:val="bottom"/>
          </w:tcPr>
          <w:p>
            <w:pPr>
              <w:spacing w:after="0"/>
              <w:rPr>
                <w:sz w:val="24"/>
                <w:szCs w:val="24"/>
                <w:color w:val="auto"/>
              </w:rPr>
            </w:pPr>
          </w:p>
        </w:tc>
      </w:tr>
      <w:tr>
        <w:trPr>
          <w:trHeight w:val="233"/>
        </w:trPr>
        <w:tc>
          <w:tcPr>
            <w:tcW w:w="764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5,049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20" w:type="dxa"/>
            <w:vAlign w:val="bottom"/>
            <w:tcBorders>
              <w:bottom w:val="single" w:sz="8" w:color="auto"/>
            </w:tcBorders>
          </w:tcPr>
          <w:p>
            <w:pPr>
              <w:spacing w:after="0"/>
              <w:rPr>
                <w:sz w:val="20"/>
                <w:szCs w:val="20"/>
                <w:color w:val="auto"/>
              </w:rPr>
            </w:pPr>
          </w:p>
        </w:tc>
      </w:tr>
      <w:tr>
        <w:trPr>
          <w:trHeight w:val="227"/>
        </w:trPr>
        <w:tc>
          <w:tcPr>
            <w:tcW w:w="764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23,077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23,928</w:t>
            </w:r>
          </w:p>
        </w:tc>
        <w:tc>
          <w:tcPr>
            <w:tcW w:w="20" w:type="dxa"/>
            <w:vAlign w:val="bottom"/>
            <w:tcBorders>
              <w:bottom w:val="single" w:sz="8" w:color="auto"/>
            </w:tcBorders>
          </w:tcPr>
          <w:p>
            <w:pPr>
              <w:spacing w:after="0"/>
              <w:rPr>
                <w:sz w:val="19"/>
                <w:szCs w:val="19"/>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6"/>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1.5</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4"/>
                <w:szCs w:val="24"/>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6.8 %</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6.3 %</w:t>
            </w:r>
          </w:p>
        </w:tc>
        <w:tc>
          <w:tcPr>
            <w:tcW w:w="20" w:type="dxa"/>
            <w:vAlign w:val="bottom"/>
          </w:tcPr>
          <w:p>
            <w:pPr>
              <w:spacing w:after="0"/>
              <w:rPr>
                <w:sz w:val="19"/>
                <w:szCs w:val="19"/>
                <w:color w:val="auto"/>
              </w:rPr>
            </w:pPr>
          </w:p>
        </w:tc>
      </w:tr>
      <w:tr>
        <w:trPr>
          <w:trHeight w:val="471"/>
        </w:trPr>
        <w:tc>
          <w:tcPr>
            <w:tcW w:w="7640" w:type="dxa"/>
            <w:vAlign w:val="bottom"/>
          </w:tcPr>
          <w:p>
            <w:pPr>
              <w:spacing w:after="0"/>
              <w:rPr>
                <w:sz w:val="20"/>
                <w:szCs w:val="20"/>
                <w:color w:val="auto"/>
              </w:rPr>
            </w:pPr>
            <w:r>
              <w:rPr>
                <w:rFonts w:ascii="Arial" w:cs="Arial" w:eastAsia="Arial" w:hAnsi="Arial"/>
                <w:sz w:val="18"/>
                <w:szCs w:val="18"/>
                <w:color w:val="auto"/>
              </w:rPr>
              <w:t>At December 31, 2024, maturities of finance lease liabilities were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7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2024</w:t>
            </w:r>
          </w:p>
        </w:tc>
      </w:tr>
      <w:tr>
        <w:trPr>
          <w:trHeight w:val="215"/>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center"/>
              <w:ind w:right="18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18,511</w:t>
            </w:r>
          </w:p>
        </w:tc>
        <w:tc>
          <w:tcPr>
            <w:tcW w:w="20" w:type="dxa"/>
            <w:vAlign w:val="bottom"/>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3,966</w:t>
            </w:r>
          </w:p>
        </w:tc>
        <w:tc>
          <w:tcPr>
            <w:tcW w:w="20" w:type="dxa"/>
            <w:vAlign w:val="bottom"/>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1,242</w:t>
            </w:r>
          </w:p>
        </w:tc>
        <w:tc>
          <w:tcPr>
            <w:tcW w:w="20" w:type="dxa"/>
            <w:vAlign w:val="bottom"/>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2029</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23,740</w:t>
            </w:r>
          </w:p>
        </w:tc>
        <w:tc>
          <w:tcPr>
            <w:tcW w:w="20" w:type="dxa"/>
            <w:vAlign w:val="bottom"/>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20" w:type="dxa"/>
            <w:vAlign w:val="bottom"/>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jc w:val="center"/>
              <w:ind w:right="445"/>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23,077</w:t>
            </w:r>
          </w:p>
        </w:tc>
        <w:tc>
          <w:tcPr>
            <w:tcW w:w="2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2024, as a result of reduced enrollments at Mander Portman Woodward (MPW), due partly to the recent U.K.</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government elimination of the Value Added Tax (VAT) exemption on private school tuition, the Company recorded an intangible asset impairment charge of $22.9 million. The Company estimated the fair value of this indefinite-lived intangible asset by utilizing a discounted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cash flow model. The carrying value of the indefinite-lived intangible asset exceeded its estimated fair value, resulting in an intangible asset impairment charge for the amount by which the carrying value exceeded its estimated fair value. MPW is included in Kaplan International.</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 Company recorded goodwill and amortized intangible asset impairment charges totaling $26.3 million. The Company estimated the fair value of the reporting unit and amortized intangible asset by utilizing a discounted cash flow model. The carrying value of the reporting unit</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and amortized intangible asset exceeded their estimated fair values, resulting in goodwill and intangible asset impairment charges for the amount by which the carrying values exceeded their estimated fair values. WGB is included in other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2023, due to continued sustained weakness in demand for certain Dekko power and data products primarily in the</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commercial office space market, the Company performed an interim review of the goodwill of the Dekko reporting unit. As a result of the impairment review, the Company recorded a $47.8 million goodwill impairment charge. Also in the third quarter of 2023, as a result of the</w:t>
      </w:r>
    </w:p>
    <w:p>
      <w:pPr>
        <w:spacing w:after="0" w:line="235" w:lineRule="auto"/>
        <w:rPr>
          <w:sz w:val="20"/>
          <w:szCs w:val="20"/>
          <w:color w:val="auto"/>
        </w:rPr>
      </w:pPr>
      <w:r>
        <w:rPr>
          <w:rFonts w:ascii="Arial" w:cs="Arial" w:eastAsia="Arial" w:hAnsi="Arial"/>
          <w:sz w:val="18"/>
          <w:szCs w:val="18"/>
          <w:color w:val="auto"/>
        </w:rPr>
        <w:t>substantial digital advertising revenue declines and continued significant operating losses at WGB, the Company performed an interim review</w:t>
      </w:r>
    </w:p>
    <w:p>
      <w:pPr>
        <w:ind w:right="280"/>
        <w:spacing w:after="0"/>
        <w:rPr>
          <w:sz w:val="20"/>
          <w:szCs w:val="20"/>
          <w:color w:val="auto"/>
        </w:rPr>
      </w:pPr>
      <w:r>
        <w:rPr>
          <w:rFonts w:ascii="Arial" w:cs="Arial" w:eastAsia="Arial" w:hAnsi="Arial"/>
          <w:sz w:val="17"/>
          <w:szCs w:val="17"/>
          <w:color w:val="auto"/>
        </w:rPr>
        <w:t>of the goodwill of the WGB reporting unit. As a result of the impairment review, the Company recorded a $50.2 million goodwill impairment charge. The Company estimated the fair value of the reporting units by utilizing a discounted cash flow model. The carrying value of the</w:t>
      </w:r>
    </w:p>
    <w:p>
      <w:pPr>
        <w:spacing w:after="0" w:line="235" w:lineRule="auto"/>
        <w:rPr>
          <w:sz w:val="20"/>
          <w:szCs w:val="20"/>
          <w:color w:val="auto"/>
        </w:rPr>
      </w:pPr>
      <w:r>
        <w:rPr>
          <w:rFonts w:ascii="Arial" w:cs="Arial" w:eastAsia="Arial" w:hAnsi="Arial"/>
          <w:sz w:val="18"/>
          <w:szCs w:val="18"/>
          <w:color w:val="auto"/>
        </w:rPr>
        <w:t>reporting units exceeded their estimated fair values, resulting in goodwill impairment charges for the amount by which the carrying values</w:t>
      </w:r>
    </w:p>
    <w:p>
      <w:pPr>
        <w:ind w:right="340"/>
        <w:spacing w:after="0" w:line="237" w:lineRule="auto"/>
        <w:rPr>
          <w:sz w:val="20"/>
          <w:szCs w:val="20"/>
          <w:color w:val="auto"/>
        </w:rPr>
      </w:pPr>
      <w:r>
        <w:rPr>
          <w:rFonts w:ascii="Arial" w:cs="Arial" w:eastAsia="Arial" w:hAnsi="Arial"/>
          <w:sz w:val="18"/>
          <w:szCs w:val="18"/>
          <w:color w:val="auto"/>
        </w:rPr>
        <w:t>exceeded their estimated fair values after taking into account the effect of deferred income taxes. Dekko is included in manufacturing and WGB is included in other businesses.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In the fourth quarter of 2022, as a result of the weakened current outlook for digital advertising and consumer demand for art and related</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goods following substantial declines in revenues and significant operating losses at the Leaf businesses, the Company recorded goodwill and amortized intangible asset impairment charges of $129.0 million at the Leaf Media (renamed WGB) and Leaf Marketplace (includes</w:t>
      </w:r>
    </w:p>
    <w:p>
      <w:pPr>
        <w:spacing w:after="0" w:line="236" w:lineRule="auto"/>
        <w:rPr>
          <w:sz w:val="20"/>
          <w:szCs w:val="20"/>
          <w:color w:val="auto"/>
        </w:rPr>
      </w:pPr>
      <w:r>
        <w:rPr>
          <w:rFonts w:ascii="Arial" w:cs="Arial" w:eastAsia="Arial" w:hAnsi="Arial"/>
          <w:sz w:val="18"/>
          <w:szCs w:val="18"/>
          <w:color w:val="auto"/>
        </w:rPr>
        <w:t>Society6 and Saatchi Art) reporting units. The Company estimated the fair value of the reporting units and amortized intangible assets by</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utilizing a discounted cash flow model. The carrying values of the reporting units and amortized intangible assets exceeded their estimated fair values, resulting in goodwill and intangible asset impairment charges for the amount by which the carrying values exceeded their</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estimated fair values after taking into account the effect of deferred income taxes. WGB, Society6 and Saatchi Art (collectively the Leaf businesses) are included in other businesses.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Amortization of intangible assets for the years ended December 31, 2024, 2023 and 2022, was $37.1 million, $ 50.0 million and $58.9 million, respectively. Amortization of intangible assets is estimated to be approximately $28 million in 2025, $20 million in 2026, $5 million in 2027, $2 million in 2028 and $2 million in 2029.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Healthcare</w:t>
            </w:r>
          </w:p>
        </w:tc>
        <w:tc>
          <w:tcPr>
            <w:tcW w:w="18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1,145,502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135,870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251,216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2,043,093</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(116,687)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(482,140)</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814,351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135,870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134,529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Measurement period adjustment</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1,385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44,583</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45,968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(47,760)</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(50,239)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(97,999)</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color w:val="auto"/>
              </w:rPr>
              <w:t>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18,489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18,489</w:t>
            </w:r>
          </w:p>
        </w:tc>
        <w:tc>
          <w:tcPr>
            <w:tcW w:w="0" w:type="dxa"/>
            <w:vAlign w:val="bottom"/>
          </w:tcPr>
          <w:p>
            <w:pPr>
              <w:spacing w:after="0"/>
              <w:rPr>
                <w:sz w:val="1"/>
                <w:szCs w:val="1"/>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1,163,991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135,038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2,105,333</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(166,926)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(580,139)</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832,840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135,038</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84,290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4,300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4,300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(7,502)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(7,502)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(20,272)</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(20,272)</w:t>
            </w: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1,146,335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135,038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2,087,677</w:t>
            </w:r>
          </w:p>
        </w:tc>
        <w:tc>
          <w:tcPr>
            <w:tcW w:w="0" w:type="dxa"/>
            <w:vAlign w:val="bottom"/>
          </w:tcPr>
          <w:p>
            <w:pPr>
              <w:spacing w:after="0"/>
              <w:rPr>
                <w:sz w:val="1"/>
                <w:szCs w:val="1"/>
                <w:color w:val="auto"/>
              </w:rPr>
            </w:pPr>
          </w:p>
        </w:tc>
      </w:tr>
      <w:tr>
        <w:trPr>
          <w:trHeight w:val="182"/>
        </w:trPr>
        <w:tc>
          <w:tcPr>
            <w:tcW w:w="246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(174,428)</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26"/>
        </w:trPr>
        <w:tc>
          <w:tcPr>
            <w:tcW w:w="246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815,184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135,038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76,788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1,500,036</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280" w:type="dxa"/>
            <w:vAlign w:val="bottom"/>
          </w:tcPr>
          <w:p>
            <w:pPr>
              <w:jc w:val="right"/>
              <w:ind w:right="46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40" w:type="dxa"/>
            <w:vAlign w:val="bottom"/>
          </w:tcPr>
          <w:p>
            <w:pPr>
              <w:jc w:val="right"/>
              <w:ind w:right="480"/>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Supplemental</w:t>
            </w:r>
          </w:p>
        </w:tc>
        <w:tc>
          <w:tcPr>
            <w:tcW w:w="380" w:type="dxa"/>
            <w:vAlign w:val="bottom"/>
          </w:tcPr>
          <w:p>
            <w:pPr>
              <w:spacing w:after="0"/>
              <w:rPr>
                <w:sz w:val="14"/>
                <w:szCs w:val="14"/>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579,561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391,377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1,145,502</w:t>
            </w:r>
          </w:p>
        </w:tc>
        <w:tc>
          <w:tcPr>
            <w:tcW w:w="0" w:type="dxa"/>
            <w:vAlign w:val="bottom"/>
          </w:tcPr>
          <w:p>
            <w:pPr>
              <w:spacing w:after="0"/>
              <w:rPr>
                <w:sz w:val="1"/>
                <w:szCs w:val="1"/>
                <w:color w:val="auto"/>
              </w:rPr>
            </w:pPr>
          </w:p>
        </w:tc>
      </w:tr>
      <w:tr>
        <w:trPr>
          <w:trHeight w:val="238"/>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579,561</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171,550</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814,351</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18,439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18,489</w:t>
            </w:r>
          </w:p>
        </w:tc>
        <w:tc>
          <w:tcPr>
            <w:tcW w:w="0" w:type="dxa"/>
            <w:vAlign w:val="bottom"/>
          </w:tcPr>
          <w:p>
            <w:pPr>
              <w:spacing w:after="0"/>
              <w:rPr>
                <w:sz w:val="1"/>
                <w:szCs w:val="1"/>
                <w:color w:val="auto"/>
              </w:rPr>
            </w:pPr>
          </w:p>
        </w:tc>
      </w:tr>
      <w:tr>
        <w:trPr>
          <w:trHeight w:val="201"/>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598,000</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391,427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1,163,991</w:t>
            </w:r>
          </w:p>
        </w:tc>
        <w:tc>
          <w:tcPr>
            <w:tcW w:w="0" w:type="dxa"/>
            <w:vAlign w:val="bottom"/>
          </w:tcPr>
          <w:p>
            <w:pPr>
              <w:spacing w:after="0"/>
              <w:rPr>
                <w:sz w:val="1"/>
                <w:szCs w:val="1"/>
                <w:color w:val="auto"/>
              </w:rPr>
            </w:pPr>
          </w:p>
        </w:tc>
      </w:tr>
      <w:tr>
        <w:trPr>
          <w:trHeight w:val="239"/>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598,000</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171,600</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832,840</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4,300</w:t>
            </w:r>
          </w:p>
        </w:tc>
        <w:tc>
          <w:tcPr>
            <w:tcW w:w="30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4,300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(20,121)</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(20,272)</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580,495</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391,276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1,146,335</w:t>
            </w:r>
          </w:p>
        </w:tc>
        <w:tc>
          <w:tcPr>
            <w:tcW w:w="0" w:type="dxa"/>
            <w:vAlign w:val="bottom"/>
          </w:tcPr>
          <w:p>
            <w:pPr>
              <w:spacing w:after="0"/>
              <w:rPr>
                <w:sz w:val="1"/>
                <w:szCs w:val="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580,495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171,449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815,184</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2024</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2023</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1480" w:type="dxa"/>
            <w:vAlign w:val="bottom"/>
          </w:tcPr>
          <w:p>
            <w:pPr>
              <w:jc w:val="center"/>
              <w:ind w:right="82"/>
              <w:spacing w:after="0"/>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22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4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4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2"/>
                <w:szCs w:val="12"/>
                <w:color w:val="auto"/>
              </w:rPr>
            </w:pPr>
          </w:p>
        </w:tc>
        <w:tc>
          <w:tcPr>
            <w:tcW w:w="1080" w:type="dxa"/>
            <w:vAlign w:val="bottom"/>
          </w:tcPr>
          <w:p>
            <w:pPr>
              <w:jc w:val="right"/>
              <w:ind w:right="14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281,140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252,969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28,171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283,098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236,776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46,322</w:t>
            </w:r>
          </w:p>
        </w:tc>
        <w:tc>
          <w:tcPr>
            <w:tcW w:w="0" w:type="dxa"/>
            <w:vAlign w:val="bottom"/>
          </w:tcPr>
          <w:p>
            <w:pPr>
              <w:spacing w:after="0"/>
              <w:rPr>
                <w:sz w:val="1"/>
                <w:szCs w:val="1"/>
                <w:color w:val="auto"/>
              </w:rPr>
            </w:pPr>
          </w:p>
        </w:tc>
      </w:tr>
      <w:tr>
        <w:trPr>
          <w:trHeight w:val="236"/>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80" w:type="dxa"/>
            <w:vAlign w:val="bottom"/>
          </w:tcPr>
          <w:p>
            <w:pPr>
              <w:jc w:val="center"/>
              <w:ind w:right="42"/>
              <w:spacing w:after="0" w:line="236" w:lineRule="exact"/>
              <w:rPr>
                <w:sz w:val="20"/>
                <w:szCs w:val="20"/>
                <w:color w:val="auto"/>
              </w:rPr>
            </w:pPr>
            <w:r>
              <w:rPr>
                <w:rFonts w:ascii="Arial" w:cs="Arial" w:eastAsia="Arial" w:hAnsi="Arial"/>
                <w:sz w:val="16"/>
                <w:szCs w:val="16"/>
                <w:b w:val="1"/>
                <w:bCs w:val="1"/>
                <w:color w:val="auto"/>
                <w:w w:val="96"/>
              </w:rPr>
              <w:t xml:space="preserve">2–10 years </w:t>
            </w:r>
            <w:r>
              <w:rPr>
                <w:rFonts w:ascii="Arial" w:cs="Arial" w:eastAsia="Arial" w:hAnsi="Arial"/>
                <w:sz w:val="21"/>
                <w:szCs w:val="21"/>
                <w:b w:val="1"/>
                <w:bCs w:val="1"/>
                <w:color w:val="auto"/>
                <w:w w:val="96"/>
                <w:vertAlign w:val="superscript"/>
              </w:rPr>
              <w:t>(1)</w:t>
            </w: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116,081</w:t>
            </w:r>
          </w:p>
        </w:tc>
        <w:tc>
          <w:tcPr>
            <w:tcW w:w="24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94,408</w:t>
            </w:r>
          </w:p>
        </w:tc>
        <w:tc>
          <w:tcPr>
            <w:tcW w:w="220" w:type="dxa"/>
            <w:vAlign w:val="bottom"/>
          </w:tcPr>
          <w:p>
            <w:pPr>
              <w:spacing w:after="0"/>
              <w:rPr>
                <w:sz w:val="20"/>
                <w:szCs w:val="20"/>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21,673</w:t>
            </w:r>
          </w:p>
        </w:tc>
        <w:tc>
          <w:tcPr>
            <w:tcW w:w="16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143,389</w:t>
            </w:r>
          </w:p>
        </w:tc>
        <w:tc>
          <w:tcPr>
            <w:tcW w:w="2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90,558</w:t>
            </w:r>
          </w:p>
        </w:tc>
        <w:tc>
          <w:tcPr>
            <w:tcW w:w="24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52,831</w:t>
            </w:r>
          </w:p>
        </w:tc>
        <w:tc>
          <w:tcPr>
            <w:tcW w:w="0" w:type="dxa"/>
            <w:vAlign w:val="bottom"/>
          </w:tcPr>
          <w:p>
            <w:pPr>
              <w:spacing w:after="0"/>
              <w:rPr>
                <w:sz w:val="1"/>
                <w:szCs w:val="1"/>
                <w:color w:val="auto"/>
              </w:rPr>
            </w:pPr>
          </w:p>
        </w:tc>
      </w:tr>
      <w:tr>
        <w:trPr>
          <w:trHeight w:val="223"/>
        </w:trPr>
        <w:tc>
          <w:tcPr>
            <w:tcW w:w="28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13,848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3,552</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13,348</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33,290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33,290</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36,538</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35,712</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480" w:type="dxa"/>
            <w:vAlign w:val="bottom"/>
          </w:tcPr>
          <w:p>
            <w:pPr>
              <w:jc w:val="center"/>
              <w:ind w:right="6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41,514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38,214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3,300</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41,327</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33,164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8,163</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489,425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432,729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56,696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521,752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409,558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112,194</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8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92,158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60,994</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84,533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tcPr>
          <w:p>
            <w:pPr>
              <w:ind w:left="140"/>
              <w:spacing w:after="0"/>
              <w:rPr>
                <w:sz w:val="20"/>
                <w:szCs w:val="20"/>
                <w:color w:val="auto"/>
              </w:rPr>
            </w:pPr>
            <w:r>
              <w:rPr>
                <w:rFonts w:ascii="Arial" w:cs="Arial" w:eastAsia="Arial" w:hAnsi="Arial"/>
                <w:sz w:val="16"/>
                <w:szCs w:val="16"/>
                <w:color w:val="auto"/>
              </w:rPr>
              <w:t>Other</w:t>
            </w: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164,323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187,862</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1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700" w:type="dxa"/>
            <w:vAlign w:val="bottom"/>
            <w:gridSpan w:val="6"/>
          </w:tcPr>
          <w:p>
            <w:pPr>
              <w:ind w:left="2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 xml:space="preserve">  As of December 31, 2023, the trade names and trademarks’ maximum useful life was 15 years.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460" w:type="dxa"/>
            <w:vAlign w:val="bottom"/>
            <w:gridSpan w:val="2"/>
          </w:tcPr>
          <w:p>
            <w:pPr>
              <w:jc w:val="right"/>
              <w:ind w:right="5959"/>
              <w:spacing w:after="0"/>
              <w:rPr>
                <w:sz w:val="20"/>
                <w:szCs w:val="20"/>
                <w:color w:val="auto"/>
              </w:rPr>
            </w:pPr>
            <w:r>
              <w:rPr>
                <w:rFonts w:ascii="Arial" w:cs="Arial" w:eastAsia="Arial" w:hAnsi="Arial"/>
                <w:sz w:val="18"/>
                <w:szCs w:val="18"/>
                <w:b w:val="1"/>
                <w:bCs w:val="1"/>
                <w:color w:val="auto"/>
              </w:rPr>
              <w:t>INCOME TAXES</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57"/>
        </w:trPr>
        <w:tc>
          <w:tcPr>
            <w:tcW w:w="7860" w:type="dxa"/>
            <w:vAlign w:val="bottom"/>
            <w:gridSpan w:val="3"/>
          </w:tcPr>
          <w:p>
            <w:pPr>
              <w:spacing w:after="0"/>
              <w:rPr>
                <w:sz w:val="20"/>
                <w:szCs w:val="20"/>
                <w:color w:val="auto"/>
              </w:rPr>
            </w:pPr>
            <w:r>
              <w:rPr>
                <w:rFonts w:ascii="Arial" w:cs="Arial" w:eastAsia="Arial" w:hAnsi="Arial"/>
                <w:sz w:val="18"/>
                <w:szCs w:val="18"/>
                <w:color w:val="auto"/>
              </w:rPr>
              <w:t>Income before income taxes consists of the following:</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1"/>
        </w:trPr>
        <w:tc>
          <w:tcPr>
            <w:tcW w:w="4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10"/>
        </w:trPr>
        <w:tc>
          <w:tcPr>
            <w:tcW w:w="7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400" w:type="dxa"/>
            <w:vAlign w:val="bottom"/>
          </w:tcPr>
          <w:p>
            <w:pPr>
              <w:ind w:left="20"/>
              <w:spacing w:after="0"/>
              <w:rPr>
                <w:sz w:val="20"/>
                <w:szCs w:val="20"/>
                <w:color w:val="auto"/>
              </w:rPr>
            </w:pPr>
            <w:r>
              <w:rPr>
                <w:rFonts w:ascii="Arial" w:cs="Arial" w:eastAsia="Arial" w:hAnsi="Arial"/>
                <w:sz w:val="16"/>
                <w:szCs w:val="16"/>
                <w:color w:val="auto"/>
              </w:rPr>
              <w:t>U.S.</w:t>
            </w:r>
          </w:p>
        </w:tc>
        <w:tc>
          <w:tcPr>
            <w:tcW w:w="7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b w:val="1"/>
                <w:bCs w:val="1"/>
                <w:color w:val="auto"/>
              </w:rPr>
              <w:t>950,675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219,240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69,499</w:t>
            </w:r>
          </w:p>
        </w:tc>
      </w:tr>
      <w:tr>
        <w:trPr>
          <w:trHeight w:val="233"/>
        </w:trPr>
        <w:tc>
          <w:tcPr>
            <w:tcW w:w="7860" w:type="dxa"/>
            <w:vAlign w:val="bottom"/>
            <w:gridSpan w:val="3"/>
          </w:tcPr>
          <w:p>
            <w:pPr>
              <w:ind w:left="20"/>
              <w:spacing w:after="0"/>
              <w:rPr>
                <w:sz w:val="20"/>
                <w:szCs w:val="20"/>
                <w:color w:val="auto"/>
              </w:rPr>
            </w:pPr>
            <w:r>
              <w:rPr>
                <w:rFonts w:ascii="Arial" w:cs="Arial" w:eastAsia="Arial" w:hAnsi="Arial"/>
                <w:sz w:val="16"/>
                <w:szCs w:val="16"/>
                <w:color w:val="auto"/>
              </w:rPr>
              <w:t>Non-U.S.</w:t>
            </w:r>
          </w:p>
        </w:tc>
        <w:tc>
          <w:tcPr>
            <w:tcW w:w="960" w:type="dxa"/>
            <w:vAlign w:val="bottom"/>
          </w:tcPr>
          <w:p>
            <w:pPr>
              <w:jc w:val="right"/>
              <w:ind w:right="23"/>
              <w:spacing w:after="0"/>
              <w:rPr>
                <w:sz w:val="20"/>
                <w:szCs w:val="20"/>
                <w:color w:val="auto"/>
              </w:rPr>
            </w:pPr>
            <w:r>
              <w:rPr>
                <w:rFonts w:ascii="Arial" w:cs="Arial" w:eastAsia="Arial" w:hAnsi="Arial"/>
                <w:sz w:val="16"/>
                <w:szCs w:val="16"/>
                <w:b w:val="1"/>
                <w:bCs w:val="1"/>
                <w:color w:val="auto"/>
              </w:rPr>
              <w:t>74,035</w:t>
            </w:r>
          </w:p>
        </w:tc>
        <w:tc>
          <w:tcPr>
            <w:tcW w:w="3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79,764</w:t>
            </w:r>
          </w:p>
        </w:tc>
        <w:tc>
          <w:tcPr>
            <w:tcW w:w="36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52,235</w:t>
            </w:r>
          </w:p>
        </w:tc>
      </w:tr>
      <w:tr>
        <w:trPr>
          <w:trHeight w:val="223"/>
        </w:trPr>
        <w:tc>
          <w:tcPr>
            <w:tcW w:w="4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1,024,710</w:t>
            </w: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299,004</w:t>
            </w:r>
          </w:p>
        </w:tc>
        <w:tc>
          <w:tcPr>
            <w:tcW w:w="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121,734</w:t>
            </w:r>
          </w:p>
        </w:tc>
      </w:tr>
      <w:tr>
        <w:trPr>
          <w:trHeight w:val="24"/>
        </w:trPr>
        <w:tc>
          <w:tcPr>
            <w:tcW w:w="4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37,783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170,380</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208,163</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7,142</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52,928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60,070</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19,775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4,092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23,867</w:t>
            </w:r>
          </w:p>
        </w:tc>
        <w:tc>
          <w:tcPr>
            <w:tcW w:w="0" w:type="dxa"/>
            <w:vAlign w:val="bottom"/>
          </w:tcPr>
          <w:p>
            <w:pPr>
              <w:spacing w:after="0"/>
              <w:rPr>
                <w:sz w:val="1"/>
                <w:szCs w:val="1"/>
                <w:color w:val="auto"/>
              </w:rPr>
            </w:pPr>
          </w:p>
        </w:tc>
      </w:tr>
      <w:tr>
        <w:trPr>
          <w:trHeight w:val="220"/>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64,700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227,400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292,100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2023</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19,752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36,640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56,392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5,886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10,044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15,930</w:t>
            </w: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17,897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43,535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2022</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37,525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(6,180)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31,345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5,676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2,513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8,189</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11,943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55,144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 Federal taxes at statutory rate (see above)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215,189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62,791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25,564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 taxes, net of U.S. Federal tax</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40,987</w:t>
            </w:r>
          </w:p>
        </w:tc>
        <w:tc>
          <w:tcPr>
            <w:tcW w:w="3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7,477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6,468</w:t>
            </w:r>
          </w:p>
        </w:tc>
        <w:tc>
          <w:tcPr>
            <w:tcW w:w="3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5,107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other non-U.S. income tax benefits</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3,606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impairments</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1,148</w:t>
            </w:r>
          </w:p>
        </w:tc>
        <w:tc>
          <w:tcPr>
            <w:tcW w:w="3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10,864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15,628</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20,189</w:t>
            </w:r>
          </w:p>
        </w:tc>
        <w:tc>
          <w:tcPr>
            <w:tcW w:w="3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1,612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2,638</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4,513</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2,819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292,100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87,300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51,300</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Deferred income taxes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52,145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51,666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3,589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67,703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64,381</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52,557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58,424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545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16,438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23,850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5,990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3,069</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61,497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57,564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41,138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301,733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275,247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(74,793)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(66,298)</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226,940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208,949</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642,589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540,937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marketable equity securities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157,717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116,396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60,652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69,358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12,476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21,612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53,380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48,230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1,962</w:t>
            </w:r>
          </w:p>
        </w:tc>
      </w:tr>
      <w:tr>
        <w:trPr>
          <w:trHeight w:val="231"/>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27,678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957,292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798,495</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730,352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589,546</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$1,163.4 million of state income tax net operating loss carryforwards available to offset future state taxable income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State income tax loss carryforwards, if unutilized, will start to expire approximately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38"/>
        </w:trPr>
        <w:tc>
          <w:tcPr>
            <w:tcW w:w="10280" w:type="dxa"/>
            <w:vAlign w:val="bottom"/>
          </w:tcPr>
          <w:p>
            <w:pPr>
              <w:ind w:left="20"/>
              <w:spacing w:after="0"/>
              <w:rPr>
                <w:sz w:val="20"/>
                <w:szCs w:val="20"/>
                <w:color w:val="auto"/>
              </w:rPr>
            </w:pPr>
            <w:r>
              <w:rPr>
                <w:rFonts w:ascii="Arial" w:cs="Arial" w:eastAsia="Arial" w:hAnsi="Arial"/>
                <w:sz w:val="16"/>
                <w:szCs w:val="16"/>
                <w:color w:val="auto"/>
              </w:rPr>
              <w:t>2030 and after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1,060.6</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1,163.4</w:t>
            </w:r>
          </w:p>
        </w:tc>
      </w:tr>
      <w:tr>
        <w:trPr>
          <w:trHeight w:val="20"/>
        </w:trPr>
        <w:tc>
          <w:tcPr>
            <w:tcW w:w="10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Company has recorded $ 67.7 million in deferred state income tax assets, net of U.S. Federal income tax, with respect to these state income tax loss carryforwards as of December 31, 2024. The Company has established $49.9 million in valuation allowances against these</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deferred state income tax assets, since the Company has determined that it is more likely than not that some of these state income tax losses may not be fully utilized in the future to reduce state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$250.3 million of U.S. Federal income tax loss carryforwards obtained as a result of prior stock acquisitions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U.S. Federal income tax loss carryforwards are expected to be fully utilized as follows: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9"/>
        </w:trPr>
        <w:tc>
          <w:tcPr>
            <w:tcW w:w="10420" w:type="dxa"/>
            <w:vAlign w:val="bottom"/>
          </w:tcPr>
          <w:p>
            <w:pPr>
              <w:ind w:left="20"/>
              <w:spacing w:after="0"/>
              <w:rPr>
                <w:sz w:val="20"/>
                <w:szCs w:val="20"/>
                <w:color w:val="auto"/>
              </w:rPr>
            </w:pPr>
            <w:r>
              <w:rPr>
                <w:rFonts w:ascii="Arial" w:cs="Arial" w:eastAsia="Arial" w:hAnsi="Arial"/>
                <w:sz w:val="16"/>
                <w:szCs w:val="16"/>
                <w:color w:val="auto"/>
              </w:rPr>
              <w:t>2030 and after</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250.3</w:t>
            </w:r>
          </w:p>
        </w:tc>
      </w:tr>
      <w:tr>
        <w:trPr>
          <w:trHeight w:val="21"/>
        </w:trPr>
        <w:tc>
          <w:tcPr>
            <w:tcW w:w="10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Company has established $52.6 million in U.S. Federal deferred tax assets with respect to these U.S. Federal income tax loss carryforwards as of December 31, 2024.</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t>For U.S. Federal income tax purposes, the Company has established U.S. Federal deferred tax assets with respect to $0.5 million of foreign</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tax credits available to be credited against future U.S. Federal income tax liabilities that will start to expire in 2032 if unutilized. The Company has recorded $0.5 million in valuation allowances against these deferred tax assets since the Company determined that it is more likely than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that these foreign tax credit carryforwards may not be utilized in the future to reduce U.S. Federal income taxes.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has $84.1 million of non-U.S. income tax loss carryforwards as a result of operating losses and carryforwards that were obtained in part through prior stock acquisitions that are available to offset future non-U.S. taxable income and has recorded, with respect to</w:t>
      </w:r>
    </w:p>
    <w:p>
      <w:pPr>
        <w:spacing w:after="0" w:line="235" w:lineRule="auto"/>
        <w:rPr>
          <w:sz w:val="20"/>
          <w:szCs w:val="20"/>
          <w:color w:val="auto"/>
        </w:rPr>
      </w:pPr>
      <w:r>
        <w:rPr>
          <w:rFonts w:ascii="Arial" w:cs="Arial" w:eastAsia="Arial" w:hAnsi="Arial"/>
          <w:sz w:val="18"/>
          <w:szCs w:val="18"/>
          <w:color w:val="auto"/>
        </w:rPr>
        <w:t>these losses, $16.4 million in non-U.S. deferred income tax assets. The Company has established $12.0 million in valuation allowances</w:t>
      </w:r>
    </w:p>
    <w:p>
      <w:pPr>
        <w:ind w:right="160"/>
        <w:spacing w:after="0" w:line="226" w:lineRule="auto"/>
        <w:rPr>
          <w:sz w:val="20"/>
          <w:szCs w:val="20"/>
          <w:color w:val="auto"/>
        </w:rPr>
      </w:pPr>
      <w:r>
        <w:rPr>
          <w:rFonts w:ascii="Arial" w:cs="Arial" w:eastAsia="Arial" w:hAnsi="Arial"/>
          <w:sz w:val="18"/>
          <w:szCs w:val="18"/>
          <w:color w:val="auto"/>
        </w:rPr>
        <w:t>against the deferred tax assets for the portion of non-U.S. tax losses that may not be utilized to reduce future non-U.S. taxable income. The $84.1 million of non-U.S. income tax loss carryforwards consist of $36.2 million in losses that may be carried forward indefinitely; $41.7</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million of losses that, if unutilized, will expire in varying amounts through 2029; and $6.2 million of losses that, if unutilized, will start to expire after 2029.</w:t>
      </w:r>
    </w:p>
    <w:p>
      <w:pPr>
        <w:spacing w:after="0" w:line="104"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The Company has $20.0 million of non-U.S. capital loss carryforwards that may be carried forward indefinitely and are available to offset future non-U.S. capital gains. The Company recorded a $6.0 million non-U.S. deferred income tax asset for these non-U.S. capital loss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980" w:type="dxa"/>
            <w:vAlign w:val="bottom"/>
          </w:tcPr>
          <w:p>
            <w:pPr>
              <w:jc w:val="center"/>
              <w:ind w:right="20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2024</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66,298</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9,389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(894)</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74,793</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62,816</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9,786</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(6,304)</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66,298</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57,603</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7,460</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(2,247)</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62,816</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established $56.1 million in valuation allowances against deferred state tax assets recognized, net of U.S. Federal tax. As</w:t>
      </w:r>
    </w:p>
    <w:p>
      <w:pPr>
        <w:spacing w:after="0" w:line="14"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stated above, approximately $49.9 million of the valuation allowances, net of U.S. Federal income tax, relate to state income tax loss carryforwards. In most instances, the Company has established valuation allowances against deferred state income tax assets without</w:t>
      </w:r>
    </w:p>
    <w:p>
      <w:pPr>
        <w:spacing w:after="0" w:line="236" w:lineRule="auto"/>
        <w:rPr>
          <w:sz w:val="20"/>
          <w:szCs w:val="20"/>
          <w:color w:val="auto"/>
        </w:rPr>
      </w:pPr>
      <w:r>
        <w:rPr>
          <w:rFonts w:ascii="Arial" w:cs="Arial" w:eastAsia="Arial" w:hAnsi="Arial"/>
          <w:sz w:val="18"/>
          <w:szCs w:val="18"/>
          <w:color w:val="auto"/>
        </w:rPr>
        <w:t>considering potentially offsetting deferred tax liabilities established with respect to prepaid pension cost and goodwill. Prepaid pension cost</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and goodwill have not been considered a source of future taxable income for realizing those deferred state tax assets recognized because these temporary differences are not likely to reverse in the foreseeable future. However, certain deferred state tax assets have an indefinite</w:t>
      </w:r>
    </w:p>
    <w:p>
      <w:pPr>
        <w:spacing w:after="0" w:line="235" w:lineRule="auto"/>
        <w:rPr>
          <w:sz w:val="20"/>
          <w:szCs w:val="20"/>
          <w:color w:val="auto"/>
        </w:rPr>
      </w:pPr>
      <w:r>
        <w:rPr>
          <w:rFonts w:ascii="Arial" w:cs="Arial" w:eastAsia="Arial" w:hAnsi="Arial"/>
          <w:sz w:val="18"/>
          <w:szCs w:val="18"/>
          <w:color w:val="auto"/>
        </w:rPr>
        <w:t>life. As a result, the Company has considered deferred tax liabilities for prepaid pension cost and goodwill as a source of future taxable</w:t>
      </w:r>
    </w:p>
    <w:p>
      <w:pPr>
        <w:ind w:right="120"/>
        <w:spacing w:after="0"/>
        <w:rPr>
          <w:sz w:val="20"/>
          <w:szCs w:val="20"/>
          <w:color w:val="auto"/>
        </w:rPr>
      </w:pPr>
      <w:r>
        <w:rPr>
          <w:rFonts w:ascii="Arial" w:cs="Arial" w:eastAsia="Arial" w:hAnsi="Arial"/>
          <w:sz w:val="17"/>
          <w:szCs w:val="17"/>
          <w:color w:val="auto"/>
        </w:rPr>
        <w:t>income for realizing those deferred state tax assets with indefinite lives. The valuation allowances established against deferred state income tax assets may increase or decrease within the next 12 months, based on operating results or the market value of investment holdings. The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Company will monitor future results on a quarterly basis to determine whether the valuation allowances provided against deferred state tax assets should be increased or decreased as future circumstances warrant.</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Company has established $18.2 million in valuation allowances against non-U.S. deferred tax assets, and as stated above, $12.0 million of the non-U.S. valuation allowances relate to non-U.S. income tax loss carryforwards and $6.0 million relate to non-U.S. capital loss</w:t>
      </w:r>
    </w:p>
    <w:p>
      <w:pPr>
        <w:ind w:right="380"/>
        <w:spacing w:after="0"/>
        <w:rPr>
          <w:sz w:val="20"/>
          <w:szCs w:val="20"/>
          <w:color w:val="auto"/>
        </w:rPr>
      </w:pPr>
      <w:r>
        <w:rPr>
          <w:rFonts w:ascii="Arial" w:cs="Arial" w:eastAsia="Arial" w:hAnsi="Arial"/>
          <w:sz w:val="17"/>
          <w:szCs w:val="17"/>
          <w:color w:val="auto"/>
        </w:rPr>
        <w:t>carryforwards. Valuation allowances established against non-U.S. deferred tax assets are recorded at the education division and other businesses. These non-U.S. valuation allowances may increase or decrease within the next 12 months, based on operating results. As a</w:t>
      </w:r>
    </w:p>
    <w:p>
      <w:pPr>
        <w:spacing w:after="0" w:line="235" w:lineRule="auto"/>
        <w:rPr>
          <w:sz w:val="20"/>
          <w:szCs w:val="20"/>
          <w:color w:val="auto"/>
        </w:rPr>
      </w:pPr>
      <w:r>
        <w:rPr>
          <w:rFonts w:ascii="Arial" w:cs="Arial" w:eastAsia="Arial" w:hAnsi="Arial"/>
          <w:sz w:val="18"/>
          <w:szCs w:val="18"/>
          <w:color w:val="auto"/>
        </w:rPr>
        <w:t>result, the Company is unable to estimate the potential tax impact, given the uncertain operating environment. The Company will monitor</w:t>
      </w:r>
    </w:p>
    <w:p>
      <w:pPr>
        <w:ind w:right="160"/>
        <w:spacing w:after="0" w:line="226" w:lineRule="auto"/>
        <w:rPr>
          <w:sz w:val="20"/>
          <w:szCs w:val="20"/>
          <w:color w:val="auto"/>
        </w:rPr>
      </w:pPr>
      <w:r>
        <w:rPr>
          <w:rFonts w:ascii="Arial" w:cs="Arial" w:eastAsia="Arial" w:hAnsi="Arial"/>
          <w:sz w:val="18"/>
          <w:szCs w:val="18"/>
          <w:color w:val="auto"/>
        </w:rPr>
        <w:t>future education division and other businesses’ operating results and projected future operating results on a quarterly basis to determine whether the valuation allowances provided against non-U.S. deferred tax assets should be increased or decreased as future circumstances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$2.8 million of deferred tax liabilities remain recorded on the books at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 with respect to future non-U.S. withholding taxes the Company estimated may be imposed on future cash distributions.</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becomes held for sale instead of being held indefinitely, but the calculation of the tax due is not practicable.</w:t>
      </w:r>
    </w:p>
    <w:p>
      <w:pPr>
        <w:spacing w:after="0" w:line="11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2021 U.S. Federal tax return and subsequent years remain open to Internal Revenue Service examination. The Company files income tax returns with the U.S. Federal government and in various state, local and non-U.S.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governmental jurisdictions, with the consolidated U.S. Federal tax return filing considered the only major tax jurisdiction.</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ultimately be recognized in full.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1"/>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89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3,263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3,897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3,004</w:t>
            </w:r>
          </w:p>
        </w:tc>
      </w:tr>
      <w:tr>
        <w:trPr>
          <w:trHeight w:val="230"/>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235</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29"/>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990</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229"/>
        </w:trPr>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30"/>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r>
      <w:tr>
        <w:trPr>
          <w:trHeight w:val="24"/>
        </w:trPr>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880" w:space="720"/>
            <w:col w:w="3600"/>
          </w:cols>
          <w:pgMar w:left="320" w:top="1039" w:right="3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2019 to 2024 tax periods,</w:t>
      </w:r>
    </w:p>
    <w:p>
      <w:pPr>
        <w:spacing w:after="0" w:line="14"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as well as state income tax filing positions applicable to the 2012 to 2020 tax periods. In making these determinations, the Company presumes that taxing authorities pursuing examinations of the Company’s compliance with tax law filing requirements will have full</w:t>
      </w:r>
    </w:p>
    <w:p>
      <w:pPr>
        <w:spacing w:after="0" w:line="236" w:lineRule="auto"/>
        <w:rPr>
          <w:sz w:val="20"/>
          <w:szCs w:val="20"/>
          <w:color w:val="auto"/>
        </w:rPr>
      </w:pPr>
      <w:r>
        <w:rPr>
          <w:rFonts w:ascii="Arial" w:cs="Arial" w:eastAsia="Arial" w:hAnsi="Arial"/>
          <w:sz w:val="18"/>
          <w:szCs w:val="18"/>
          <w:color w:val="auto"/>
        </w:rPr>
        <w:t>knowledge of all relevant information, and, if necessary, the Company will pursue resolution of disputed tax positions by appeals or litigation.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some of the unrecognized tax benefits may change in the next 12 months due to settlement with the tax authorities. The Company expects that a $1.0 million federal tax</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benefit and a $2.3 million state tax benefit, net of $0.5 million federal tax expense, will reduce the effective tax rate in the future if the unrecognized tax benefits are recognized.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2024, the Company has accrued $0.5 million of interest related to the unrecognized tax benefits. The Company has not accrued any penalties related to the unrecognized tax benefits.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the Organization for Economic Co-operation and Development (OECD) issued a set of rules known as “Pillar Two” with</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the intent to ensure that global companies pay a minimum corporate income tax of 15% in jurisdictions in which the global companies operate. Many non-U.S. countries (including the U.K. and European Union member countries) enacted legislation to adopt certain aspects of</w:t>
      </w:r>
    </w:p>
    <w:p>
      <w:pPr>
        <w:spacing w:after="0" w:line="236" w:lineRule="auto"/>
        <w:rPr>
          <w:sz w:val="20"/>
          <w:szCs w:val="20"/>
          <w:color w:val="auto"/>
        </w:rPr>
      </w:pPr>
      <w:r>
        <w:rPr>
          <w:rFonts w:ascii="Arial" w:cs="Arial" w:eastAsia="Arial" w:hAnsi="Arial"/>
          <w:sz w:val="18"/>
          <w:szCs w:val="18"/>
          <w:color w:val="auto"/>
        </w:rPr>
        <w:t>Pillar Two effective January 1, 2024, and additional elements are expected to be adopted in future years. While the U.S. has not adopted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Pillar Two, rules implemented by participating countries apply to the Company’s worldwide operations in 2024. The Company does not have material operations in jurisdictions with tax rates lower than 15%. The amount of Pillar Two tax recorded as of December 31, 2024 is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material. As other countries enact legislation related to Pillar Two, the Company will continue to assess its impact.</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101" w:name="page102"/>
    <w:bookmarkEnd w:id="101"/>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210"/>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2023</w:t>
            </w:r>
          </w:p>
        </w:tc>
      </w:tr>
      <w:tr>
        <w:trPr>
          <w:trHeight w:val="229"/>
        </w:trPr>
        <w:tc>
          <w:tcPr>
            <w:tcW w:w="258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398,985</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398,266</w:t>
            </w: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6.21% - 7.21%</w:t>
            </w:r>
          </w:p>
        </w:tc>
        <w:tc>
          <w:tcPr>
            <w:tcW w:w="1780" w:type="dxa"/>
            <w:vAlign w:val="bottom"/>
          </w:tcPr>
          <w:p>
            <w:pPr>
              <w:jc w:val="center"/>
              <w:spacing w:after="0"/>
              <w:rPr>
                <w:sz w:val="20"/>
                <w:szCs w:val="20"/>
                <w:color w:val="auto"/>
              </w:rPr>
            </w:pPr>
            <w:r>
              <w:rPr>
                <w:rFonts w:ascii="Arial" w:cs="Arial" w:eastAsia="Arial" w:hAnsi="Arial"/>
                <w:sz w:val="16"/>
                <w:szCs w:val="16"/>
                <w:color w:val="auto"/>
              </w:rPr>
              <w:t>7.13%</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140,099</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147,476</w:t>
            </w: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6.08%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6.64%</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62,836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97,879</w:t>
            </w: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6.30%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7.01%</w:t>
            </w: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70,795</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74,541</w:t>
            </w: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6.55% - 7.35%</w:t>
            </w:r>
          </w:p>
        </w:tc>
        <w:tc>
          <w:tcPr>
            <w:tcW w:w="1780" w:type="dxa"/>
            <w:vAlign w:val="bottom"/>
          </w:tcPr>
          <w:p>
            <w:pPr>
              <w:jc w:val="center"/>
              <w:spacing w:after="0"/>
              <w:rPr>
                <w:sz w:val="20"/>
                <w:szCs w:val="20"/>
                <w:color w:val="auto"/>
              </w:rPr>
            </w:pPr>
            <w:r>
              <w:rPr>
                <w:rFonts w:ascii="Arial" w:cs="Arial" w:eastAsia="Arial" w:hAnsi="Arial"/>
                <w:sz w:val="16"/>
                <w:szCs w:val="16"/>
                <w:color w:val="auto"/>
              </w:rPr>
              <w:t>7.57%</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56,770</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63,097</w:t>
            </w: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2025 - 2032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- 8.00%</w:t>
            </w:r>
          </w:p>
        </w:tc>
        <w:tc>
          <w:tcPr>
            <w:tcW w:w="1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18,707</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30,574</w:t>
            </w: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748,192</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811,833</w:t>
            </w: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(26,577)</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(66,751)</w:t>
            </w: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721,615</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745,082</w:t>
            </w:r>
          </w:p>
        </w:tc>
      </w:tr>
      <w:tr>
        <w:trPr>
          <w:trHeight w:val="21"/>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carrying value is net of $1.0 million and $1.7 million of unamortized debt issuance costs as of December 31, 2024 and 2023, respectively.</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carrying value is net of $0.5 million and $0.6 million of unamortized debt issuance costs as of December 31, 2024 and 2023,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2024 and 2023.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carrying value is net of $0.6 million and $0.8 million of unamortized debt issuance costs as of December 31, 2024 and 2023, respectively.</w:t>
      </w:r>
    </w:p>
    <w:p>
      <w:pPr>
        <w:spacing w:after="0" w:line="15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Company’s $ 400 million senior unsecured fixed-rate notes (the Notes), due June 1, 2026, are guaranteed, jointly and severally, on a senior unsecured basis, by certain of the Company’s existing and future domestic subsidiaries, as described in the terms of the indenture.</w:t>
      </w:r>
    </w:p>
    <w:p>
      <w:pPr>
        <w:spacing w:after="0" w:line="235" w:lineRule="auto"/>
        <w:rPr>
          <w:sz w:val="20"/>
          <w:szCs w:val="20"/>
          <w:color w:val="auto"/>
        </w:rPr>
      </w:pPr>
      <w:r>
        <w:rPr>
          <w:rFonts w:ascii="Arial" w:cs="Arial" w:eastAsia="Arial" w:hAnsi="Arial"/>
          <w:sz w:val="18"/>
          <w:szCs w:val="18"/>
          <w:color w:val="auto"/>
        </w:rPr>
        <w:t>The Notes have a coupon rate of 5.75% per annum, payable semi-annually on June 1 and December 1. The Company may redeem the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Notes in whole or in part at any time at the respective redemption prices described in the indenture. At December 31, 2024 and 2023, the fair value of the Notes, based on quoted market prices (Level 2 fair value assessment), totaled $398.9 million and $400.4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on the Company’s $300 million unsecured revolving credit facility was $62.8 million as of December 31, 2024,</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consisting of British Pound (GBP) borrowings of £50 million with interest payable at Daily Sterling Overnight Index Average (SONIA) plus 1.375%.</w:t>
      </w:r>
    </w:p>
    <w:p>
      <w:pPr>
        <w:spacing w:after="0" w:line="127"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On July 28, 2023, the Company entered into a $150 million term loan with each of the lenders party thereto, Wells Fargo Bank, N.A., JPMorgan Chase Bank N.A., Bank of America, N.A., HSBC Bank USA, N.A., and PNC Bank, N.A. The term loan is payable in quarterly</w:t>
      </w:r>
    </w:p>
    <w:p>
      <w:pPr>
        <w:spacing w:after="0" w:line="235" w:lineRule="auto"/>
        <w:rPr>
          <w:sz w:val="20"/>
          <w:szCs w:val="20"/>
          <w:color w:val="auto"/>
        </w:rPr>
      </w:pPr>
      <w:r>
        <w:rPr>
          <w:rFonts w:ascii="Arial" w:cs="Arial" w:eastAsia="Arial" w:hAnsi="Arial"/>
          <w:sz w:val="18"/>
          <w:szCs w:val="18"/>
          <w:color w:val="auto"/>
        </w:rPr>
        <w:t>installments of $1.875 million which started in December 2023 with a final payment of the principal balance due on May 30, 2027. The term</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loan bears interest at variable rates based on SOFR plus 1.75% per annum. The Company may redeem the term loan in whole or in part with no penalty at any time. The existing financial covenants of the credit agreement governing the revolving credit facility are unchanged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addition of the term loan.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which includes (i) a</w:t>
      </w:r>
    </w:p>
    <w:p>
      <w:pPr>
        <w:ind w:right="20"/>
        <w:spacing w:after="0" w:line="248" w:lineRule="auto"/>
        <w:rPr>
          <w:sz w:val="20"/>
          <w:szCs w:val="20"/>
          <w:color w:val="auto"/>
        </w:rPr>
      </w:pPr>
      <w:r>
        <w:rPr>
          <w:rFonts w:ascii="Arial" w:cs="Arial" w:eastAsia="Arial" w:hAnsi="Arial"/>
          <w:sz w:val="17"/>
          <w:szCs w:val="17"/>
          <w:color w:val="auto"/>
        </w:rPr>
        <w:t>$ 75.2 million real estate term loan, (ii) a $65.0 million capital term loan, (iii) a $50.0 million delayed draw term loan, and (iv) establishment of a revolving floor plan credit facility (see Note 5). The real estate term loan is payable in monthly installments of $0.3 million and bears interest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at variable rates based on SOFR plus 1.75% per annum, and the capital term loan is payable in monthly installments of $0.5 million and bears interest at variable rates based on SOFR plus 2.00% per annum. The monthly installment payments on the real estate and capital term</w:t>
      </w:r>
    </w:p>
    <w:p>
      <w:pPr>
        <w:spacing w:after="0" w:line="236" w:lineRule="auto"/>
        <w:rPr>
          <w:sz w:val="20"/>
          <w:szCs w:val="20"/>
          <w:color w:val="auto"/>
        </w:rPr>
      </w:pPr>
      <w:r>
        <w:rPr>
          <w:rFonts w:ascii="Arial" w:cs="Arial" w:eastAsia="Arial" w:hAnsi="Arial"/>
          <w:sz w:val="18"/>
          <w:szCs w:val="18"/>
          <w:color w:val="auto"/>
        </w:rPr>
        <w:t>loans commenced on November 1, 2023, with final payments of the outstanding principal balances due on September 26, 2028. Subject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terms and conditions set forth in the credit agreement, the automotive subsidiary may also request borrowings of delayed draw term loans for which the proceeds may be used to (i) finance the acquisition of automobile dealerships (delayed draw capital loan) and (ii) finance the</w:t>
      </w:r>
    </w:p>
    <w:p>
      <w:pPr>
        <w:spacing w:after="0" w:line="236" w:lineRule="auto"/>
        <w:rPr>
          <w:sz w:val="20"/>
          <w:szCs w:val="20"/>
          <w:color w:val="auto"/>
        </w:rPr>
      </w:pPr>
      <w:r>
        <w:rPr>
          <w:rFonts w:ascii="Arial" w:cs="Arial" w:eastAsia="Arial" w:hAnsi="Arial"/>
          <w:sz w:val="18"/>
          <w:szCs w:val="18"/>
          <w:color w:val="auto"/>
        </w:rPr>
        <w:t>acquisition of real estate (delayed draw real estate loan). The delayed draw term loan bears interest at variable rates based on SOFR plus an</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applicable margin based on the type of delayed draw term loan requested. The delayed draw term loan availability period terminates on September 26, 2025. The automotive subsidiary did not borrow against the delayed draw term loan as of December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the same date, the Company’s automotive subsidiary entered into three interest rate swap agreements with a total notional value of</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$75.2 million and a maturity date of September 26, 2028. The interest rate swap agreements will pay the automotive subsidiary interest on the $75.2 million notional amount based on SOFR and the automotive subsidiary will pay the counterparty a fixed rate of 4.67% per annum.</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new interest rate swap agreements were entered into to convert the variable rate borrowing under the real estate term loan into a fixed rate borrowing. Based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on the terms of the new interest rate swap agreements and underlying borrowings, the new interest rate swaps were determined to be</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effective and thus qualify as cash flow hedges. Including a 1.75% applicable margin, the overall interest rate that the Company will pay on the $75.2 million real estate term loan is fixed at 6.42% per annum.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automotive subsidiary used the net proceeds from the real estate and capital term loans to repay the outstanding balances of the</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commercial notes maturing in 2031 and 2032. The interest rate swap agreements maturing in 2031 and 2032 were also terminated resulting in realized gains of $4.6 million that reduced interest expense during the third quarter of 2023.</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December 31, 2024 and 2023. The Company is in compliance with all financial covenants of the revolving credit facility and term loans as of December 31, 2024.</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2024 and 2023, the Company had average borrowings outstanding of approximately $804.7 million and $745.0 million, respectively, at average annual interest rates of approximately 6.3% and 6.1%, respectively. The Company incurred net interest expense of $176.3 million, $56.2 million and $51.2 million during 2024, 2023 and 2022, respectively.</w:t>
      </w:r>
    </w:p>
    <w:p>
      <w:pPr>
        <w:spacing w:after="0" w:line="10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For the years ended December 31, 2024, 2023 and 2022, the Company recorded interest expense of $119.3 million, $ 10.1 million and $16.5 million, respectively, to adjust the fair value of the mandatorily redeemable noncontrolling interest. The fair value of the mandatorily</w:t>
      </w:r>
    </w:p>
    <w:p>
      <w:pPr>
        <w:spacing w:after="0"/>
        <w:rPr>
          <w:sz w:val="20"/>
          <w:szCs w:val="20"/>
          <w:color w:val="auto"/>
        </w:rPr>
      </w:pPr>
      <w:r>
        <w:rPr>
          <w:rFonts w:ascii="Arial" w:cs="Arial" w:eastAsia="Arial" w:hAnsi="Arial"/>
          <w:sz w:val="17"/>
          <w:szCs w:val="17"/>
          <w:color w:val="auto"/>
        </w:rPr>
        <w:t>redeemable noncontrolling interest was based on the fair value of the underlying subsidiaries owned by GHC One and GHC Two, after taking into account any debt and other noncontrolling interests of its subsidiary investments. The fair value of the owned subsidiaries is determined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reference to either a discounted cash flow or EBITDA multiple, which approximates fair value (Level 3 fair value assessment).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3" w:name="page104"/>
    <w:bookmarkEnd w:id="103"/>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3,908</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3,908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852,434</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852,434</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6,309</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6,309</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Foreign exchange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710</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852,434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10,927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863,361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1,419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1,419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(6)</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1,419</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1,419</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159,548</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159,548</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160,967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162,386</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5,577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690,153</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690,153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6,875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697,028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5,577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702,605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2,761</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40,764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41,552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60" w:hanging="454"/>
        <w:spacing w:after="0" w:line="261"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exchanges. Price quotes for these shares are readily available.</w:t>
      </w:r>
    </w:p>
    <w:p>
      <w:pPr>
        <w:ind w:left="480" w:right="440" w:hanging="454"/>
        <w:spacing w:after="0" w:line="264"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hanging="454"/>
        <w:spacing w:after="0"/>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Included in Other current assets and valued based on a valuation model that calculates the differential between the contract price and the market-based forward rate.</w:t>
      </w:r>
    </w:p>
    <w:p>
      <w:pPr>
        <w:spacing w:after="0" w:line="55" w:lineRule="exact"/>
        <w:rPr>
          <w:rFonts w:ascii="Arial" w:cs="Arial" w:eastAsia="Arial" w:hAnsi="Arial"/>
          <w:sz w:val="14"/>
          <w:szCs w:val="14"/>
          <w:color w:val="auto"/>
        </w:rPr>
      </w:pPr>
    </w:p>
    <w:p>
      <w:pPr>
        <w:ind w:left="480" w:right="400" w:hanging="454"/>
        <w:spacing w:after="0" w:line="249"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380" w:hanging="454"/>
        <w:spacing w:after="0" w:line="264"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480" w:hanging="454"/>
        <w:spacing w:after="0" w:line="264" w:lineRule="auto"/>
        <w:tabs>
          <w:tab w:leader="none" w:pos="4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4" w:name="page105"/>
    <w:bookmarkEnd w:id="104"/>
    <w:p>
      <w:pPr>
        <w:ind w:right="440"/>
        <w:spacing w:after="0" w:line="271"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right"/>
              <w:ind w:right="240"/>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right"/>
              <w:ind w:right="240"/>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8,423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Acquisition of business</w:t>
            </w:r>
          </w:p>
        </w:tc>
        <w:tc>
          <w:tcPr>
            <w:tcW w:w="200" w:type="dxa"/>
            <w:vAlign w:val="bottom"/>
          </w:tcPr>
          <w:p>
            <w:pPr>
              <w:spacing w:after="0"/>
              <w:rPr>
                <w:sz w:val="19"/>
                <w:szCs w:val="19"/>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(7,423)</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10,122</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200" w:type="dxa"/>
            <w:vAlign w:val="bottom"/>
          </w:tcPr>
          <w:p>
            <w:pPr>
              <w:spacing w:after="0"/>
              <w:rPr>
                <w:sz w:val="18"/>
                <w:szCs w:val="18"/>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830</w:t>
            </w: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spacing w:after="0"/>
              <w:rPr>
                <w:sz w:val="18"/>
                <w:szCs w:val="18"/>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788</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b w:val="1"/>
                <w:bCs w:val="1"/>
                <w:color w:val="auto"/>
              </w:rPr>
              <w:t>1,293</w:t>
            </w: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119,295</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0"/>
              <w:spacing w:after="0"/>
              <w:rPr>
                <w:sz w:val="20"/>
                <w:szCs w:val="20"/>
                <w:color w:val="auto"/>
              </w:rPr>
            </w:pPr>
            <w:r>
              <w:rPr>
                <w:rFonts w:ascii="Arial" w:cs="Arial" w:eastAsia="Arial" w:hAnsi="Arial"/>
                <w:sz w:val="16"/>
                <w:szCs w:val="16"/>
                <w:b w:val="1"/>
                <w:bCs w:val="1"/>
                <w:color w:val="auto"/>
              </w:rPr>
              <w:t>190</w:t>
            </w:r>
          </w:p>
        </w:tc>
        <w:tc>
          <w:tcPr>
            <w:tcW w:w="2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(715)</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159,548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60" w:right="360" w:hanging="334"/>
        <w:spacing w:after="0" w:line="264"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10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For the years ended December 31, 2024, 2023 and 2022, the Company recorded goodwill and other long-lived asset impairment charges of $49.8 million, $99.1 million and $129.0 million, respectively (see Note 9). The remeasurement of goodwill and other long-lived assets is</w:t>
      </w:r>
    </w:p>
    <w:p>
      <w:pPr>
        <w:ind w:right="140"/>
        <w:spacing w:after="0" w:line="226" w:lineRule="auto"/>
        <w:rPr>
          <w:sz w:val="20"/>
          <w:szCs w:val="20"/>
          <w:color w:val="auto"/>
        </w:rPr>
      </w:pPr>
      <w:r>
        <w:rPr>
          <w:rFonts w:ascii="Arial" w:cs="Arial" w:eastAsia="Arial" w:hAnsi="Arial"/>
          <w:sz w:val="18"/>
          <w:szCs w:val="18"/>
          <w:color w:val="auto"/>
        </w:rPr>
        <w:t>classified as a Level 3 fair value assessment due to the significance of unobservable inputs developed in the determination of the fair value. The Company used a discounted cash flow model to determine the estimated fair value of the reporting units, indefinite-lived intangible</w:t>
      </w:r>
    </w:p>
    <w:p>
      <w:pPr>
        <w:spacing w:after="0" w:line="236" w:lineRule="auto"/>
        <w:rPr>
          <w:sz w:val="20"/>
          <w:szCs w:val="20"/>
          <w:color w:val="auto"/>
        </w:rPr>
      </w:pPr>
      <w:r>
        <w:rPr>
          <w:rFonts w:ascii="Arial" w:cs="Arial" w:eastAsia="Arial" w:hAnsi="Arial"/>
          <w:sz w:val="18"/>
          <w:szCs w:val="18"/>
          <w:color w:val="auto"/>
        </w:rPr>
        <w:t>assets, and other long-lived assets. Where appropriate, a market value approach was also utilized to supplement the discounted cash flow</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model. The Company made estimates and assumptions regarding future cash flows, royalty rates, discount rates, market values, and long-term growth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the Company recorded losses of $1.7 million to equity securities that are accounted for as cost</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method investments based on observable transactions for identical or similar investments of the same issuer. For the years ended December 31, 2024, 2023 and 2022, the Company recorded gains of $0.2 million, $3.1 million and $6.9 million, respectively, to those equity</w:t>
      </w:r>
    </w:p>
    <w:p>
      <w:pPr>
        <w:spacing w:after="0" w:line="235" w:lineRule="auto"/>
        <w:rPr>
          <w:sz w:val="20"/>
          <w:szCs w:val="20"/>
          <w:color w:val="auto"/>
        </w:rPr>
      </w:pPr>
      <w:r>
        <w:rPr>
          <w:rFonts w:ascii="Arial" w:cs="Arial" w:eastAsia="Arial" w:hAnsi="Arial"/>
          <w:sz w:val="18"/>
          <w:szCs w:val="18"/>
          <w:color w:val="auto"/>
        </w:rPr>
        <w:t>securities based on observable transactions. For the years ended December 31, 2024, 2023 and 2022, the Company recorded impairment</w:t>
      </w:r>
    </w:p>
    <w:p>
      <w:pPr>
        <w:ind w:right="100"/>
        <w:spacing w:after="0" w:line="237" w:lineRule="auto"/>
        <w:rPr>
          <w:sz w:val="20"/>
          <w:szCs w:val="20"/>
          <w:color w:val="auto"/>
        </w:rPr>
      </w:pPr>
      <w:r>
        <w:rPr>
          <w:rFonts w:ascii="Arial" w:cs="Arial" w:eastAsia="Arial" w:hAnsi="Arial"/>
          <w:sz w:val="18"/>
          <w:szCs w:val="18"/>
          <w:color w:val="auto"/>
        </w:rPr>
        <w:t>losses of $0.7 million, $0.5 million and $1.3 million, respectively, to equity securities that are accounted for as cost method investments (See Note 4).</w:t>
      </w:r>
    </w:p>
    <w:p>
      <w:pPr>
        <w:spacing w:after="0" w:line="12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the year ended December 31, 2024, the Company recorded impairment charges of $14.4 million on one of its investments in affiliates (see Note 4). The Company used a market approach to determine the estimated fair value of its investment in the affiliate.</w:t>
      </w:r>
    </w:p>
    <w:p>
      <w:pPr>
        <w:spacing w:after="0" w:line="86"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5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generated 79%, 79% and 81% of its revenue from U.S. domestic sales in 2024, 2023 and 2022, respectively. The remaining 21%, 21% and 19% of revenue was generated from non-U.S. sales.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2024, 2023 and 2022, the Company recognized 54%, 54% and 58%, respectively, of its revenue over time as control of the services and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goods transferred to the customer. The remaining 46%, 46% and 42%, respectively, of revenue was recognized at a point in time, when the customer obtained control of the promised goods.</w:t>
      </w:r>
    </w:p>
    <w:p>
      <w:pPr>
        <w:spacing w:after="0" w:line="127"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Contract Assets. </w:t>
      </w:r>
      <w:r>
        <w:rPr>
          <w:rFonts w:ascii="Arial" w:cs="Arial" w:eastAsia="Arial" w:hAnsi="Arial"/>
          <w:sz w:val="17"/>
          <w:szCs w:val="17"/>
          <w:color w:val="auto"/>
        </w:rPr>
        <w:t>As of December 31, 2024, the Company recognized a total contract asset of $ 36.6 million related to a contract at a Kaplan</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business, of which $1.9 million is included in Other current assets and $34.7 million is included in Deferred Charges and Other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Assets. The Company expects to recognize an additional $266.3 million related to the remaining performance obligation in the contract over the next five years. As of December 31, 2023, the contract asset was $39.8 million. Additional contract assets of $3.1 million are included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on the Company’s Consolidated Balance Sheet as of December 31, 2024.</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performance which includes some payments that are refundable due to the contractual right of the customer to cancel the agreement. As of December 31, 2024 and 2023, 19% and 20%, respectively, of the Company’s deferred revenue consisted of prepaid amounts which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refundable. The following table presents the change in the Company’s deferred revenue balance during the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right="164"/>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Pr>
          <w:p>
            <w:pPr>
              <w:spacing w:after="0"/>
              <w:rPr>
                <w:sz w:val="17"/>
                <w:szCs w:val="17"/>
                <w:color w:val="auto"/>
              </w:rPr>
            </w:pP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397,435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400,347</w:t>
            </w:r>
          </w:p>
        </w:tc>
        <w:tc>
          <w:tcPr>
            <w:tcW w:w="1100" w:type="dxa"/>
            <w:vAlign w:val="bottom"/>
          </w:tcPr>
          <w:p>
            <w:pPr>
              <w:jc w:val="right"/>
              <w:ind w:right="384"/>
              <w:spacing w:after="0"/>
              <w:rPr>
                <w:sz w:val="20"/>
                <w:szCs w:val="20"/>
                <w:color w:val="auto"/>
              </w:rPr>
            </w:pPr>
            <w:r>
              <w:rPr>
                <w:rFonts w:ascii="Arial" w:cs="Arial" w:eastAsia="Arial" w:hAnsi="Arial"/>
                <w:sz w:val="16"/>
                <w:szCs w:val="16"/>
                <w:color w:val="auto"/>
              </w:rPr>
              <w:t>(1)</w:t>
            </w:r>
          </w:p>
        </w:tc>
      </w:tr>
    </w:tbl>
    <w:p>
      <w:pPr>
        <w:spacing w:after="0" w:line="228" w:lineRule="exact"/>
        <w:rPr>
          <w:sz w:val="20"/>
          <w:szCs w:val="20"/>
          <w:color w:val="auto"/>
        </w:rPr>
      </w:pPr>
    </w:p>
    <w:p>
      <w:pPr>
        <w:ind w:right="520"/>
        <w:spacing w:after="0" w:line="259" w:lineRule="auto"/>
        <w:rPr>
          <w:sz w:val="20"/>
          <w:szCs w:val="20"/>
          <w:color w:val="auto"/>
        </w:rPr>
      </w:pPr>
      <w:r>
        <w:rPr>
          <w:rFonts w:ascii="Arial" w:cs="Arial" w:eastAsia="Arial" w:hAnsi="Arial"/>
          <w:sz w:val="17"/>
          <w:szCs w:val="17"/>
          <w:color w:val="auto"/>
        </w:rPr>
        <w:t>In April 2020, GHG received $31.5 million under the expanded Medicare Accelerated and Advanced Payment Program modified by the CARES Act as a result of COVID-19. The Department of Health and Human Services began to recoup this advance 365 days after the</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payment was issued. The advance had been recouped in full as of December 31, 2022. For the year ended December 31, 2022, GHG recognized $12.6 million of the balance in revenue for claims submitted for eligible services.</w:t>
      </w:r>
    </w:p>
    <w:p>
      <w:pPr>
        <w:spacing w:after="0" w:line="12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During the year ended December 31, 2024, the Company recognized $355.4 million from the Company’s deferred revenue balance as of December 31, 2023, including $66.8 million of prepaid amounts which were refundable at the prior year-end.</w:t>
      </w:r>
    </w:p>
    <w:p>
      <w:pPr>
        <w:spacing w:after="0" w:line="86"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2024, the deferred revenue balance related to certain medical and nursing qualifications with an original</w:t>
      </w:r>
    </w:p>
    <w:p>
      <w:pPr>
        <w:ind w:right="460"/>
        <w:spacing w:after="0" w:line="237" w:lineRule="auto"/>
        <w:rPr>
          <w:sz w:val="20"/>
          <w:szCs w:val="20"/>
          <w:color w:val="auto"/>
        </w:rPr>
      </w:pPr>
      <w:r>
        <w:rPr>
          <w:rFonts w:ascii="Arial" w:cs="Arial" w:eastAsia="Arial" w:hAnsi="Arial"/>
          <w:sz w:val="18"/>
          <w:szCs w:val="18"/>
          <w:color w:val="auto"/>
        </w:rPr>
        <w:t>contract length greater than 12 months at Kaplan Supplemental Education was $5.4 million. Kaplan Supplemental Education expects to recognize 64% of this revenue over the next 12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Associated</w:t>
            </w:r>
          </w:p>
        </w:tc>
        <w:tc>
          <w:tcPr>
            <w:tcW w:w="240" w:type="dxa"/>
            <w:vAlign w:val="bottom"/>
          </w:tcPr>
          <w:p>
            <w:pPr>
              <w:spacing w:after="0"/>
              <w:rPr>
                <w:sz w:val="14"/>
                <w:szCs w:val="14"/>
                <w:color w:val="auto"/>
              </w:rPr>
            </w:pPr>
          </w:p>
        </w:tc>
        <w:tc>
          <w:tcPr>
            <w:tcW w:w="1300" w:type="dxa"/>
            <w:vAlign w:val="bottom"/>
          </w:tcPr>
          <w:p>
            <w:pPr>
              <w:jc w:val="center"/>
              <w:ind w:right="283"/>
              <w:spacing w:after="0"/>
              <w:rPr>
                <w:sz w:val="20"/>
                <w:szCs w:val="20"/>
                <w:color w:val="auto"/>
              </w:rPr>
            </w:pPr>
            <w:r>
              <w:rPr>
                <w:rFonts w:ascii="Arial" w:cs="Arial" w:eastAsia="Arial" w:hAnsi="Arial"/>
                <w:sz w:val="14"/>
                <w:szCs w:val="14"/>
                <w:b w:val="1"/>
                <w:bCs w:val="1"/>
                <w:color w:val="auto"/>
              </w:rPr>
              <w:t>Less: Costs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6"/>
              </w:rPr>
              <w:t>at</w:t>
            </w:r>
          </w:p>
        </w:tc>
      </w:tr>
      <w:tr>
        <w:trPr>
          <w:trHeight w:val="162"/>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rPr>
              <w:t>with New</w:t>
            </w:r>
          </w:p>
        </w:tc>
        <w:tc>
          <w:tcPr>
            <w:tcW w:w="1540" w:type="dxa"/>
            <w:vAlign w:val="bottom"/>
            <w:gridSpan w:val="2"/>
          </w:tcPr>
          <w:p>
            <w:pPr>
              <w:jc w:val="center"/>
              <w:ind w:right="23"/>
              <w:spacing w:after="0"/>
              <w:rPr>
                <w:sz w:val="20"/>
                <w:szCs w:val="20"/>
                <w:color w:val="auto"/>
              </w:rPr>
            </w:pPr>
            <w:r>
              <w:rPr>
                <w:rFonts w:ascii="Arial" w:cs="Arial" w:eastAsia="Arial" w:hAnsi="Arial"/>
                <w:sz w:val="14"/>
                <w:szCs w:val="14"/>
                <w:b w:val="1"/>
                <w:bCs w:val="1"/>
                <w:color w:val="auto"/>
              </w:rPr>
              <w:t>Amortized During</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of Year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Contracts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rPr>
              <w:t>the Year</w:t>
            </w: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41,634</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99,588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43"/>
              <w:spacing w:after="0"/>
              <w:rPr>
                <w:sz w:val="20"/>
                <w:szCs w:val="20"/>
                <w:color w:val="auto"/>
              </w:rPr>
            </w:pPr>
            <w:r>
              <w:rPr>
                <w:rFonts w:ascii="Arial" w:cs="Arial" w:eastAsia="Arial" w:hAnsi="Arial"/>
                <w:sz w:val="16"/>
                <w:szCs w:val="16"/>
                <w:b w:val="1"/>
                <w:bCs w:val="1"/>
                <w:color w:val="auto"/>
              </w:rPr>
              <w:t>(101,914)</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2,813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b w:val="1"/>
                <w:bCs w:val="1"/>
                <w:color w:val="auto"/>
              </w:rPr>
              <w:t>42,121</w:t>
            </w:r>
          </w:p>
        </w:tc>
      </w:tr>
      <w:tr>
        <w:trPr>
          <w:trHeight w:val="221"/>
        </w:trPr>
        <w:tc>
          <w:tcPr>
            <w:tcW w:w="3100" w:type="dxa"/>
            <w:vAlign w:val="bottom"/>
          </w:tcPr>
          <w:p>
            <w:pPr>
              <w:ind w:left="20"/>
              <w:spacing w:after="0"/>
              <w:rPr>
                <w:sz w:val="20"/>
                <w:szCs w:val="20"/>
                <w:color w:val="auto"/>
              </w:rPr>
            </w:pPr>
            <w:r>
              <w:rPr>
                <w:rFonts w:ascii="Arial" w:cs="Arial" w:eastAsia="Arial" w:hAnsi="Arial"/>
                <w:sz w:val="16"/>
                <w:szCs w:val="16"/>
                <w:color w:val="auto"/>
              </w:rPr>
              <w:t>2023</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31,647</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98,527</w:t>
            </w:r>
          </w:p>
        </w:tc>
        <w:tc>
          <w:tcPr>
            <w:tcW w:w="240" w:type="dxa"/>
            <w:vAlign w:val="bottom"/>
          </w:tcPr>
          <w:p>
            <w:pPr>
              <w:spacing w:after="0"/>
              <w:rPr>
                <w:sz w:val="19"/>
                <w:szCs w:val="19"/>
                <w:color w:val="auto"/>
              </w:rPr>
            </w:pPr>
          </w:p>
        </w:tc>
        <w:tc>
          <w:tcPr>
            <w:tcW w:w="1300" w:type="dxa"/>
            <w:vAlign w:val="bottom"/>
          </w:tcPr>
          <w:p>
            <w:pPr>
              <w:jc w:val="right"/>
              <w:ind w:right="143"/>
              <w:spacing w:after="0"/>
              <w:rPr>
                <w:sz w:val="20"/>
                <w:szCs w:val="20"/>
                <w:color w:val="auto"/>
              </w:rPr>
            </w:pPr>
            <w:r>
              <w:rPr>
                <w:rFonts w:ascii="Arial" w:cs="Arial" w:eastAsia="Arial" w:hAnsi="Arial"/>
                <w:sz w:val="16"/>
                <w:szCs w:val="16"/>
                <w:color w:val="auto"/>
              </w:rPr>
              <w:t>(90,839)</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2,299</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41,634</w:t>
            </w: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color w:val="auto"/>
              </w:rPr>
              <w:t>2022</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26,081</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72,606</w:t>
            </w:r>
          </w:p>
        </w:tc>
        <w:tc>
          <w:tcPr>
            <w:tcW w:w="240" w:type="dxa"/>
            <w:vAlign w:val="bottom"/>
          </w:tcPr>
          <w:p>
            <w:pPr>
              <w:spacing w:after="0"/>
              <w:rPr>
                <w:sz w:val="19"/>
                <w:szCs w:val="19"/>
                <w:color w:val="auto"/>
              </w:rPr>
            </w:pPr>
          </w:p>
        </w:tc>
        <w:tc>
          <w:tcPr>
            <w:tcW w:w="1300" w:type="dxa"/>
            <w:vAlign w:val="bottom"/>
          </w:tcPr>
          <w:p>
            <w:pPr>
              <w:jc w:val="right"/>
              <w:ind w:right="143"/>
              <w:spacing w:after="0"/>
              <w:rPr>
                <w:sz w:val="20"/>
                <w:szCs w:val="20"/>
                <w:color w:val="auto"/>
              </w:rPr>
            </w:pPr>
            <w:r>
              <w:rPr>
                <w:rFonts w:ascii="Arial" w:cs="Arial" w:eastAsia="Arial" w:hAnsi="Arial"/>
                <w:sz w:val="16"/>
                <w:szCs w:val="16"/>
                <w:color w:val="auto"/>
              </w:rPr>
              <w:t>(66,064)</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(976)</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31,647</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and other adjustments in 2024, 2023 and 2022.</w:t>
      </w:r>
    </w:p>
    <w:p>
      <w:pPr>
        <w:spacing w:after="0" w:line="158"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0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During 2024, 2023 and 2022 the Company purchased a total of 152,948, 325,134 and 121,761 shares, respectively, of its Class B common stock at a cost of approximately $115.2 million, $195.0 million and $71.4 million, respectively, including commissions and excise taxes. On</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September 12, 2024, the Board of Directors authorized the Company to purchase up to 500,000 shares of its Class B common stock. This authorization includes shares that remained under the previous authorization. The Company did not announce a ceiling price or time limit for</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the purchases. At December 31, 2024, the Company had remaining authorization from the Board of Directors to purchase up to 466,460 shares of Class B common stock.</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Stock Awards. </w:t>
      </w:r>
      <w:r>
        <w:rPr>
          <w:rFonts w:ascii="Arial" w:cs="Arial" w:eastAsia="Arial" w:hAnsi="Arial"/>
          <w:sz w:val="17"/>
          <w:szCs w:val="17"/>
          <w:color w:val="auto"/>
        </w:rPr>
        <w:t>In 2012, the Company adopted an incentive compensation plan (the 2012 Plan), which, among other provisions, authorizes</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awarding of Class B common stock to key employees in the form of stock awards, stock options and other awards involving the issuance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shares. Stock awards made under the 2012 Plan are primarily subject to the general restriction that stock awarded to a participant will be forfeited and revert to Company ownership if the participant’s employment terminates before the end of a specified period of service to the</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Company. At December 31, 2024, there were 112,556 shares reserved for issuance under the 2012 Plan, which were all subject to stock awards and stock options outstanding.</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 2022, the Company adopted a new incentive compensation plan (the 2022 Plan), which, among other provisions, authorizes the awarding of Class B common stock to key employees and non-employee Directors in the form of stock awards, stock options and other awards</w:t>
      </w:r>
    </w:p>
    <w:p>
      <w:pPr>
        <w:ind w:right="40"/>
        <w:spacing w:after="0" w:line="237" w:lineRule="auto"/>
        <w:rPr>
          <w:sz w:val="20"/>
          <w:szCs w:val="20"/>
          <w:color w:val="auto"/>
        </w:rPr>
      </w:pPr>
      <w:r>
        <w:rPr>
          <w:rFonts w:ascii="Arial" w:cs="Arial" w:eastAsia="Arial" w:hAnsi="Arial"/>
          <w:sz w:val="18"/>
          <w:szCs w:val="18"/>
          <w:color w:val="auto"/>
        </w:rPr>
        <w:t>involving the issuance of shares. All stock awards, stock options and other awards involving the issuance of shares issued subsequent to the adoption of this plan are covered under this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new incentive compensation plan. Stock awards made under the 2022 Plan are primarily subject to the general restriction that stock awarded</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to a participant will be forfeited and revert to Company ownership if the participant’s employment terminates before the end of a specified period of service to the Company. The number of Class B common shares authorized for issuance under the 2022 Plan is 500,000 shares. At</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December 31, 2024, there were 498,310 shares reserved for issuance under the 2022 Plan. Of this number, 15,545 shares were subject to stock awards and 482,765 shares were available for future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for the year ended December 31,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7"/>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09"/>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29,649</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571.11</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1,088</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715.43</w:t>
            </w:r>
          </w:p>
        </w:tc>
      </w:tr>
      <w:tr>
        <w:trPr>
          <w:trHeight w:val="230"/>
        </w:trPr>
        <w:tc>
          <w:tcPr>
            <w:tcW w:w="8960" w:type="dxa"/>
            <w:vAlign w:val="bottom"/>
          </w:tcPr>
          <w:p>
            <w:pPr>
              <w:ind w:left="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623.03</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584.01</w:t>
            </w:r>
          </w:p>
        </w:tc>
      </w:tr>
      <w:tr>
        <w:trPr>
          <w:trHeight w:val="22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29,314</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575.33</w:t>
            </w:r>
          </w:p>
        </w:tc>
      </w:tr>
      <w:tr>
        <w:trPr>
          <w:trHeight w:val="21"/>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For the share awards outstanding at December 31, 2024, the aforementioned restriction is expected to lapse in 2025 for 12,769 shares and 2027 for 16,545 shares. Also, early in 2025, the Company issued stock awards of 11,386 shares. Stock-based compensation costs resulting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Company stock awards were $4.0 million, $3.9 million and $3.4 million in 2024, 2023 and 2022, respectively.</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2024, there was $5.0 million of total unrecognized compensation expense related to these awards. That cost is expected to be recognized on a straight-line basis over a weighted average period of 1.1 years.</w:t>
      </w:r>
    </w:p>
    <w:p>
      <w:pPr>
        <w:spacing w:after="0" w:line="112"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incentive compensation plans cannot be less than the fair value on the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vest over six years and have a maximum term of 10 years.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197"/>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09"/>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175,045</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622.80</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719.15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Expired or forfeited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97,787</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546.68</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Of the shares covered by options outstanding at the end of 2024, 72,033 are now exercisable; 12,877 are expected to become exercisable in 2025; and 12,877 are expected to become exercisable in 2026. For each of 2024, 2023 and 2022, the Company recorded expense of $1.2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related to stock options. Information related to stock options outstanding and exercisable at December 31, 2024,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26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960" w:type="dxa"/>
            <w:vAlign w:val="bottom"/>
            <w:tcBorders>
              <w:bottom w:val="single" w:sz="8" w:color="auto"/>
            </w:tcBorders>
          </w:tcPr>
          <w:p>
            <w:pPr>
              <w:spacing w:after="0"/>
              <w:rPr>
                <w:sz w:val="17"/>
                <w:szCs w:val="17"/>
                <w:color w:val="auto"/>
              </w:rPr>
            </w:pPr>
          </w:p>
        </w:tc>
      </w:tr>
      <w:tr>
        <w:trPr>
          <w:trHeight w:val="166"/>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49"/>
        </w:trPr>
        <w:tc>
          <w:tcPr>
            <w:tcW w:w="3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Outstanding at</w:t>
            </w:r>
          </w:p>
        </w:tc>
        <w:tc>
          <w:tcPr>
            <w:tcW w:w="144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rPr>
              <w:t>Contractual</w:t>
            </w:r>
          </w:p>
        </w:tc>
        <w:tc>
          <w:tcPr>
            <w:tcW w:w="10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 at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w:t>
            </w:r>
          </w:p>
        </w:tc>
      </w:tr>
      <w:tr>
        <w:trPr>
          <w:trHeight w:val="21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217"/>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71,045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5.7</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426.86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45,291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5.7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426.86</w:t>
            </w:r>
          </w:p>
        </w:tc>
      </w:tr>
      <w:tr>
        <w:trPr>
          <w:trHeight w:val="233"/>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805–872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1.0</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865.02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865.02</w:t>
            </w:r>
          </w:p>
        </w:tc>
      </w:tr>
      <w:tr>
        <w:trPr>
          <w:trHeight w:val="227"/>
        </w:trPr>
        <w:tc>
          <w:tcPr>
            <w:tcW w:w="38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97,787</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4.4</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546.68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72,033</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3.9</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589.52</w:t>
            </w:r>
          </w:p>
        </w:tc>
      </w:tr>
      <w:tr>
        <w:trPr>
          <w:trHeight w:val="20"/>
        </w:trPr>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intrinsic value for all options outstanding, exercisable and unvested was $31.8 million, $20.3 million and $11.5</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million, respectively. The intrinsic value of a stock option is the amount by which the market value of the underlying stock exceeds the exercise price of the option. The market value of the Company’s stock was $871.92 at December 31, 2024. At December 31, 2024, there</w:t>
      </w:r>
    </w:p>
    <w:p>
      <w:pPr>
        <w:spacing w:after="0" w:line="236" w:lineRule="auto"/>
        <w:rPr>
          <w:sz w:val="20"/>
          <w:szCs w:val="20"/>
          <w:color w:val="auto"/>
        </w:rPr>
      </w:pPr>
      <w:r>
        <w:rPr>
          <w:rFonts w:ascii="Arial" w:cs="Arial" w:eastAsia="Arial" w:hAnsi="Arial"/>
          <w:sz w:val="18"/>
          <w:szCs w:val="18"/>
          <w:color w:val="auto"/>
        </w:rPr>
        <w:t>were 25,754 unvested options related to this plan with an average exercise price of $426.86 and a weighted average remaining contractual</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term of 5.7 years. At December 31, 2023, there were 38,630 unvested options with an average exercise price of $426.86 and a weighted average remaining contractual term of 6.7 years.</w:t>
      </w:r>
    </w:p>
    <w:p>
      <w:pPr>
        <w:spacing w:after="0" w:line="12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As of December 31, 2024, total unrecognized stock-based compensation expense related to stock options was $2.0 million, which is expected to be recognized on a straight-line basis over a weighted average period of approximately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1.7 years. There were 77,258 options exercised during 2024. The total intrinsic value of options exercised during 2024 was $8.0 million; a tax</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benefit from these option exercises of $2.1 million was realized. There were 3,060 options exercised during 2023. The total intrinsic value of options exercised during 2023 was $0.5 million; a tax benefit from these option exercises of $0.1 million was realized. There were 5,084</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options exercised during 2022. The total intrinsic value of options exercised during 2022 was $1.2 million; a tax benefit from these option exercises of $0.3 million was realized.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2024, 2023 or 2022.</w:t>
      </w:r>
    </w:p>
    <w:p>
      <w:pPr>
        <w:spacing w:after="0" w:line="158"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In 2022, the Company granted a stock award to an executive officer that is subject to price-based vesting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provides the executive officer the right to receive 1,000 shares of the Company’s Class B common stock each time the</w:t>
      </w:r>
    </w:p>
    <w:p>
      <w:pPr>
        <w:spacing w:after="0" w:line="235" w:lineRule="auto"/>
        <w:rPr>
          <w:sz w:val="20"/>
          <w:szCs w:val="20"/>
          <w:color w:val="auto"/>
        </w:rPr>
      </w:pPr>
      <w:r>
        <w:rPr>
          <w:rFonts w:ascii="Arial" w:cs="Arial" w:eastAsia="Arial" w:hAnsi="Arial"/>
          <w:sz w:val="18"/>
          <w:szCs w:val="18"/>
          <w:color w:val="auto"/>
        </w:rPr>
        <w:t>Company’s closing share price exceeds a certain share price target for a 90 consecutive day period; the award period expires on December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31, 2027. The grant date fair value of the stock award totaled $3.5 million, which was estimated using a Monte Carlo simulation. The grant date fair value is recognized over the derived service period of each tranche. In 2024, the first tranche of 1,000 shares related to this award</w:t>
      </w:r>
    </w:p>
    <w:p>
      <w:pPr>
        <w:spacing w:after="0" w:line="235" w:lineRule="auto"/>
        <w:rPr>
          <w:sz w:val="20"/>
          <w:szCs w:val="20"/>
          <w:color w:val="auto"/>
        </w:rPr>
      </w:pPr>
      <w:r>
        <w:rPr>
          <w:rFonts w:ascii="Arial" w:cs="Arial" w:eastAsia="Arial" w:hAnsi="Arial"/>
          <w:sz w:val="18"/>
          <w:szCs w:val="18"/>
          <w:color w:val="auto"/>
        </w:rPr>
        <w:t>vested following satisfaction of the price-based vesting condition. No shares related to this award vested in 2023 or 2022. The Company</w:t>
      </w:r>
    </w:p>
    <w:p>
      <w:pPr>
        <w:ind w:right="280"/>
        <w:spacing w:after="0" w:line="237" w:lineRule="auto"/>
        <w:rPr>
          <w:sz w:val="20"/>
          <w:szCs w:val="20"/>
          <w:color w:val="auto"/>
        </w:rPr>
      </w:pPr>
      <w:r>
        <w:rPr>
          <w:rFonts w:ascii="Arial" w:cs="Arial" w:eastAsia="Arial" w:hAnsi="Arial"/>
          <w:sz w:val="18"/>
          <w:szCs w:val="18"/>
          <w:color w:val="auto"/>
        </w:rPr>
        <w:t>recognized $0.7 million, $1.1 million and $1.3 million in stock-based compensation expense related to this award in 2024, 2023 and 2022, respectively.</w:t>
      </w:r>
    </w:p>
    <w:p>
      <w:pPr>
        <w:spacing w:after="0" w:line="127"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For the years ended December 31, 2024, 2023 and 2022, the Company recognized expense of $0.4 million, $0.4 million and $0.2 million, respectively, related to the issuance and vesting of 532, 731 and 345 shares, respectively, to non-employee Directors under the 2022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to the estimated fair value of Kaplan’s common stock, and options vest ratably over the number of years specified (generally four to five years) at the time of the grant. Upon exercise, an option holder may receive Kaplan shares or cash equal to the difference between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and the then fair value.</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December 31, 2024, a Kaplan senior manager held 7,206 Kaplan restricted shares. The fair value of Kaplan’s common stock is determined by the Company’s compensation committee of the Board of Directors, and in January 2025, the committee set the fair value price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at $1,769 per share. No options were awarded during 2024, 2023, or 2022; no options were exercised during 2024, 2023 or 2022; and no options were outstanding at December 31, 2024.</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Kaplan recorded stock compensation expense of $0.5 million, $1.0 million and $1.0 million in 2024, 2023 and 2022, respectively. At December 31, 2024, the Company’s accrual balance related to the Kaplan restricted shares totaled $12.7 million. There were no payouts in 2024, 2023 or 2022.</w:t>
      </w:r>
    </w:p>
    <w:p>
      <w:pPr>
        <w:spacing w:after="0" w:line="10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w:t>
      </w:r>
    </w:p>
    <w:p>
      <w:pPr>
        <w:ind w:right="240"/>
        <w:spacing w:after="0" w:line="226" w:lineRule="auto"/>
        <w:rPr>
          <w:sz w:val="20"/>
          <w:szCs w:val="20"/>
          <w:color w:val="auto"/>
        </w:rPr>
      </w:pPr>
      <w:r>
        <w:rPr>
          <w:rFonts w:ascii="Arial" w:cs="Arial" w:eastAsia="Arial" w:hAnsi="Arial"/>
          <w:sz w:val="18"/>
          <w:szCs w:val="18"/>
          <w:color w:val="auto"/>
        </w:rPr>
        <w:t>share computed under the two-class method is lower than the diluted earnings per share computed under the treasury stock method, resulting in the presentation of the lower amount in diluted earnings per share. The computation of earnings per share under the two-class</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8" w:name="page109"/>
    <w:bookmarkEnd w:id="108"/>
    <w:p>
      <w:pPr>
        <w:ind w:right="32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724,634</w:t>
            </w: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205,288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67,079</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(30,347)</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(30,953)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(30,712)</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694,287</w:t>
            </w:r>
          </w:p>
        </w:tc>
        <w:tc>
          <w:tcPr>
            <w:tcW w:w="540" w:type="dxa"/>
            <w:vAlign w:val="bottom"/>
          </w:tcPr>
          <w:p>
            <w:pPr>
              <w:spacing w:after="0"/>
              <w:rPr>
                <w:sz w:val="19"/>
                <w:szCs w:val="19"/>
                <w:color w:val="auto"/>
              </w:rPr>
            </w:pP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174,335</w:t>
            </w:r>
          </w:p>
        </w:tc>
        <w:tc>
          <w:tcPr>
            <w:tcW w:w="3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36,367</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99.32 %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99.34 %</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0" w:type="dxa"/>
            <w:vAlign w:val="bottom"/>
          </w:tcPr>
          <w:p>
            <w:pPr>
              <w:spacing w:after="0"/>
              <w:rPr>
                <w:sz w:val="1"/>
                <w:szCs w:val="1"/>
                <w:color w:val="auto"/>
              </w:rPr>
            </w:pPr>
          </w:p>
        </w:tc>
      </w:tr>
      <w:tr>
        <w:trPr>
          <w:trHeight w:val="220"/>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689,588</w:t>
            </w:r>
          </w:p>
        </w:tc>
        <w:tc>
          <w:tcPr>
            <w:tcW w:w="540" w:type="dxa"/>
            <w:vAlign w:val="bottom"/>
          </w:tcPr>
          <w:p>
            <w:pPr>
              <w:spacing w:after="0"/>
              <w:rPr>
                <w:sz w:val="19"/>
                <w:szCs w:val="19"/>
                <w:color w:val="auto"/>
              </w:rPr>
            </w:pP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173,182</w:t>
            </w:r>
          </w:p>
        </w:tc>
        <w:tc>
          <w:tcPr>
            <w:tcW w:w="3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36,160</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30,147</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30,756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30,540</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719,735</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203,938</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66,700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8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719,770</w:t>
            </w: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203,942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66,700</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4,372</w:t>
            </w:r>
          </w:p>
        </w:tc>
        <w:tc>
          <w:tcPr>
            <w:tcW w:w="540" w:type="dxa"/>
            <w:vAlign w:val="bottom"/>
          </w:tcPr>
          <w:p>
            <w:pPr>
              <w:spacing w:after="0"/>
              <w:rPr>
                <w:sz w:val="19"/>
                <w:szCs w:val="19"/>
                <w:color w:val="auto"/>
              </w:rPr>
            </w:pP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4,639</w:t>
            </w:r>
          </w:p>
        </w:tc>
        <w:tc>
          <w:tcPr>
            <w:tcW w:w="34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4,823</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4,405</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4,654</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8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164.62</w:t>
            </w:r>
          </w:p>
        </w:tc>
        <w:tc>
          <w:tcPr>
            <w:tcW w:w="5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80"/>
              <w:spacing w:after="0"/>
              <w:rPr>
                <w:sz w:val="20"/>
                <w:szCs w:val="20"/>
                <w:color w:val="auto"/>
              </w:rPr>
            </w:pPr>
            <w:r>
              <w:rPr>
                <w:rFonts w:ascii="Arial" w:cs="Arial" w:eastAsia="Arial" w:hAnsi="Arial"/>
                <w:sz w:val="16"/>
                <w:szCs w:val="16"/>
                <w:color w:val="auto"/>
              </w:rPr>
              <w:t>43.96</w:t>
            </w: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42"/>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163.40</w:t>
            </w: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43.82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per share amounts may not recalculate due to rounding.</w:t>
      </w:r>
    </w:p>
    <w:p>
      <w:pPr>
        <w:spacing w:after="0" w:line="19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2022</w:t>
            </w:r>
          </w:p>
        </w:tc>
      </w:tr>
      <w:tr>
        <w:trPr>
          <w:trHeight w:val="223"/>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21</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12</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18</w:t>
            </w:r>
          </w:p>
        </w:tc>
      </w:tr>
    </w:tbl>
    <w:p>
      <w:pPr>
        <w:spacing w:after="0" w:line="21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2024, 2023 and 2022 diluted earnings per share amounts exclude the effects of 27,742, 105,000 and 105,000 stock options and contingently issuable shares outstanding, respectively, as their inclusion would have been antidilutive due to a market condition.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2024, 2023 and 2022, the Company declared regular dividends totaling $6.88, $6.60 and $6.32 per share, respectively.</w:t>
      </w:r>
    </w:p>
    <w:p>
      <w:pPr>
        <w:spacing w:after="0" w:line="14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represented employee groups. Most of the Company’s employees are covered by these plans. The Company also provides healthcare and life insurance benefits to certain retired employees. These employees become eligible for benefits after meeting age and service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2024, the Company purchased an irrevocable group annuity contract from an insurance company for $461.3 million to settle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$457.9 million of the outstanding defined benefit pension obligation related to certain retirees and beneficiaries. The purchase of the group</w:t>
      </w:r>
    </w:p>
    <w:p>
      <w:pPr>
        <w:spacing w:after="0" w:line="226" w:lineRule="auto"/>
        <w:rPr>
          <w:sz w:val="20"/>
          <w:szCs w:val="20"/>
          <w:color w:val="auto"/>
        </w:rPr>
      </w:pPr>
      <w:r>
        <w:rPr>
          <w:rFonts w:ascii="Arial" w:cs="Arial" w:eastAsia="Arial" w:hAnsi="Arial"/>
          <w:sz w:val="18"/>
          <w:szCs w:val="18"/>
          <w:color w:val="auto"/>
        </w:rPr>
        <w:t>annuity contract was funded from the assets of the Company’s pension plan. As a result of this transaction, the Company was relieved of all responsibility for these pension obligations and the insurance company is now required to pay and administer the retirement benefits owed to</w:t>
      </w:r>
    </w:p>
    <w:p>
      <w:pPr>
        <w:spacing w:after="0" w:line="236" w:lineRule="auto"/>
        <w:rPr>
          <w:sz w:val="20"/>
          <w:szCs w:val="20"/>
          <w:color w:val="auto"/>
        </w:rPr>
      </w:pPr>
      <w:r>
        <w:rPr>
          <w:rFonts w:ascii="Arial" w:cs="Arial" w:eastAsia="Arial" w:hAnsi="Arial"/>
          <w:sz w:val="18"/>
          <w:szCs w:val="18"/>
          <w:color w:val="auto"/>
        </w:rPr>
        <w:t>approximately 1,850 retirees and beneficiaries, with no change to the amount, timing or form of monthly retirement benefit payments. As a</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result, the Company remeasured the accumulated and projected benefit obligation as of October 17, 2024 and recorded a one-time pre-tax settlement gain of $653.4 million. The new measurement basis was used for the recognition of the Company’s pension benefit following the</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remeasurement. The settlement gain is included in non-operating pension and postretirement benefit income on the Consolidated Statements of Operations.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09" w:name="page110"/>
    <w:bookmarkEnd w:id="109"/>
    <w:p>
      <w:pPr>
        <w:ind w:right="500"/>
        <w:spacing w:after="0" w:line="271"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the first quarter of 2024, the Company recorded $0.4 million in expenses related to a Separation Incentive Program (SIP) for certain Framebridge employees. In the second quarter of 2024, the Company recorded $14.8 million in expenses related to a Voluntary Retirement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Incentive Program (VRIP) for certain GMG and Corporate employees. Also in the second quarter of 2024, the Company recorded $1.6 million in expenses related to SIPs for certain Framebridge and Code3 employees. In the third quarter of 2024, the Company recorded $3.7 million</w:t>
      </w:r>
    </w:p>
    <w:p>
      <w:pPr>
        <w:spacing w:after="0" w:line="236" w:lineRule="auto"/>
        <w:rPr>
          <w:sz w:val="20"/>
          <w:szCs w:val="20"/>
          <w:color w:val="auto"/>
        </w:rPr>
      </w:pPr>
      <w:r>
        <w:rPr>
          <w:rFonts w:ascii="Arial" w:cs="Arial" w:eastAsia="Arial" w:hAnsi="Arial"/>
          <w:sz w:val="18"/>
          <w:szCs w:val="18"/>
          <w:color w:val="auto"/>
        </w:rPr>
        <w:t>in expenses related to SIPs for certain Kaplan, Dekko, WGB, Saatchi Art, Society6, Slate and Decile employees. In the fourth quarter of</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2024, the Company recorded $0.5 million in expenses related to SIPs for certain Kaplan, Dekko, WGB and Decile employees. These SIPs and VRIP were funded from the assets of the Company’s pension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2023, the Company recorded $4.1 million in expenses related to SIPs for certain Leaf and Code3 employees. In the</w:t>
      </w:r>
    </w:p>
    <w:p>
      <w:pPr>
        <w:spacing w:after="0" w:line="14"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second quarter of 2023, the Company recorded $5.5 million in expenses related to SIPs for certain Kaplan, GMG, Leaf, Code3 and Pinna employees. In the fourth quarter of 2023, the Company recorded $0.2 million in expenses related to a SIP for certain GMG employees.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These SIPs were funded from the assets of the Company’s pension plan.</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January 2022, a pension credit retention program was implemented by the Company for certain GHG employees; the program offers a pension credit up to $50,000 per employee, cliff vested after three years of continuous employment for certain existing employees and new</w:t>
      </w:r>
    </w:p>
    <w:p>
      <w:pPr>
        <w:spacing w:after="0" w:line="1" w:lineRule="exact"/>
        <w:rPr>
          <w:sz w:val="20"/>
          <w:szCs w:val="20"/>
          <w:color w:val="auto"/>
        </w:rPr>
      </w:pPr>
    </w:p>
    <w:p>
      <w:pPr>
        <w:ind w:right="740"/>
        <w:spacing w:after="0" w:line="279" w:lineRule="auto"/>
        <w:rPr>
          <w:sz w:val="20"/>
          <w:szCs w:val="20"/>
          <w:color w:val="auto"/>
        </w:rPr>
      </w:pPr>
      <w:r>
        <w:rPr>
          <w:rFonts w:ascii="Arial" w:cs="Arial" w:eastAsia="Arial" w:hAnsi="Arial"/>
          <w:sz w:val="17"/>
          <w:szCs w:val="17"/>
          <w:color w:val="auto"/>
        </w:rPr>
        <w:t>employees. Effective April 1, 2024, this program is no longer being offered to new employees. The Company recorded $18.6 million, $13.5 million and $10.5 million in pension service cost expense in 2024, 2023 and 2022, respectively, related to this program.</w:t>
      </w:r>
    </w:p>
    <w:p>
      <w:pPr>
        <w:spacing w:after="0" w:line="8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the fourth quarter of 2022, the Company recorded $3.6 million in expenses related to a SIP for certain Kaplan employees, which was funded from the assets of the Company’s pension plan.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Pension Plans</w:t>
            </w:r>
          </w:p>
        </w:tc>
      </w:tr>
      <w:tr>
        <w:trPr>
          <w:trHeight w:val="209"/>
        </w:trPr>
        <w:tc>
          <w:tcPr>
            <w:tcW w:w="8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auto"/>
            </w:tcBorders>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892,049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870,298</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57,538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33,787</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40,095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46,211</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(734)</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(11,263)</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19,460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25,585</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(49,963)</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(82,455)</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20,998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9,886</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(522,793)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456,650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892,049</w:t>
            </w:r>
          </w:p>
        </w:tc>
        <w:tc>
          <w:tcPr>
            <w:tcW w:w="20" w:type="dxa"/>
            <w:vAlign w:val="bottom"/>
            <w:tcBorders>
              <w:bottom w:val="single" w:sz="8" w:color="auto"/>
            </w:tcBorders>
          </w:tcPr>
          <w:p>
            <w:pPr>
              <w:spacing w:after="0"/>
              <w:rPr>
                <w:sz w:val="19"/>
                <w:szCs w:val="19"/>
                <w:color w:val="auto"/>
              </w:rPr>
            </w:pPr>
          </w:p>
        </w:tc>
      </w:tr>
      <w:tr>
        <w:trPr>
          <w:trHeight w:val="222"/>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3,005,687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2,528,344</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534,239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559,798</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(49,963)</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(82,455)</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(522,793)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2,967,170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3,005,687</w:t>
            </w:r>
          </w:p>
        </w:tc>
        <w:tc>
          <w:tcPr>
            <w:tcW w:w="20" w:type="dxa"/>
            <w:vAlign w:val="bottom"/>
            <w:tcBorders>
              <w:bottom w:val="single" w:sz="8" w:color="auto"/>
            </w:tcBorders>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2,510,520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2,113,638</w:t>
            </w:r>
          </w:p>
        </w:tc>
        <w:tc>
          <w:tcPr>
            <w:tcW w:w="20" w:type="dxa"/>
            <w:vAlign w:val="bottom"/>
            <w:tcBorders>
              <w:bottom w:val="single" w:sz="8" w:color="auto"/>
            </w:tcBorders>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7"/>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rPr>
              <w:t>SERP</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8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89,876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90,018</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1,149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593</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4,514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4,659</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(gain)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(1,886)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909</w:t>
            </w:r>
          </w:p>
        </w:tc>
        <w:tc>
          <w:tcPr>
            <w:tcW w:w="20" w:type="dxa"/>
            <w:vAlign w:val="bottom"/>
          </w:tcPr>
          <w:p>
            <w:pPr>
              <w:spacing w:after="0"/>
              <w:rPr>
                <w:sz w:val="19"/>
                <w:szCs w:val="19"/>
                <w:color w:val="auto"/>
              </w:rPr>
            </w:pPr>
          </w:p>
        </w:tc>
      </w:tr>
      <w:tr>
        <w:trPr>
          <w:trHeight w:val="231"/>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(6,130)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w:t>
            </w:r>
          </w:p>
        </w:tc>
        <w:tc>
          <w:tcPr>
            <w:tcW w:w="20" w:type="dxa"/>
            <w:vAlign w:val="bottom"/>
          </w:tcPr>
          <w:p>
            <w:pPr>
              <w:spacing w:after="0"/>
              <w:rPr>
                <w:sz w:val="20"/>
                <w:szCs w:val="20"/>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87,523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89,876</w:t>
            </w:r>
          </w:p>
        </w:tc>
        <w:tc>
          <w:tcPr>
            <w:tcW w:w="20" w:type="dxa"/>
            <w:vAlign w:val="bottom"/>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(87,523)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(89,876)</w:t>
            </w:r>
          </w:p>
        </w:tc>
        <w:tc>
          <w:tcPr>
            <w:tcW w:w="20" w:type="dxa"/>
            <w:vAlign w:val="bottom"/>
          </w:tcPr>
          <w:p>
            <w:pPr>
              <w:spacing w:after="0"/>
              <w:rPr>
                <w:sz w:val="19"/>
                <w:szCs w:val="19"/>
                <w:color w:val="auto"/>
              </w:rPr>
            </w:pPr>
          </w:p>
        </w:tc>
      </w:tr>
      <w:tr>
        <w:trPr>
          <w:trHeight w:val="21"/>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The change in the Company’s benefit obligations for the pension plans in 2024 were primarily due to the settlement from the irrevocable</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group annuity contract and the benefits paid during the year offset by the recognition of an actuarial loss resulting from various experience variances and assumption changes used to measure the benefit obligation and special termination benefits provided to employees. The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change in the Company’s benefit obligations for the SERP in 2024 were primarily due to the benefits paid during the year and the recognition of an actuarial gain resulting from an increase to the discount rate used to measure the benefit obligation.</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accumulated benefit obligation for the Company’s pension plans at December 31, 2024 and 2023, was $448.7 million and $880.3 million, respectively. The accumulated benefit obligation for the Company’s SERP at December 31, 2024 and 2023, was $84.9 million and $89.4</w:t>
      </w:r>
    </w:p>
    <w:p>
      <w:pPr>
        <w:ind w:right="320"/>
        <w:spacing w:after="0" w:line="237" w:lineRule="auto"/>
        <w:rPr>
          <w:sz w:val="20"/>
          <w:szCs w:val="20"/>
          <w:color w:val="auto"/>
        </w:rPr>
      </w:pPr>
      <w:r>
        <w:rPr>
          <w:rFonts w:ascii="Arial" w:cs="Arial" w:eastAsia="Arial" w:hAnsi="Arial"/>
          <w:sz w:val="18"/>
          <w:szCs w:val="18"/>
          <w:color w:val="auto"/>
        </w:rPr>
        <w:t>million, respectively. The amounts recognized in the Company’s Consolidated Balance Sheets for its defined benefit pension plans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09"/>
        </w:trPr>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2023</w:t>
            </w:r>
          </w:p>
        </w:tc>
      </w:tr>
      <w:tr>
        <w:trPr>
          <w:trHeight w:val="223"/>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2,510,520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2,113,638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(6,786)</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(6,652)</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(80,737)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(83,224)</w:t>
            </w:r>
          </w:p>
        </w:tc>
      </w:tr>
      <w:tr>
        <w:trPr>
          <w:trHeight w:val="22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2,510,520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2,113,638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(87,523)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(89,876)</w:t>
            </w:r>
          </w:p>
        </w:tc>
      </w:tr>
      <w:tr>
        <w:trPr>
          <w:trHeight w:val="21"/>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2024</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2023</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2024</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5.8%</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5.2%</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5.6%</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6.37% with phase in to</w:t>
            </w:r>
          </w:p>
        </w:tc>
        <w:tc>
          <w:tcPr>
            <w:tcW w:w="2080" w:type="dxa"/>
            <w:vAlign w:val="bottom"/>
          </w:tcPr>
          <w:p>
            <w:pPr>
              <w:jc w:val="center"/>
              <w:ind w:right="41"/>
              <w:spacing w:after="0" w:line="182" w:lineRule="exact"/>
              <w:rPr>
                <w:sz w:val="20"/>
                <w:szCs w:val="20"/>
                <w:color w:val="auto"/>
              </w:rPr>
            </w:pPr>
            <w:r>
              <w:rPr>
                <w:rFonts w:ascii="Arial" w:cs="Arial" w:eastAsia="Arial" w:hAnsi="Arial"/>
                <w:sz w:val="16"/>
                <w:szCs w:val="16"/>
                <w:color w:val="auto"/>
              </w:rPr>
              <w:t>4.28% with phase in to</w:t>
            </w:r>
          </w:p>
        </w:tc>
        <w:tc>
          <w:tcPr>
            <w:tcW w:w="12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6.00% in 2026</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5.20% in 2025</w:t>
            </w:r>
          </w:p>
        </w:tc>
        <w:tc>
          <w:tcPr>
            <w:tcW w:w="1220" w:type="dxa"/>
            <w:vAlign w:val="bottom"/>
            <w:vMerge w:val="continue"/>
          </w:tcPr>
          <w:p>
            <w:pPr>
              <w:spacing w:after="0"/>
              <w:rPr>
                <w:sz w:val="19"/>
                <w:szCs w:val="19"/>
                <w:color w:val="auto"/>
              </w:rPr>
            </w:pP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no contributions to its pension plans in 2024 and 2023, and the Company does not expect to make any contributions in</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2025. The SERP is unfunded, therefore, the Company made actual benefit payments of $6.1 million and $6.3 million to beneficiaries for the years ended December 31, 2024 and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future estimated benefit payments, excluding charges for early retirement programs,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2025</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26,334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6,973</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2026</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28,890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7,352</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2027</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31,859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7,495</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2028</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32,601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7,576</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2029</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36,138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7,598</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2030–2034</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180,761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37,179</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r>
      <w:tr>
        <w:trPr>
          <w:trHeight w:val="210"/>
        </w:trPr>
        <w:tc>
          <w:tcPr>
            <w:tcW w:w="7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920" w:type="dxa"/>
            <w:vAlign w:val="bottom"/>
          </w:tcPr>
          <w:p>
            <w:pPr>
              <w:jc w:val="center"/>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return on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for the Year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Early retirement and separation program costs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Benefit for the Year</w:t>
      </w:r>
    </w:p>
    <w:p>
      <w:pPr>
        <w:spacing w:after="0" w:line="46" w:lineRule="exact"/>
        <w:rPr>
          <w:sz w:val="20"/>
          <w:szCs w:val="20"/>
          <w:color w:val="auto"/>
        </w:rPr>
      </w:pPr>
    </w:p>
    <w:p>
      <w:pPr>
        <w:ind w:left="260" w:hanging="242"/>
        <w:spacing w:after="0" w:line="264" w:lineRule="auto"/>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ind w:left="20"/>
        <w:spacing w:after="0"/>
        <w:rPr>
          <w:sz w:val="20"/>
          <w:szCs w:val="20"/>
          <w:color w:val="auto"/>
        </w:rPr>
      </w:pPr>
      <w:r>
        <w:rPr>
          <w:rFonts w:ascii="Arial" w:cs="Arial" w:eastAsia="Arial" w:hAnsi="Arial"/>
          <w:sz w:val="16"/>
          <w:szCs w:val="16"/>
          <w:color w:val="auto"/>
        </w:rPr>
        <w:t>Current year actuarial (gain)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net actuarial gain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57,538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33,787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32,567</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40,095</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46,211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30,504</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(165,487)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(153,125)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(167,485)</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(1,951)</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1,646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2,835</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(37,918)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(39,803)</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(68,656)</w:t>
            </w:r>
          </w:p>
        </w:tc>
      </w:tr>
      <w:tr>
        <w:trPr>
          <w:trHeight w:val="22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(107,723)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(111,284)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(170,235)</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(653,427)</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20,998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9,886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(740,152)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(101,398)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(166,611)</w:t>
            </w:r>
          </w:p>
        </w:tc>
      </w:tr>
      <w:tr>
        <w:trPr>
          <w:trHeight w:val="610"/>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(349,292)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(381,088)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749,258</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(11,263)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1,951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(2,835)</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37,918</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39,803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68,656</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653,427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343,270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(354,194)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815,079</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(396,882)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648,468</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73"/>
        </w:trPr>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SERP</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0"/>
        </w:trPr>
        <w:tc>
          <w:tcPr>
            <w:tcW w:w="240" w:type="dxa"/>
            <w:vAlign w:val="bottom"/>
          </w:tcPr>
          <w:p>
            <w:pPr>
              <w:spacing w:after="0"/>
              <w:rPr>
                <w:sz w:val="17"/>
                <w:szCs w:val="17"/>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7"/>
                <w:szCs w:val="17"/>
                <w:color w:val="auto"/>
              </w:rPr>
            </w:pPr>
          </w:p>
        </w:tc>
        <w:tc>
          <w:tcPr>
            <w:tcW w:w="940" w:type="dxa"/>
            <w:vAlign w:val="bottom"/>
          </w:tcPr>
          <w:p>
            <w:pPr>
              <w:jc w:val="center"/>
              <w:ind w:right="2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7"/>
                <w:szCs w:val="17"/>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color w:val="auto"/>
              </w:rPr>
              <w:t>2022</w:t>
            </w:r>
          </w:p>
        </w:tc>
      </w:tr>
    </w:tbl>
    <w:p>
      <w:pPr>
        <w:spacing w:after="0" w:line="1" w:lineRule="exact"/>
        <w:rPr>
          <w:sz w:val="20"/>
          <w:szCs w:val="20"/>
          <w:color w:val="auto"/>
        </w:rPr>
      </w:pPr>
    </w:p>
    <w:p>
      <w:pPr>
        <w:sectPr>
          <w:pgSz w:w="11900" w:h="16838" w:orient="portrait"/>
          <w:cols w:equalWidth="0" w:num="2">
            <w:col w:w="7080" w:space="560"/>
            <w:col w:w="3580"/>
          </w:cols>
          <w:pgMar w:left="320" w:top="1039" w:right="35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Service cost</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1,149</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593</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4,514</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4,659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3,289</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Cost for the Year</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5,663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w:t>
            </w: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(gain) loss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(1,886)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(20,956)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(21,658)</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3,777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(16,756)</w:t>
            </w:r>
          </w:p>
        </w:tc>
      </w:tr>
      <w:tr>
        <w:trPr>
          <w:trHeight w:val="21"/>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2" w:name="page113"/>
    <w:bookmarkEnd w:id="112"/>
    <w:p>
      <w:pPr>
        <w:ind w:right="180"/>
        <w:spacing w:after="0" w:line="271"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Pension Plans</w:t>
            </w:r>
          </w:p>
        </w:tc>
        <w:tc>
          <w:tcPr>
            <w:tcW w:w="1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20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2024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89"/>
        </w:trPr>
        <w:tc>
          <w:tcPr>
            <w:tcW w:w="2960" w:type="dxa"/>
            <w:vAlign w:val="bottom"/>
            <w:vMerge w:val="restart"/>
          </w:tcPr>
          <w:p>
            <w:pPr>
              <w:ind w:left="20"/>
              <w:spacing w:after="0"/>
              <w:rPr>
                <w:sz w:val="20"/>
                <w:szCs w:val="20"/>
                <w:color w:val="auto"/>
              </w:rPr>
            </w:pPr>
            <w:r>
              <w:rPr>
                <w:rFonts w:ascii="Arial" w:cs="Arial" w:eastAsia="Arial" w:hAnsi="Arial"/>
                <w:sz w:val="16"/>
                <w:szCs w:val="16"/>
                <w:color w:val="auto"/>
              </w:rPr>
              <w:t>Discount rate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8"/>
              </w:rPr>
              <w:t xml:space="preserve">5.2% / 5.3% </w:t>
            </w:r>
            <w:r>
              <w:rPr>
                <w:rFonts w:ascii="Arial" w:cs="Arial" w:eastAsia="Arial" w:hAnsi="Arial"/>
                <w:sz w:val="21"/>
                <w:szCs w:val="21"/>
                <w:b w:val="1"/>
                <w:bCs w:val="1"/>
                <w:color w:val="auto"/>
                <w:w w:val="98"/>
                <w:vertAlign w:val="superscript"/>
              </w:rPr>
              <w:t>(1)</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5.5%</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2.9%</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5.1%</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5.5%</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8"/>
              </w:rPr>
              <w:t>2.9%</w:t>
            </w:r>
          </w:p>
        </w:tc>
        <w:tc>
          <w:tcPr>
            <w:tcW w:w="0" w:type="dxa"/>
            <w:vAlign w:val="bottom"/>
          </w:tcPr>
          <w:p>
            <w:pPr>
              <w:spacing w:after="0"/>
              <w:rPr>
                <w:sz w:val="1"/>
                <w:szCs w:val="1"/>
                <w:color w:val="auto"/>
              </w:rPr>
            </w:pPr>
          </w:p>
        </w:tc>
      </w:tr>
      <w:tr>
        <w:trPr>
          <w:trHeight w:val="95"/>
        </w:trPr>
        <w:tc>
          <w:tcPr>
            <w:tcW w:w="296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520" w:type="dxa"/>
            <w:vAlign w:val="bottom"/>
          </w:tcPr>
          <w:p>
            <w:pPr>
              <w:jc w:val="center"/>
              <w:spacing w:after="0"/>
              <w:rPr>
                <w:sz w:val="20"/>
                <w:szCs w:val="20"/>
                <w:color w:val="auto"/>
              </w:rPr>
            </w:pPr>
            <w:r>
              <w:rPr>
                <w:rFonts w:ascii="Arial" w:cs="Arial" w:eastAsia="Arial" w:hAnsi="Arial"/>
                <w:sz w:val="16"/>
                <w:szCs w:val="16"/>
                <w:color w:val="auto"/>
              </w:rPr>
              <w:t>6.25%</w:t>
            </w:r>
          </w:p>
        </w:tc>
        <w:tc>
          <w:tcPr>
            <w:tcW w:w="1500" w:type="dxa"/>
            <w:vAlign w:val="bottom"/>
          </w:tcPr>
          <w:p>
            <w:pPr>
              <w:jc w:val="center"/>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6"/>
                <w:szCs w:val="16"/>
                <w:color w:val="auto"/>
              </w:rPr>
              <w:t>Rate of compensation increase – age</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rPr>
              <w:t>5.0%–1.0%</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215"/>
        </w:trPr>
        <w:tc>
          <w:tcPr>
            <w:tcW w:w="2960" w:type="dxa"/>
            <w:vAlign w:val="bottom"/>
          </w:tcPr>
          <w:p>
            <w:pPr>
              <w:ind w:left="180"/>
              <w:spacing w:after="0"/>
              <w:rPr>
                <w:sz w:val="20"/>
                <w:szCs w:val="20"/>
                <w:color w:val="auto"/>
              </w:rPr>
            </w:pPr>
            <w:r>
              <w:rPr>
                <w:rFonts w:ascii="Arial" w:cs="Arial" w:eastAsia="Arial" w:hAnsi="Arial"/>
                <w:sz w:val="16"/>
                <w:szCs w:val="16"/>
                <w:color w:val="auto"/>
              </w:rPr>
              <w:t>graded</w:t>
            </w:r>
          </w:p>
        </w:tc>
        <w:tc>
          <w:tcPr>
            <w:tcW w:w="16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6.37% with phase in</w:t>
            </w:r>
          </w:p>
        </w:tc>
        <w:tc>
          <w:tcPr>
            <w:tcW w:w="1520" w:type="dxa"/>
            <w:vAlign w:val="bottom"/>
            <w:vMerge w:val="restart"/>
          </w:tcPr>
          <w:p>
            <w:pPr>
              <w:ind w:left="100"/>
              <w:spacing w:after="0"/>
              <w:rPr>
                <w:sz w:val="20"/>
                <w:szCs w:val="20"/>
                <w:color w:val="auto"/>
              </w:rPr>
            </w:pPr>
            <w:r>
              <w:rPr>
                <w:rFonts w:ascii="Arial" w:cs="Arial" w:eastAsia="Arial" w:hAnsi="Arial"/>
                <w:sz w:val="16"/>
                <w:szCs w:val="16"/>
                <w:color w:val="auto"/>
              </w:rPr>
              <w:t>4.28% with phase</w:t>
            </w:r>
          </w:p>
        </w:tc>
        <w:tc>
          <w:tcPr>
            <w:tcW w:w="1500" w:type="dxa"/>
            <w:vAlign w:val="bottom"/>
            <w:vMerge w:val="restart"/>
          </w:tcPr>
          <w:p>
            <w:pPr>
              <w:jc w:val="center"/>
              <w:ind w:right="20"/>
              <w:spacing w:after="0"/>
              <w:rPr>
                <w:sz w:val="20"/>
                <w:szCs w:val="20"/>
                <w:color w:val="auto"/>
              </w:rPr>
            </w:pPr>
            <w:r>
              <w:rPr>
                <w:rFonts w:ascii="Arial" w:cs="Arial" w:eastAsia="Arial" w:hAnsi="Arial"/>
                <w:sz w:val="16"/>
                <w:szCs w:val="16"/>
                <w:color w:val="auto"/>
              </w:rPr>
              <w:t>1.41% with phase</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to 5.20% in 2025 /</w:t>
            </w:r>
          </w:p>
        </w:tc>
        <w:tc>
          <w:tcPr>
            <w:tcW w:w="15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6.37% with phase in</w:t>
            </w:r>
          </w:p>
        </w:tc>
        <w:tc>
          <w:tcPr>
            <w:tcW w:w="1520" w:type="dxa"/>
            <w:vAlign w:val="bottom"/>
          </w:tcPr>
          <w:p>
            <w:pPr>
              <w:ind w:left="260"/>
              <w:spacing w:after="0" w:line="175" w:lineRule="exact"/>
              <w:rPr>
                <w:sz w:val="20"/>
                <w:szCs w:val="20"/>
                <w:color w:val="auto"/>
              </w:rPr>
            </w:pPr>
            <w:r>
              <w:rPr>
                <w:rFonts w:ascii="Arial" w:cs="Arial" w:eastAsia="Arial" w:hAnsi="Arial"/>
                <w:sz w:val="16"/>
                <w:szCs w:val="16"/>
                <w:color w:val="auto"/>
              </w:rPr>
              <w:t>in to 5.50% in</w:t>
            </w:r>
          </w:p>
        </w:tc>
        <w:tc>
          <w:tcPr>
            <w:tcW w:w="1500" w:type="dxa"/>
            <w:vAlign w:val="bottom"/>
          </w:tcPr>
          <w:p>
            <w:pPr>
              <w:jc w:val="center"/>
              <w:spacing w:after="0" w:line="175" w:lineRule="exact"/>
              <w:rPr>
                <w:sz w:val="20"/>
                <w:szCs w:val="20"/>
                <w:color w:val="auto"/>
              </w:rPr>
            </w:pPr>
            <w:r>
              <w:rPr>
                <w:rFonts w:ascii="Arial" w:cs="Arial" w:eastAsia="Arial" w:hAnsi="Arial"/>
                <w:sz w:val="16"/>
                <w:szCs w:val="16"/>
                <w:color w:val="auto"/>
              </w:rPr>
              <w:t>in to 2.90% in</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w:t>
            </w: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9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7"/>
              </w:rPr>
              <w:t xml:space="preserve">to 5.50% in 2026 </w:t>
            </w:r>
            <w:r>
              <w:rPr>
                <w:rFonts w:ascii="Arial" w:cs="Arial" w:eastAsia="Arial" w:hAnsi="Arial"/>
                <w:sz w:val="21"/>
                <w:szCs w:val="21"/>
                <w:b w:val="1"/>
                <w:bCs w:val="1"/>
                <w:color w:val="auto"/>
                <w:w w:val="97"/>
                <w:vertAlign w:val="superscript"/>
              </w:rPr>
              <w:t>(2)</w:t>
            </w:r>
          </w:p>
        </w:tc>
        <w:tc>
          <w:tcPr>
            <w:tcW w:w="1520" w:type="dxa"/>
            <w:vAlign w:val="bottom"/>
          </w:tcPr>
          <w:p>
            <w:pPr>
              <w:jc w:val="center"/>
              <w:spacing w:after="0"/>
              <w:rPr>
                <w:sz w:val="20"/>
                <w:szCs w:val="20"/>
                <w:color w:val="auto"/>
              </w:rPr>
            </w:pPr>
            <w:r>
              <w:rPr>
                <w:rFonts w:ascii="Arial" w:cs="Arial" w:eastAsia="Arial" w:hAnsi="Arial"/>
                <w:sz w:val="16"/>
                <w:szCs w:val="16"/>
                <w:color w:val="auto"/>
              </w:rPr>
              <w:t>2025</w:t>
            </w:r>
          </w:p>
        </w:tc>
        <w:tc>
          <w:tcPr>
            <w:tcW w:w="1500" w:type="dxa"/>
            <w:vAlign w:val="bottom"/>
          </w:tcPr>
          <w:p>
            <w:pPr>
              <w:jc w:val="center"/>
              <w:ind w:right="20"/>
              <w:spacing w:after="0"/>
              <w:rPr>
                <w:sz w:val="20"/>
                <w:szCs w:val="20"/>
                <w:color w:val="auto"/>
              </w:rPr>
            </w:pPr>
            <w:r>
              <w:rPr>
                <w:rFonts w:ascii="Arial" w:cs="Arial" w:eastAsia="Arial" w:hAnsi="Arial"/>
                <w:sz w:val="16"/>
                <w:szCs w:val="16"/>
                <w:color w:val="auto"/>
              </w:rPr>
              <w:t>2024</w:t>
            </w:r>
          </w:p>
        </w:tc>
        <w:tc>
          <w:tcPr>
            <w:tcW w:w="1180" w:type="dxa"/>
            <w:vAlign w:val="bottom"/>
            <w:vMerge w:val="continue"/>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right="360" w:hanging="454"/>
        <w:spacing w:after="0" w:line="244" w:lineRule="auto"/>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a result of the irrevocable group annuity contract purchase, the Company remeasured the accumulated and projected benefit obligation of the pension plan as of October 17, 2024. The remeasurement changed the discount rate from 5.2% for the period January 1 to October 17, 2024 to 5.3% for the period after October 17, 2024.</w:t>
      </w:r>
    </w:p>
    <w:p>
      <w:pPr>
        <w:spacing w:after="0" w:line="185" w:lineRule="exact"/>
        <w:rPr>
          <w:rFonts w:ascii="Arial" w:cs="Arial" w:eastAsia="Arial" w:hAnsi="Arial"/>
          <w:sz w:val="14"/>
          <w:szCs w:val="14"/>
          <w:color w:val="auto"/>
        </w:rPr>
      </w:pPr>
    </w:p>
    <w:p>
      <w:pPr>
        <w:ind w:left="480" w:right="360" w:hanging="454"/>
        <w:spacing w:after="0" w:line="243" w:lineRule="auto"/>
        <w:tabs>
          <w:tab w:leader="none" w:pos="4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a result of the irrevocable group annuity contract purchase, the Company remeasured the accumulated and projected benefit obligation of the pension plan as of October 17, 2024. The remeasurement changed the cash balance interest crediting rate from 6.37% with phase in to 5.20% in 2025 for the period January 1 to October 17, 2024 to 6.37% with phase in to 5.50% in 2026 for the period after October 17, 2024.</w:t>
      </w:r>
    </w:p>
    <w:p>
      <w:pPr>
        <w:spacing w:after="0" w:line="23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940" w:type="dxa"/>
            <w:vAlign w:val="bottom"/>
            <w:tcBorders>
              <w:bottom w:val="single" w:sz="8" w:color="auto"/>
            </w:tcBorders>
          </w:tcPr>
          <w:p>
            <w:pPr>
              <w:spacing w:after="0"/>
              <w:rPr>
                <w:sz w:val="17"/>
                <w:szCs w:val="17"/>
                <w:color w:val="auto"/>
              </w:rPr>
            </w:pPr>
          </w:p>
        </w:tc>
      </w:tr>
      <w:tr>
        <w:trPr>
          <w:trHeight w:val="209"/>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(523,941)</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(865,994)</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(3,488)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(10,016)</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(533,957)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(877,227)</w:t>
            </w:r>
          </w:p>
        </w:tc>
        <w:tc>
          <w:tcPr>
            <w:tcW w:w="3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(3,488)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148,226</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236,107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481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(385,731)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(641,120)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(3,007)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funds, a U.S. stock index fund, and a relatively small number of stocks and high-quality fixed-income securities that are held by a third-party trustee. The assets of the Company’s pension plans were allocated as follows: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062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32385</wp:posOffset>
            </wp:positionV>
            <wp:extent cx="13373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49"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color w:val="auto"/>
        </w:rPr>
        <w:t>2023</w:t>
      </w:r>
    </w:p>
    <w:p>
      <w:pPr>
        <w:spacing w:after="0" w:line="64"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64 %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19 %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12 %</w:t>
      </w:r>
      <w:r>
        <w:rPr>
          <w:sz w:val="20"/>
          <w:szCs w:val="20"/>
          <w:color w:val="auto"/>
        </w:rPr>
        <w:tab/>
      </w:r>
      <w:r>
        <w:rPr>
          <w:rFonts w:ascii="Arial" w:cs="Arial" w:eastAsia="Arial" w:hAnsi="Arial"/>
          <w:sz w:val="15"/>
          <w:szCs w:val="15"/>
          <w:color w:val="auto"/>
        </w:rPr>
        <w:t>14 %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55245</wp:posOffset>
            </wp:positionV>
            <wp:extent cx="13373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039" w:right="339" w:bottom="1440" w:gutter="0" w:footer="0" w:header="0"/>
          <w:type w:val="continuous"/>
        </w:sectPr>
      </w:pPr>
    </w:p>
    <w:p>
      <w:pPr>
        <w:spacing w:after="0" w:line="1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manages approximately 43% of the pension assets internally, of which the majority is invested in Berkshire Hathaway stock, with the remaining investments in private investment funds, Markel stock, and short-term fixed-income securities. The remaining 57% of plan</w:t>
      </w:r>
    </w:p>
    <w:p>
      <w:pPr>
        <w:spacing w:after="0" w:line="235"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36" w:lineRule="auto"/>
        <w:rPr>
          <w:sz w:val="20"/>
          <w:szCs w:val="20"/>
          <w:color w:val="auto"/>
        </w:rPr>
      </w:pPr>
      <w:r>
        <w:rPr>
          <w:rFonts w:ascii="Arial" w:cs="Arial" w:eastAsia="Arial" w:hAnsi="Arial"/>
          <w:sz w:val="18"/>
          <w:szCs w:val="18"/>
          <w:color w:val="auto"/>
        </w:rPr>
        <w:t>investments. One investment manager cannot invest more than 15% of the assets at the time of purchase in the stock of Alphabet and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Berkshire Hathaway, and no more than 35% of the assets it manages in specified international exchanges at the time the investment is made. The other investment manager cannot invest more than 20% of the assets at the time of purchase in the stock of Berkshire Hathaway,</w:t>
      </w:r>
    </w:p>
    <w:p>
      <w:pPr>
        <w:spacing w:after="0" w:line="235"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w:t>
      </w:r>
    </w:p>
    <w:p>
      <w:pPr>
        <w:ind w:right="360"/>
        <w:spacing w:after="0" w:line="237" w:lineRule="auto"/>
        <w:rPr>
          <w:sz w:val="20"/>
          <w:szCs w:val="20"/>
          <w:color w:val="auto"/>
        </w:rPr>
      </w:pPr>
      <w:r>
        <w:rPr>
          <w:rFonts w:ascii="Arial" w:cs="Arial" w:eastAsia="Arial" w:hAnsi="Arial"/>
          <w:sz w:val="18"/>
          <w:szCs w:val="18"/>
          <w:color w:val="auto"/>
        </w:rPr>
        <w:t>exceptions noted above, the investment managers cannot 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than 10% of plan assets) of credit risk as of December 31, 2024. Types of concentrations that were evaluated include, but are not limited to, investment concentrations in a single entity, type of industry, foreign country and individual fund. At December 31, 2024, the pension plan</w:t>
      </w:r>
    </w:p>
    <w:p>
      <w:pPr>
        <w:spacing w:after="0" w:line="235"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$1,178.5 million,</w:t>
      </w:r>
    </w:p>
    <w:p>
      <w:pPr>
        <w:ind w:right="120"/>
        <w:spacing w:after="0" w:line="226" w:lineRule="auto"/>
        <w:rPr>
          <w:sz w:val="20"/>
          <w:szCs w:val="20"/>
          <w:color w:val="auto"/>
        </w:rPr>
      </w:pPr>
      <w:r>
        <w:rPr>
          <w:rFonts w:ascii="Arial" w:cs="Arial" w:eastAsia="Arial" w:hAnsi="Arial"/>
          <w:sz w:val="18"/>
          <w:szCs w:val="18"/>
          <w:color w:val="auto"/>
        </w:rPr>
        <w:t>or approximately 40% of total plan assets. At December 31, 2023, the pension plan held investments in one common stock and one private investment fund that exceeded 10% of total plan assets, valued at $1,011.1 million, or approximately 34% of total plan assets. Assets also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included $100.1 million and $82.4 million of Markel shares at December 31, 2024 and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2024</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2,308</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2,308</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00" w:type="dxa"/>
            <w:vAlign w:val="bottom"/>
          </w:tcPr>
          <w:p>
            <w:pPr>
              <w:ind w:left="220"/>
              <w:spacing w:after="0" w:line="236" w:lineRule="exact"/>
              <w:rPr>
                <w:sz w:val="20"/>
                <w:szCs w:val="20"/>
                <w:color w:val="auto"/>
              </w:rPr>
            </w:pPr>
            <w:r>
              <w:rPr>
                <w:rFonts w:ascii="Arial" w:cs="Arial" w:eastAsia="Arial" w:hAnsi="Arial"/>
                <w:sz w:val="16"/>
                <w:szCs w:val="16"/>
                <w:b w:val="1"/>
                <w:bCs w:val="1"/>
                <w:color w:val="auto"/>
              </w:rPr>
              <w:t xml:space="preserve">U.S. equities </w:t>
            </w:r>
            <w:r>
              <w:rPr>
                <w:rFonts w:ascii="Arial" w:cs="Arial" w:eastAsia="Arial" w:hAnsi="Arial"/>
                <w:sz w:val="21"/>
                <w:szCs w:val="21"/>
                <w:b w:val="1"/>
                <w:bCs w:val="1"/>
                <w:color w:val="auto"/>
                <w:vertAlign w:val="superscript"/>
              </w:rPr>
              <w:t>(1)</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1,899,611</w:t>
            </w:r>
          </w:p>
        </w:tc>
        <w:tc>
          <w:tcPr>
            <w:tcW w:w="30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1,899,611</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International equities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361,941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361,941</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2,263,860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2,263,860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b w:val="1"/>
                <w:bCs w:val="1"/>
                <w:color w:val="auto"/>
              </w:rPr>
              <w:t xml:space="preserve">Short-term investment funds measured at NAV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150,103</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Private investment funds measured at NAV </w:t>
            </w:r>
            <w:r>
              <w:rPr>
                <w:rFonts w:ascii="Arial" w:cs="Arial" w:eastAsia="Arial" w:hAnsi="Arial"/>
                <w:sz w:val="21"/>
                <w:szCs w:val="21"/>
                <w:b w:val="1"/>
                <w:bCs w:val="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557,122</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Payables,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(3,915)</w:t>
            </w:r>
          </w:p>
        </w:tc>
        <w:tc>
          <w:tcPr>
            <w:tcW w:w="0" w:type="dxa"/>
            <w:vAlign w:val="bottom"/>
          </w:tcPr>
          <w:p>
            <w:pPr>
              <w:spacing w:after="0"/>
              <w:rPr>
                <w:sz w:val="1"/>
                <w:szCs w:val="1"/>
                <w:color w:val="auto"/>
              </w:rPr>
            </w:pPr>
          </w:p>
        </w:tc>
      </w:tr>
      <w:tr>
        <w:trPr>
          <w:trHeight w:val="22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2,967,170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2023</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2"/>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6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2,230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20"/>
              <w:spacing w:after="0"/>
              <w:rPr>
                <w:sz w:val="20"/>
                <w:szCs w:val="20"/>
                <w:color w:val="auto"/>
              </w:rPr>
            </w:pPr>
            <w:r>
              <w:rPr>
                <w:rFonts w:ascii="Arial" w:cs="Arial" w:eastAsia="Arial" w:hAnsi="Arial"/>
                <w:sz w:val="16"/>
                <w:szCs w:val="16"/>
                <w:color w:val="auto"/>
              </w:rPr>
              <w:t xml:space="preserve">U.S. equities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1,793,705</w:t>
            </w:r>
          </w:p>
        </w:tc>
        <w:tc>
          <w:tcPr>
            <w:tcW w:w="3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1,793,705</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International equities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414,285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414,285</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2,210,220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2,210,220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Short-term investment funds measured at NAV </w:t>
            </w:r>
            <w:r>
              <w:rPr>
                <w:rFonts w:ascii="Arial" w:cs="Arial" w:eastAsia="Arial" w:hAnsi="Arial"/>
                <w:sz w:val="21"/>
                <w:szCs w:val="2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197,712</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Private investment funds measured at NAV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509,647</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U.S. stock index fund measured at NAV </w:t>
            </w:r>
            <w:r>
              <w:rPr>
                <w:rFonts w:ascii="Arial" w:cs="Arial" w:eastAsia="Arial" w:hAnsi="Arial"/>
                <w:sz w:val="21"/>
                <w:szCs w:val="21"/>
                <w:color w:val="auto"/>
                <w:vertAlign w:val="superscript"/>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84,767</w:t>
            </w: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3,005,687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480" w:right="300" w:hanging="454"/>
        <w:spacing w:after="0" w:line="253"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U.S. equities. </w:t>
      </w:r>
      <w:r>
        <w:rPr>
          <w:rFonts w:ascii="Arial" w:cs="Arial" w:eastAsia="Arial" w:hAnsi="Arial"/>
          <w:sz w:val="14"/>
          <w:szCs w:val="14"/>
          <w:color w:val="auto"/>
        </w:rPr>
        <w:t>These investments are held in common and preferred stock of U.S. corporations and American Depositary Receipts (ADRs) traded on U.S.</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exchanges. Common and preferred shares and ADRs are traded actively on exchanges, and price quotes for these shares are readily available. These investments are classified as Level 1 in the valuation hierarchy.</w:t>
      </w:r>
    </w:p>
    <w:p>
      <w:pPr>
        <w:spacing w:after="0" w:line="3" w:lineRule="exact"/>
        <w:rPr>
          <w:rFonts w:ascii="Arial" w:cs="Arial" w:eastAsia="Arial" w:hAnsi="Arial"/>
          <w:sz w:val="14"/>
          <w:szCs w:val="14"/>
          <w:color w:val="auto"/>
        </w:rPr>
      </w:pPr>
    </w:p>
    <w:p>
      <w:pPr>
        <w:ind w:left="480" w:right="640" w:hanging="454"/>
        <w:spacing w:after="0" w:line="261"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equities. </w:t>
      </w:r>
      <w:r>
        <w:rPr>
          <w:rFonts w:ascii="Arial" w:cs="Arial" w:eastAsia="Arial" w:hAnsi="Arial"/>
          <w:sz w:val="14"/>
          <w:szCs w:val="14"/>
          <w:color w:val="auto"/>
        </w:rPr>
        <w:t>These investments are held in common and preferred stock issued by non-U.S. corporations. Common and preferred shares are traded</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on exchanges, and price quotes for these shares are readily available. These investments are classified as Level 1 in the valuation hierarchy.</w:t>
      </w:r>
    </w:p>
    <w:p>
      <w:pPr>
        <w:ind w:left="480" w:right="440" w:hanging="454"/>
        <w:spacing w:after="0" w:line="271"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Short-term investment funds. </w:t>
      </w:r>
      <w:r>
        <w:rPr>
          <w:rFonts w:ascii="Arial" w:cs="Arial" w:eastAsia="Arial" w:hAnsi="Arial"/>
          <w:sz w:val="14"/>
          <w:szCs w:val="14"/>
          <w:color w:val="auto"/>
        </w:rPr>
        <w:t>These investments include commingled funds that are primarily held in U.S. Treasury securities. The funds are valued using the net</w:t>
      </w:r>
      <w:r>
        <w:rPr>
          <w:rFonts w:ascii="Arial" w:cs="Arial" w:eastAsia="Arial" w:hAnsi="Arial"/>
          <w:sz w:val="14"/>
          <w:szCs w:val="14"/>
          <w:i w:val="1"/>
          <w:iCs w:val="1"/>
          <w:color w:val="auto"/>
        </w:rPr>
        <w:t xml:space="preserve"> </w:t>
      </w:r>
      <w:r>
        <w:rPr>
          <w:rFonts w:ascii="Arial" w:cs="Arial" w:eastAsia="Arial" w:hAnsi="Arial"/>
          <w:sz w:val="14"/>
          <w:szCs w:val="14"/>
          <w:color w:val="auto"/>
        </w:rPr>
        <w:t>asset value (NAV) provided by the administrator of the funds and reviewed by the Company.</w:t>
      </w:r>
    </w:p>
    <w:p>
      <w:pPr>
        <w:ind w:left="480" w:right="200" w:hanging="454"/>
        <w:spacing w:after="0" w:line="249"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Private investment funds. </w:t>
      </w:r>
      <w:r>
        <w:rPr>
          <w:rFonts w:ascii="Arial" w:cs="Arial" w:eastAsia="Arial" w:hAnsi="Arial"/>
          <w:sz w:val="14"/>
          <w:szCs w:val="14"/>
          <w:color w:val="auto"/>
        </w:rPr>
        <w:t>This category includes a commingled fund and a private investment fund. The commingled fund invests in a diversified mix of publicly</w:t>
      </w:r>
      <w:r>
        <w:rPr>
          <w:rFonts w:ascii="Arial" w:cs="Arial" w:eastAsia="Arial" w:hAnsi="Arial"/>
          <w:sz w:val="14"/>
          <w:szCs w:val="14"/>
          <w:i w:val="1"/>
          <w:iCs w:val="1"/>
          <w:color w:val="auto"/>
        </w:rPr>
        <w:t xml:space="preserve"> </w:t>
      </w:r>
      <w:r>
        <w:rPr>
          <w:rFonts w:ascii="Arial" w:cs="Arial" w:eastAsia="Arial" w:hAnsi="Arial"/>
          <w:sz w:val="14"/>
          <w:szCs w:val="14"/>
          <w:color w:val="auto"/>
        </w:rPr>
        <w:t>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20" w:lineRule="exact"/>
        <w:rPr>
          <w:rFonts w:ascii="Arial" w:cs="Arial" w:eastAsia="Arial" w:hAnsi="Arial"/>
          <w:sz w:val="14"/>
          <w:szCs w:val="14"/>
          <w:color w:val="auto"/>
        </w:rPr>
      </w:pPr>
    </w:p>
    <w:p>
      <w:pPr>
        <w:ind w:left="480" w:right="260" w:hanging="454"/>
        <w:spacing w:after="0" w:line="263" w:lineRule="auto"/>
        <w:tabs>
          <w:tab w:leader="none" w:pos="480" w:val="left"/>
        </w:tabs>
        <w:numPr>
          <w:ilvl w:val="0"/>
          <w:numId w:val="90"/>
        </w:numPr>
        <w:rPr>
          <w:rFonts w:ascii="Arial" w:cs="Arial" w:eastAsia="Arial" w:hAnsi="Arial"/>
          <w:sz w:val="14"/>
          <w:szCs w:val="14"/>
          <w:color w:val="auto"/>
        </w:rPr>
      </w:pPr>
      <w:r>
        <w:rPr>
          <w:rFonts w:ascii="Arial" w:cs="Arial" w:eastAsia="Arial" w:hAnsi="Arial"/>
          <w:sz w:val="14"/>
          <w:szCs w:val="14"/>
          <w:i w:val="1"/>
          <w:iCs w:val="1"/>
          <w:color w:val="auto"/>
        </w:rPr>
        <w:t xml:space="preserve">U.S. stock index fund. </w:t>
      </w:r>
      <w:r>
        <w:rPr>
          <w:rFonts w:ascii="Arial" w:cs="Arial" w:eastAsia="Arial" w:hAnsi="Arial"/>
          <w:sz w:val="14"/>
          <w:szCs w:val="14"/>
          <w:color w:val="auto"/>
        </w:rPr>
        <w:t>This fund consists of investments held in common stock, plus an uninvested cash portion comprising less than 1% of fund value, that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following table sets forth a summary of the Plan’s investments with a reported NAV:</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center"/>
              <w:ind w:right="2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2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460" w:type="dxa"/>
            <w:vAlign w:val="bottom"/>
          </w:tcPr>
          <w:p>
            <w:pPr>
              <w:jc w:val="right"/>
              <w:ind w:right="482"/>
              <w:spacing w:after="0"/>
              <w:rPr>
                <w:sz w:val="20"/>
                <w:szCs w:val="20"/>
                <w:color w:val="auto"/>
              </w:rPr>
            </w:pPr>
            <w:r>
              <w:rPr>
                <w:rFonts w:ascii="Arial" w:cs="Arial" w:eastAsia="Arial" w:hAnsi="Arial"/>
                <w:sz w:val="14"/>
                <w:szCs w:val="14"/>
                <w:b w:val="1"/>
                <w:bCs w:val="1"/>
                <w:color w:val="auto"/>
              </w:rPr>
              <w:t>Unfunded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Redemption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Other Redemption</w:t>
            </w:r>
          </w:p>
        </w:tc>
        <w:tc>
          <w:tcPr>
            <w:tcW w:w="1440" w:type="dxa"/>
            <w:vAlign w:val="bottom"/>
          </w:tcPr>
          <w:p>
            <w:pPr>
              <w:jc w:val="center"/>
              <w:ind w:right="42"/>
              <w:spacing w:after="0"/>
              <w:rPr>
                <w:sz w:val="20"/>
                <w:szCs w:val="20"/>
                <w:color w:val="auto"/>
              </w:rPr>
            </w:pPr>
            <w:r>
              <w:rPr>
                <w:rFonts w:ascii="Arial" w:cs="Arial" w:eastAsia="Arial" w:hAnsi="Arial"/>
                <w:sz w:val="14"/>
                <w:szCs w:val="14"/>
                <w:b w:val="1"/>
                <w:bCs w:val="1"/>
                <w:color w:val="auto"/>
              </w:rPr>
              <w:t>Notice</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Commitment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Frequency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Restriction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Short-term investment funds</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150,103</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None</w:t>
            </w:r>
          </w:p>
        </w:tc>
        <w:tc>
          <w:tcPr>
            <w:tcW w:w="0" w:type="dxa"/>
            <w:vAlign w:val="bottom"/>
          </w:tcPr>
          <w:p>
            <w:pPr>
              <w:spacing w:after="0"/>
              <w:rPr>
                <w:sz w:val="1"/>
                <w:szCs w:val="1"/>
                <w:color w:val="auto"/>
              </w:rPr>
            </w:pPr>
          </w:p>
        </w:tc>
      </w:tr>
      <w:tr>
        <w:trPr>
          <w:trHeight w:val="248"/>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197,712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6"/>
                <w:szCs w:val="16"/>
                <w:color w:val="auto"/>
              </w:rPr>
              <w:t>Private investment funds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557,122</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11,105</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90 days</w:t>
            </w:r>
          </w:p>
        </w:tc>
        <w:tc>
          <w:tcPr>
            <w:tcW w:w="0" w:type="dxa"/>
            <w:vAlign w:val="bottom"/>
          </w:tcPr>
          <w:p>
            <w:pPr>
              <w:spacing w:after="0"/>
              <w:rPr>
                <w:sz w:val="1"/>
                <w:szCs w:val="1"/>
                <w:color w:val="auto"/>
              </w:rPr>
            </w:pPr>
          </w:p>
        </w:tc>
      </w:tr>
      <w:tr>
        <w:trPr>
          <w:trHeight w:val="221"/>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509,647</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16,515</w:t>
            </w:r>
          </w:p>
        </w:tc>
        <w:tc>
          <w:tcPr>
            <w:tcW w:w="1300" w:type="dxa"/>
            <w:vAlign w:val="bottom"/>
          </w:tcPr>
          <w:p>
            <w:pPr>
              <w:jc w:val="center"/>
              <w:spacing w:after="0"/>
              <w:rPr>
                <w:sz w:val="20"/>
                <w:szCs w:val="20"/>
                <w:color w:val="auto"/>
              </w:rPr>
            </w:pPr>
            <w:r>
              <w:rPr>
                <w:rFonts w:ascii="Arial" w:cs="Arial" w:eastAsia="Arial" w:hAnsi="Arial"/>
                <w:sz w:val="16"/>
                <w:szCs w:val="16"/>
                <w:color w:val="auto"/>
              </w:rPr>
              <w:t>(1)</w:t>
            </w:r>
          </w:p>
        </w:tc>
        <w:tc>
          <w:tcPr>
            <w:tcW w:w="1800" w:type="dxa"/>
            <w:vAlign w:val="bottom"/>
          </w:tcPr>
          <w:p>
            <w:pPr>
              <w:jc w:val="center"/>
              <w:spacing w:after="0"/>
              <w:rPr>
                <w:sz w:val="20"/>
                <w:szCs w:val="20"/>
                <w:color w:val="auto"/>
              </w:rPr>
            </w:pPr>
            <w:r>
              <w:rPr>
                <w:rFonts w:ascii="Arial" w:cs="Arial" w:eastAsia="Arial" w:hAnsi="Arial"/>
                <w:sz w:val="16"/>
                <w:szCs w:val="16"/>
                <w:color w:val="auto"/>
              </w:rPr>
              <w:t>(1)</w:t>
            </w:r>
          </w:p>
        </w:tc>
        <w:tc>
          <w:tcPr>
            <w:tcW w:w="1440" w:type="dxa"/>
            <w:vAlign w:val="bottom"/>
          </w:tcPr>
          <w:p>
            <w:pPr>
              <w:jc w:val="center"/>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6"/>
                <w:szCs w:val="16"/>
                <w:color w:val="auto"/>
              </w:rPr>
              <w:t>U.S. stock index fund</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84,767</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1 day</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560" w:right="200" w:hanging="453"/>
        <w:spacing w:after="0" w:line="249" w:lineRule="auto"/>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11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In 2023, the Company purchased a contract from an insurance company to settle its outstanding retiree life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obligation for $1.7 million. As a result, the Company recorded a settlement gain of $1.1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other postretirement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10"/>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2023</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1,249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(144)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1,069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(1,069)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benefit obligation for the Company’s other postretirement plans in 2024 was due to updated claims experience based on</w:t>
      </w:r>
    </w:p>
    <w:p>
      <w:pPr>
        <w:spacing w:after="0" w:line="14"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actual premium rates, the recognition of an actuarial gain resulting from an increase to the discount rate used to measure the benefit obligation, and benefits paid during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Postretirement Plans</w:t>
            </w:r>
          </w:p>
        </w:tc>
      </w:tr>
      <w:tr>
        <w:trPr>
          <w:trHeight w:val="210"/>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2023</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
              <w:spacing w:after="0"/>
              <w:rPr>
                <w:sz w:val="20"/>
                <w:szCs w:val="20"/>
                <w:color w:val="auto"/>
              </w:rPr>
            </w:pPr>
            <w:r>
              <w:rPr>
                <w:rFonts w:ascii="Arial" w:cs="Arial" w:eastAsia="Arial" w:hAnsi="Arial"/>
                <w:sz w:val="16"/>
                <w:szCs w:val="16"/>
                <w:b w:val="1"/>
                <w:bCs w:val="1"/>
                <w:color w:val="auto"/>
              </w:rPr>
              <w:t>(180)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(889)</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Recognized Liability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(1,069)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utilized for determining the benefit obligation at December 31, 2024 and 2023, for the postretirement plans were 5.12%</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and 4.53%, respectively. The assumed healthcare cost trend rate used in measuring the postretirement benefit obligation at December 31, 2024, was 8.59% for pre-age 65, decreasing to 4.5% in the year 2034 and thereafter. The assumed healthcare cost trend rate used in</w:t>
      </w:r>
    </w:p>
    <w:p>
      <w:pPr>
        <w:spacing w:after="0" w:line="236" w:lineRule="auto"/>
        <w:rPr>
          <w:sz w:val="20"/>
          <w:szCs w:val="20"/>
          <w:color w:val="auto"/>
        </w:rPr>
      </w:pPr>
      <w:r>
        <w:rPr>
          <w:rFonts w:ascii="Arial" w:cs="Arial" w:eastAsia="Arial" w:hAnsi="Arial"/>
          <w:sz w:val="18"/>
          <w:szCs w:val="18"/>
          <w:color w:val="auto"/>
        </w:rPr>
        <w:t>measuring the postretirement benefit obligation at December 31, 2024, was 9.68% for post-age 65, decreasing to 4.5% in the year 2034 and</w:t>
      </w:r>
    </w:p>
    <w:p>
      <w:pPr>
        <w:spacing w:after="0" w:line="1"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thereafter. The assumed healthcare cost trend rate used in measuring the postretirement benefit obligation at December 31, 2024, was 12.25% for Medicare Advantage, decreasing to 4.5% in the year 2034 and thereafter.</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Company’s postretirement benefit plans are unfunded, therefore, the Company made actual benefit payments of $0.1 million and $0.2 million to beneficiaries for the years ended December 31, 2024 and 2023, respectively.</w:t>
      </w:r>
    </w:p>
    <w:p>
      <w:pPr>
        <w:sectPr>
          <w:pgSz w:w="11900" w:h="16838" w:orient="portrait"/>
          <w:cols w:equalWidth="0" w:num="1">
            <w:col w:w="11200"/>
          </w:cols>
          <w:pgMar w:left="320" w:top="1039" w:right="37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color w:val="auto"/>
        </w:rPr>
        <w:t>At December 31, 2024, future estimated benefit payments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205"/>
        </w:trPr>
        <w:tc>
          <w:tcPr>
            <w:tcW w:w="5380" w:type="dxa"/>
            <w:vAlign w:val="bottom"/>
            <w:tcBorders>
              <w:bottom w:val="single" w:sz="8" w:color="auto"/>
            </w:tcBorders>
            <w:vMerge w:val="continue"/>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2027</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2028</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2029</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2030–2034</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r>
      <w:tr>
        <w:trPr>
          <w:trHeight w:val="209"/>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2022</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51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(1,773)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(2,752)</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(1,773)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(144)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1,824</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2,343</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2,843</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1,087</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3,021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The costs for the Company’s postretirement plans are actuarially determined. The discount rate utilized to determine the periodic cost for the years ended December 31, 2024, 2023 and 2022 was 4.53%, 4.76% and 2.23%. AOCI included the following components of unrecognized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for the postretirement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2023</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(7,308)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(7,308)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2,097</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2,527</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(5,211)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2024, 2023 and 2022,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2024, 2023 and 2022.</w:t>
      </w:r>
    </w:p>
    <w:p>
      <w:pPr>
        <w:spacing w:after="0" w:line="10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$3.5 million in 2024, $13.0 million in 2023 and $11.6 million in 2022.</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6" w:name="page117"/>
    <w:bookmarkEnd w:id="116"/>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2023</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gain (loss), net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gain on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investment in affiliates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cost method investments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8,121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15,618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22,679</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5,415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29"/>
        </w:trPr>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(1,526)</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3,104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6,883</w:t>
            </w:r>
          </w:p>
        </w:tc>
      </w:tr>
      <w:tr>
        <w:trPr>
          <w:trHeight w:val="230"/>
        </w:trPr>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(744)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(1,305)</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958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3,294</w:t>
            </w:r>
          </w:p>
        </w:tc>
      </w:tr>
      <w:tr>
        <w:trPr>
          <w:trHeight w:val="233"/>
        </w:trPr>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1,258</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1,040</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r>
      <w:tr>
        <w:trPr>
          <w:trHeight w:val="223"/>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12,546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19,094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33,500</w:t>
            </w:r>
          </w:p>
        </w:tc>
      </w:tr>
      <w:tr>
        <w:trPr>
          <w:trHeight w:val="24"/>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2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net (loss) gain on cost method investments result from observable price changes in the fair value of the underlying equity securities accounted for under the cost method (see Notes 4 and 12).</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the years ended December 31, 2024, 2023 and 2022, the Company recorded contingent consideration gains of $0.9 million, $5.6 million and $4.3 million, respectively, related to the disposition of Kaplan University (KU) in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the Company recorded a $3.7 million gain related to Kaplan’s sale of a small business (see Note 3).</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3).</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the second quarter of 2023, the Company recorded a $10.0 million gain related to the Pinna transaction (see Notes 3 and 4). The Company used a market approach to determine the fair value of the noncontrolling financial interest received in Realm in exchange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Pinna business.</w:t>
      </w:r>
    </w:p>
    <w:p>
      <w:pPr>
        <w:spacing w:after="0" w:line="140"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In the fourth quarter of 2022, the Company recorded an $18.4 million gain related to the CyberVista transaction (see Notes 3 and 4). The Company used a market approach to determine the fair value of the noncontrolling financial interest retained in CyberVista through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in N2K Networks.</w:t>
      </w:r>
    </w:p>
    <w:p>
      <w:pPr>
        <w:spacing w:after="0" w:line="14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21"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32385</wp:posOffset>
            </wp:positionV>
            <wp:extent cx="22720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49" w:lineRule="exact"/>
        <w:rPr>
          <w:sz w:val="20"/>
          <w:szCs w:val="20"/>
          <w:color w:val="auto"/>
        </w:rPr>
      </w:pPr>
    </w:p>
    <w:p>
      <w:pPr>
        <w:ind w:left="7820"/>
        <w:spacing w:after="0"/>
        <w:tabs>
          <w:tab w:leader="none" w:pos="9160" w:val="left"/>
          <w:tab w:leader="none" w:pos="10320" w:val="left"/>
        </w:tabs>
        <w:rPr>
          <w:sz w:val="20"/>
          <w:szCs w:val="20"/>
          <w:color w:val="auto"/>
        </w:rPr>
      </w:pPr>
      <w:r>
        <w:rPr>
          <w:rFonts w:ascii="Arial" w:cs="Arial" w:eastAsia="Arial" w:hAnsi="Arial"/>
          <w:sz w:val="14"/>
          <w:szCs w:val="14"/>
          <w:b w:val="1"/>
          <w:bCs w:val="1"/>
          <w:color w:val="auto"/>
        </w:rPr>
        <w:t>Before-Tax</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After-Tax</w:t>
      </w:r>
    </w:p>
    <w:p>
      <w:pPr>
        <w:spacing w:after="0" w:line="55" w:lineRule="exact"/>
        <w:rPr>
          <w:sz w:val="20"/>
          <w:szCs w:val="20"/>
          <w:color w:val="auto"/>
        </w:rPr>
      </w:pPr>
    </w:p>
    <w:p>
      <w:pPr>
        <w:ind w:left="20"/>
        <w:spacing w:after="0"/>
        <w:tabs>
          <w:tab w:leader="none" w:pos="7900" w:val="left"/>
          <w:tab w:leader="none" w:pos="9280" w:val="left"/>
          <w:tab w:leader="none" w:pos="1036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Tax</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credit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for the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(24,568)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(24,568)</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(765)</w:t>
            </w:r>
          </w:p>
        </w:tc>
      </w:t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(25,333)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(25,333)</w:t>
            </w:r>
          </w:p>
        </w:tc>
      </w:tr>
      <w:tr>
        <w:trPr>
          <w:trHeight w:val="435"/>
        </w:trPr>
        <w:tc>
          <w:tcPr>
            <w:tcW w:w="24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351,322</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(89,943)</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261,379</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734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546</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(39,742)</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10,174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(29,568)</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(1,951)</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(1,451)</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(653,427)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167,285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(486,142)</w:t>
            </w:r>
          </w:p>
        </w:tc>
      </w:t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(343,064)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87,828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(255,236)</w:t>
            </w:r>
          </w:p>
        </w:tc>
      </w:tr>
      <w:tr>
        <w:trPr>
          <w:trHeight w:val="439"/>
        </w:trPr>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1,392</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(367,005)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87,465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(279,540)</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5"/>
          </w:tcPr>
          <w:p>
            <w:pPr>
              <w:jc w:val="center"/>
              <w:ind w:right="101"/>
              <w:spacing w:after="0"/>
              <w:rPr>
                <w:sz w:val="20"/>
                <w:szCs w:val="20"/>
                <w:color w:val="auto"/>
              </w:rPr>
            </w:pPr>
            <w:r>
              <w:rPr>
                <w:rFonts w:ascii="Arial" w:cs="Arial" w:eastAsia="Arial" w:hAnsi="Arial"/>
                <w:sz w:val="14"/>
                <w:szCs w:val="14"/>
                <w:color w:val="auto"/>
              </w:rPr>
              <w:t>Year Ended December 31, 2023</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20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21,927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21,927</w:t>
            </w:r>
          </w:p>
        </w:tc>
      </w:tr>
      <w:tr>
        <w:trPr>
          <w:trHeight w:val="229"/>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380,593</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(97,436)</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283,157</w:t>
            </w: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11,263</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(2,883)</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8,380</w:t>
            </w: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(42,146)</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10,790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(31,356)</w:t>
            </w: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1,641</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(420)</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1,221</w:t>
            </w:r>
          </w:p>
        </w:tc>
      </w:tr>
      <w:tr>
        <w:trPr>
          <w:trHeight w:val="238"/>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Settlement included in net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(1,087)</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279</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350,264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(89,670)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260,594</w:t>
            </w: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Loss for the year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w:t>
            </w: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366,561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(88,375)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278,186</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5"/>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61"/>
              <w:spacing w:after="0"/>
              <w:rPr>
                <w:sz w:val="20"/>
                <w:szCs w:val="20"/>
                <w:color w:val="auto"/>
              </w:rPr>
            </w:pPr>
            <w:r>
              <w:rPr>
                <w:rFonts w:ascii="Arial" w:cs="Arial" w:eastAsia="Arial" w:hAnsi="Arial"/>
                <w:sz w:val="14"/>
                <w:szCs w:val="14"/>
                <w:color w:val="auto"/>
              </w:rPr>
              <w:t>Year Ended December 31, 2022</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(48,340)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(48,340)</w:t>
            </w:r>
          </w:p>
        </w:tc>
      </w:tr>
      <w:tr>
        <w:trPr>
          <w:trHeight w:val="230"/>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(727,097)</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187,018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(540,079)</w:t>
            </w: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(70,833)</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18,219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(52,614)</w:t>
            </w:r>
          </w:p>
        </w:tc>
      </w:tr>
      <w:tr>
        <w:trPr>
          <w:trHeight w:val="238"/>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2,864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(795,066)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204,500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(590,566)</w:t>
            </w:r>
          </w:p>
        </w:tc>
      </w:tr>
      <w:tr>
        <w:trPr>
          <w:trHeight w:val="201"/>
        </w:trPr>
        <w:tc>
          <w:tcPr>
            <w:tcW w:w="20" w:type="dxa"/>
            <w:vAlign w:val="bottom"/>
          </w:tcPr>
          <w:p>
            <w:pPr>
              <w:spacing w:after="0"/>
              <w:rPr>
                <w:sz w:val="17"/>
                <w:szCs w:val="17"/>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Gain for the year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4,765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w:t>
            </w:r>
          </w:p>
        </w:tc>
      </w:tr>
      <w:tr>
        <w:trPr>
          <w:trHeight w:val="230"/>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(838,641)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203,404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(635,237)</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rPr>
              <w:t>Accumulated</w:t>
            </w: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Other</w:t>
            </w: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4"/>
                <w:szCs w:val="14"/>
                <w:color w:val="auto"/>
              </w:rPr>
            </w:pPr>
          </w:p>
        </w:tc>
        <w:tc>
          <w:tcPr>
            <w:tcW w:w="1340" w:type="dxa"/>
            <w:vAlign w:val="bottom"/>
          </w:tcPr>
          <w:p>
            <w:pPr>
              <w:jc w:val="center"/>
              <w:ind w:right="102"/>
              <w:spacing w:after="0"/>
              <w:rPr>
                <w:sz w:val="20"/>
                <w:szCs w:val="20"/>
                <w:color w:val="auto"/>
              </w:rPr>
            </w:pPr>
            <w:r>
              <w:rPr>
                <w:rFonts w:ascii="Arial" w:cs="Arial" w:eastAsia="Arial" w:hAnsi="Arial"/>
                <w:sz w:val="14"/>
                <w:szCs w:val="14"/>
                <w:b w:val="1"/>
                <w:bCs w:val="1"/>
                <w:color w:val="auto"/>
              </w:rPr>
              <w:t>Comprehensive</w:t>
            </w:r>
          </w:p>
        </w:tc>
      </w:tr>
      <w:tr>
        <w:trPr>
          <w:trHeight w:val="211"/>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(54,638)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388,591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336,151</w:t>
            </w:r>
          </w:p>
        </w:tc>
      </w:tr>
      <w:tr>
        <w:trPr>
          <w:trHeight w:val="229"/>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income before reclassifications</w:t>
            </w:r>
          </w:p>
        </w:tc>
        <w:tc>
          <w:tcPr>
            <w:tcW w:w="160" w:type="dxa"/>
            <w:vAlign w:val="bottom"/>
          </w:tcPr>
          <w:p>
            <w:pPr>
              <w:spacing w:after="0"/>
              <w:rPr>
                <w:sz w:val="19"/>
                <w:szCs w:val="19"/>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21,927</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291,537</w:t>
            </w:r>
          </w:p>
        </w:tc>
        <w:tc>
          <w:tcPr>
            <w:tcW w:w="20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1,028</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314,492</w:t>
            </w:r>
          </w:p>
        </w:tc>
      </w:tr>
      <w:tr>
        <w:trPr>
          <w:trHeight w:val="238"/>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(30,943)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(36,306)</w:t>
            </w: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21,927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260,594</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278,186</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(32,711)</w:t>
            </w:r>
          </w:p>
        </w:tc>
        <w:tc>
          <w:tcPr>
            <w:tcW w:w="220" w:type="dxa"/>
            <w:vAlign w:val="bottom"/>
          </w:tcPr>
          <w:p>
            <w:pPr>
              <w:spacing w:after="0"/>
              <w:rPr>
                <w:sz w:val="18"/>
                <w:szCs w:val="18"/>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649,185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(2,137)</w:t>
            </w: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614,337</w:t>
            </w:r>
          </w:p>
        </w:tc>
      </w:tr>
      <w:tr>
        <w:trPr>
          <w:trHeight w:val="237"/>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(24,568)</w:t>
            </w:r>
          </w:p>
        </w:tc>
        <w:tc>
          <w:tcPr>
            <w:tcW w:w="22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b w:val="1"/>
                <w:bCs w:val="1"/>
                <w:color w:val="auto"/>
              </w:rPr>
              <w:t>261,925</w:t>
            </w: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1,393</w:t>
            </w:r>
          </w:p>
        </w:tc>
        <w:tc>
          <w:tcPr>
            <w:tcW w:w="2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238,750</w:t>
            </w: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(765)</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(517,161)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(518,290)</w:t>
            </w:r>
          </w:p>
        </w:tc>
      </w:tr>
      <w:tr>
        <w:trPr>
          <w:trHeight w:val="226"/>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(loss) income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(25,333)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(255,236)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1,029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(279,540)</w:t>
            </w:r>
          </w:p>
        </w:tc>
      </w:tr>
      <w:tr>
        <w:trPr>
          <w:trHeight w:val="22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(58,044)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393,949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334,797</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6"/>
                <w:szCs w:val="16"/>
                <w:color w:val="auto"/>
              </w:rPr>
              <w:t>Adjustment for sale of business with foreign operations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(765)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(39,742)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(42,146)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(70,833)</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(1,951)</w:t>
            </w:r>
          </w:p>
        </w:tc>
        <w:tc>
          <w:tcPr>
            <w:tcW w:w="30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1,641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2,864</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240" w:type="dxa"/>
            <w:vAlign w:val="bottom"/>
          </w:tcPr>
          <w:p>
            <w:pPr>
              <w:ind w:left="140"/>
              <w:spacing w:after="0"/>
              <w:rPr>
                <w:sz w:val="20"/>
                <w:szCs w:val="20"/>
                <w:color w:val="auto"/>
              </w:rPr>
            </w:pPr>
            <w:r>
              <w:rPr>
                <w:rFonts w:ascii="Arial" w:cs="Arial" w:eastAsia="Arial" w:hAnsi="Arial"/>
                <w:sz w:val="16"/>
                <w:szCs w:val="16"/>
                <w:color w:val="auto"/>
              </w:rPr>
              <w:t>Settlement 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(653,427)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(695,120)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(41,592)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(67,969)</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177,959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10,649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17,482</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(517,161)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(50,487)</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(518,290)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(50,094)</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560" w:right="420" w:hanging="453"/>
        <w:spacing w:after="0" w:line="181" w:lineRule="auto"/>
        <w:tabs>
          <w:tab w:leader="none" w:pos="560" w:val="left"/>
        </w:tabs>
        <w:numPr>
          <w:ilvl w:val="1"/>
          <w:numId w:val="93"/>
        </w:numPr>
        <w:rPr>
          <w:rFonts w:ascii="Arial" w:cs="Arial" w:eastAsia="Arial" w:hAnsi="Arial"/>
          <w:sz w:val="26"/>
          <w:szCs w:val="26"/>
          <w:color w:val="auto"/>
          <w:vertAlign w:val="superscript"/>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219" w:lineRule="exact"/>
        <w:rPr>
          <w:rFonts w:ascii="Arial" w:cs="Arial" w:eastAsia="Arial" w:hAnsi="Arial"/>
          <w:sz w:val="26"/>
          <w:szCs w:val="26"/>
          <w:color w:val="auto"/>
          <w:vertAlign w:val="superscript"/>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26"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 violations of employment laws and applicable wage and hour laws; and statutory or common law claims involving current and former students</w:t>
      </w:r>
    </w:p>
    <w:p>
      <w:pPr>
        <w:spacing w:after="0" w:line="236" w:lineRule="auto"/>
        <w:rPr>
          <w:sz w:val="20"/>
          <w:szCs w:val="20"/>
          <w:color w:val="auto"/>
        </w:rPr>
      </w:pPr>
      <w:r>
        <w:rPr>
          <w:rFonts w:ascii="Arial" w:cs="Arial" w:eastAsia="Arial" w:hAnsi="Arial"/>
          <w:sz w:val="18"/>
          <w:szCs w:val="18"/>
          <w:color w:val="auto"/>
        </w:rPr>
        <w:t>and employees. Although the outcomes of the legal claims and proceedings against the Company cannot be predicted with certainty, based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on currently available information, management believes that there are no existing claims or proceedings that are likely to have a material effect on the Company’s business, financial condition, results of operations or cash flows. However, based on currently available information,</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May 2021, Kaplan received notice from the Department of Education (ED) that it would be conducting a fact-finding process pursuant to the borrower defense to repayment (BDTR) regulations to determine the validity of BDTR claims and a request for documents related to several of Kaplan’s previously owned schools. In 2021, Kaplan received borrower defense applications from the ED seeking discharge of approximately $35 million in loans, excluding interest, from former Kaplan University students.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 The ED’s process for adjudicating these claims is subject to the borrower defense regulations including those finalized in 2022 and effective July 1, 2023. Compared to the previous rule, the new rule in part, expands actions that can give rise to claims for discharge; provides that the borrower’s claim will be presumed true if the institution does not provide any responsive evidence; provides an easier process for group claims; and</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relies on current program review penalty hearing processes for discharge recoupment. Under the rule, the recoupment process applies only to loans first disbursed after July 1, 2023; however, the discharge process and standards apply to any pending application regardless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loan date.</w:t>
      </w:r>
    </w:p>
    <w:p>
      <w:pPr>
        <w:spacing w:after="0" w:line="14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Kaplan responded to the initial set of claims in 2021 with documentary and narrative evidence to refute the allegations, demonstrate their lack of merit, and support the denial of all such claims by the ED. Kaplan intends to similarly respond to any new claims that apply to Kaplan University or other prior Kaplan-owned schools.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12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 xml:space="preserve">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described below, the ED agreed to review any BDTR applications submitted between June 23, 2022 and November 15, 2022 on an expedited basis. In January 2024, Kaplan was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9" w:name="page120"/>
    <w:bookmarkEnd w:id="119"/>
    <w:p>
      <w:pPr>
        <w:ind w:right="60"/>
        <w:spacing w:after="0" w:line="238" w:lineRule="auto"/>
        <w:rPr>
          <w:sz w:val="20"/>
          <w:szCs w:val="20"/>
          <w:color w:val="auto"/>
        </w:rPr>
      </w:pPr>
      <w:r>
        <w:rPr>
          <w:rFonts w:ascii="Arial" w:cs="Arial" w:eastAsia="Arial" w:hAnsi="Arial"/>
          <w:sz w:val="18"/>
          <w:szCs w:val="18"/>
          <w:color w:val="auto"/>
        </w:rPr>
        <w:t xml:space="preserve">informed that the ED received applications during this time period regarding former Kaplan University and Purdue Global students. Kaplan received those applications and believes none of the applications has merit and that the applications are far outside any statute of limitations period and accordingly Kaplan responded similarly to responses for prior claims. The total discharge amount sought or how much of that amount would apply to Kaplan University students is not fully known.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requires the ED to adjudicate applications received during the designated time period pursuant to the requirements of the 2016 Borrower Defense Regulation. As noted, if the claims are successful, the ED may seek reimbursement for the amount discharged from Kaplan. Kaplan believes it has significant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defenses against any attempt by the ED at recoupment including the claims’ collective lack of merit, the applicable statute of limitations periods, and the ED’s standing for recoupment given the </w:t>
      </w:r>
      <w:r>
        <w:rPr>
          <w:rFonts w:ascii="Arial" w:cs="Arial" w:eastAsia="Arial" w:hAnsi="Arial"/>
          <w:sz w:val="17"/>
          <w:szCs w:val="17"/>
          <w:i w:val="1"/>
          <w:iCs w:val="1"/>
          <w:color w:val="auto"/>
        </w:rPr>
        <w:t>Sweet</w:t>
      </w:r>
      <w:r>
        <w:rPr>
          <w:rFonts w:ascii="Arial" w:cs="Arial" w:eastAsia="Arial" w:hAnsi="Arial"/>
          <w:sz w:val="17"/>
          <w:szCs w:val="17"/>
          <w:color w:val="auto"/>
        </w:rPr>
        <w:t xml:space="preserve"> settlement described below. Regardless, if the ED initiates a reimbursement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action against Kaplan following approval of former students’ BDTR applications, Kaplan may be subject to significant liability.</w:t>
      </w:r>
    </w:p>
    <w:p>
      <w:pPr>
        <w:spacing w:after="0" w:line="14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November 2022, the Northern District of California approved the settlement agreement in the lawsuit </w:t>
      </w:r>
      <w:r>
        <w:rPr>
          <w:rFonts w:ascii="Arial" w:cs="Arial" w:eastAsia="Arial" w:hAnsi="Arial"/>
          <w:sz w:val="18"/>
          <w:szCs w:val="18"/>
          <w:i w:val="1"/>
          <w:iCs w:val="1"/>
          <w:color w:val="auto"/>
        </w:rPr>
        <w:t>Sweet v. Cardona</w:t>
      </w:r>
      <w:r>
        <w:rPr>
          <w:rFonts w:ascii="Arial" w:cs="Arial" w:eastAsia="Arial" w:hAnsi="Arial"/>
          <w:sz w:val="18"/>
          <w:szCs w:val="18"/>
          <w:color w:val="auto"/>
        </w:rPr>
        <w:t>. The Plaintiffs in that lawsuit claimed that the ED failed to properly consider and decide pending BDTR claims.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first set of applications the ED sent to Kaplan and to which Kaplan previously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 follow the regulatory process for seeking recoupment from the institutions for such claims. As noted above, this settlement likely also applies to the resolution, future adjudication, and possible discharge of the newly noticed claims. As also noted, the ED could attempt to recoup from Kaplan some or all of any discharged amount for the newly noticed claims.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August 2018, Purdue University Global received an updated Provisional Program Participation Agreement (PPPA) from the ED which is necessary for continued participation in the federal Title IV programs after the change in ownership from Kaplan to Purdue. On November 25,</w:t>
      </w:r>
    </w:p>
    <w:p>
      <w:pPr>
        <w:spacing w:after="0" w:line="1" w:lineRule="exact"/>
        <w:rPr>
          <w:sz w:val="20"/>
          <w:szCs w:val="20"/>
          <w:color w:val="auto"/>
        </w:rPr>
      </w:pPr>
    </w:p>
    <w:p>
      <w:pPr>
        <w:jc w:val="both"/>
        <w:ind w:right="60"/>
        <w:spacing w:after="0" w:line="226" w:lineRule="auto"/>
        <w:rPr>
          <w:sz w:val="20"/>
          <w:szCs w:val="20"/>
          <w:color w:val="auto"/>
        </w:rPr>
      </w:pPr>
      <w:r>
        <w:rPr>
          <w:rFonts w:ascii="Arial" w:cs="Arial" w:eastAsia="Arial" w:hAnsi="Arial"/>
          <w:sz w:val="18"/>
          <w:szCs w:val="18"/>
          <w:color w:val="auto"/>
        </w:rPr>
        <w:t>2024 the ED approved Purdue Global’s Application for Participation in the Title IV program and granted a full Program Participation Agreement. This Program Participation Agreement expires on December 31, 2028 and will need to be renewed prior to that date pursuant to</w:t>
      </w:r>
    </w:p>
    <w:p>
      <w:pPr>
        <w:spacing w:after="0" w:line="2"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federal regulations. Pursuant to the terms of the Program Participation Agreement, Purdue Global must report to the ED any accreditation or governmental agency action or class action lawsuit.</w:t>
      </w:r>
    </w:p>
    <w:p>
      <w:pPr>
        <w:spacing w:after="0" w:line="10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The Company’s broadcast subsidiaries are parties to certain agreements that commit them to purchase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produced in future years. As of December 31, 2024, such commitments amounted to approximately $26.5 million. If such programs are not produced, the Company’s commitment would expire without obligation.</w:t>
      </w:r>
    </w:p>
    <w:p>
      <w:pPr>
        <w:spacing w:after="0" w:line="101"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and run its business operations, which include, but are not limited to, customers, the nature of products and services and use of resources. The business segments disclosed in the Consolidated Financial Statements are based on this organizational structure and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reviewed by the Company’s management to evaluate the business segment results.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 The Company defines its operating segments as those operations whose results</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the chief operating decision maker (CODM), who is our Chief Executive Officer, regularly reviews to analyze performance and allocate resources.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and CODM use both operating income before amortization of intangible assets and impairment of goodwill and other long-lived assets and earnings before interest, income taxes, depreciation, amortization and pension service cost (EBITDAP) to evaluate segment</w:t>
      </w:r>
    </w:p>
    <w:p>
      <w:pPr>
        <w:ind w:right="60"/>
        <w:spacing w:after="0" w:line="226" w:lineRule="auto"/>
        <w:rPr>
          <w:sz w:val="20"/>
          <w:szCs w:val="20"/>
          <w:color w:val="auto"/>
        </w:rPr>
      </w:pPr>
      <w:r>
        <w:rPr>
          <w:rFonts w:ascii="Arial" w:cs="Arial" w:eastAsia="Arial" w:hAnsi="Arial"/>
          <w:sz w:val="18"/>
          <w:szCs w:val="18"/>
          <w:color w:val="auto"/>
        </w:rPr>
        <w:t>performance and allocate resources to the Company’s segments. The CODM uses reports provided during annual budget presentations, the three-year forecasting process, quarterly business reviews and monthly management reports and related communication when making</w:t>
      </w:r>
    </w:p>
    <w:p>
      <w:pPr>
        <w:spacing w:after="0" w:line="236" w:lineRule="auto"/>
        <w:rPr>
          <w:sz w:val="20"/>
          <w:szCs w:val="20"/>
          <w:color w:val="auto"/>
        </w:rPr>
      </w:pPr>
      <w:r>
        <w:rPr>
          <w:rFonts w:ascii="Arial" w:cs="Arial" w:eastAsia="Arial" w:hAnsi="Arial"/>
          <w:sz w:val="18"/>
          <w:szCs w:val="18"/>
          <w:color w:val="auto"/>
        </w:rPr>
        <w:t>decisions about allocating capital resources across segments. The accounting policies at the segments are the same as described in Note 2.</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In computing operating income before amortization by segment, the effects of amortization of intangible assets, impairment of goodwill and other long-lived assets, equity in earnings (losses) of affiliates, interest income, interest expense, non-operating pension and postretirement</w:t>
      </w:r>
    </w:p>
    <w:p>
      <w:pPr>
        <w:spacing w:after="0" w:line="235" w:lineRule="auto"/>
        <w:rPr>
          <w:sz w:val="20"/>
          <w:szCs w:val="20"/>
          <w:color w:val="auto"/>
        </w:rPr>
      </w:pPr>
      <w:r>
        <w:rPr>
          <w:rFonts w:ascii="Arial" w:cs="Arial" w:eastAsia="Arial" w:hAnsi="Arial"/>
          <w:sz w:val="18"/>
          <w:szCs w:val="18"/>
          <w:color w:val="auto"/>
        </w:rPr>
        <w:t>benefit income, other non-operating income and expense items and income taxes are excluded. In computing EBITDAP, the effects of</w:t>
      </w:r>
    </w:p>
    <w:p>
      <w:pPr>
        <w:ind w:right="340"/>
        <w:spacing w:after="0" w:line="226" w:lineRule="auto"/>
        <w:rPr>
          <w:sz w:val="20"/>
          <w:szCs w:val="20"/>
          <w:color w:val="auto"/>
        </w:rPr>
      </w:pPr>
      <w:r>
        <w:rPr>
          <w:rFonts w:ascii="Arial" w:cs="Arial" w:eastAsia="Arial" w:hAnsi="Arial"/>
          <w:sz w:val="18"/>
          <w:szCs w:val="18"/>
          <w:color w:val="auto"/>
        </w:rPr>
        <w:t>pension service cost, depreciation, impairment of goodwill and other long-lived assets, equity in earnings (losses) of affiliates, interest income, interest expense, non-operating pension and postretirement benefit income, other non-operating income and expense items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taxes are excluded. Intersegment sales are not material.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marketable equity securities and affiliates, and prepaid pension cost are not included in identifiable assets by segment. Investments in marketable equity securities are discussed in Note 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KI includes professional training and postsecondary education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businesses largely outside the U.S., as well as English-language programs. KHE includes the results as a service provider to higher education institutions. Supplemental Education includes Kaplan’s standardized test preparation, domestic professional and other continuing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education businesses.</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As of December 31, 2024, Kaplan had a total outstanding accounts receivable balance of $95.3 million from Purdue Global related to amounts due for reimbursements for services, fees earned and a deferred fee. Included in this total, Kaplan has a $19.7 million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receivable balance due from Purdue Global at December 31, 2024, related to the advance of $20.0 million during the initial KU Transaction.</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seven television stations serving the Detroit, Houston,</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Jacksonville and Roanoke television markets. All stations are network-affiliated (except for WJXT in Jacksonville), with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revenues derived primarily from sales of advertising time. In addition, the stations generate revenue from retransmission consent agreements for the right to carry their signals.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b w:val="1"/>
          <w:bCs w:val="1"/>
          <w:color w:val="auto"/>
        </w:rPr>
        <w:t xml:space="preserve">Manufacturing. </w:t>
      </w:r>
      <w:r>
        <w:rPr>
          <w:rFonts w:ascii="Arial" w:cs="Arial" w:eastAsia="Arial" w:hAnsi="Arial"/>
          <w:sz w:val="17"/>
          <w:szCs w:val="17"/>
          <w:color w:val="auto"/>
        </w:rPr>
        <w:t>Manufacturing operations include Hoover, an Augusta, GA-based supplier of pressure impregnated kiln-dried lumber and</w:t>
      </w:r>
      <w:r>
        <w:rPr>
          <w:rFonts w:ascii="Arial" w:cs="Arial" w:eastAsia="Arial" w:hAnsi="Arial"/>
          <w:sz w:val="17"/>
          <w:szCs w:val="17"/>
          <w:b w:val="1"/>
          <w:bCs w:val="1"/>
          <w:color w:val="auto"/>
        </w:rPr>
        <w:t xml:space="preserve"> </w:t>
      </w:r>
      <w:r>
        <w:rPr>
          <w:rFonts w:ascii="Arial" w:cs="Arial" w:eastAsia="Arial" w:hAnsi="Arial"/>
          <w:sz w:val="17"/>
          <w:szCs w:val="17"/>
          <w:color w:val="auto"/>
        </w:rPr>
        <w:t>plywood products for fire retardant and preservative application; Dekko, a Garrett, IN-based manufacturer of electrical workspace solutions,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architectural lighting, and electrical components and assemblies; Joyce/Dayton, a Dayton, OH-based manufacturer of screw jacks and other linear motion systems; and Forney, a global supplier of products and systems that control and monitor combustion processes in electric utility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industrial applications.</w:t>
      </w:r>
    </w:p>
    <w:p>
      <w:pPr>
        <w:spacing w:after="0" w:line="126"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GHG provides home health, hospice and palliative services. GHG also provides other healthcare services, including nursing</w:t>
      </w:r>
      <w:r>
        <w:rPr>
          <w:rFonts w:ascii="Arial" w:cs="Arial" w:eastAsia="Arial" w:hAnsi="Arial"/>
          <w:sz w:val="18"/>
          <w:szCs w:val="18"/>
          <w:b w:val="1"/>
          <w:bCs w:val="1"/>
          <w:color w:val="auto"/>
        </w:rPr>
        <w:t xml:space="preserve"> </w:t>
      </w:r>
      <w:r>
        <w:rPr>
          <w:rFonts w:ascii="Arial" w:cs="Arial" w:eastAsia="Arial" w:hAnsi="Arial"/>
          <w:sz w:val="18"/>
          <w:szCs w:val="18"/>
          <w:color w:val="auto"/>
        </w:rPr>
        <w:t>care and prescription services for patients receiving in-home infusion therapies; ABA therapy; physician services for allergy, asthma and immunology patients; in-home aesthetics; and healthcare software-as-a-service technology.</w:t>
      </w:r>
    </w:p>
    <w:p>
      <w:pPr>
        <w:spacing w:after="0" w:line="101"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Automotive includes eight automotive dealerships and valet repair services in the Washington, D.C. metropolitan area and</w:t>
      </w:r>
      <w:r>
        <w:rPr>
          <w:rFonts w:ascii="Arial" w:cs="Arial" w:eastAsia="Arial" w:hAnsi="Arial"/>
          <w:sz w:val="18"/>
          <w:szCs w:val="18"/>
          <w:b w:val="1"/>
          <w:bCs w:val="1"/>
          <w:color w:val="auto"/>
        </w:rPr>
        <w:t xml:space="preserve"> </w:t>
      </w:r>
      <w:r>
        <w:rPr>
          <w:rFonts w:ascii="Arial" w:cs="Arial" w:eastAsia="Arial" w:hAnsi="Arial"/>
          <w:sz w:val="18"/>
          <w:szCs w:val="18"/>
          <w:color w:val="auto"/>
        </w:rPr>
        <w:t>Richmond, VA, including Lexus of Rockville, Honda of Tysons Corner, Jeep of Bethesda, Ford of Manassas, Toyota of Woodbridge and</w:t>
      </w:r>
    </w:p>
    <w:p>
      <w:pPr>
        <w:ind w:right="260"/>
        <w:spacing w:after="0"/>
        <w:rPr>
          <w:sz w:val="20"/>
          <w:szCs w:val="20"/>
          <w:color w:val="auto"/>
        </w:rPr>
      </w:pPr>
      <w:r>
        <w:rPr>
          <w:rFonts w:ascii="Arial" w:cs="Arial" w:eastAsia="Arial" w:hAnsi="Arial"/>
          <w:sz w:val="17"/>
          <w:szCs w:val="17"/>
          <w:color w:val="auto"/>
        </w:rPr>
        <w:t>Chrysler-Dodge-Jeep-Ram of Woodbridge, which were acquired in July 2022, and Toyota of Richmond, which was acquired in September 2023. The automotive group was awarded a Kia Open Point dealership in Bethesda, MD, which commenced operations at the end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17" w:lineRule="exact"/>
        <w:rPr>
          <w:sz w:val="20"/>
          <w:szCs w:val="20"/>
          <w:color w:val="auto"/>
        </w:rPr>
      </w:pPr>
    </w:p>
    <w:p>
      <w:pPr>
        <w:ind w:left="660" w:right="140" w:hanging="328"/>
        <w:spacing w:after="0" w:line="25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Society6, Saatchi Art and WGB following the restructuring of Leaf Group into three stand-alone businesses in the second quarter of 2023:</w:t>
      </w:r>
    </w:p>
    <w:p>
      <w:pPr>
        <w:spacing w:after="0" w:line="71" w:lineRule="exact"/>
        <w:rPr>
          <w:rFonts w:ascii="Arial" w:cs="Arial" w:eastAsia="Arial" w:hAnsi="Arial"/>
          <w:sz w:val="18"/>
          <w:szCs w:val="18"/>
          <w:color w:val="auto"/>
        </w:rPr>
      </w:pPr>
    </w:p>
    <w:p>
      <w:pPr>
        <w:ind w:left="1300" w:right="20" w:hanging="320"/>
        <w:spacing w:after="0" w:line="271"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Society6 (formerly included in Leaf Marketplace), an online commerce platform featuring original art and designs on an array of consumer products.</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Saatchi Art (formerly included in Leaf Marketplace), an online art gallery and in-person art fair business.</w:t>
      </w:r>
    </w:p>
    <w:p>
      <w:pPr>
        <w:spacing w:after="0" w:line="117" w:lineRule="exact"/>
        <w:rPr>
          <w:rFonts w:ascii="Arial" w:cs="Arial" w:eastAsia="Arial" w:hAnsi="Arial"/>
          <w:sz w:val="18"/>
          <w:szCs w:val="18"/>
          <w:color w:val="auto"/>
        </w:rPr>
      </w:pPr>
    </w:p>
    <w:p>
      <w:pPr>
        <w:ind w:left="1300" w:right="60" w:hanging="320"/>
        <w:spacing w:after="0" w:line="271" w:lineRule="auto"/>
        <w:tabs>
          <w:tab w:leader="none" w:pos="12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WGB (formerly Leaf Media), an owner and operator of websites that educate and inform consumers across a wide variety of life topics.</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Clyde’s Restaurant Group owns and operates 14 restaurants and entertainment venues in the Washington, D.C. metropolitan area.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i w:val="1"/>
          <w:iCs w:val="1"/>
          <w:color w:val="auto"/>
        </w:rPr>
      </w:pPr>
      <w:r>
        <w:rPr>
          <w:rFonts w:ascii="Arial" w:cs="Arial" w:eastAsia="Arial" w:hAnsi="Arial"/>
          <w:sz w:val="18"/>
          <w:szCs w:val="18"/>
          <w:color w:val="auto"/>
        </w:rPr>
        <w:t>Framebridge, a custom framing company.</w:t>
      </w:r>
    </w:p>
    <w:p>
      <w:pPr>
        <w:spacing w:after="0" w:line="117" w:lineRule="exact"/>
        <w:rPr>
          <w:rFonts w:ascii="Arial" w:cs="Arial" w:eastAsia="Arial" w:hAnsi="Arial"/>
          <w:sz w:val="18"/>
          <w:szCs w:val="18"/>
          <w:i w:val="1"/>
          <w:iCs w:val="1"/>
          <w:color w:val="auto"/>
        </w:rPr>
      </w:pPr>
    </w:p>
    <w:p>
      <w:pPr>
        <w:ind w:left="660" w:right="320" w:hanging="328"/>
        <w:spacing w:after="0" w:line="241" w:lineRule="auto"/>
        <w:tabs>
          <w:tab w:leader="none" w:pos="655"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color w:val="auto"/>
        </w:rPr>
        <w:t>Code3, a marketing solutions provider; the Slate Group and Foreign Policy Group, which publish online and print magazines and websites; and three investment stage businesses, Decile, City Cast and Supporting Cast. Other businesses also includes CyberVista, which merged with another entity in October 2022 resulting in the deconsolidation of the subsidiary and Pinna, which merged with another entity in June 2023 resulting in the deconsolidation of the subsidiary.</w:t>
      </w:r>
    </w:p>
    <w:p>
      <w:pPr>
        <w:spacing w:after="0" w:line="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1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2024, 2023 and 2022 totaled approximately $1,042 million, $930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$776 million, respectively, primarily from Kaplan’s operations outside the U.S.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Additionally, revenues in 2024, 2023 and 2022 totaled approximately $618 million, $543 million, and $448 million, respectively, from Kaplan’s</w:t>
      </w:r>
    </w:p>
    <w:p>
      <w:pPr>
        <w:spacing w:after="0" w:line="25"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operations in the U.K. The Company’s long-lived assets in non-U.S. countries (excluding goodwill and other intangible assets), totaled approximately $455 million and $492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Year Ended December 31,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1,691,778</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535,678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395,642</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611,109</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1,200,477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4,434,684</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40" w:right="18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Long-Lived Assets Income from Operations</w:t>
      </w:r>
    </w:p>
    <w:p>
      <w:pPr>
        <w:ind w:left="20" w:right="120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14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0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46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358,822</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(2,602)</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4,790,904</w:t>
            </w:r>
          </w:p>
        </w:tc>
      </w:tr>
      <w:tr>
        <w:trPr>
          <w:trHeight w:val="402"/>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655,482</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293,215</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343,695</w:t>
            </w:r>
          </w:p>
        </w:tc>
        <w:tc>
          <w:tcPr>
            <w:tcW w:w="42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1,021,271</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2,313,663</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471,144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112,316</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84,416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667,876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116,839</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7,573</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124,412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70,828</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70,828</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126,474</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126,474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8,054</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8,054</w:t>
            </w:r>
          </w:p>
        </w:tc>
      </w:tr>
      <w:tr>
        <w:trPr>
          <w:trHeight w:val="19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190,448</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73,064</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59,379</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188,856</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34,059</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545,806</w:t>
            </w:r>
          </w:p>
        </w:tc>
      </w:tr>
      <w:tr>
        <w:trPr>
          <w:trHeight w:val="185"/>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187,037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223,824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43,048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78,558</w:t>
            </w:r>
          </w:p>
        </w:tc>
        <w:tc>
          <w:tcPr>
            <w:tcW w:w="4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45,104</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577,571</w:t>
            </w:r>
          </w:p>
        </w:tc>
      </w:tr>
      <w:tr>
        <w:trPr>
          <w:trHeight w:val="21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17,733</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6,055</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2,877</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19,303</w:t>
            </w:r>
          </w:p>
        </w:tc>
        <w:tc>
          <w:tcPr>
            <w:tcW w:w="420" w:type="dxa"/>
            <w:vAlign w:val="bottom"/>
          </w:tcPr>
          <w:p>
            <w:pPr>
              <w:spacing w:after="0"/>
              <w:rPr>
                <w:sz w:val="19"/>
                <w:szCs w:val="19"/>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116</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46,084</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35,058</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11,174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10,983</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6,859</w:t>
            </w:r>
          </w:p>
        </w:tc>
        <w:tc>
          <w:tcPr>
            <w:tcW w:w="420" w:type="dxa"/>
            <w:vAlign w:val="bottom"/>
          </w:tcPr>
          <w:p>
            <w:pPr>
              <w:spacing w:after="0"/>
              <w:rPr>
                <w:sz w:val="16"/>
                <w:szCs w:val="16"/>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6,959</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71,033</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8"/>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134,246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206,595</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29,188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52,396</w:t>
            </w:r>
          </w:p>
        </w:tc>
        <w:tc>
          <w:tcPr>
            <w:tcW w:w="4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38,029</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460,454</w:t>
            </w:r>
          </w:p>
        </w:tc>
      </w:tr>
      <w:tr>
        <w:trPr>
          <w:trHeight w:val="21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(99,101)</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(58,908)</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(37,119)</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(49,822)</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215,504</w:t>
            </w:r>
          </w:p>
        </w:tc>
      </w:tr>
      <w:tr>
        <w:trPr>
          <w:trHeight w:val="178"/>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(3,303)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(176,281)</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794,949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181,295</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12,546</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1,024,710</w:t>
            </w:r>
          </w:p>
        </w:tc>
      </w:tr>
      <w:tr>
        <w:trPr>
          <w:trHeight w:val="25"/>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0"/>
        </w:trPr>
        <w:tc>
          <w:tcPr>
            <w:tcW w:w="400" w:type="dxa"/>
            <w:vAlign w:val="bottom"/>
          </w:tcPr>
          <w:p>
            <w:pPr>
              <w:jc w:val="right"/>
              <w:ind w:right="2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25,989</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5,887</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15,951</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10,182</w:t>
            </w:r>
          </w:p>
        </w:tc>
        <w:tc>
          <w:tcPr>
            <w:tcW w:w="42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4,063</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62,072</w:t>
            </w:r>
          </w:p>
        </w:tc>
      </w:tr>
      <w:tr>
        <w:trPr>
          <w:trHeight w:val="530"/>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31,027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93,099</w:t>
            </w:r>
          </w:p>
        </w:tc>
      </w:tr>
    </w:tbl>
    <w:p>
      <w:pPr>
        <w:spacing w:after="0" w:line="45" w:lineRule="exact"/>
        <w:rPr>
          <w:sz w:val="20"/>
          <w:szCs w:val="20"/>
          <w:color w:val="auto"/>
        </w:rPr>
      </w:pPr>
    </w:p>
    <w:p>
      <w:pPr>
        <w:sectPr>
          <w:pgSz w:w="11900" w:h="16838" w:orient="portrait"/>
          <w:cols w:equalWidth="0" w:num="2">
            <w:col w:w="3220" w:space="100"/>
            <w:col w:w="7920"/>
          </w:cols>
          <w:pgMar w:left="320" w:top="1039"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w:t>
      </w:r>
    </w:p>
    <w:p>
      <w:pPr>
        <w:spacing w:after="0" w:line="51" w:lineRule="exact"/>
        <w:rPr>
          <w:sz w:val="20"/>
          <w:szCs w:val="20"/>
          <w:color w:val="auto"/>
        </w:rPr>
      </w:pPr>
    </w:p>
    <w:p>
      <w:pPr>
        <w:ind w:left="360" w:right="20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60" w:hanging="310"/>
        <w:spacing w:after="0" w:line="259" w:lineRule="auto"/>
        <w:tabs>
          <w:tab w:leader="none" w:pos="660" w:val="left"/>
        </w:tabs>
        <w:numPr>
          <w:ilvl w:val="1"/>
          <w:numId w:val="97"/>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97"/>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7"/>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7"/>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7"/>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248"/>
              <w:spacing w:after="0"/>
              <w:rPr>
                <w:sz w:val="20"/>
                <w:szCs w:val="20"/>
                <w:color w:val="auto"/>
              </w:rPr>
            </w:pPr>
            <w:r>
              <w:rPr>
                <w:rFonts w:ascii="Arial" w:cs="Arial" w:eastAsia="Arial" w:hAnsi="Arial"/>
                <w:sz w:val="14"/>
                <w:szCs w:val="14"/>
                <w:color w:val="auto"/>
              </w:rPr>
              <w:t>Year Ended December 31, 2024</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Kaplan</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60" w:type="dxa"/>
            <w:vAlign w:val="bottom"/>
          </w:tcPr>
          <w:p>
            <w:pPr>
              <w:jc w:val="right"/>
              <w:ind w:right="348"/>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Supplemental</w:t>
            </w:r>
          </w:p>
        </w:tc>
        <w:tc>
          <w:tcPr>
            <w:tcW w:w="20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Intersegment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1,074,207</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324,815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291,630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5,761</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(4,635)</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1,691,778</w:t>
            </w:r>
          </w:p>
        </w:tc>
        <w:tc>
          <w:tcPr>
            <w:tcW w:w="0" w:type="dxa"/>
            <w:vAlign w:val="bottom"/>
          </w:tcPr>
          <w:p>
            <w:pPr>
              <w:spacing w:after="0"/>
              <w:rPr>
                <w:sz w:val="1"/>
                <w:szCs w:val="1"/>
                <w:color w:val="auto"/>
              </w:rPr>
            </w:pPr>
          </w:p>
        </w:tc>
      </w:tr>
      <w:tr>
        <w:trPr>
          <w:trHeight w:val="341"/>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361,508</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247,196</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51,574</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(4,796)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655,482</w:t>
            </w: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299,643</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17,431</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126,410</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27,660</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471,144</w:t>
            </w:r>
          </w:p>
        </w:tc>
        <w:tc>
          <w:tcPr>
            <w:tcW w:w="0" w:type="dxa"/>
            <w:vAlign w:val="bottom"/>
          </w:tcPr>
          <w:p>
            <w:pPr>
              <w:spacing w:after="0"/>
              <w:rPr>
                <w:sz w:val="1"/>
                <w:szCs w:val="1"/>
                <w:color w:val="auto"/>
              </w:rPr>
            </w:pPr>
          </w:p>
        </w:tc>
      </w:tr>
      <w:tr>
        <w:trPr>
          <w:trHeight w:val="190"/>
        </w:trPr>
        <w:tc>
          <w:tcPr>
            <w:tcW w:w="334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107,813</w:t>
            </w:r>
          </w:p>
        </w:tc>
        <w:tc>
          <w:tcPr>
            <w:tcW w:w="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20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2,703</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5,627</w:t>
            </w:r>
          </w:p>
        </w:tc>
        <w:tc>
          <w:tcPr>
            <w:tcW w:w="2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116,839</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32,414</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6,870</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30,914</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70,828</w:t>
            </w:r>
          </w:p>
        </w:tc>
        <w:tc>
          <w:tcPr>
            <w:tcW w:w="0" w:type="dxa"/>
            <w:vAlign w:val="bottom"/>
          </w:tcPr>
          <w:p>
            <w:pPr>
              <w:spacing w:after="0"/>
              <w:rPr>
                <w:sz w:val="1"/>
                <w:szCs w:val="1"/>
                <w:color w:val="auto"/>
              </w:rPr>
            </w:pPr>
          </w:p>
        </w:tc>
      </w:tr>
      <w:tr>
        <w:trPr>
          <w:trHeight w:val="238"/>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141,743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41,760</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5,368</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190,448</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131,086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51,195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38,269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(33,524)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187,037</w:t>
            </w:r>
          </w:p>
        </w:tc>
        <w:tc>
          <w:tcPr>
            <w:tcW w:w="0" w:type="dxa"/>
            <w:vAlign w:val="bottom"/>
          </w:tcPr>
          <w:p>
            <w:pPr>
              <w:spacing w:after="0"/>
              <w:rPr>
                <w:sz w:val="1"/>
                <w:szCs w:val="1"/>
                <w:color w:val="auto"/>
              </w:rPr>
            </w:pPr>
          </w:p>
        </w:tc>
      </w:tr>
      <w:tr>
        <w:trPr>
          <w:trHeight w:val="335"/>
        </w:trPr>
        <w:tc>
          <w:tcPr>
            <w:tcW w:w="334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704</w:t>
            </w:r>
          </w:p>
        </w:tc>
        <w:tc>
          <w:tcPr>
            <w:tcW w:w="2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7,620</w:t>
            </w:r>
          </w:p>
        </w:tc>
        <w:tc>
          <w:tcPr>
            <w:tcW w:w="20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7,848</w:t>
            </w:r>
          </w:p>
        </w:tc>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1,561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17,733</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28,683</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2,825</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3,487</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35,058</w:t>
            </w:r>
          </w:p>
        </w:tc>
        <w:tc>
          <w:tcPr>
            <w:tcW w:w="0" w:type="dxa"/>
            <w:vAlign w:val="bottom"/>
          </w:tcPr>
          <w:p>
            <w:pPr>
              <w:spacing w:after="0"/>
              <w:rPr>
                <w:sz w:val="1"/>
                <w:szCs w:val="1"/>
                <w:color w:val="auto"/>
              </w:rPr>
            </w:pPr>
          </w:p>
        </w:tc>
      </w:tr>
      <w:tr>
        <w:trPr>
          <w:trHeight w:val="164"/>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 and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100"/>
              <w:spacing w:after="0"/>
              <w:rPr>
                <w:sz w:val="20"/>
                <w:szCs w:val="20"/>
                <w:color w:val="auto"/>
              </w:rPr>
            </w:pPr>
            <w:r>
              <w:rPr>
                <w:rFonts w:ascii="Arial" w:cs="Arial" w:eastAsia="Arial" w:hAnsi="Arial"/>
                <w:sz w:val="14"/>
                <w:szCs w:val="14"/>
                <w:b w:val="1"/>
                <w:bCs w:val="1"/>
                <w:color w:val="auto"/>
              </w:rPr>
              <w:t>Impairment of Long-Lived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101,699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40,750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26,934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(35,148)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134,246</w:t>
            </w:r>
          </w:p>
        </w:tc>
        <w:tc>
          <w:tcPr>
            <w:tcW w:w="0" w:type="dxa"/>
            <w:vAlign w:val="bottom"/>
          </w:tcPr>
          <w:p>
            <w:pPr>
              <w:spacing w:after="0"/>
              <w:rPr>
                <w:sz w:val="1"/>
                <w:szCs w:val="1"/>
                <w:color w:val="auto"/>
              </w:rPr>
            </w:pPr>
          </w:p>
        </w:tc>
      </w:tr>
      <w:tr>
        <w:trPr>
          <w:trHeight w:val="335"/>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22,560</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1,016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2,413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25,989</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4"/>
                <w:szCs w:val="14"/>
                <w:color w:val="auto"/>
              </w:rPr>
              <w:t>____________</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Year Ended December 31, 2023</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1,587,581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472,436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447,910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459,481</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1,079,893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4,047,301</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40" w:right="18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Long-Lived Assets Income from Operations</w:t>
      </w:r>
    </w:p>
    <w:p>
      <w:pPr>
        <w:ind w:left="20" w:right="120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14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0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180" w:right="50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371,233</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4,414,877</w:t>
            </w:r>
          </w:p>
        </w:tc>
      </w:tr>
      <w:tr>
        <w:trPr>
          <w:trHeight w:val="404"/>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623,731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323,906</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257,639</w:t>
            </w:r>
          </w:p>
        </w:tc>
        <w:tc>
          <w:tcPr>
            <w:tcW w:w="48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913,790</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2,119,066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432,730</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119,311</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75,018</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627,059</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112,230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6,562</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118,792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64,427</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64,427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129,827</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129,827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7,312</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7,312</w:t>
            </w:r>
          </w:p>
        </w:tc>
      </w:tr>
      <w:tr>
        <w:trPr>
          <w:trHeight w:val="19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188,345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68,355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66,426</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154,764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32,728</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510,618</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166,118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154,943</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57,578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47,078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44,483</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470,200</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8,907</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3,331</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1,115</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14,083</w:t>
            </w:r>
          </w:p>
        </w:tc>
        <w:tc>
          <w:tcPr>
            <w:tcW w:w="4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35</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27,471</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38,187</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12,224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9,453</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5,475</w:t>
            </w: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5,177</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70,516</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119,024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139,388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47,010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27,520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39,271</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372,213</w:t>
            </w:r>
          </w:p>
        </w:tc>
      </w:tr>
      <w:tr>
        <w:trPr>
          <w:trHeight w:val="216"/>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(98,115)</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(55,600)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(50,039)</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(99,066)</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69,393</w:t>
            </w:r>
          </w:p>
        </w:tc>
      </w:tr>
      <w:tr>
        <w:trPr>
          <w:trHeight w:val="175"/>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(5,183)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(56,179)</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133,812</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138,067</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19,094</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299,004</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4"/>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36,760</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9,220</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23,089</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12,992</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10,140</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92,201</w:t>
            </w:r>
          </w:p>
        </w:tc>
      </w:tr>
      <w:tr>
        <w:trPr>
          <w:trHeight w:val="534"/>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107,286</w:t>
            </w:r>
          </w:p>
        </w:tc>
      </w:tr>
    </w:tbl>
    <w:p>
      <w:pPr>
        <w:spacing w:after="0" w:line="45" w:lineRule="exact"/>
        <w:rPr>
          <w:sz w:val="20"/>
          <w:szCs w:val="20"/>
          <w:color w:val="auto"/>
        </w:rPr>
      </w:pPr>
    </w:p>
    <w:p>
      <w:pPr>
        <w:sectPr>
          <w:pgSz w:w="11900" w:h="16838" w:orient="portrait"/>
          <w:cols w:equalWidth="0" w:num="2">
            <w:col w:w="3220" w:space="100"/>
            <w:col w:w="7920"/>
          </w:cols>
          <w:pgMar w:left="320" w:top="1039"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w:t>
      </w:r>
    </w:p>
    <w:p>
      <w:pPr>
        <w:spacing w:after="0" w:line="51" w:lineRule="exact"/>
        <w:rPr>
          <w:sz w:val="20"/>
          <w:szCs w:val="20"/>
          <w:color w:val="auto"/>
        </w:rPr>
      </w:pPr>
    </w:p>
    <w:p>
      <w:pPr>
        <w:ind w:left="360" w:right="200" w:hanging="334"/>
        <w:spacing w:after="0" w:line="259" w:lineRule="auto"/>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80" w:right="240" w:hanging="330"/>
        <w:spacing w:after="0" w:line="259" w:lineRule="auto"/>
        <w:tabs>
          <w:tab w:leader="none" w:pos="6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80" w:hanging="330"/>
        <w:spacing w:after="0"/>
        <w:tabs>
          <w:tab w:leader="none" w:pos="6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9"/>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99"/>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188"/>
              <w:spacing w:after="0"/>
              <w:rPr>
                <w:sz w:val="20"/>
                <w:szCs w:val="20"/>
                <w:color w:val="auto"/>
              </w:rPr>
            </w:pPr>
            <w:r>
              <w:rPr>
                <w:rFonts w:ascii="Arial" w:cs="Arial" w:eastAsia="Arial" w:hAnsi="Arial"/>
                <w:sz w:val="14"/>
                <w:szCs w:val="14"/>
                <w:color w:val="auto"/>
              </w:rPr>
              <w:t>Year Ended December 31, 2023</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Supplemental</w:t>
            </w:r>
          </w:p>
        </w:tc>
        <w:tc>
          <w:tcPr>
            <w:tcW w:w="1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Education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Elimination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966,879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326,961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292,776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11,012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(10,047)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1,587,581</w:t>
            </w:r>
          </w:p>
        </w:tc>
        <w:tc>
          <w:tcPr>
            <w:tcW w:w="0" w:type="dxa"/>
            <w:vAlign w:val="bottom"/>
          </w:tcPr>
          <w:p>
            <w:pPr>
              <w:spacing w:after="0"/>
              <w:rPr>
                <w:sz w:val="1"/>
                <w:szCs w:val="1"/>
                <w:color w:val="auto"/>
              </w:rPr>
            </w:pPr>
          </w:p>
        </w:tc>
      </w:tr>
      <w:tr>
        <w:trPr>
          <w:trHeight w:val="341"/>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320,183</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254,378</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55,162</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(5,992)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623,731</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267,878</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17,334</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127,396</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22,823</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(2,701)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432,730</w:t>
            </w:r>
          </w:p>
        </w:tc>
        <w:tc>
          <w:tcPr>
            <w:tcW w:w="0" w:type="dxa"/>
            <w:vAlign w:val="bottom"/>
          </w:tcPr>
          <w:p>
            <w:pPr>
              <w:spacing w:after="0"/>
              <w:rPr>
                <w:sz w:val="1"/>
                <w:szCs w:val="1"/>
                <w:color w:val="auto"/>
              </w:rPr>
            </w:pPr>
          </w:p>
        </w:tc>
      </w:tr>
      <w:tr>
        <w:trPr>
          <w:trHeight w:val="190"/>
        </w:trPr>
        <w:tc>
          <w:tcPr>
            <w:tcW w:w="328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96,636</w:t>
            </w:r>
          </w:p>
        </w:tc>
        <w:tc>
          <w:tcPr>
            <w:tcW w:w="26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1,044</w:t>
            </w:r>
          </w:p>
        </w:tc>
        <w:tc>
          <w:tcPr>
            <w:tcW w:w="2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3,827</w:t>
            </w:r>
          </w:p>
        </w:tc>
        <w:tc>
          <w:tcPr>
            <w:tcW w:w="1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11,035</w:t>
            </w: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112,230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30,654</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5,123</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28,226</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22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64,427</w:t>
            </w: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135,172</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46,381</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5,818</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188,345</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116,356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47,095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166,118</w:t>
            </w:r>
          </w:p>
        </w:tc>
        <w:tc>
          <w:tcPr>
            <w:tcW w:w="0" w:type="dxa"/>
            <w:vAlign w:val="bottom"/>
          </w:tcPr>
          <w:p>
            <w:pPr>
              <w:spacing w:after="0"/>
              <w:rPr>
                <w:sz w:val="1"/>
                <w:szCs w:val="1"/>
                <w:color w:val="auto"/>
              </w:rPr>
            </w:pPr>
          </w:p>
        </w:tc>
      </w:tr>
      <w:tr>
        <w:trPr>
          <w:trHeight w:val="329"/>
        </w:trPr>
        <w:tc>
          <w:tcPr>
            <w:tcW w:w="328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3,737</w:t>
            </w:r>
          </w:p>
        </w:tc>
        <w:tc>
          <w:tcPr>
            <w:tcW w:w="2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4,147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8,907</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28,501</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4,416</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5,165</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38,187</w:t>
            </w: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Impairment of Long-Lived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87,530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119,024</w:t>
            </w:r>
          </w:p>
        </w:tc>
        <w:tc>
          <w:tcPr>
            <w:tcW w:w="0" w:type="dxa"/>
            <w:vAlign w:val="bottom"/>
          </w:tcPr>
          <w:p>
            <w:pPr>
              <w:spacing w:after="0"/>
              <w:rPr>
                <w:sz w:val="1"/>
                <w:szCs w:val="1"/>
                <w:color w:val="auto"/>
              </w:rPr>
            </w:pPr>
          </w:p>
        </w:tc>
      </w:tr>
      <w:tr>
        <w:trPr>
          <w:trHeight w:val="33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31,111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36,760</w:t>
            </w: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0"/>
                <w:szCs w:val="20"/>
                <w:color w:val="auto"/>
              </w:rPr>
            </w:pPr>
            <w:r>
              <w:rPr>
                <w:rFonts w:ascii="Arial" w:cs="Arial" w:eastAsia="Arial" w:hAnsi="Arial"/>
                <w:sz w:val="14"/>
                <w:szCs w:val="14"/>
                <w:color w:val="auto"/>
              </w:rPr>
              <w:t>____________</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Year Ended December 31, 2022</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1,427,915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535,651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486,643</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326,000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734,185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3,510,394</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40"/>
          </w:cols>
          <w:pgMar w:left="320" w:top="1039" w:right="339" w:bottom="1440" w:gutter="0" w:footer="0" w:header="0"/>
        </w:sectPr>
      </w:pPr>
    </w:p>
    <w:p>
      <w:pPr>
        <w:ind w:left="140"/>
        <w:spacing w:after="0"/>
        <w:rPr>
          <w:sz w:val="20"/>
          <w:szCs w:val="20"/>
          <w:color w:val="auto"/>
        </w:rPr>
      </w:pPr>
      <w:r>
        <w:rPr>
          <w:rFonts w:ascii="Arial" w:cs="Arial" w:eastAsia="Arial" w:hAnsi="Arial"/>
          <w:sz w:val="13"/>
          <w:szCs w:val="13"/>
          <w:color w:val="auto"/>
        </w:rPr>
        <w:t xml:space="preserve">Other Businesses revenues </w:t>
      </w:r>
      <w:r>
        <w:rPr>
          <w:rFonts w:ascii="Arial" w:cs="Arial" w:eastAsia="Arial" w:hAnsi="Arial"/>
          <w:sz w:val="16"/>
          <w:szCs w:val="16"/>
          <w:color w:val="auto"/>
          <w:vertAlign w:val="superscript"/>
        </w:rPr>
        <w:t>(1)</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Intersegment Elimination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Long-Lived Assets Income from Operations</w:t>
      </w:r>
    </w:p>
    <w:p>
      <w:pPr>
        <w:ind w:left="20" w:right="120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14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680"/>
        <w:spacing w:after="0" w:line="335" w:lineRule="auto"/>
        <w:rPr>
          <w:sz w:val="20"/>
          <w:szCs w:val="20"/>
          <w:color w:val="auto"/>
        </w:rPr>
      </w:pPr>
      <w:r>
        <w:rPr>
          <w:rFonts w:ascii="Arial" w:cs="Arial" w:eastAsia="Arial" w:hAnsi="Arial"/>
          <w:sz w:val="13"/>
          <w:szCs w:val="13"/>
          <w:b w:val="1"/>
          <w:bCs w:val="1"/>
          <w:color w:val="auto"/>
        </w:rPr>
        <w:t>Loss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46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416,084</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3,924,493</w:t>
            </w:r>
          </w:p>
        </w:tc>
      </w:tr>
      <w:tr>
        <w:trPr>
          <w:trHeight w:val="404"/>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565,637</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363,782</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169,208</w:t>
            </w:r>
          </w:p>
        </w:tc>
        <w:tc>
          <w:tcPr>
            <w:tcW w:w="480" w:type="dxa"/>
            <w:vAlign w:val="bottom"/>
          </w:tcPr>
          <w:p>
            <w:pPr>
              <w:spacing w:after="0"/>
              <w:rPr>
                <w:sz w:val="24"/>
                <w:szCs w:val="2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603,125</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1,701,752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394,972</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119,140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56,520</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570,632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106,433</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6,116</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112,549</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58,026</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58,026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125,749</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125,749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5,737</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5,737</w:t>
            </w:r>
          </w:p>
        </w:tc>
      </w:tr>
      <w:tr>
        <w:trPr>
          <w:trHeight w:val="19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160,696</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67,595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58,279</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122,962</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24,323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433,855</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142,151</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223,167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64,582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33,830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38,364</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502,094</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8,934</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3,554</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1,104</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11,008</w:t>
            </w:r>
          </w:p>
        </w:tc>
        <w:tc>
          <w:tcPr>
            <w:tcW w:w="4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22</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24,622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34,114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12,294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9,399</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3,781</w:t>
            </w:r>
          </w:p>
        </w:tc>
        <w:tc>
          <w:tcPr>
            <w:tcW w:w="48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3,709</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63,297</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99,103</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207,319</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54,079</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19,041</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34,633</w:t>
            </w: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414,175</w:t>
            </w:r>
          </w:p>
        </w:tc>
      </w:tr>
      <w:tr>
        <w:trPr>
          <w:trHeight w:val="216"/>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(86,270)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(56,166)</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(58,851)</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(128,990)</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83,898</w:t>
            </w:r>
          </w:p>
        </w:tc>
      </w:tr>
      <w:tr>
        <w:trPr>
          <w:trHeight w:val="175"/>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(2,837)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(51,177)</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197,939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(139,589)</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33,500</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121,734</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3"/>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46,878</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5,832</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7,968</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2,745</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3,606</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67,029</w:t>
            </w:r>
          </w:p>
        </w:tc>
      </w:tr>
      <w:tr>
        <w:trPr>
          <w:trHeight w:val="534"/>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15,373</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82,402</w:t>
            </w:r>
          </w:p>
        </w:tc>
      </w:tr>
    </w:tbl>
    <w:p>
      <w:pPr>
        <w:spacing w:after="0" w:line="45" w:lineRule="exact"/>
        <w:rPr>
          <w:sz w:val="20"/>
          <w:szCs w:val="20"/>
          <w:color w:val="auto"/>
        </w:rPr>
      </w:pPr>
    </w:p>
    <w:p>
      <w:pPr>
        <w:sectPr>
          <w:pgSz w:w="11900" w:h="16838" w:orient="portrait"/>
          <w:cols w:equalWidth="0" w:num="2">
            <w:col w:w="3220" w:space="100"/>
            <w:col w:w="7920"/>
          </w:cols>
          <w:pgMar w:left="320" w:top="1039"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105" w:lineRule="exact"/>
        <w:rPr>
          <w:sz w:val="20"/>
          <w:szCs w:val="20"/>
          <w:color w:val="auto"/>
        </w:rPr>
      </w:pPr>
    </w:p>
    <w:p>
      <w:pPr>
        <w:ind w:left="360" w:hanging="334"/>
        <w:spacing w:after="0"/>
        <w:tabs>
          <w:tab w:leader="none" w:pos="360" w:val="left"/>
        </w:tabs>
        <w:numPr>
          <w:ilvl w:val="0"/>
          <w:numId w:val="101"/>
        </w:numPr>
        <w:rPr>
          <w:rFonts w:ascii="Arial" w:cs="Arial" w:eastAsia="Arial" w:hAnsi="Arial"/>
          <w:sz w:val="10"/>
          <w:szCs w:val="10"/>
          <w:color w:val="auto"/>
        </w:rPr>
      </w:pPr>
      <w:r>
        <w:rPr>
          <w:rFonts w:ascii="Arial" w:cs="Arial" w:eastAsia="Arial" w:hAnsi="Arial"/>
          <w:sz w:val="10"/>
          <w:szCs w:val="10"/>
          <w:color w:val="auto"/>
        </w:rPr>
        <w:t>Revenue from segments below the quantitative thresholds is attributable to Other Businesses, as described above. None of these operating segments meet the quantitative thresholds for determining reportable segments.</w:t>
      </w:r>
    </w:p>
    <w:p>
      <w:pPr>
        <w:spacing w:after="0" w:line="60" w:lineRule="exact"/>
        <w:rPr>
          <w:rFonts w:ascii="Arial" w:cs="Arial" w:eastAsia="Arial" w:hAnsi="Arial"/>
          <w:sz w:val="10"/>
          <w:szCs w:val="10"/>
          <w:color w:val="auto"/>
        </w:rPr>
      </w:pPr>
    </w:p>
    <w:p>
      <w:pPr>
        <w:ind w:left="360" w:hanging="334"/>
        <w:spacing w:after="0"/>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80" w:right="240" w:hanging="330"/>
        <w:spacing w:after="0" w:line="259" w:lineRule="auto"/>
        <w:tabs>
          <w:tab w:leader="none" w:pos="680" w:val="left"/>
        </w:tabs>
        <w:numPr>
          <w:ilvl w:val="1"/>
          <w:numId w:val="101"/>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80" w:hanging="330"/>
        <w:spacing w:after="0"/>
        <w:tabs>
          <w:tab w:leader="none" w:pos="680" w:val="left"/>
        </w:tabs>
        <w:numPr>
          <w:ilvl w:val="1"/>
          <w:numId w:val="101"/>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1"/>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1"/>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1"/>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188"/>
              <w:spacing w:after="0"/>
              <w:rPr>
                <w:sz w:val="20"/>
                <w:szCs w:val="20"/>
                <w:color w:val="auto"/>
              </w:rPr>
            </w:pPr>
            <w:r>
              <w:rPr>
                <w:rFonts w:ascii="Arial" w:cs="Arial" w:eastAsia="Arial" w:hAnsi="Arial"/>
                <w:sz w:val="14"/>
                <w:szCs w:val="14"/>
                <w:color w:val="auto"/>
              </w:rPr>
              <w:t>Year Ended December 31,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Supplemental</w:t>
            </w:r>
          </w:p>
        </w:tc>
        <w:tc>
          <w:tcPr>
            <w:tcW w:w="1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Education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Elimination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816,239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310,407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301,625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9,853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(10,209)</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1,427,915</w:t>
            </w:r>
          </w:p>
        </w:tc>
        <w:tc>
          <w:tcPr>
            <w:tcW w:w="0" w:type="dxa"/>
            <w:vAlign w:val="bottom"/>
          </w:tcPr>
          <w:p>
            <w:pPr>
              <w:spacing w:after="0"/>
              <w:rPr>
                <w:sz w:val="1"/>
                <w:szCs w:val="1"/>
                <w:color w:val="auto"/>
              </w:rPr>
            </w:pPr>
          </w:p>
        </w:tc>
      </w:tr>
      <w:tr>
        <w:trPr>
          <w:trHeight w:val="341"/>
        </w:trPr>
        <w:tc>
          <w:tcPr>
            <w:tcW w:w="3280" w:type="dxa"/>
            <w:vAlign w:val="bottom"/>
          </w:tcPr>
          <w:p>
            <w:pPr>
              <w:ind w:left="14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262,579</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248,447</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58,517</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(3,906)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565,637</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234,602</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21,254</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131,243</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12,582</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(4,709)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394,972</w:t>
            </w:r>
          </w:p>
        </w:tc>
        <w:tc>
          <w:tcPr>
            <w:tcW w:w="0" w:type="dxa"/>
            <w:vAlign w:val="bottom"/>
          </w:tcPr>
          <w:p>
            <w:pPr>
              <w:spacing w:after="0"/>
              <w:rPr>
                <w:sz w:val="1"/>
                <w:szCs w:val="1"/>
                <w:color w:val="auto"/>
              </w:rPr>
            </w:pPr>
          </w:p>
        </w:tc>
      </w:tr>
      <w:tr>
        <w:trPr>
          <w:trHeight w:val="190"/>
        </w:trPr>
        <w:tc>
          <w:tcPr>
            <w:tcW w:w="328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90,519</w:t>
            </w:r>
          </w:p>
        </w:tc>
        <w:tc>
          <w:tcPr>
            <w:tcW w:w="26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1,137</w:t>
            </w:r>
          </w:p>
        </w:tc>
        <w:tc>
          <w:tcPr>
            <w:tcW w:w="2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4,475</w:t>
            </w:r>
          </w:p>
        </w:tc>
        <w:tc>
          <w:tcPr>
            <w:tcW w:w="1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10,521</w:t>
            </w: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106,433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26,715</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3,657</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26,910</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744</w:t>
            </w:r>
          </w:p>
        </w:tc>
        <w:tc>
          <w:tcPr>
            <w:tcW w:w="22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58,026</w:t>
            </w: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106,218</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2,878</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48,953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160,696</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95,606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142,151</w:t>
            </w:r>
          </w:p>
        </w:tc>
        <w:tc>
          <w:tcPr>
            <w:tcW w:w="0" w:type="dxa"/>
            <w:vAlign w:val="bottom"/>
          </w:tcPr>
          <w:p>
            <w:pPr>
              <w:spacing w:after="0"/>
              <w:rPr>
                <w:sz w:val="1"/>
                <w:szCs w:val="1"/>
                <w:color w:val="auto"/>
              </w:rPr>
            </w:pPr>
          </w:p>
        </w:tc>
      </w:tr>
      <w:tr>
        <w:trPr>
          <w:trHeight w:val="330"/>
        </w:trPr>
        <w:tc>
          <w:tcPr>
            <w:tcW w:w="328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3,842</w:t>
            </w:r>
          </w:p>
        </w:tc>
        <w:tc>
          <w:tcPr>
            <w:tcW w:w="2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4,114</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708</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8,934</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23,270</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4,373</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6,344</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34,114</w:t>
            </w: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Impairment of Long-Lived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72,066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99,103</w:t>
            </w:r>
          </w:p>
        </w:tc>
        <w:tc>
          <w:tcPr>
            <w:tcW w:w="0" w:type="dxa"/>
            <w:vAlign w:val="bottom"/>
          </w:tcPr>
          <w:p>
            <w:pPr>
              <w:spacing w:after="0"/>
              <w:rPr>
                <w:sz w:val="1"/>
                <w:szCs w:val="1"/>
                <w:color w:val="auto"/>
              </w:rPr>
            </w:pPr>
          </w:p>
        </w:tc>
      </w:tr>
      <w:tr>
        <w:trPr>
          <w:trHeight w:val="33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39,206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1,398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46,878</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____________</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2023</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1,963,878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2,021,471</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402,200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419,557</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411,137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431,712</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308,591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265,150</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582,105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597,267</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Segments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3,667,911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3,735,157</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338,089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368,542</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139,126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93,760</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852,434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690,153</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169,125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186,480</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2,510,520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2,113,638</w:t>
            </w:r>
          </w:p>
        </w:tc>
      </w:tr>
      <w:tr>
        <w:trPr>
          <w:trHeight w:val="226"/>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7,677,205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7,187,730</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r>
      <w:tr>
        <w:trPr>
          <w:trHeight w:val="223"/>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1,500,846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1,537,989</w:t>
            </w:r>
          </w:p>
        </w:tc>
      </w:tr>
      <w:tr>
        <w:trPr>
          <w:trHeight w:val="230"/>
        </w:trPr>
        <w:tc>
          <w:tcPr>
            <w:tcW w:w="8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182,442</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187,972</w:t>
            </w: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238,836</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249,519</w:t>
            </w:r>
          </w:p>
        </w:tc>
      </w:tr>
      <w:tr>
        <w:trPr>
          <w:trHeight w:val="233"/>
        </w:trPr>
        <w:tc>
          <w:tcPr>
            <w:tcW w:w="8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41,754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45,991</w:t>
            </w:r>
          </w:p>
        </w:tc>
      </w:tr>
      <w:tr>
        <w:trPr>
          <w:trHeight w:val="223"/>
        </w:trPr>
        <w:tc>
          <w:tcPr>
            <w:tcW w:w="8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1,963,878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2,021,471</w:t>
            </w:r>
          </w:p>
        </w:tc>
      </w:tr>
      <w:tr>
        <w:trPr>
          <w:trHeight w:val="24"/>
        </w:trPr>
        <w:tc>
          <w:tcPr>
            <w:tcW w:w="8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1039" w:right="3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9"/>
          <w:szCs w:val="19"/>
          <w:color w:val="auto"/>
        </w:rPr>
        <w:t>EXHIBIT 19</w:t>
      </w: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9"/>
          <w:szCs w:val="19"/>
          <w:color w:val="auto"/>
        </w:rPr>
        <w:t>Insider Trading and Hedging Policy</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Effective Date: September 12, 2024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Policy Overview</w:t>
      </w:r>
    </w:p>
    <w:p>
      <w:pPr>
        <w:spacing w:after="0" w:line="241"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The purpose of this policy is to set forth the requirements related to compliance with securities laws and regulations as they apply to Graham Holdings Company and its subsidiaries ("GHC" or the "Company"). This policy is designed to prevent insider trading, minimize allegations of insider trading and to protect the Company's reputation for integrity and ethical conduct. It is the responsibility of each employee, officer, and director to understand and comply with this policy.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 Scope</w:t>
      </w:r>
    </w:p>
    <w:p>
      <w:pPr>
        <w:spacing w:after="0" w:line="241"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This policy applies to GHC, its subsidiaries and its employees, officers, and directors. This policy also applies to the members of their immediate families, their dependents, persons with whom they share a household and any other individuals or entities whose transactions in securities they influence, direct or control.</w:t>
      </w:r>
    </w:p>
    <w:p>
      <w:pPr>
        <w:spacing w:after="0" w:line="206" w:lineRule="exact"/>
        <w:rPr>
          <w:sz w:val="20"/>
          <w:szCs w:val="20"/>
          <w:color w:val="auto"/>
        </w:rPr>
      </w:pPr>
    </w:p>
    <w:p>
      <w:pPr>
        <w:ind w:right="720"/>
        <w:spacing w:after="0" w:line="270" w:lineRule="auto"/>
        <w:rPr>
          <w:sz w:val="20"/>
          <w:szCs w:val="20"/>
          <w:color w:val="auto"/>
        </w:rPr>
      </w:pPr>
      <w:r>
        <w:rPr>
          <w:rFonts w:ascii="Arial" w:cs="Arial" w:eastAsia="Arial" w:hAnsi="Arial"/>
          <w:sz w:val="19"/>
          <w:szCs w:val="19"/>
          <w:color w:val="auto"/>
        </w:rPr>
        <w:t>Employees, officers, and directors of the Company are responsible for ensuring their compliance with this policy as well as the compliance of the individuals and entities just described.</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3.0 Responsibilities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3.1 Policy Owner: </w:t>
      </w:r>
      <w:r>
        <w:rPr>
          <w:rFonts w:ascii="Arial" w:cs="Arial" w:eastAsia="Arial" w:hAnsi="Arial"/>
          <w:sz w:val="19"/>
          <w:szCs w:val="19"/>
          <w:color w:val="auto"/>
        </w:rPr>
        <w:t>Senior Vice President, General Counsel and Corporate Secretary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3.2 Responsible Party: </w:t>
      </w:r>
      <w:r>
        <w:rPr>
          <w:rFonts w:ascii="Arial" w:cs="Arial" w:eastAsia="Arial" w:hAnsi="Arial"/>
          <w:sz w:val="19"/>
          <w:szCs w:val="19"/>
          <w:color w:val="auto"/>
        </w:rPr>
        <w:t>Vice President, Deputy General Counsel and Assistant Secretary</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4.0 Policy</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4.1 Overview</w:t>
      </w:r>
    </w:p>
    <w:p>
      <w:pPr>
        <w:spacing w:after="0" w:line="241" w:lineRule="exact"/>
        <w:rPr>
          <w:sz w:val="20"/>
          <w:szCs w:val="20"/>
          <w:color w:val="auto"/>
        </w:rPr>
      </w:pPr>
    </w:p>
    <w:p>
      <w:pPr>
        <w:ind w:right="220"/>
        <w:spacing w:after="0" w:line="235" w:lineRule="auto"/>
        <w:rPr>
          <w:sz w:val="20"/>
          <w:szCs w:val="20"/>
          <w:color w:val="auto"/>
        </w:rPr>
      </w:pPr>
      <w:r>
        <w:rPr>
          <w:rFonts w:ascii="Arial" w:cs="Arial" w:eastAsia="Arial" w:hAnsi="Arial"/>
          <w:sz w:val="19"/>
          <w:szCs w:val="19"/>
          <w:color w:val="auto"/>
        </w:rPr>
        <w:t>GHC, as evidenced by its Corporate Governance structure and adoption of related policies and practices (referenced below), is committed to promoting high standards of ethical business conduct and compliance with applicable laws, rules and regulations. This policy was adopted as part of the Company's commitment to its principles, values, ethics and standards as set forth in its Code of Business Conduct. It is illegal to trade in a company’s securities while in possession of material nonpublic information about the Company. It is also illegal to give material nonpublic information to others who may trade on the basis of that information.</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As a result, individuals and entities subject to this policy are not allowed to trade in Company securities while in possession of material nonpublic information about the Company. They also are not allowed to disclose any nonpublic information to any person, which includes directly disclosing material nonpublic information as well as making recommendations or expressing opinions about Company securities based on material nonpublic information about the Company, whether or not such individual intends to realize a profit from such “tip”.</w:t>
      </w:r>
    </w:p>
    <w:p>
      <w:pPr>
        <w:spacing w:after="0" w:line="2"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If an individual subject to this policy is aware of any material nonpublic information concerning another public company obtained in the course of such person’s employment or other service with the Company, such person must not trade in the securities of the other company or pass any material nonpublic information concerning the other company to others.</w:t>
      </w:r>
    </w:p>
    <w:p>
      <w:pPr>
        <w:sectPr>
          <w:pgSz w:w="11900" w:h="16838" w:orient="portrait"/>
          <w:cols w:equalWidth="0" w:num="1">
            <w:col w:w="11240"/>
          </w:cols>
          <w:pgMar w:left="320" w:top="1408" w:right="339" w:bottom="1440" w:gutter="0" w:footer="0" w:header="0"/>
        </w:sectPr>
      </w:pPr>
    </w:p>
    <w:bookmarkStart w:id="129" w:name="page130"/>
    <w:bookmarkEnd w:id="129"/>
    <w:p>
      <w:pPr>
        <w:ind w:right="20"/>
        <w:spacing w:after="0" w:line="270" w:lineRule="auto"/>
        <w:rPr>
          <w:sz w:val="20"/>
          <w:szCs w:val="20"/>
          <w:color w:val="auto"/>
        </w:rPr>
      </w:pPr>
      <w:r>
        <w:rPr>
          <w:rFonts w:ascii="Arial" w:cs="Arial" w:eastAsia="Arial" w:hAnsi="Arial"/>
          <w:sz w:val="19"/>
          <w:szCs w:val="19"/>
          <w:color w:val="auto"/>
        </w:rPr>
        <w:t>The Company may not, directly or indirectly, buy or sell the Company’s securities while in possession of material nonpublic information related to the Company unless such trading activity otherwise complies with all applicable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 Other Policy Topics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4.2.1 Covered Transactions</w:t>
      </w:r>
    </w:p>
    <w:p>
      <w:pPr>
        <w:spacing w:after="0" w:line="241"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This policy applies to all transactions in securities, including purchases, sales, and other transfers of Company common stock, options, restricted shares and other securities, put or call options, hedging transactions, short sales, and certain decisions with respect to participation in benefit plans. Although there are limited exceptions to this policy (as described in Section 4.3), there are no exceptions from insider trading laws or this policy based on the size of the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4.2.2 Blackout Periods</w:t>
      </w:r>
    </w:p>
    <w:p>
      <w:pPr>
        <w:spacing w:after="0" w:line="241" w:lineRule="exact"/>
        <w:rPr>
          <w:sz w:val="20"/>
          <w:szCs w:val="20"/>
          <w:color w:val="auto"/>
        </w:rPr>
      </w:pPr>
    </w:p>
    <w:p>
      <w:pPr>
        <w:ind w:right="680"/>
        <w:spacing w:after="0" w:line="270" w:lineRule="auto"/>
        <w:rPr>
          <w:sz w:val="20"/>
          <w:szCs w:val="20"/>
          <w:color w:val="auto"/>
        </w:rPr>
      </w:pPr>
      <w:r>
        <w:rPr>
          <w:rFonts w:ascii="Arial" w:cs="Arial" w:eastAsia="Arial" w:hAnsi="Arial"/>
          <w:sz w:val="19"/>
          <w:szCs w:val="19"/>
          <w:color w:val="auto"/>
        </w:rPr>
        <w:t>To limit the likelihood of trading at times when there is a significant risk of insider trading exposure, the Company has instituted quarterly trading blackout periods and may institute special trading blackout periods from time to time.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Quarterly Blackout Periods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Unless otherwise specified in Section 4.3, all members of the Board of Directors, Section 16 Officers, and certain other employees of the Company that, by the nature of their roles with the Company, are deemed likely to regularly possess material nonpublic information about the Company (collectively referred to as the "restricted trading population") are subject to the quarterly trading blackout periods. During the blackout period, those subject to the blackout may not engage in any transaction involving the Company's securities. The restricted trading population will be notified by the General Counsel's office at the start of each fiscal year (1) that they are subject to trading restrictions and (2) of the planned blackout periods for the upcoming year. Generally, quarterly blackout periods cover the time period of approximately three weeks prior to the Company's release of earnings relating to the first, second, and third quarters, and approximately six weeks prior to the release of year-end results.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Special Blackout Periods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The Company's General Counsel or Deputy General Counsel (or, in the General Counsel or Deputy</w:t>
      </w:r>
    </w:p>
    <w:p>
      <w:pPr>
        <w:ind w:right="100"/>
        <w:spacing w:after="0" w:line="234" w:lineRule="auto"/>
        <w:rPr>
          <w:sz w:val="20"/>
          <w:szCs w:val="20"/>
          <w:color w:val="auto"/>
        </w:rPr>
      </w:pPr>
      <w:r>
        <w:rPr>
          <w:rFonts w:ascii="Arial" w:cs="Arial" w:eastAsia="Arial" w:hAnsi="Arial"/>
          <w:sz w:val="19"/>
          <w:szCs w:val="19"/>
          <w:color w:val="auto"/>
        </w:rPr>
        <w:t>General Counsel's absence, the Chief Executive Officer or Chief Financial Officer) may designate special trading blackouts that apply to particular individuals or groups of persons for such time as determined by the General Counsel's office. During the special blackout period, those subject to the blackout may not engage in any transaction involving the Company's securities. In addition, those either aware or subject to any special blackout period may not disclose to any other persons, either inside or outside of the Company, that a special blackout period has been designated.</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4.2.3 Trading Windows</w:t>
      </w:r>
    </w:p>
    <w:p>
      <w:pPr>
        <w:spacing w:after="0" w:line="241" w:lineRule="exact"/>
        <w:rPr>
          <w:sz w:val="20"/>
          <w:szCs w:val="20"/>
          <w:color w:val="auto"/>
        </w:rPr>
      </w:pPr>
    </w:p>
    <w:p>
      <w:pPr>
        <w:ind w:right="220"/>
        <w:spacing w:after="0" w:line="246" w:lineRule="auto"/>
        <w:rPr>
          <w:sz w:val="20"/>
          <w:szCs w:val="20"/>
          <w:color w:val="auto"/>
        </w:rPr>
      </w:pPr>
      <w:r>
        <w:rPr>
          <w:rFonts w:ascii="Arial" w:cs="Arial" w:eastAsia="Arial" w:hAnsi="Arial"/>
          <w:sz w:val="19"/>
          <w:szCs w:val="19"/>
          <w:color w:val="auto"/>
        </w:rPr>
        <w:t>Trading windows are the open periods during which transactions in Company securities are permitted. However, no individual may trade in Company securities (even while in an open trading window) if he/she is in possession of material nonpublic information or is subject to any special blackout period.</w:t>
      </w:r>
    </w:p>
    <w:p>
      <w:pPr>
        <w:spacing w:after="0" w:line="206" w:lineRule="exact"/>
        <w:rPr>
          <w:sz w:val="20"/>
          <w:szCs w:val="20"/>
          <w:color w:val="auto"/>
        </w:rPr>
      </w:pPr>
    </w:p>
    <w:p>
      <w:pPr>
        <w:ind w:right="240"/>
        <w:spacing w:after="0" w:line="246" w:lineRule="auto"/>
        <w:rPr>
          <w:sz w:val="20"/>
          <w:szCs w:val="20"/>
          <w:color w:val="auto"/>
        </w:rPr>
      </w:pPr>
      <w:r>
        <w:rPr>
          <w:rFonts w:ascii="Arial" w:cs="Arial" w:eastAsia="Arial" w:hAnsi="Arial"/>
          <w:sz w:val="19"/>
          <w:szCs w:val="19"/>
          <w:color w:val="auto"/>
        </w:rPr>
        <w:t>The trading window will typically open after the conclusion of the full trading day following the public disclosure of the Company's quarterly financial results and continue until the date that is approximately three weeks prior to the next anticipated earnings release date, or six weeks before the date on which year-end results are scheduled to be released.</w:t>
      </w:r>
    </w:p>
    <w:p>
      <w:pPr>
        <w:sectPr>
          <w:pgSz w:w="11900" w:h="16838" w:orient="portrait"/>
          <w:cols w:equalWidth="0" w:num="1">
            <w:col w:w="11240"/>
          </w:cols>
          <w:pgMar w:left="320" w:top="1408" w:right="339" w:bottom="1440" w:gutter="0" w:footer="0" w:header="0"/>
        </w:sectPr>
      </w:pPr>
    </w:p>
    <w:bookmarkStart w:id="130" w:name="page131"/>
    <w:bookmarkEnd w:id="130"/>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4.2.4 Pre-Clearance</w:t>
      </w:r>
    </w:p>
    <w:p>
      <w:pPr>
        <w:spacing w:after="0" w:line="241" w:lineRule="exact"/>
        <w:rPr>
          <w:sz w:val="20"/>
          <w:szCs w:val="20"/>
          <w:color w:val="auto"/>
        </w:rPr>
      </w:pPr>
    </w:p>
    <w:p>
      <w:pPr>
        <w:ind w:right="160"/>
        <w:spacing w:after="0" w:line="243" w:lineRule="auto"/>
        <w:rPr>
          <w:sz w:val="20"/>
          <w:szCs w:val="20"/>
          <w:color w:val="auto"/>
        </w:rPr>
      </w:pPr>
      <w:r>
        <w:rPr>
          <w:rFonts w:ascii="Arial" w:cs="Arial" w:eastAsia="Arial" w:hAnsi="Arial"/>
          <w:sz w:val="19"/>
          <w:szCs w:val="19"/>
          <w:color w:val="auto"/>
        </w:rPr>
        <w:t>All members of the Board of Directors, Section 16 Officers, and other individuals notified in writing by the General Counsel's office to seek pre-clearance for transactions involving Company securities, must obtain prior trading approval ("pre-clearance") from the General Counsel or Deputy General Counsel for a proposed trade. The General Counsel and Deputy General Counsel are under no obligation to approve a transaction submitted for pre-clearance and may determine not to permit the transaction.</w:t>
      </w:r>
    </w:p>
    <w:p>
      <w:pPr>
        <w:spacing w:after="0" w:line="195" w:lineRule="exact"/>
        <w:rPr>
          <w:sz w:val="20"/>
          <w:szCs w:val="20"/>
          <w:color w:val="auto"/>
        </w:rPr>
      </w:pPr>
    </w:p>
    <w:p>
      <w:pPr>
        <w:ind w:right="520"/>
        <w:spacing w:after="0" w:line="270" w:lineRule="auto"/>
        <w:rPr>
          <w:sz w:val="20"/>
          <w:szCs w:val="20"/>
          <w:color w:val="auto"/>
        </w:rPr>
      </w:pPr>
      <w:r>
        <w:rPr>
          <w:rFonts w:ascii="Arial" w:cs="Arial" w:eastAsia="Arial" w:hAnsi="Arial"/>
          <w:sz w:val="19"/>
          <w:szCs w:val="19"/>
          <w:color w:val="auto"/>
        </w:rPr>
        <w:t>Even if pre-cleared to trade, such individual may not trade in the Company’s securities while in possession of material nonpublic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4.2.5 Prohibitions on Speculative Transactions, Derivatives, Hedging, Short Selling, Short-Term Trading and Standing Orders</w:t>
      </w:r>
    </w:p>
    <w:p>
      <w:pPr>
        <w:spacing w:after="0" w:line="252" w:lineRule="exact"/>
        <w:rPr>
          <w:sz w:val="20"/>
          <w:szCs w:val="20"/>
          <w:color w:val="auto"/>
        </w:rPr>
      </w:pPr>
    </w:p>
    <w:p>
      <w:pPr>
        <w:ind w:right="240"/>
        <w:spacing w:after="0" w:line="246" w:lineRule="auto"/>
        <w:rPr>
          <w:sz w:val="20"/>
          <w:szCs w:val="20"/>
          <w:color w:val="auto"/>
        </w:rPr>
      </w:pPr>
      <w:r>
        <w:rPr>
          <w:rFonts w:ascii="Arial" w:cs="Arial" w:eastAsia="Arial" w:hAnsi="Arial"/>
          <w:sz w:val="19"/>
          <w:szCs w:val="19"/>
          <w:color w:val="auto"/>
        </w:rPr>
        <w:t>The Company considers it inappropriate for any member of the restricted trading population to enter into speculative transactions in the Company’s securities. Such transactions may enable the individual to continue to own Company securities obtained through employee benefit plans or otherwise, but without bearing the full risks and rewards of ownership.</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Therefore, the restricted trading population is prohibited from (1) trading derivative securities, such as puts, calls, options, and similar instruments, relating to the Company’s securities; (2) entering into hedging or monetization transactions or similar arrangements in which the stockholder continues to own the underlying Company security, but without all of the risks or rewards of ownership, such as prepaid variable forwards, equity swaps, collars, exchange funds and forward-sale contracts; (3) engaging in short sale transactions in the Company’s securities; and (4) engaging in short-term trades of purchasing and selling or selling and purchasing the Company’s securities within 30 calendar days where such subsequent transaction results in an investment gain to the individual placing the transaction.</w:t>
      </w:r>
    </w:p>
    <w:p>
      <w:pPr>
        <w:spacing w:after="0" w:line="198"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For the avoidance of doubt, the prohibition on trading derivative securities does not apply to transactions in stock appreciation rights, stock options and similar securities granted to members of the restricted trading population by the Company.</w:t>
      </w:r>
    </w:p>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Standing or limit orders on Company securities (other than under an approved 10b5-1 trading plan as described in Section 4.3.1 below) are strongly discouraged. However, if a member of the restricted trading population determines that they must use a standing order or limit order, the order must be limited to brief periods of time when such person can be reasonably certain the order will not execute during a blackout period and will not execute at a time when such person otherwise possesses material nonpublic information (except that standing orders may be used for longer periods under 10b5-1 trading plans that comply with the requirements of Rule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10b5-1) and must otherwise comply with the restrictions and procedures set forth in this policy.</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4.2.6 Gifts of the Company’s Securities</w:t>
      </w:r>
    </w:p>
    <w:p>
      <w:pPr>
        <w:spacing w:after="0" w:line="241"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Gifts of the Company’s securities are prohibited by individuals when in possession of material nonpublic information or during a blackout period unless the donee expressly agrees it will not make any transaction with the Company’s securities while the donor is in possession of material nonpublic information. Members of the Board of Directors and Section 16 officers shall notify the General Counsel in writing of any gift of the Company’s securities in advance of the proposed gift.</w:t>
      </w:r>
    </w:p>
    <w:p>
      <w:pPr>
        <w:sectPr>
          <w:pgSz w:w="11900" w:h="16838" w:orient="portrait"/>
          <w:cols w:equalWidth="0" w:num="1">
            <w:col w:w="11200"/>
          </w:cols>
          <w:pgMar w:left="320" w:top="1440" w:right="379" w:bottom="1440" w:gutter="0" w:footer="0" w:header="0"/>
        </w:sectPr>
      </w:pPr>
    </w:p>
    <w:bookmarkStart w:id="131" w:name="page132"/>
    <w:bookmarkEnd w:id="131"/>
    <w:p>
      <w:pPr>
        <w:ind w:right="700"/>
        <w:spacing w:after="0" w:line="279" w:lineRule="auto"/>
        <w:rPr>
          <w:sz w:val="20"/>
          <w:szCs w:val="20"/>
          <w:color w:val="auto"/>
        </w:rPr>
      </w:pPr>
      <w:r>
        <w:rPr>
          <w:rFonts w:ascii="Arial" w:cs="Arial" w:eastAsia="Arial" w:hAnsi="Arial"/>
          <w:sz w:val="19"/>
          <w:szCs w:val="19"/>
          <w:color w:val="auto"/>
        </w:rPr>
        <w:t xml:space="preserve">Consistent with Section 4.3.2 below, the restrictions in this section do not prohibit estate-planning transfers, provided that the transferor’s </w:t>
      </w:r>
      <w:r>
        <w:rPr>
          <w:rFonts w:ascii="Arial" w:cs="Arial" w:eastAsia="Arial" w:hAnsi="Arial"/>
          <w:sz w:val="21"/>
          <w:szCs w:val="21"/>
          <w:color w:val="auto"/>
        </w:rPr>
        <w:t>beneficial ownership and pecuniary interest in the transferred Company securities does not change</w:t>
      </w:r>
      <w:r>
        <w:rPr>
          <w:rFonts w:ascii="Arial" w:cs="Arial" w:eastAsia="Arial" w:hAnsi="Arial"/>
          <w:sz w:val="19"/>
          <w:szCs w:val="19"/>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4.2.7. Post-Termination Transactions</w:t>
      </w:r>
    </w:p>
    <w:p>
      <w:pPr>
        <w:spacing w:after="0" w:line="227"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This policy continues to apply to transactions in Company securities even after termination of service to the Company. If an individual is in possession of material nonpublic information about the Company when his or her service terminates, that individual may not trade in Company securities until that information has become public or is no longer material. The pre-clearance procedures specified in Section 4.2.4, however, will cease to apply to transactions in Company securities upon the expiration of any blackout period or other Company-imposed trading restrictions applicable at the time of the termination of service.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 Policy Exceptions and Administration</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4.3.1 Transfers Pursuant to Rule 10b5-1</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The Securities Exchange Commission has enacted rules that provide an affirmative defense against</w:t>
      </w:r>
    </w:p>
    <w:p>
      <w:pPr>
        <w:spacing w:after="0" w:line="16" w:lineRule="exact"/>
        <w:rPr>
          <w:sz w:val="20"/>
          <w:szCs w:val="20"/>
          <w:color w:val="auto"/>
        </w:rPr>
      </w:pPr>
    </w:p>
    <w:p>
      <w:pPr>
        <w:ind w:right="160"/>
        <w:spacing w:after="0" w:line="237" w:lineRule="auto"/>
        <w:rPr>
          <w:sz w:val="20"/>
          <w:szCs w:val="20"/>
          <w:color w:val="auto"/>
        </w:rPr>
      </w:pPr>
      <w:r>
        <w:rPr>
          <w:rFonts w:ascii="Arial" w:cs="Arial" w:eastAsia="Arial" w:hAnsi="Arial"/>
          <w:sz w:val="19"/>
          <w:szCs w:val="19"/>
          <w:color w:val="auto"/>
        </w:rPr>
        <w:t>alleged violations of U.S. federal insider trading laws for transactions made pursuant to trading plans that meet certain requirements, commonly referred to as "10b5-1 trading plans." Transactions made pursuant to a 10b5-1 trading plan are not subject to the restrictions in this policy, even if the individual is aware of material nonpublic information at the time of the transaction or a blackout period is in effect.</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Individuals in the restricted trading population who wish to execute a 10b5-1 Trading Plan should contact the General Counsel.</w:t>
      </w:r>
    </w:p>
    <w:p>
      <w:pPr>
        <w:spacing w:after="0" w:line="241"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Approval of a trading plan will not be deemed a representation by the Company that the plan complies with Rule 10b5-1, nor an assumption by the Company of any liability or responsibility to the plan owner or any other party if the plan does not comply with Rule 10b5-1.</w:t>
      </w:r>
    </w:p>
    <w:p>
      <w:pPr>
        <w:spacing w:after="0" w:line="206" w:lineRule="exact"/>
        <w:rPr>
          <w:sz w:val="20"/>
          <w:szCs w:val="20"/>
          <w:color w:val="auto"/>
        </w:rPr>
      </w:pPr>
    </w:p>
    <w:p>
      <w:pPr>
        <w:ind w:right="300"/>
        <w:spacing w:after="0" w:line="270" w:lineRule="auto"/>
        <w:rPr>
          <w:sz w:val="20"/>
          <w:szCs w:val="20"/>
          <w:color w:val="auto"/>
        </w:rPr>
      </w:pPr>
      <w:r>
        <w:rPr>
          <w:rFonts w:ascii="Arial" w:cs="Arial" w:eastAsia="Arial" w:hAnsi="Arial"/>
          <w:sz w:val="19"/>
          <w:szCs w:val="19"/>
          <w:color w:val="auto"/>
        </w:rPr>
        <w:t>This policy does not prohibit the purchase or sale of Company securities by the Company in accordance with a 10b5-1 trading plan that complies with all applicable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4.3.2 Permissible Exceptions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The trading restrictions under this policy do not apply to the following transactions, except as specifically noted:</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Estate and Tax Planning; Bequests</w:t>
      </w:r>
    </w:p>
    <w:p>
      <w:pPr>
        <w:ind w:right="100"/>
        <w:spacing w:after="0" w:line="244" w:lineRule="auto"/>
        <w:rPr>
          <w:sz w:val="20"/>
          <w:szCs w:val="20"/>
          <w:color w:val="auto"/>
        </w:rPr>
      </w:pPr>
      <w:r>
        <w:rPr>
          <w:rFonts w:ascii="Arial" w:cs="Arial" w:eastAsia="Arial" w:hAnsi="Arial"/>
          <w:sz w:val="19"/>
          <w:szCs w:val="19"/>
          <w:color w:val="auto"/>
        </w:rPr>
        <w:t>The trading restrictions under this policy do not apply to transfers by will or the laws of descent and distribution, or transfers for estate or tax planning purposes in which your beneficial ownership and pecuniary interest in the transferred Company securities does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Restricted Stock Awards</w:t>
      </w:r>
    </w:p>
    <w:p>
      <w:pPr>
        <w:spacing w:after="0" w:line="14"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The trading restrictions under this policy do not apply to the vesting of restricted stock or restricted stock units, or the exercise of a tax withholding right pursuant to which the Company withholds shares of the Company’s securities to satisfy tax withholding requirements upon the vesting of any such awards (sales or exchanges of the Company’s securities acquired pursuant to the vesting of such award are, however, prohibited during a Blackout Period).</w:t>
      </w:r>
    </w:p>
    <w:p>
      <w:pPr>
        <w:sectPr>
          <w:pgSz w:w="11900" w:h="16838" w:orient="portrait"/>
          <w:cols w:equalWidth="0" w:num="1">
            <w:col w:w="11220"/>
          </w:cols>
          <w:pgMar w:left="320" w:top="1408" w:right="35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i w:val="1"/>
          <w:iCs w:val="1"/>
          <w:color w:val="auto"/>
        </w:rPr>
        <w:t>Stock Option Exercises</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The trading restrictions under this policy do not apply to the exercise and corresponding net settlement of an employee stock option acquired pursuant to the Company’s plans, or to the exercise of a tax withholding right pursuant to which a person has elected to have the Company withhold shares subject to an option to satisfy tax withholding requirements; provided, however, that the trading restrictions under this policy do apply to any sale of stock as part of a broker-assisted cashless exercise of an option, or any other market sale for the purpose of generating the cash needed to pay the exercise price of an option.</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401(k) Plans</w:t>
      </w:r>
    </w:p>
    <w:p>
      <w:pPr>
        <w:spacing w:after="0" w:line="1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trading restrictions under this policy do not apply to purchases of the Company’s securities in the Company’s 401(k) plans resulting from an employee’s periodic contribution of money to the plan pursuant to an employee payroll deduction election. This policy does apply, however, to certain elections an employee may make under any of the Company’s 401(k) plans, including: (a) an</w:t>
      </w:r>
    </w:p>
    <w:p>
      <w:pPr>
        <w:ind w:right="40"/>
        <w:spacing w:after="0" w:line="237" w:lineRule="auto"/>
        <w:rPr>
          <w:sz w:val="20"/>
          <w:szCs w:val="20"/>
          <w:color w:val="auto"/>
        </w:rPr>
      </w:pPr>
      <w:r>
        <w:rPr>
          <w:rFonts w:ascii="Arial" w:cs="Arial" w:eastAsia="Arial" w:hAnsi="Arial"/>
          <w:sz w:val="19"/>
          <w:szCs w:val="19"/>
          <w:color w:val="auto"/>
        </w:rPr>
        <w:t>election to increase or decrease the percentage of periodic contributions that will be allocated to the Company Class B common stock fund; (b) an election to make an intra-plan transfer of an existing account balance into or out of the Company Class B common stock fund; (c) an election to borrow money against a 401(k) plan account if the loan will result in a liquidation of some or all of an employee’s Company Class B common stock fund balance; and (d) an election to pre-pay a plan loan if the pre-payment will result in allocation of loan proceeds to the Company Class B common stock fund. It should be noted that sales of the Company’s securities from a 401(k) account are also subject to Rule 144, and therefore affiliates should ensure that a Form 144 is filed when required.</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 Change in Form of Ownership</w:t>
      </w:r>
    </w:p>
    <w:p>
      <w:pPr>
        <w:spacing w:after="0" w:line="14" w:lineRule="exact"/>
        <w:rPr>
          <w:sz w:val="20"/>
          <w:szCs w:val="20"/>
          <w:color w:val="auto"/>
        </w:rPr>
      </w:pPr>
    </w:p>
    <w:p>
      <w:pPr>
        <w:jc w:val="both"/>
        <w:ind w:right="480"/>
        <w:spacing w:after="0" w:line="237" w:lineRule="auto"/>
        <w:rPr>
          <w:sz w:val="20"/>
          <w:szCs w:val="20"/>
          <w:color w:val="auto"/>
        </w:rPr>
      </w:pPr>
      <w:r>
        <w:rPr>
          <w:rFonts w:ascii="Arial" w:cs="Arial" w:eastAsia="Arial" w:hAnsi="Arial"/>
          <w:sz w:val="19"/>
          <w:szCs w:val="19"/>
          <w:color w:val="auto"/>
        </w:rPr>
        <w:t>Some transactions that involve merely a change in the form in which the securities are owned may be permitted. The Company's General Counsel and Deputy General Counsel are available as resources to discuss the particulars of a situation and should be consulted if it is unclear whether a change in the form of ownership is permitted or violates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4.3.3 Other Exceptions</w:t>
      </w: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Any other exception from this policy must be approved in advance of any trades by the General Counsel. Even if a transaction falls within one of the exceptions described in Section 4.3, the individual or entity subject to this policy must separately assess whether the transaction complies with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4.3.4 Priority of Statutory or Regulatory Trading Restrictions</w:t>
      </w:r>
    </w:p>
    <w:p>
      <w:pPr>
        <w:spacing w:after="0" w:line="241"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The trading prohibitions and restrictions set forth in this policy do not in any way relieve any individual or entity subject to this policy of his, her or its obligation to also comply with any greater prohibitions or restrictions prescribed by federal or state securities laws and regulations, or contractual restrictions on the sale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4.3.5 Amendments</w:t>
      </w: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Company is committed to continuously reviewing and updating its policies, and therefore reserves the right to amend this policy at any time, for any reason, subject to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4.4 Potential Civil, Criminal and Disciplinary Actions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4.4.1 Civil and Criminal Penalties</w:t>
      </w:r>
    </w:p>
    <w:p>
      <w:pPr>
        <w:sectPr>
          <w:pgSz w:w="11900" w:h="16838" w:orient="portrait"/>
          <w:cols w:equalWidth="0" w:num="1">
            <w:col w:w="11220"/>
          </w:cols>
          <w:pgMar w:left="320" w:top="1410" w:right="359" w:bottom="1440" w:gutter="0" w:footer="0" w:header="0"/>
        </w:sectPr>
      </w:pPr>
    </w:p>
    <w:bookmarkStart w:id="133" w:name="page134"/>
    <w:bookmarkEnd w:id="133"/>
    <w:p>
      <w:pPr>
        <w:ind w:right="60"/>
        <w:spacing w:after="0" w:line="243" w:lineRule="auto"/>
        <w:rPr>
          <w:sz w:val="20"/>
          <w:szCs w:val="20"/>
          <w:color w:val="auto"/>
        </w:rPr>
      </w:pPr>
      <w:r>
        <w:rPr>
          <w:rFonts w:ascii="Arial" w:cs="Arial" w:eastAsia="Arial" w:hAnsi="Arial"/>
          <w:sz w:val="19"/>
          <w:szCs w:val="19"/>
          <w:color w:val="auto"/>
        </w:rPr>
        <w:t>The consequences of prohibited insider trading or tipping can be severe. Penalties can include disgorging profit made or loss avoided by trading, paying the loss suffered by the persons who purchased securities from or sold securities to the insider tippee, paying civil and/or criminal penalties, and/or serving a jail term. The Company and/or supervisors of the person violating the rules may also be required to pay civil or criminal penalties and could be subject to private lawsuits.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4.4.2 Company Disciplinary Action</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Violation of this policy or federal or state insider trading or tipping laws by (1) any director may subject the individual to removal proceedings and (2) by an officer or employee may subject such individual to disciplinary action by the Company up to and including termination of employment for cause. A violation of this policy is not necessarily a violation of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4.4.3 Reporting of Violations</w:t>
      </w:r>
    </w:p>
    <w:p>
      <w:pPr>
        <w:spacing w:after="0" w:line="241" w:lineRule="exact"/>
        <w:rPr>
          <w:sz w:val="20"/>
          <w:szCs w:val="20"/>
          <w:color w:val="auto"/>
        </w:rPr>
      </w:pPr>
    </w:p>
    <w:p>
      <w:pPr>
        <w:ind w:right="360"/>
        <w:spacing w:after="0" w:line="270" w:lineRule="auto"/>
        <w:rPr>
          <w:sz w:val="20"/>
          <w:szCs w:val="20"/>
          <w:color w:val="auto"/>
        </w:rPr>
      </w:pPr>
      <w:r>
        <w:rPr>
          <w:rFonts w:ascii="Arial" w:cs="Arial" w:eastAsia="Arial" w:hAnsi="Arial"/>
          <w:sz w:val="19"/>
          <w:szCs w:val="19"/>
          <w:color w:val="auto"/>
        </w:rPr>
        <w:t>Any violation or suspected violation of this policy should be promptly reported to the General Counsel or anonymously through the Company's Ethics Hotline.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5.0 Definitions</w:t>
      </w:r>
    </w:p>
    <w:p>
      <w:pPr>
        <w:spacing w:after="0" w:line="241" w:lineRule="exact"/>
        <w:rPr>
          <w:sz w:val="20"/>
          <w:szCs w:val="20"/>
          <w:color w:val="auto"/>
        </w:rPr>
      </w:pPr>
    </w:p>
    <w:p>
      <w:pPr>
        <w:jc w:val="both"/>
        <w:ind w:right="80"/>
        <w:spacing w:after="0" w:line="262" w:lineRule="auto"/>
        <w:rPr>
          <w:sz w:val="20"/>
          <w:szCs w:val="20"/>
          <w:color w:val="auto"/>
        </w:rPr>
      </w:pPr>
      <w:r>
        <w:rPr>
          <w:rFonts w:ascii="Arial" w:cs="Arial" w:eastAsia="Arial" w:hAnsi="Arial"/>
          <w:sz w:val="19"/>
          <w:szCs w:val="19"/>
          <w:color w:val="auto"/>
        </w:rPr>
        <w:t xml:space="preserve">Material Nonpublic Information - Information is deemed "material" if a reasonable investor would </w:t>
      </w:r>
      <w:r>
        <w:rPr>
          <w:rFonts w:ascii="Arial" w:cs="Arial" w:eastAsia="Arial" w:hAnsi="Arial"/>
          <w:sz w:val="21"/>
          <w:szCs w:val="21"/>
          <w:color w:val="auto"/>
        </w:rPr>
        <w:t>consider it important in deciding</w:t>
      </w:r>
      <w:r>
        <w:rPr>
          <w:rFonts w:ascii="Arial" w:cs="Arial" w:eastAsia="Arial" w:hAnsi="Arial"/>
          <w:sz w:val="19"/>
          <w:szCs w:val="19"/>
          <w:color w:val="auto"/>
        </w:rPr>
        <w:t xml:space="preserve"> </w:t>
      </w:r>
      <w:r>
        <w:rPr>
          <w:rFonts w:ascii="Arial" w:cs="Arial" w:eastAsia="Arial" w:hAnsi="Arial"/>
          <w:sz w:val="21"/>
          <w:szCs w:val="21"/>
          <w:color w:val="auto"/>
        </w:rPr>
        <w:t>whether to buy, sell or retain the security. Information is deemed "nonpublic" if it has not been widely disseminated to the public (through, for example, a press release or SEC filing).</w:t>
      </w:r>
    </w:p>
    <w:p>
      <w:pPr>
        <w:sectPr>
          <w:pgSz w:w="11900" w:h="16838" w:orient="portrait"/>
          <w:cols w:equalWidth="0" w:num="1">
            <w:col w:w="11200"/>
          </w:cols>
          <w:pgMar w:left="320" w:top="1408"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720" w:type="dxa"/>
            <w:vAlign w:val="bottom"/>
          </w:tcPr>
          <w:p>
            <w:pPr>
              <w:ind w:left="18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720" w:type="dxa"/>
            <w:vAlign w:val="bottom"/>
            <w:vMerge w:val="restart"/>
          </w:tcPr>
          <w:p>
            <w:pPr>
              <w:ind w:left="22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199 Sunbeam Realty,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CGRH,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Broadland,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Chevy Chase,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Clyde's Tower Oaks Lodge,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Columbia,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Gallery Place,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Georgetown,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at Mark Center,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Reston,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Management,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City Limit,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Walrus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Rye Street CRG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Gastropod Morse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Forney Corporation</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Shanghai Trading Company</w:t>
            </w:r>
          </w:p>
        </w:tc>
        <w:tc>
          <w:tcPr>
            <w:tcW w:w="3720" w:type="dxa"/>
            <w:vAlign w:val="bottom"/>
          </w:tcPr>
          <w:p>
            <w:pPr>
              <w:ind w:left="176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Maquila,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FMMX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4840" w:type="dxa"/>
            <w:vAlign w:val="bottom"/>
          </w:tcPr>
          <w:p>
            <w:pPr>
              <w:ind w:left="800"/>
              <w:spacing w:after="0"/>
              <w:rPr>
                <w:sz w:val="20"/>
                <w:szCs w:val="20"/>
                <w:color w:val="auto"/>
              </w:rPr>
            </w:pPr>
            <w:r>
              <w:rPr>
                <w:rFonts w:ascii="Arial" w:cs="Arial" w:eastAsia="Arial" w:hAnsi="Arial"/>
                <w:sz w:val="16"/>
                <w:szCs w:val="16"/>
                <w:color w:val="auto"/>
              </w:rPr>
              <w:t>FSM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FRTW Holdings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Hoover Treated Wood Products,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FBHCO,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Framebridge,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Framebridge Card Solutions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Framebridge Retail Stores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Corellia,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Graham-Ourisman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Endor,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Lando,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C3PO,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800"/>
              <w:spacing w:after="0"/>
              <w:rPr>
                <w:sz w:val="20"/>
                <w:szCs w:val="20"/>
                <w:color w:val="auto"/>
              </w:rPr>
            </w:pPr>
            <w:r>
              <w:rPr>
                <w:rFonts w:ascii="Arial" w:cs="Arial" w:eastAsia="Arial" w:hAnsi="Arial"/>
                <w:sz w:val="16"/>
                <w:szCs w:val="16"/>
                <w:color w:val="auto"/>
              </w:rPr>
              <w:t>Boba Fett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800"/>
              <w:spacing w:after="0"/>
              <w:rPr>
                <w:sz w:val="20"/>
                <w:szCs w:val="20"/>
                <w:color w:val="auto"/>
              </w:rPr>
            </w:pPr>
            <w:r>
              <w:rPr>
                <w:rFonts w:ascii="Arial" w:cs="Arial" w:eastAsia="Arial" w:hAnsi="Arial"/>
                <w:sz w:val="16"/>
                <w:szCs w:val="16"/>
                <w:color w:val="auto"/>
              </w:rPr>
              <w:t>Hoth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Palpatine,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Corellia Shipyard,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Vader,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Mon Mothma,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Anakin,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Padme,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Yavin,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Yavin 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Yavin III,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Luke Skywalker,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Mustafar,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Leia Skywalker,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Alderaan,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Kamino,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Obi Wan,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Mos Eisley,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60"/>
              <w:spacing w:after="0"/>
              <w:rPr>
                <w:sz w:val="20"/>
                <w:szCs w:val="20"/>
                <w:color w:val="auto"/>
              </w:rPr>
            </w:pPr>
            <w:r>
              <w:rPr>
                <w:rFonts w:ascii="Arial" w:cs="Arial" w:eastAsia="Arial" w:hAnsi="Arial"/>
                <w:sz w:val="16"/>
                <w:szCs w:val="16"/>
                <w:color w:val="auto"/>
              </w:rPr>
              <w:t>Ahsoka,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1180"/>
          </w:cols>
          <w:pgMar w:left="380" w:top="108"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560" w:type="dxa"/>
            <w:vAlign w:val="bottom"/>
          </w:tcPr>
          <w:p>
            <w:pPr>
              <w:ind w:left="660"/>
              <w:spacing w:after="0"/>
              <w:rPr>
                <w:sz w:val="20"/>
                <w:szCs w:val="20"/>
                <w:color w:val="auto"/>
              </w:rPr>
            </w:pPr>
            <w:r>
              <w:rPr>
                <w:rFonts w:ascii="Arial" w:cs="Arial" w:eastAsia="Arial" w:hAnsi="Arial"/>
                <w:sz w:val="14"/>
                <w:szCs w:val="14"/>
                <w:color w:val="auto"/>
              </w:rPr>
              <w:t>Jurisdiction of Incorporation</w:t>
            </w:r>
          </w:p>
        </w:tc>
        <w:tc>
          <w:tcPr>
            <w:tcW w:w="186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020" w:type="dxa"/>
            <w:vAlign w:val="bottom"/>
            <w:vMerge w:val="continue"/>
          </w:tcPr>
          <w:p>
            <w:pPr>
              <w:spacing w:after="0"/>
              <w:rPr>
                <w:sz w:val="9"/>
                <w:szCs w:val="9"/>
                <w:color w:val="auto"/>
              </w:rPr>
            </w:pPr>
          </w:p>
        </w:tc>
        <w:tc>
          <w:tcPr>
            <w:tcW w:w="2560" w:type="dxa"/>
            <w:vAlign w:val="bottom"/>
            <w:vMerge w:val="restart"/>
          </w:tcPr>
          <w:p>
            <w:pPr>
              <w:ind w:left="1040"/>
              <w:spacing w:after="0"/>
              <w:rPr>
                <w:sz w:val="20"/>
                <w:szCs w:val="20"/>
                <w:color w:val="auto"/>
              </w:rPr>
            </w:pPr>
            <w:r>
              <w:rPr>
                <w:rFonts w:ascii="Arial" w:cs="Arial" w:eastAsia="Arial" w:hAnsi="Arial"/>
                <w:sz w:val="14"/>
                <w:szCs w:val="14"/>
                <w:color w:val="auto"/>
              </w:rPr>
              <w:t>or Organization</w:t>
            </w:r>
          </w:p>
        </w:tc>
        <w:tc>
          <w:tcPr>
            <w:tcW w:w="1860" w:type="dxa"/>
            <w:vAlign w:val="bottom"/>
            <w:vMerge w:val="restart"/>
          </w:tcPr>
          <w:p>
            <w:pPr>
              <w:jc w:val="right"/>
              <w:ind w:right="49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02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240"/>
              <w:spacing w:after="0"/>
              <w:rPr>
                <w:sz w:val="20"/>
                <w:szCs w:val="20"/>
                <w:color w:val="auto"/>
              </w:rPr>
            </w:pPr>
            <w:r>
              <w:rPr>
                <w:rFonts w:ascii="Arial" w:cs="Arial" w:eastAsia="Arial" w:hAnsi="Arial"/>
                <w:sz w:val="16"/>
                <w:szCs w:val="16"/>
                <w:color w:val="auto"/>
              </w:rPr>
              <w:t>City Cast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Decile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The Slate Group,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Code3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Social Code Holdings,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JKR Ventures,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Ohio</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Marketplace Strategy, LLC</w:t>
            </w:r>
          </w:p>
        </w:tc>
        <w:tc>
          <w:tcPr>
            <w:tcW w:w="2560" w:type="dxa"/>
            <w:vAlign w:val="bottom"/>
          </w:tcPr>
          <w:p>
            <w:pPr>
              <w:ind w:left="580"/>
              <w:spacing w:after="0"/>
              <w:rPr>
                <w:sz w:val="20"/>
                <w:szCs w:val="20"/>
                <w:color w:val="auto"/>
              </w:rPr>
            </w:pPr>
            <w:r>
              <w:rPr>
                <w:rFonts w:ascii="Arial" w:cs="Arial" w:eastAsia="Arial" w:hAnsi="Arial"/>
                <w:sz w:val="16"/>
                <w:szCs w:val="16"/>
                <w:color w:val="auto"/>
              </w:rPr>
              <w:t>Ohio</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Marketplace Direct, LLC</w:t>
            </w:r>
          </w:p>
        </w:tc>
        <w:tc>
          <w:tcPr>
            <w:tcW w:w="2560" w:type="dxa"/>
            <w:vAlign w:val="bottom"/>
          </w:tcPr>
          <w:p>
            <w:pPr>
              <w:ind w:left="580"/>
              <w:spacing w:after="0"/>
              <w:rPr>
                <w:sz w:val="20"/>
                <w:szCs w:val="20"/>
                <w:color w:val="auto"/>
              </w:rPr>
            </w:pPr>
            <w:r>
              <w:rPr>
                <w:rFonts w:ascii="Arial" w:cs="Arial" w:eastAsia="Arial" w:hAnsi="Arial"/>
                <w:sz w:val="16"/>
                <w:szCs w:val="16"/>
                <w:color w:val="auto"/>
              </w:rPr>
              <w:t>Ohio</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2560" w:type="dxa"/>
            <w:vAlign w:val="bottom"/>
          </w:tcPr>
          <w:p>
            <w:pPr>
              <w:ind w:left="580"/>
              <w:spacing w:after="0"/>
              <w:rPr>
                <w:sz w:val="20"/>
                <w:szCs w:val="20"/>
                <w:color w:val="auto"/>
              </w:rPr>
            </w:pPr>
            <w:r>
              <w:rPr>
                <w:rFonts w:ascii="Arial" w:cs="Arial" w:eastAsia="Arial" w:hAnsi="Arial"/>
                <w:sz w:val="16"/>
                <w:szCs w:val="16"/>
                <w:color w:val="auto"/>
              </w:rPr>
              <w:t>Nevada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Carlisle,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Graham Health Services,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NC PA,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Healthcare of NE PA,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of Carlisle,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of Southern Illinois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Southern Illinois,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Graham Healthcare Capital,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GHC One,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Clarus,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Clarus Care,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CSI,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CSI Coinvest,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CSI Pharmacy Holding Company,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1500"/>
              <w:spacing w:after="0"/>
              <w:rPr>
                <w:sz w:val="20"/>
                <w:szCs w:val="20"/>
                <w:color w:val="auto"/>
              </w:rPr>
            </w:pPr>
            <w:r>
              <w:rPr>
                <w:rFonts w:ascii="Arial" w:cs="Arial" w:eastAsia="Arial" w:hAnsi="Arial"/>
                <w:sz w:val="16"/>
                <w:szCs w:val="16"/>
                <w:color w:val="auto"/>
              </w:rPr>
              <w:t>NH Enterprises,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1500"/>
              <w:spacing w:after="0"/>
              <w:rPr>
                <w:sz w:val="20"/>
                <w:szCs w:val="20"/>
                <w:color w:val="auto"/>
              </w:rPr>
            </w:pPr>
            <w:r>
              <w:rPr>
                <w:rFonts w:ascii="Arial" w:cs="Arial" w:eastAsia="Arial" w:hAnsi="Arial"/>
                <w:sz w:val="16"/>
                <w:szCs w:val="16"/>
                <w:color w:val="auto"/>
              </w:rPr>
              <w:t>Clinical Specialty Infusions of Dallas,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Darby,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GHC Two,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Minority,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GHC Two Minority Co-Invest</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Skin Clique,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Skin Clique Co-Invest,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Autism Ventures,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Ray Beyond Behavioral Corp. dba Surpass Behavioral Health</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Community Living in Kentucky,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Growing Minds Learning Center,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Education Alternatives for ABA,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Early Autism Project,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Weiss,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Weiss Co. 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Residential Healthcare Group,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and Hospice, Inc.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RHH Holdings Co</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Residential Home Health,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Residential Home Health of NW OH,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LLC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Florida Hospice, LLC</w:t>
            </w:r>
          </w:p>
        </w:tc>
        <w:tc>
          <w:tcPr>
            <w:tcW w:w="2560" w:type="dxa"/>
            <w:vAlign w:val="bottom"/>
          </w:tcPr>
          <w:p>
            <w:pPr>
              <w:ind w:left="580"/>
              <w:spacing w:after="0"/>
              <w:rPr>
                <w:sz w:val="20"/>
                <w:szCs w:val="20"/>
                <w:color w:val="auto"/>
              </w:rPr>
            </w:pPr>
            <w:r>
              <w:rPr>
                <w:rFonts w:ascii="Arial" w:cs="Arial" w:eastAsia="Arial" w:hAnsi="Arial"/>
                <w:sz w:val="16"/>
                <w:szCs w:val="16"/>
                <w:color w:val="auto"/>
              </w:rPr>
              <w:t>Florida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Residential Hospice of NW OH,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RHH Ventures Illinois,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Illinois</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GHG FL Holdco,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InTeliCare Services FL1, LLC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Home Care of Tampa Bay, LLC</w:t>
            </w:r>
          </w:p>
        </w:tc>
        <w:tc>
          <w:tcPr>
            <w:tcW w:w="2560" w:type="dxa"/>
            <w:vAlign w:val="bottom"/>
          </w:tcPr>
          <w:p>
            <w:pPr>
              <w:ind w:left="580"/>
              <w:spacing w:after="0"/>
              <w:rPr>
                <w:sz w:val="20"/>
                <w:szCs w:val="20"/>
                <w:color w:val="auto"/>
              </w:rPr>
            </w:pPr>
            <w:r>
              <w:rPr>
                <w:rFonts w:ascii="Arial" w:cs="Arial" w:eastAsia="Arial" w:hAnsi="Arial"/>
                <w:sz w:val="16"/>
                <w:szCs w:val="16"/>
                <w:color w:val="auto"/>
              </w:rPr>
              <w:t>Florida</w:t>
            </w:r>
          </w:p>
        </w:tc>
        <w:tc>
          <w:tcPr>
            <w:tcW w:w="186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InTeliCare Services FL2, LLC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bl>
    <w:p>
      <w:pPr>
        <w:sectPr>
          <w:pgSz w:w="11900" w:h="16838" w:orient="portrait"/>
          <w:cols w:equalWidth="0" w:num="1">
            <w:col w:w="10440"/>
          </w:cols>
          <w:pgMar w:left="380" w:top="1090" w:right="107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620" w:type="dxa"/>
            <w:vAlign w:val="bottom"/>
          </w:tcPr>
          <w:p>
            <w:pPr>
              <w:ind w:left="7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940" w:type="dxa"/>
            <w:vAlign w:val="bottom"/>
            <w:vMerge w:val="continue"/>
          </w:tcPr>
          <w:p>
            <w:pPr>
              <w:spacing w:after="0"/>
              <w:rPr>
                <w:sz w:val="9"/>
                <w:szCs w:val="9"/>
                <w:color w:val="auto"/>
              </w:rPr>
            </w:pPr>
          </w:p>
        </w:tc>
        <w:tc>
          <w:tcPr>
            <w:tcW w:w="2620" w:type="dxa"/>
            <w:vAlign w:val="bottom"/>
            <w:vMerge w:val="restart"/>
          </w:tcPr>
          <w:p>
            <w:pPr>
              <w:ind w:left="11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9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800"/>
              <w:spacing w:after="0"/>
              <w:rPr>
                <w:sz w:val="20"/>
                <w:szCs w:val="20"/>
                <w:color w:val="auto"/>
              </w:rPr>
            </w:pPr>
            <w:r>
              <w:rPr>
                <w:rFonts w:ascii="Arial" w:cs="Arial" w:eastAsia="Arial" w:hAnsi="Arial"/>
                <w:sz w:val="16"/>
                <w:szCs w:val="16"/>
                <w:color w:val="auto"/>
              </w:rPr>
              <w:t>AllPro Home Health, LLC</w:t>
            </w:r>
          </w:p>
        </w:tc>
        <w:tc>
          <w:tcPr>
            <w:tcW w:w="2620" w:type="dxa"/>
            <w:vAlign w:val="bottom"/>
          </w:tcPr>
          <w:p>
            <w:pPr>
              <w:ind w:left="6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Residential Kansas HoldCo,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Continua Holdco, LLC</w:t>
            </w:r>
          </w:p>
        </w:tc>
        <w:tc>
          <w:tcPr>
            <w:tcW w:w="2620" w:type="dxa"/>
            <w:vAlign w:val="bottom"/>
          </w:tcPr>
          <w:p>
            <w:pPr>
              <w:ind w:left="66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Continua Home Health, LLC</w:t>
            </w:r>
          </w:p>
        </w:tc>
        <w:tc>
          <w:tcPr>
            <w:tcW w:w="2620" w:type="dxa"/>
            <w:vAlign w:val="bottom"/>
          </w:tcPr>
          <w:p>
            <w:pPr>
              <w:ind w:left="66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Residential Hospice of Missouri, LLC</w:t>
            </w:r>
          </w:p>
        </w:tc>
        <w:tc>
          <w:tcPr>
            <w:tcW w:w="2620" w:type="dxa"/>
            <w:vAlign w:val="bottom"/>
          </w:tcPr>
          <w:p>
            <w:pPr>
              <w:ind w:left="66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620" w:type="dxa"/>
            <w:vAlign w:val="bottom"/>
          </w:tcPr>
          <w:p>
            <w:pPr>
              <w:ind w:left="6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620" w:type="dxa"/>
            <w:vAlign w:val="bottom"/>
          </w:tcPr>
          <w:p>
            <w:pPr>
              <w:ind w:left="6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Social News Desk, Inc.</w:t>
            </w:r>
          </w:p>
        </w:tc>
        <w:tc>
          <w:tcPr>
            <w:tcW w:w="2620" w:type="dxa"/>
            <w:vAlign w:val="bottom"/>
          </w:tcPr>
          <w:p>
            <w:pPr>
              <w:ind w:left="6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Group Dekko Inc.</w:t>
            </w:r>
          </w:p>
        </w:tc>
        <w:tc>
          <w:tcPr>
            <w:tcW w:w="2620" w:type="dxa"/>
            <w:vAlign w:val="bottom"/>
          </w:tcPr>
          <w:p>
            <w:pPr>
              <w:ind w:left="6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Dekko Global Enterprise LLC</w:t>
            </w:r>
          </w:p>
        </w:tc>
        <w:tc>
          <w:tcPr>
            <w:tcW w:w="2620" w:type="dxa"/>
            <w:vAlign w:val="bottom"/>
          </w:tcPr>
          <w:p>
            <w:pPr>
              <w:ind w:left="6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1040"/>
              <w:spacing w:after="0"/>
              <w:rPr>
                <w:sz w:val="20"/>
                <w:szCs w:val="20"/>
                <w:color w:val="auto"/>
              </w:rPr>
            </w:pPr>
            <w:r>
              <w:rPr>
                <w:rFonts w:ascii="Arial" w:cs="Arial" w:eastAsia="Arial" w:hAnsi="Arial"/>
                <w:sz w:val="16"/>
                <w:szCs w:val="16"/>
                <w:color w:val="auto"/>
              </w:rPr>
              <w:t>Grupo Dekko Mexico S.A, de C.V.</w:t>
            </w:r>
          </w:p>
        </w:tc>
        <w:tc>
          <w:tcPr>
            <w:tcW w:w="2620" w:type="dxa"/>
            <w:vAlign w:val="bottom"/>
          </w:tcPr>
          <w:p>
            <w:pPr>
              <w:ind w:left="6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(c)</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color w:val="auto"/>
              </w:rPr>
              <w:t>Joyce/Dayton Corp.</w:t>
            </w:r>
          </w:p>
        </w:tc>
        <w:tc>
          <w:tcPr>
            <w:tcW w:w="2620" w:type="dxa"/>
            <w:vAlign w:val="bottom"/>
          </w:tcPr>
          <w:p>
            <w:pPr>
              <w:ind w:left="6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6"/>
                <w:szCs w:val="16"/>
                <w:color w:val="auto"/>
              </w:rPr>
              <w:t>Kaplan, Inc.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BridgeU North America,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Dev Bootcamp, Inc.</w:t>
            </w:r>
          </w:p>
        </w:tc>
        <w:tc>
          <w:tcPr>
            <w:tcW w:w="2620" w:type="dxa"/>
            <w:vAlign w:val="bottom"/>
          </w:tcPr>
          <w:p>
            <w:pPr>
              <w:ind w:left="6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Graham Holdings Retired Employee Payroll Master,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International,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Higher Education,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Texas Educational Ventures, LP</w:t>
            </w:r>
          </w:p>
        </w:tc>
        <w:tc>
          <w:tcPr>
            <w:tcW w:w="2620" w:type="dxa"/>
            <w:vAlign w:val="bottom"/>
          </w:tcPr>
          <w:p>
            <w:pPr>
              <w:ind w:left="660"/>
              <w:spacing w:after="0"/>
              <w:rPr>
                <w:sz w:val="20"/>
                <w:szCs w:val="20"/>
                <w:color w:val="auto"/>
              </w:rPr>
            </w:pPr>
            <w:r>
              <w:rPr>
                <w:rFonts w:ascii="Arial" w:cs="Arial" w:eastAsia="Arial" w:hAnsi="Arial"/>
                <w:sz w:val="16"/>
                <w:szCs w:val="16"/>
                <w:color w:val="auto"/>
              </w:rPr>
              <w:t>Texas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Kaplan North America,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Kaplan Exam Services,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KNA International,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Northeast Higher Education,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Kaplan Medical Affairs,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DF Institute, LLC</w:t>
            </w:r>
          </w:p>
        </w:tc>
        <w:tc>
          <w:tcPr>
            <w:tcW w:w="2620" w:type="dxa"/>
            <w:vAlign w:val="bottom"/>
          </w:tcPr>
          <w:p>
            <w:pPr>
              <w:ind w:left="660"/>
              <w:spacing w:after="0"/>
              <w:rPr>
                <w:sz w:val="20"/>
                <w:szCs w:val="20"/>
                <w:color w:val="auto"/>
              </w:rPr>
            </w:pPr>
            <w:r>
              <w:rPr>
                <w:rFonts w:ascii="Arial" w:cs="Arial" w:eastAsia="Arial" w:hAnsi="Arial"/>
                <w:sz w:val="16"/>
                <w:szCs w:val="16"/>
                <w:color w:val="auto"/>
              </w:rPr>
              <w:t>Illinois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1040"/>
              <w:spacing w:after="0"/>
              <w:rPr>
                <w:sz w:val="20"/>
                <w:szCs w:val="20"/>
                <w:color w:val="auto"/>
              </w:rPr>
            </w:pPr>
            <w:r>
              <w:rPr>
                <w:rFonts w:ascii="Arial" w:cs="Arial" w:eastAsia="Arial" w:hAnsi="Arial"/>
                <w:sz w:val="16"/>
                <w:szCs w:val="16"/>
                <w:color w:val="auto"/>
              </w:rPr>
              <w:t>Kaplan Industry Alliance,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1040"/>
              <w:spacing w:after="0"/>
              <w:rPr>
                <w:sz w:val="20"/>
                <w:szCs w:val="20"/>
                <w:color w:val="auto"/>
              </w:rPr>
            </w:pPr>
            <w:r>
              <w:rPr>
                <w:rFonts w:ascii="Arial" w:cs="Arial" w:eastAsia="Arial" w:hAnsi="Arial"/>
                <w:sz w:val="16"/>
                <w:szCs w:val="16"/>
                <w:color w:val="auto"/>
              </w:rPr>
              <w:t>The College for Financial Planning Institutes Corp.</w:t>
            </w:r>
          </w:p>
        </w:tc>
        <w:tc>
          <w:tcPr>
            <w:tcW w:w="2620" w:type="dxa"/>
            <w:vAlign w:val="bottom"/>
          </w:tcPr>
          <w:p>
            <w:pPr>
              <w:ind w:left="6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1260"/>
              <w:spacing w:after="0"/>
              <w:rPr>
                <w:sz w:val="20"/>
                <w:szCs w:val="20"/>
                <w:color w:val="auto"/>
              </w:rPr>
            </w:pPr>
            <w:r>
              <w:rPr>
                <w:rFonts w:ascii="Arial" w:cs="Arial" w:eastAsia="Arial" w:hAnsi="Arial"/>
                <w:sz w:val="16"/>
                <w:szCs w:val="16"/>
                <w:color w:val="auto"/>
              </w:rPr>
              <w:t>The College for Financial Planning, Inc.</w:t>
            </w:r>
          </w:p>
        </w:tc>
        <w:tc>
          <w:tcPr>
            <w:tcW w:w="2620" w:type="dxa"/>
            <w:vAlign w:val="bottom"/>
          </w:tcPr>
          <w:p>
            <w:pPr>
              <w:ind w:left="6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KV EdTech Partners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Mexico Holdings,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Kaplan (India) Private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India</w:t>
            </w:r>
          </w:p>
        </w:tc>
        <w:tc>
          <w:tcPr>
            <w:tcW w:w="2100" w:type="dxa"/>
            <w:vAlign w:val="bottom"/>
          </w:tcPr>
          <w:p>
            <w:pPr>
              <w:jc w:val="right"/>
              <w:spacing w:after="0"/>
              <w:rPr>
                <w:sz w:val="20"/>
                <w:szCs w:val="20"/>
                <w:color w:val="auto"/>
              </w:rPr>
            </w:pPr>
            <w:r>
              <w:rPr>
                <w:rFonts w:ascii="Arial" w:cs="Arial" w:eastAsia="Arial" w:hAnsi="Arial"/>
                <w:sz w:val="16"/>
                <w:szCs w:val="16"/>
                <w:color w:val="auto"/>
              </w:rPr>
              <w:t>100 % (d)</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(PR) Inc.</w:t>
            </w:r>
          </w:p>
        </w:tc>
        <w:tc>
          <w:tcPr>
            <w:tcW w:w="2620" w:type="dxa"/>
            <w:vAlign w:val="bottom"/>
          </w:tcPr>
          <w:p>
            <w:pPr>
              <w:ind w:left="660"/>
              <w:spacing w:after="0"/>
              <w:rPr>
                <w:sz w:val="20"/>
                <w:szCs w:val="20"/>
                <w:color w:val="auto"/>
              </w:rPr>
            </w:pPr>
            <w:r>
              <w:rPr>
                <w:rFonts w:ascii="Arial" w:cs="Arial" w:eastAsia="Arial" w:hAnsi="Arial"/>
                <w:sz w:val="16"/>
                <w:szCs w:val="16"/>
                <w:color w:val="auto"/>
              </w:rPr>
              <w:t>Puerto Rico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Medical Prep, LLC</w:t>
            </w:r>
          </w:p>
        </w:tc>
        <w:tc>
          <w:tcPr>
            <w:tcW w:w="2620" w:type="dxa"/>
            <w:vAlign w:val="bottom"/>
          </w:tcPr>
          <w:p>
            <w:pPr>
              <w:ind w:left="660"/>
              <w:spacing w:after="0"/>
              <w:rPr>
                <w:sz w:val="20"/>
                <w:szCs w:val="20"/>
                <w:color w:val="auto"/>
              </w:rPr>
            </w:pPr>
            <w:r>
              <w:rPr>
                <w:rFonts w:ascii="Arial" w:cs="Arial" w:eastAsia="Arial" w:hAnsi="Arial"/>
                <w:sz w:val="16"/>
                <w:szCs w:val="16"/>
                <w:color w:val="auto"/>
              </w:rPr>
              <w:t>New York</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K12 Learning Services,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Test Prep International, LLC</w:t>
            </w:r>
          </w:p>
        </w:tc>
        <w:tc>
          <w:tcPr>
            <w:tcW w:w="2620" w:type="dxa"/>
            <w:vAlign w:val="bottom"/>
          </w:tcPr>
          <w:p>
            <w:pPr>
              <w:ind w:left="6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International North America, LLC</w:t>
            </w:r>
          </w:p>
        </w:tc>
        <w:tc>
          <w:tcPr>
            <w:tcW w:w="2620" w:type="dxa"/>
            <w:vAlign w:val="bottom"/>
          </w:tcPr>
          <w:p>
            <w:pPr>
              <w:ind w:left="6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International Pathways North America, LLC</w:t>
            </w:r>
          </w:p>
        </w:tc>
        <w:tc>
          <w:tcPr>
            <w:tcW w:w="2620" w:type="dxa"/>
            <w:vAlign w:val="bottom"/>
          </w:tcPr>
          <w:p>
            <w:pPr>
              <w:ind w:left="6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Hands On Consulting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Hands On Education Consultants Co., Ltd.</w:t>
            </w:r>
          </w:p>
        </w:tc>
        <w:tc>
          <w:tcPr>
            <w:tcW w:w="2620" w:type="dxa"/>
            <w:vAlign w:val="bottom"/>
          </w:tcPr>
          <w:p>
            <w:pPr>
              <w:ind w:left="660"/>
              <w:spacing w:after="0"/>
              <w:rPr>
                <w:sz w:val="20"/>
                <w:szCs w:val="20"/>
                <w:color w:val="auto"/>
              </w:rPr>
            </w:pPr>
            <w:r>
              <w:rPr>
                <w:rFonts w:ascii="Arial" w:cs="Arial" w:eastAsia="Arial" w:hAnsi="Arial"/>
                <w:sz w:val="16"/>
                <w:szCs w:val="16"/>
                <w:color w:val="auto"/>
              </w:rPr>
              <w:t>Thailand</w:t>
            </w:r>
          </w:p>
        </w:tc>
        <w:tc>
          <w:tcPr>
            <w:tcW w:w="2100" w:type="dxa"/>
            <w:vAlign w:val="bottom"/>
          </w:tcPr>
          <w:p>
            <w:pPr>
              <w:jc w:val="right"/>
              <w:spacing w:after="0"/>
              <w:rPr>
                <w:sz w:val="20"/>
                <w:szCs w:val="20"/>
                <w:color w:val="auto"/>
              </w:rPr>
            </w:pPr>
            <w:r>
              <w:rPr>
                <w:rFonts w:ascii="Arial" w:cs="Arial" w:eastAsia="Arial" w:hAnsi="Arial"/>
                <w:sz w:val="16"/>
                <w:szCs w:val="16"/>
                <w:color w:val="auto"/>
              </w:rPr>
              <w:t>100 % (e)</w:t>
            </w:r>
          </w:p>
        </w:tc>
        <w:tc>
          <w:tcPr>
            <w:tcW w:w="0" w:type="dxa"/>
            <w:vAlign w:val="bottom"/>
          </w:tcPr>
          <w:p>
            <w:pPr>
              <w:spacing w:after="0"/>
              <w:rPr>
                <w:sz w:val="1"/>
                <w:szCs w:val="1"/>
                <w:color w:val="auto"/>
              </w:rPr>
            </w:pPr>
          </w:p>
        </w:tc>
      </w:tr>
      <w:tr>
        <w:trPr>
          <w:trHeight w:val="216"/>
        </w:trPr>
        <w:tc>
          <w:tcPr>
            <w:tcW w:w="5940" w:type="dxa"/>
            <w:vAlign w:val="bottom"/>
          </w:tcPr>
          <w:p>
            <w:pPr>
              <w:ind w:left="240"/>
              <w:spacing w:after="0"/>
              <w:rPr>
                <w:sz w:val="20"/>
                <w:szCs w:val="20"/>
                <w:color w:val="auto"/>
              </w:rPr>
            </w:pPr>
            <w:r>
              <w:rPr>
                <w:rFonts w:ascii="Arial" w:cs="Arial" w:eastAsia="Arial" w:hAnsi="Arial"/>
                <w:sz w:val="16"/>
                <w:szCs w:val="16"/>
                <w:color w:val="auto"/>
              </w:rPr>
              <w:t>Kaplan U.K.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The Regional Headquarters of Kaplan Middle East and North Africa</w:t>
            </w:r>
          </w:p>
        </w:tc>
        <w:tc>
          <w:tcPr>
            <w:tcW w:w="2620" w:type="dxa"/>
            <w:vAlign w:val="bottom"/>
          </w:tcPr>
          <w:p>
            <w:pPr>
              <w:ind w:left="660"/>
              <w:spacing w:after="0"/>
              <w:rPr>
                <w:sz w:val="20"/>
                <w:szCs w:val="20"/>
                <w:color w:val="auto"/>
              </w:rPr>
            </w:pPr>
            <w:r>
              <w:rPr>
                <w:rFonts w:ascii="Arial" w:cs="Arial" w:eastAsia="Arial" w:hAnsi="Arial"/>
                <w:sz w:val="16"/>
                <w:szCs w:val="16"/>
                <w:color w:val="auto"/>
              </w:rPr>
              <w:t>Saudi Arabia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Kaplan International Pathways Canada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British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Kaplan (Canada) Ltd.</w:t>
            </w:r>
          </w:p>
        </w:tc>
        <w:tc>
          <w:tcPr>
            <w:tcW w:w="2620" w:type="dxa"/>
            <w:vAlign w:val="bottom"/>
          </w:tcPr>
          <w:p>
            <w:pPr>
              <w:ind w:left="6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800"/>
              <w:spacing w:after="0"/>
              <w:rPr>
                <w:sz w:val="20"/>
                <w:szCs w:val="20"/>
                <w:color w:val="auto"/>
              </w:rPr>
            </w:pPr>
            <w:r>
              <w:rPr>
                <w:rFonts w:ascii="Arial" w:cs="Arial" w:eastAsia="Arial" w:hAnsi="Arial"/>
                <w:sz w:val="16"/>
                <w:szCs w:val="16"/>
                <w:color w:val="auto"/>
              </w:rPr>
              <w:t>U.S. CPA ExamPrep, Inc.</w:t>
            </w:r>
          </w:p>
        </w:tc>
        <w:tc>
          <w:tcPr>
            <w:tcW w:w="2620" w:type="dxa"/>
            <w:vAlign w:val="bottom"/>
          </w:tcPr>
          <w:p>
            <w:pPr>
              <w:ind w:left="6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40" w:type="dxa"/>
            <w:vAlign w:val="bottom"/>
          </w:tcPr>
          <w:p>
            <w:pPr>
              <w:ind w:left="460"/>
              <w:spacing w:after="0"/>
              <w:rPr>
                <w:sz w:val="20"/>
                <w:szCs w:val="20"/>
                <w:color w:val="auto"/>
              </w:rPr>
            </w:pPr>
            <w:r>
              <w:rPr>
                <w:rFonts w:ascii="Arial" w:cs="Arial" w:eastAsia="Arial" w:hAnsi="Arial"/>
                <w:sz w:val="16"/>
                <w:szCs w:val="16"/>
                <w:color w:val="auto"/>
              </w:rPr>
              <w:t>Aspect Education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260" w:type="dxa"/>
            <w:vAlign w:val="bottom"/>
          </w:tcPr>
          <w:p>
            <w:pPr>
              <w:ind w:left="360"/>
              <w:spacing w:after="0"/>
              <w:rPr>
                <w:sz w:val="20"/>
                <w:szCs w:val="20"/>
                <w:color w:val="auto"/>
              </w:rPr>
            </w:pPr>
            <w:r>
              <w:rPr>
                <w:rFonts w:ascii="Arial" w:cs="Arial" w:eastAsia="Arial" w:hAnsi="Arial"/>
                <w:sz w:val="14"/>
                <w:szCs w:val="14"/>
                <w:color w:val="auto"/>
              </w:rPr>
              <w:t>Jurisdiction of Incorporation</w:t>
            </w:r>
          </w:p>
        </w:tc>
        <w:tc>
          <w:tcPr>
            <w:tcW w:w="2080" w:type="dxa"/>
            <w:vAlign w:val="bottom"/>
          </w:tcPr>
          <w:p>
            <w:pPr>
              <w:ind w:left="120"/>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320" w:type="dxa"/>
            <w:vAlign w:val="bottom"/>
            <w:vMerge w:val="continue"/>
          </w:tcPr>
          <w:p>
            <w:pPr>
              <w:spacing w:after="0"/>
              <w:rPr>
                <w:sz w:val="9"/>
                <w:szCs w:val="9"/>
                <w:color w:val="auto"/>
              </w:rPr>
            </w:pPr>
          </w:p>
        </w:tc>
        <w:tc>
          <w:tcPr>
            <w:tcW w:w="2260" w:type="dxa"/>
            <w:vAlign w:val="bottom"/>
            <w:vMerge w:val="restart"/>
          </w:tcPr>
          <w:p>
            <w:pPr>
              <w:ind w:left="760"/>
              <w:spacing w:after="0"/>
              <w:rPr>
                <w:sz w:val="20"/>
                <w:szCs w:val="20"/>
                <w:color w:val="auto"/>
              </w:rPr>
            </w:pPr>
            <w:r>
              <w:rPr>
                <w:rFonts w:ascii="Arial" w:cs="Arial" w:eastAsia="Arial" w:hAnsi="Arial"/>
                <w:sz w:val="14"/>
                <w:szCs w:val="14"/>
                <w:color w:val="auto"/>
              </w:rPr>
              <w:t>or Organization</w:t>
            </w:r>
          </w:p>
        </w:tc>
        <w:tc>
          <w:tcPr>
            <w:tcW w:w="2080" w:type="dxa"/>
            <w:vAlign w:val="bottom"/>
            <w:vMerge w:val="restart"/>
          </w:tcPr>
          <w:p>
            <w:pPr>
              <w:ind w:left="660"/>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32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Egypt for Consultancy and Support Services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Egypt</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(f)</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Education Tower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BEO KK</w:t>
            </w:r>
          </w:p>
        </w:tc>
        <w:tc>
          <w:tcPr>
            <w:tcW w:w="2260" w:type="dxa"/>
            <w:vAlign w:val="bottom"/>
          </w:tcPr>
          <w:p>
            <w:pPr>
              <w:ind w:left="300"/>
              <w:spacing w:after="0"/>
              <w:rPr>
                <w:sz w:val="20"/>
                <w:szCs w:val="20"/>
                <w:color w:val="auto"/>
              </w:rPr>
            </w:pPr>
            <w:r>
              <w:rPr>
                <w:rFonts w:ascii="Arial" w:cs="Arial" w:eastAsia="Arial" w:hAnsi="Arial"/>
                <w:sz w:val="16"/>
                <w:szCs w:val="16"/>
                <w:color w:val="auto"/>
              </w:rPr>
              <w:t>Japan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Hands On - BEO Company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Vietnam</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(Beijing) Education Information Consulting Co. Ltd.</w:t>
            </w:r>
          </w:p>
        </w:tc>
        <w:tc>
          <w:tcPr>
            <w:tcW w:w="2260" w:type="dxa"/>
            <w:vAlign w:val="bottom"/>
          </w:tcPr>
          <w:p>
            <w:pPr>
              <w:ind w:left="300"/>
              <w:spacing w:after="0"/>
              <w:rPr>
                <w:sz w:val="20"/>
                <w:szCs w:val="20"/>
                <w:color w:val="auto"/>
              </w:rPr>
            </w:pPr>
            <w:r>
              <w:rPr>
                <w:rFonts w:ascii="Arial" w:cs="Arial" w:eastAsia="Arial" w:hAnsi="Arial"/>
                <w:sz w:val="16"/>
                <w:szCs w:val="16"/>
                <w:color w:val="auto"/>
              </w:rPr>
              <w:t>China (PR)</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Pacific Language Institute, Inc.</w:t>
            </w:r>
          </w:p>
        </w:tc>
        <w:tc>
          <w:tcPr>
            <w:tcW w:w="2260" w:type="dxa"/>
            <w:vAlign w:val="bottom"/>
          </w:tcPr>
          <w:p>
            <w:pPr>
              <w:ind w:left="300"/>
              <w:spacing w:after="0"/>
              <w:rPr>
                <w:sz w:val="20"/>
                <w:szCs w:val="20"/>
                <w:color w:val="auto"/>
              </w:rPr>
            </w:pPr>
            <w:r>
              <w:rPr>
                <w:rFonts w:ascii="Arial" w:cs="Arial" w:eastAsia="Arial" w:hAnsi="Arial"/>
                <w:sz w:val="16"/>
                <w:szCs w:val="16"/>
                <w:color w:val="auto"/>
              </w:rPr>
              <w:t>British Columbia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Education UK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Educational Services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International Language Academies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Anglo World Travel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Anglo-World Group Ltd.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500"/>
              <w:spacing w:after="0"/>
              <w:rPr>
                <w:sz w:val="20"/>
                <w:szCs w:val="20"/>
                <w:color w:val="auto"/>
              </w:rPr>
            </w:pPr>
            <w:r>
              <w:rPr>
                <w:rFonts w:ascii="Arial" w:cs="Arial" w:eastAsia="Arial" w:hAnsi="Arial"/>
                <w:sz w:val="16"/>
                <w:szCs w:val="16"/>
                <w:color w:val="auto"/>
              </w:rPr>
              <w:t>Anglo-World Education Ltd.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International Language Schools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Ireland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Limitada</w:t>
            </w:r>
          </w:p>
        </w:tc>
        <w:tc>
          <w:tcPr>
            <w:tcW w:w="2260" w:type="dxa"/>
            <w:vAlign w:val="bottom"/>
          </w:tcPr>
          <w:p>
            <w:pPr>
              <w:ind w:left="300"/>
              <w:spacing w:after="0"/>
              <w:rPr>
                <w:sz w:val="20"/>
                <w:szCs w:val="20"/>
                <w:color w:val="auto"/>
              </w:rPr>
            </w:pPr>
            <w:r>
              <w:rPr>
                <w:rFonts w:ascii="Arial" w:cs="Arial" w:eastAsia="Arial" w:hAnsi="Arial"/>
                <w:sz w:val="16"/>
                <w:szCs w:val="16"/>
                <w:color w:val="auto"/>
              </w:rPr>
              <w:t>Colombia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S.A.R.L. France</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Languages (Hong Kong)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Operations Mexico, S.A. de C.V.</w:t>
            </w:r>
          </w:p>
        </w:tc>
        <w:tc>
          <w:tcPr>
            <w:tcW w:w="2260" w:type="dxa"/>
            <w:vAlign w:val="bottom"/>
          </w:tcPr>
          <w:p>
            <w:pPr>
              <w:ind w:left="300"/>
              <w:spacing w:after="0"/>
              <w:rPr>
                <w:sz w:val="20"/>
                <w:szCs w:val="20"/>
                <w:color w:val="auto"/>
              </w:rPr>
            </w:pPr>
            <w:r>
              <w:rPr>
                <w:rFonts w:ascii="Arial" w:cs="Arial" w:eastAsia="Arial" w:hAnsi="Arial"/>
                <w:sz w:val="16"/>
                <w:szCs w:val="16"/>
                <w:color w:val="auto"/>
              </w:rPr>
              <w:t>Mexico</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(g)</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KI HR Services Mexico, S.A. de C.V.</w:t>
            </w:r>
          </w:p>
        </w:tc>
        <w:tc>
          <w:tcPr>
            <w:tcW w:w="2260" w:type="dxa"/>
            <w:vAlign w:val="bottom"/>
          </w:tcPr>
          <w:p>
            <w:pPr>
              <w:ind w:left="300"/>
              <w:spacing w:after="0"/>
              <w:rPr>
                <w:sz w:val="20"/>
                <w:szCs w:val="20"/>
                <w:color w:val="auto"/>
              </w:rPr>
            </w:pPr>
            <w:r>
              <w:rPr>
                <w:rFonts w:ascii="Arial" w:cs="Arial" w:eastAsia="Arial" w:hAnsi="Arial"/>
                <w:sz w:val="16"/>
                <w:szCs w:val="16"/>
                <w:color w:val="auto"/>
              </w:rPr>
              <w:t>Mexico</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(g)</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SA</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BridgeU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Bridge-U Hong Kong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Test Prep and Admissions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Manhattan GMAT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Heverald Groupe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Freiburg</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Sarl</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Berlin GmbH</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S.A.S.</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Belgique sprl</w:t>
            </w:r>
          </w:p>
        </w:tc>
        <w:tc>
          <w:tcPr>
            <w:tcW w:w="2260" w:type="dxa"/>
            <w:vAlign w:val="bottom"/>
          </w:tcPr>
          <w:p>
            <w:pPr>
              <w:ind w:left="300"/>
              <w:spacing w:after="0"/>
              <w:rPr>
                <w:sz w:val="20"/>
                <w:szCs w:val="20"/>
                <w:color w:val="auto"/>
              </w:rPr>
            </w:pPr>
            <w:r>
              <w:rPr>
                <w:rFonts w:ascii="Arial" w:cs="Arial" w:eastAsia="Arial" w:hAnsi="Arial"/>
                <w:sz w:val="16"/>
                <w:szCs w:val="16"/>
                <w:color w:val="auto"/>
              </w:rPr>
              <w:t>Belgium</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Italia S.R.L.</w:t>
            </w:r>
          </w:p>
        </w:tc>
        <w:tc>
          <w:tcPr>
            <w:tcW w:w="2260" w:type="dxa"/>
            <w:vAlign w:val="bottom"/>
          </w:tcPr>
          <w:p>
            <w:pPr>
              <w:ind w:left="300"/>
              <w:spacing w:after="0"/>
              <w:rPr>
                <w:sz w:val="20"/>
                <w:szCs w:val="20"/>
                <w:color w:val="auto"/>
              </w:rPr>
            </w:pPr>
            <w:r>
              <w:rPr>
                <w:rFonts w:ascii="Arial" w:cs="Arial" w:eastAsia="Arial" w:hAnsi="Arial"/>
                <w:sz w:val="16"/>
                <w:szCs w:val="16"/>
                <w:color w:val="auto"/>
              </w:rPr>
              <w:t>Italy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UK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GmbH ÖSTERREICH</w:t>
            </w:r>
          </w:p>
        </w:tc>
        <w:tc>
          <w:tcPr>
            <w:tcW w:w="2260" w:type="dxa"/>
            <w:vAlign w:val="bottom"/>
          </w:tcPr>
          <w:p>
            <w:pPr>
              <w:ind w:left="300"/>
              <w:spacing w:after="0"/>
              <w:rPr>
                <w:sz w:val="20"/>
                <w:szCs w:val="20"/>
                <w:color w:val="auto"/>
              </w:rPr>
            </w:pPr>
            <w:r>
              <w:rPr>
                <w:rFonts w:ascii="Arial" w:cs="Arial" w:eastAsia="Arial" w:hAnsi="Arial"/>
                <w:sz w:val="16"/>
                <w:szCs w:val="16"/>
                <w:color w:val="auto"/>
              </w:rPr>
              <w:t>Austria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Education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Educación España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GmbH Deutschland</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Services IT S.R.L</w:t>
            </w:r>
          </w:p>
        </w:tc>
        <w:tc>
          <w:tcPr>
            <w:tcW w:w="2260" w:type="dxa"/>
            <w:vAlign w:val="bottom"/>
          </w:tcPr>
          <w:p>
            <w:pPr>
              <w:ind w:left="300"/>
              <w:spacing w:after="0"/>
              <w:rPr>
                <w:sz w:val="20"/>
                <w:szCs w:val="20"/>
                <w:color w:val="auto"/>
              </w:rPr>
            </w:pPr>
            <w:r>
              <w:rPr>
                <w:rFonts w:ascii="Arial" w:cs="Arial" w:eastAsia="Arial" w:hAnsi="Arial"/>
                <w:sz w:val="16"/>
                <w:szCs w:val="16"/>
                <w:color w:val="auto"/>
              </w:rPr>
              <w:t>Italy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Services SP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Azurlingua SARL</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SCI Clemenceau 57</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(h)</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International UK Holdings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Australia Holdings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Kaplan Australia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Kaplan International (Melbourne &amp; Adelaide)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Kaplan Higher Education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500"/>
              <w:spacing w:after="0"/>
              <w:rPr>
                <w:sz w:val="20"/>
                <w:szCs w:val="20"/>
                <w:color w:val="auto"/>
              </w:rPr>
            </w:pPr>
            <w:r>
              <w:rPr>
                <w:rFonts w:ascii="Arial" w:cs="Arial" w:eastAsia="Arial" w:hAnsi="Arial"/>
                <w:sz w:val="16"/>
                <w:szCs w:val="16"/>
                <w:color w:val="auto"/>
              </w:rPr>
              <w:t>Kaplan Business School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500"/>
              <w:spacing w:after="0"/>
              <w:rPr>
                <w:sz w:val="20"/>
                <w:szCs w:val="20"/>
                <w:color w:val="auto"/>
              </w:rPr>
            </w:pPr>
            <w:r>
              <w:rPr>
                <w:rFonts w:ascii="Arial" w:cs="Arial" w:eastAsia="Arial" w:hAnsi="Arial"/>
                <w:sz w:val="16"/>
                <w:szCs w:val="16"/>
                <w:color w:val="auto"/>
              </w:rPr>
              <w:t>Kaplan International English (Australia)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720"/>
              <w:spacing w:after="0"/>
              <w:rPr>
                <w:sz w:val="20"/>
                <w:szCs w:val="20"/>
                <w:color w:val="auto"/>
              </w:rPr>
            </w:pPr>
            <w:r>
              <w:rPr>
                <w:rFonts w:ascii="Arial" w:cs="Arial" w:eastAsia="Arial" w:hAnsi="Arial"/>
                <w:sz w:val="16"/>
                <w:szCs w:val="16"/>
                <w:color w:val="auto"/>
              </w:rPr>
              <w:t>Kaplan International NZ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New Zealand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Tribeca Learning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500"/>
              <w:spacing w:after="0"/>
              <w:rPr>
                <w:sz w:val="20"/>
                <w:szCs w:val="20"/>
                <w:color w:val="auto"/>
              </w:rPr>
            </w:pPr>
            <w:r>
              <w:rPr>
                <w:rFonts w:ascii="Arial" w:cs="Arial" w:eastAsia="Arial" w:hAnsi="Arial"/>
                <w:sz w:val="16"/>
                <w:szCs w:val="16"/>
                <w:color w:val="auto"/>
              </w:rPr>
              <w:t>Kaplan Education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620" w:type="dxa"/>
            <w:vAlign w:val="bottom"/>
          </w:tcPr>
          <w:p>
            <w:pPr>
              <w:ind w:left="720"/>
              <w:spacing w:after="0"/>
              <w:rPr>
                <w:sz w:val="20"/>
                <w:szCs w:val="20"/>
                <w:color w:val="auto"/>
              </w:rPr>
            </w:pPr>
            <w:r>
              <w:rPr>
                <w:rFonts w:ascii="Arial" w:cs="Arial" w:eastAsia="Arial" w:hAnsi="Arial"/>
                <w:sz w:val="14"/>
                <w:szCs w:val="14"/>
                <w:color w:val="auto"/>
              </w:rPr>
              <w:t>Jurisdiction of Incorporation</w:t>
            </w:r>
          </w:p>
        </w:tc>
        <w:tc>
          <w:tcPr>
            <w:tcW w:w="2040" w:type="dxa"/>
            <w:vAlign w:val="bottom"/>
          </w:tcPr>
          <w:p>
            <w:pPr>
              <w:jc w:val="right"/>
              <w:ind w:right="15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960" w:type="dxa"/>
            <w:vAlign w:val="bottom"/>
            <w:vMerge w:val="continue"/>
          </w:tcPr>
          <w:p>
            <w:pPr>
              <w:spacing w:after="0"/>
              <w:rPr>
                <w:sz w:val="9"/>
                <w:szCs w:val="9"/>
                <w:color w:val="auto"/>
              </w:rPr>
            </w:pPr>
          </w:p>
        </w:tc>
        <w:tc>
          <w:tcPr>
            <w:tcW w:w="2620" w:type="dxa"/>
            <w:vAlign w:val="bottom"/>
            <w:vMerge w:val="restart"/>
          </w:tcPr>
          <w:p>
            <w:pPr>
              <w:ind w:left="1120"/>
              <w:spacing w:after="0"/>
              <w:rPr>
                <w:sz w:val="20"/>
                <w:szCs w:val="20"/>
                <w:color w:val="auto"/>
              </w:rPr>
            </w:pPr>
            <w:r>
              <w:rPr>
                <w:rFonts w:ascii="Arial" w:cs="Arial" w:eastAsia="Arial" w:hAnsi="Arial"/>
                <w:sz w:val="14"/>
                <w:szCs w:val="14"/>
                <w:color w:val="auto"/>
              </w:rPr>
              <w:t>or Organization</w:t>
            </w:r>
          </w:p>
        </w:tc>
        <w:tc>
          <w:tcPr>
            <w:tcW w:w="2040" w:type="dxa"/>
            <w:vAlign w:val="bottom"/>
            <w:vMerge w:val="restart"/>
          </w:tcPr>
          <w:p>
            <w:pPr>
              <w:jc w:val="right"/>
              <w:ind w:right="69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96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800"/>
              <w:spacing w:after="0"/>
              <w:rPr>
                <w:sz w:val="20"/>
                <w:szCs w:val="20"/>
                <w:color w:val="auto"/>
              </w:rPr>
            </w:pPr>
            <w:r>
              <w:rPr>
                <w:rFonts w:ascii="Arial" w:cs="Arial" w:eastAsia="Arial" w:hAnsi="Arial"/>
                <w:sz w:val="16"/>
                <w:szCs w:val="16"/>
                <w:color w:val="auto"/>
              </w:rPr>
              <w:t>Kaplan Holdings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Higher Education (HK)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Citic Education Co.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China (PR)</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Financial (HK)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260"/>
              <w:spacing w:after="0"/>
              <w:rPr>
                <w:sz w:val="20"/>
                <w:szCs w:val="20"/>
                <w:color w:val="auto"/>
              </w:rPr>
            </w:pPr>
            <w:r>
              <w:rPr>
                <w:rFonts w:ascii="Arial" w:cs="Arial" w:eastAsia="Arial" w:hAnsi="Arial"/>
                <w:sz w:val="16"/>
                <w:szCs w:val="16"/>
                <w:color w:val="auto"/>
              </w:rPr>
              <w:t>Kaplan Language Training (HK)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Institute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Shanghai Kaplan Education Investment Consulting Co. Ltd.</w:t>
            </w:r>
          </w:p>
        </w:tc>
        <w:tc>
          <w:tcPr>
            <w:tcW w:w="2620" w:type="dxa"/>
            <w:vAlign w:val="bottom"/>
          </w:tcPr>
          <w:p>
            <w:pPr>
              <w:ind w:left="660"/>
              <w:spacing w:after="0"/>
              <w:rPr>
                <w:sz w:val="20"/>
                <w:szCs w:val="20"/>
                <w:color w:val="auto"/>
              </w:rPr>
            </w:pPr>
            <w:r>
              <w:rPr>
                <w:rFonts w:ascii="Arial" w:cs="Arial" w:eastAsia="Arial" w:hAnsi="Arial"/>
                <w:sz w:val="16"/>
                <w:szCs w:val="16"/>
                <w:color w:val="auto"/>
              </w:rPr>
              <w:t>China (PR)</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Shanghai Kaibo Management Consultation Co., Ltd</w:t>
            </w:r>
          </w:p>
        </w:tc>
        <w:tc>
          <w:tcPr>
            <w:tcW w:w="2620" w:type="dxa"/>
            <w:vAlign w:val="bottom"/>
          </w:tcPr>
          <w:p>
            <w:pPr>
              <w:ind w:left="660"/>
              <w:spacing w:after="0"/>
              <w:rPr>
                <w:sz w:val="20"/>
                <w:szCs w:val="20"/>
                <w:color w:val="auto"/>
              </w:rPr>
            </w:pPr>
            <w:r>
              <w:rPr>
                <w:rFonts w:ascii="Arial" w:cs="Arial" w:eastAsia="Arial" w:hAnsi="Arial"/>
                <w:sz w:val="16"/>
                <w:szCs w:val="16"/>
                <w:color w:val="auto"/>
              </w:rPr>
              <w:t>China (PR)</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The Financial Training (Shanghai) Co., Ltd</w:t>
            </w:r>
          </w:p>
        </w:tc>
        <w:tc>
          <w:tcPr>
            <w:tcW w:w="2620" w:type="dxa"/>
            <w:vAlign w:val="bottom"/>
          </w:tcPr>
          <w:p>
            <w:pPr>
              <w:ind w:left="660"/>
              <w:spacing w:after="0"/>
              <w:rPr>
                <w:sz w:val="20"/>
                <w:szCs w:val="20"/>
                <w:color w:val="auto"/>
              </w:rPr>
            </w:pPr>
            <w:r>
              <w:rPr>
                <w:rFonts w:ascii="Arial" w:cs="Arial" w:eastAsia="Arial" w:hAnsi="Arial"/>
                <w:sz w:val="16"/>
                <w:szCs w:val="16"/>
                <w:color w:val="auto"/>
              </w:rPr>
              <w:t>China (PR)</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Higher Education Academy Pte. Ltd</w:t>
            </w:r>
          </w:p>
        </w:tc>
        <w:tc>
          <w:tcPr>
            <w:tcW w:w="2620" w:type="dxa"/>
            <w:vAlign w:val="bottom"/>
          </w:tcPr>
          <w:p>
            <w:pPr>
              <w:ind w:left="660"/>
              <w:spacing w:after="0"/>
              <w:rPr>
                <w:sz w:val="20"/>
                <w:szCs w:val="20"/>
                <w:color w:val="auto"/>
              </w:rPr>
            </w:pPr>
            <w:r>
              <w:rPr>
                <w:rFonts w:ascii="Arial" w:cs="Arial" w:eastAsia="Arial" w:hAnsi="Arial"/>
                <w:sz w:val="16"/>
                <w:szCs w:val="16"/>
                <w:color w:val="auto"/>
              </w:rPr>
              <w:t>Singapore</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Open Education Consultancy Pte. Ltd.</w:t>
            </w:r>
          </w:p>
        </w:tc>
        <w:tc>
          <w:tcPr>
            <w:tcW w:w="2620" w:type="dxa"/>
            <w:vAlign w:val="bottom"/>
          </w:tcPr>
          <w:p>
            <w:pPr>
              <w:ind w:left="660"/>
              <w:spacing w:after="0"/>
              <w:rPr>
                <w:sz w:val="20"/>
                <w:szCs w:val="20"/>
                <w:color w:val="auto"/>
              </w:rPr>
            </w:pPr>
            <w:r>
              <w:rPr>
                <w:rFonts w:ascii="Arial" w:cs="Arial" w:eastAsia="Arial" w:hAnsi="Arial"/>
                <w:sz w:val="16"/>
                <w:szCs w:val="16"/>
                <w:color w:val="auto"/>
              </w:rPr>
              <w:t>Singapore</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Myanmar Company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Myanmar</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Accountancy &amp; Business College (Ireland)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Ireland</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DBS Services SDN.BHD</w:t>
            </w:r>
          </w:p>
        </w:tc>
        <w:tc>
          <w:tcPr>
            <w:tcW w:w="2620" w:type="dxa"/>
            <w:vAlign w:val="bottom"/>
          </w:tcPr>
          <w:p>
            <w:pPr>
              <w:ind w:left="660"/>
              <w:spacing w:after="0"/>
              <w:rPr>
                <w:sz w:val="20"/>
                <w:szCs w:val="20"/>
                <w:color w:val="auto"/>
              </w:rPr>
            </w:pPr>
            <w:r>
              <w:rPr>
                <w:rFonts w:ascii="Arial" w:cs="Arial" w:eastAsia="Arial" w:hAnsi="Arial"/>
                <w:sz w:val="16"/>
                <w:szCs w:val="16"/>
                <w:color w:val="auto"/>
              </w:rPr>
              <w:t>Malaysia</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Ireland Education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Ireland</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6"/>
                <w:szCs w:val="16"/>
                <w:color w:val="auto"/>
              </w:rPr>
              <w:t>Kaplan International Holdings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Eagle Education and Training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Dubai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Professional ME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Osborne Books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The Financial Training Company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Financial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SQE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Training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260"/>
              <w:spacing w:after="0"/>
              <w:rPr>
                <w:sz w:val="20"/>
                <w:szCs w:val="20"/>
                <w:color w:val="auto"/>
              </w:rPr>
            </w:pPr>
            <w:r>
              <w:rPr>
                <w:rFonts w:ascii="Arial" w:cs="Arial" w:eastAsia="Arial" w:hAnsi="Arial"/>
                <w:sz w:val="16"/>
                <w:szCs w:val="16"/>
                <w:color w:val="auto"/>
              </w:rPr>
              <w:t>Kaplan Consulting &amp; Training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Hawksmere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Holborn College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Saudi Arabia Holding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Saudi Arabia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Saudi Arabia</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International Colleges U.K.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Essex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Qatar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Colleges Private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India</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International Colleges (Private)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Pakistan</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Glasgow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International Colleges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Nigeria</w:t>
            </w:r>
          </w:p>
        </w:tc>
        <w:tc>
          <w:tcPr>
            <w:tcW w:w="2040" w:type="dxa"/>
            <w:vAlign w:val="bottom"/>
          </w:tcPr>
          <w:p>
            <w:pPr>
              <w:jc w:val="right"/>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Liverpool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Nottingham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NT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International College London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Brighton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UWE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Bournemouth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Estates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York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Partner Services HK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Hong Kong</w:t>
            </w:r>
          </w:p>
        </w:tc>
        <w:tc>
          <w:tcPr>
            <w:tcW w:w="2040" w:type="dxa"/>
            <w:vAlign w:val="bottom"/>
          </w:tcPr>
          <w:p>
            <w:pPr>
              <w:jc w:val="right"/>
              <w:spacing w:after="0"/>
              <w:rPr>
                <w:sz w:val="20"/>
                <w:szCs w:val="20"/>
                <w:color w:val="auto"/>
              </w:rPr>
            </w:pPr>
            <w:r>
              <w:rPr>
                <w:rFonts w:ascii="Arial" w:cs="Arial" w:eastAsia="Arial" w:hAnsi="Arial"/>
                <w:sz w:val="16"/>
                <w:szCs w:val="16"/>
                <w:color w:val="auto"/>
              </w:rPr>
              <w:t>100 % (j)</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Open Learning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Open Learning (Essex)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Kaplan Open Learning (Liverpool)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Publishing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1040"/>
              <w:spacing w:after="0"/>
              <w:rPr>
                <w:sz w:val="20"/>
                <w:szCs w:val="20"/>
                <w:color w:val="auto"/>
              </w:rPr>
            </w:pPr>
            <w:r>
              <w:rPr>
                <w:rFonts w:ascii="Arial" w:cs="Arial" w:eastAsia="Arial" w:hAnsi="Arial"/>
                <w:sz w:val="16"/>
                <w:szCs w:val="16"/>
                <w:color w:val="auto"/>
              </w:rPr>
              <w:t>Foulks Lynch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Kaplan Professional Awards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60" w:type="dxa"/>
            <w:vAlign w:val="bottom"/>
          </w:tcPr>
          <w:p>
            <w:pPr>
              <w:ind w:left="800"/>
              <w:spacing w:after="0"/>
              <w:rPr>
                <w:sz w:val="20"/>
                <w:szCs w:val="20"/>
                <w:color w:val="auto"/>
              </w:rPr>
            </w:pPr>
            <w:r>
              <w:rPr>
                <w:rFonts w:ascii="Arial" w:cs="Arial" w:eastAsia="Arial" w:hAnsi="Arial"/>
                <w:sz w:val="16"/>
                <w:szCs w:val="16"/>
                <w:color w:val="auto"/>
              </w:rPr>
              <w:t>Mander Portman Woodward Limited</w:t>
            </w:r>
          </w:p>
        </w:tc>
        <w:tc>
          <w:tcPr>
            <w:tcW w:w="2620" w:type="dxa"/>
            <w:vAlign w:val="bottom"/>
          </w:tcPr>
          <w:p>
            <w:pPr>
              <w:ind w:left="660"/>
              <w:spacing w:after="0"/>
              <w:rPr>
                <w:sz w:val="20"/>
                <w:szCs w:val="20"/>
                <w:color w:val="auto"/>
              </w:rPr>
            </w:pPr>
            <w:r>
              <w:rPr>
                <w:rFonts w:ascii="Arial" w:cs="Arial" w:eastAsia="Arial" w:hAnsi="Arial"/>
                <w:sz w:val="16"/>
                <w:szCs w:val="16"/>
                <w:color w:val="auto"/>
              </w:rPr>
              <w:t>England &amp; Wales</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20"/>
          </w:cols>
          <w:pgMar w:left="380" w:top="1090" w:right="89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420" w:type="dxa"/>
            <w:vAlign w:val="bottom"/>
          </w:tcPr>
          <w:p>
            <w:pPr>
              <w:ind w:left="1520"/>
              <w:spacing w:after="0"/>
              <w:rPr>
                <w:sz w:val="20"/>
                <w:szCs w:val="20"/>
                <w:color w:val="auto"/>
              </w:rPr>
            </w:pPr>
            <w:r>
              <w:rPr>
                <w:rFonts w:ascii="Arial" w:cs="Arial" w:eastAsia="Arial" w:hAnsi="Arial"/>
                <w:sz w:val="14"/>
                <w:szCs w:val="14"/>
                <w:color w:val="auto"/>
              </w:rPr>
              <w:t>Jurisdiction of Incorporation</w:t>
            </w:r>
          </w:p>
        </w:tc>
        <w:tc>
          <w:tcPr>
            <w:tcW w:w="2080" w:type="dxa"/>
            <w:vAlign w:val="bottom"/>
          </w:tcPr>
          <w:p>
            <w:pPr>
              <w:ind w:left="120"/>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160" w:type="dxa"/>
            <w:vAlign w:val="bottom"/>
            <w:vMerge w:val="continue"/>
          </w:tcPr>
          <w:p>
            <w:pPr>
              <w:spacing w:after="0"/>
              <w:rPr>
                <w:sz w:val="9"/>
                <w:szCs w:val="9"/>
                <w:color w:val="auto"/>
              </w:rPr>
            </w:pPr>
          </w:p>
        </w:tc>
        <w:tc>
          <w:tcPr>
            <w:tcW w:w="3420" w:type="dxa"/>
            <w:vAlign w:val="bottom"/>
            <w:vMerge w:val="restart"/>
          </w:tcPr>
          <w:p>
            <w:pPr>
              <w:ind w:left="1920"/>
              <w:spacing w:after="0"/>
              <w:rPr>
                <w:sz w:val="20"/>
                <w:szCs w:val="20"/>
                <w:color w:val="auto"/>
              </w:rPr>
            </w:pPr>
            <w:r>
              <w:rPr>
                <w:rFonts w:ascii="Arial" w:cs="Arial" w:eastAsia="Arial" w:hAnsi="Arial"/>
                <w:sz w:val="14"/>
                <w:szCs w:val="14"/>
                <w:color w:val="auto"/>
              </w:rPr>
              <w:t>or Organization</w:t>
            </w:r>
          </w:p>
        </w:tc>
        <w:tc>
          <w:tcPr>
            <w:tcW w:w="2080" w:type="dxa"/>
            <w:vAlign w:val="bottom"/>
            <w:vMerge w:val="restart"/>
          </w:tcPr>
          <w:p>
            <w:pPr>
              <w:ind w:left="660"/>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16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040"/>
              <w:spacing w:after="0"/>
              <w:rPr>
                <w:sz w:val="20"/>
                <w:szCs w:val="20"/>
                <w:color w:val="auto"/>
              </w:rPr>
            </w:pPr>
            <w:r>
              <w:rPr>
                <w:rFonts w:ascii="Arial" w:cs="Arial" w:eastAsia="Arial" w:hAnsi="Arial"/>
                <w:sz w:val="16"/>
                <w:szCs w:val="16"/>
                <w:color w:val="auto"/>
              </w:rPr>
              <w:t>Kensington Student Services Limited</w:t>
            </w:r>
          </w:p>
        </w:tc>
        <w:tc>
          <w:tcPr>
            <w:tcW w:w="3420" w:type="dxa"/>
            <w:vAlign w:val="bottom"/>
          </w:tcPr>
          <w:p>
            <w:pPr>
              <w:ind w:left="146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1040"/>
              <w:spacing w:after="0"/>
              <w:rPr>
                <w:sz w:val="20"/>
                <w:szCs w:val="20"/>
                <w:color w:val="auto"/>
              </w:rPr>
            </w:pPr>
            <w:r>
              <w:rPr>
                <w:rFonts w:ascii="Arial" w:cs="Arial" w:eastAsia="Arial" w:hAnsi="Arial"/>
                <w:sz w:val="16"/>
                <w:szCs w:val="16"/>
                <w:color w:val="auto"/>
              </w:rPr>
              <w:t>Justin Craig Education Limited</w:t>
            </w:r>
          </w:p>
        </w:tc>
        <w:tc>
          <w:tcPr>
            <w:tcW w:w="3420" w:type="dxa"/>
            <w:vAlign w:val="bottom"/>
          </w:tcPr>
          <w:p>
            <w:pPr>
              <w:ind w:left="146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Leaf Group Ltd.</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Deny Designs, LLC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Leaf Group Services, LLC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460"/>
              <w:spacing w:after="0"/>
              <w:rPr>
                <w:sz w:val="20"/>
                <w:szCs w:val="20"/>
                <w:color w:val="auto"/>
              </w:rPr>
            </w:pPr>
            <w:r>
              <w:rPr>
                <w:rFonts w:ascii="Arial" w:cs="Arial" w:eastAsia="Arial" w:hAnsi="Arial"/>
                <w:sz w:val="16"/>
                <w:szCs w:val="16"/>
                <w:color w:val="auto"/>
              </w:rPr>
              <w:t>Out of the Box S.A.</w:t>
            </w:r>
          </w:p>
        </w:tc>
        <w:tc>
          <w:tcPr>
            <w:tcW w:w="3420" w:type="dxa"/>
            <w:vAlign w:val="bottom"/>
          </w:tcPr>
          <w:p>
            <w:pPr>
              <w:ind w:left="1460"/>
              <w:spacing w:after="0"/>
              <w:rPr>
                <w:sz w:val="20"/>
                <w:szCs w:val="20"/>
                <w:color w:val="auto"/>
              </w:rPr>
            </w:pPr>
            <w:r>
              <w:rPr>
                <w:rFonts w:ascii="Arial" w:cs="Arial" w:eastAsia="Arial" w:hAnsi="Arial"/>
                <w:sz w:val="16"/>
                <w:szCs w:val="16"/>
                <w:color w:val="auto"/>
              </w:rPr>
              <w:t>Argentina</w:t>
            </w:r>
          </w:p>
        </w:tc>
        <w:tc>
          <w:tcPr>
            <w:tcW w:w="2080" w:type="dxa"/>
            <w:vAlign w:val="bottom"/>
          </w:tcPr>
          <w:p>
            <w:pPr>
              <w:ind w:left="1400"/>
              <w:spacing w:after="0"/>
              <w:rPr>
                <w:sz w:val="20"/>
                <w:szCs w:val="20"/>
                <w:color w:val="auto"/>
              </w:rPr>
            </w:pPr>
            <w:r>
              <w:rPr>
                <w:rFonts w:ascii="Arial" w:cs="Arial" w:eastAsia="Arial" w:hAnsi="Arial"/>
                <w:sz w:val="16"/>
                <w:szCs w:val="16"/>
                <w:color w:val="auto"/>
                <w:w w:val="96"/>
              </w:rPr>
              <w:t>100 % (k)</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Leaf OIYS, LLC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Other Art Fairs Ltd</w:t>
            </w:r>
          </w:p>
        </w:tc>
        <w:tc>
          <w:tcPr>
            <w:tcW w:w="3420" w:type="dxa"/>
            <w:vAlign w:val="bottom"/>
          </w:tcPr>
          <w:p>
            <w:pPr>
              <w:ind w:left="1460"/>
              <w:spacing w:after="0"/>
              <w:rPr>
                <w:sz w:val="20"/>
                <w:szCs w:val="20"/>
                <w:color w:val="auto"/>
              </w:rPr>
            </w:pPr>
            <w:r>
              <w:rPr>
                <w:rFonts w:ascii="Arial" w:cs="Arial" w:eastAsia="Arial" w:hAnsi="Arial"/>
                <w:sz w:val="16"/>
                <w:szCs w:val="16"/>
                <w:color w:val="auto"/>
              </w:rPr>
              <w:t>England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Other Art Fairs Australia Pty Ltd.</w:t>
            </w:r>
          </w:p>
        </w:tc>
        <w:tc>
          <w:tcPr>
            <w:tcW w:w="3420" w:type="dxa"/>
            <w:vAlign w:val="bottom"/>
          </w:tcPr>
          <w:p>
            <w:pPr>
              <w:ind w:left="146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Saatchi Online, Inc.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460"/>
              <w:spacing w:after="0"/>
              <w:rPr>
                <w:sz w:val="20"/>
                <w:szCs w:val="20"/>
                <w:color w:val="auto"/>
              </w:rPr>
            </w:pPr>
            <w:r>
              <w:rPr>
                <w:rFonts w:ascii="Arial" w:cs="Arial" w:eastAsia="Arial" w:hAnsi="Arial"/>
                <w:sz w:val="16"/>
                <w:szCs w:val="16"/>
                <w:color w:val="auto"/>
              </w:rPr>
              <w:t>Saatchi Art Online Hospitality</w:t>
            </w:r>
          </w:p>
        </w:tc>
        <w:tc>
          <w:tcPr>
            <w:tcW w:w="3420" w:type="dxa"/>
            <w:vAlign w:val="bottom"/>
          </w:tcPr>
          <w:p>
            <w:pPr>
              <w:ind w:left="1460"/>
              <w:spacing w:after="0"/>
              <w:rPr>
                <w:sz w:val="20"/>
                <w:szCs w:val="20"/>
                <w:color w:val="auto"/>
              </w:rPr>
            </w:pPr>
            <w:r>
              <w:rPr>
                <w:rFonts w:ascii="Arial" w:cs="Arial" w:eastAsia="Arial" w:hAnsi="Arial"/>
                <w:sz w:val="16"/>
                <w:szCs w:val="16"/>
                <w:color w:val="auto"/>
              </w:rPr>
              <w:t>United Kingdom</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460"/>
              <w:spacing w:after="0"/>
              <w:rPr>
                <w:sz w:val="20"/>
                <w:szCs w:val="20"/>
                <w:color w:val="auto"/>
              </w:rPr>
            </w:pPr>
            <w:r>
              <w:rPr>
                <w:rFonts w:ascii="Arial" w:cs="Arial" w:eastAsia="Arial" w:hAnsi="Arial"/>
                <w:sz w:val="16"/>
                <w:szCs w:val="16"/>
                <w:color w:val="auto"/>
              </w:rPr>
              <w:t>Other Art Fairs, LLC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Society6, LLC</w:t>
            </w:r>
          </w:p>
        </w:tc>
        <w:tc>
          <w:tcPr>
            <w:tcW w:w="3420" w:type="dxa"/>
            <w:vAlign w:val="bottom"/>
          </w:tcPr>
          <w:p>
            <w:pPr>
              <w:ind w:left="146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rPr>
                <w:sz w:val="20"/>
                <w:szCs w:val="20"/>
                <w:color w:val="auto"/>
              </w:rPr>
            </w:pPr>
            <w:r>
              <w:rPr>
                <w:rFonts w:ascii="Arial" w:cs="Arial" w:eastAsia="Arial" w:hAnsi="Arial"/>
                <w:sz w:val="16"/>
                <w:szCs w:val="16"/>
                <w:color w:val="auto"/>
              </w:rPr>
              <w:t>Well+Good, LLC</w:t>
            </w:r>
          </w:p>
        </w:tc>
        <w:tc>
          <w:tcPr>
            <w:tcW w:w="3420" w:type="dxa"/>
            <w:vAlign w:val="bottom"/>
          </w:tcPr>
          <w:p>
            <w:pPr>
              <w:ind w:left="1460"/>
              <w:spacing w:after="0"/>
              <w:rPr>
                <w:sz w:val="20"/>
                <w:szCs w:val="20"/>
                <w:color w:val="auto"/>
              </w:rPr>
            </w:pPr>
            <w:r>
              <w:rPr>
                <w:rFonts w:ascii="Arial" w:cs="Arial" w:eastAsia="Arial" w:hAnsi="Arial"/>
                <w:sz w:val="16"/>
                <w:szCs w:val="16"/>
                <w:color w:val="auto"/>
              </w:rPr>
              <w:t>New York</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Soteria One, Inc.</w:t>
            </w:r>
          </w:p>
        </w:tc>
        <w:tc>
          <w:tcPr>
            <w:tcW w:w="3420" w:type="dxa"/>
            <w:vAlign w:val="bottom"/>
          </w:tcPr>
          <w:p>
            <w:pPr>
              <w:ind w:left="1460"/>
              <w:spacing w:after="0"/>
              <w:rPr>
                <w:sz w:val="20"/>
                <w:szCs w:val="20"/>
                <w:color w:val="auto"/>
              </w:rPr>
            </w:pPr>
            <w:r>
              <w:rPr>
                <w:rFonts w:ascii="Arial" w:cs="Arial" w:eastAsia="Arial" w:hAnsi="Arial"/>
                <w:sz w:val="16"/>
                <w:szCs w:val="16"/>
                <w:color w:val="auto"/>
              </w:rPr>
              <w:t>Vermont</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58" w:lineRule="exact"/>
        <w:rPr>
          <w:sz w:val="20"/>
          <w:szCs w:val="20"/>
          <w:color w:val="auto"/>
        </w:rPr>
      </w:pPr>
    </w:p>
    <w:p>
      <w:pPr>
        <w:ind w:left="840" w:right="600" w:hanging="487"/>
        <w:spacing w:after="0" w:line="256" w:lineRule="auto"/>
        <w:tabs>
          <w:tab w:leader="none" w:pos="830" w:val="left"/>
        </w:tabs>
        <w:numPr>
          <w:ilvl w:val="1"/>
          <w:numId w:val="103"/>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22" w:lineRule="exact"/>
        <w:rPr>
          <w:rFonts w:ascii="Arial" w:cs="Arial" w:eastAsia="Arial" w:hAnsi="Arial"/>
          <w:sz w:val="18"/>
          <w:szCs w:val="18"/>
          <w:color w:val="auto"/>
        </w:rPr>
      </w:pPr>
    </w:p>
    <w:p>
      <w:pPr>
        <w:ind w:left="840" w:right="420" w:hanging="487"/>
        <w:spacing w:after="0" w:line="268" w:lineRule="auto"/>
        <w:tabs>
          <w:tab w:leader="none" w:pos="75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29" w:lineRule="exact"/>
        <w:rPr>
          <w:rFonts w:ascii="Arial" w:cs="Arial" w:eastAsia="Arial" w:hAnsi="Arial"/>
          <w:sz w:val="16"/>
          <w:szCs w:val="16"/>
          <w:color w:val="auto"/>
        </w:rPr>
      </w:pPr>
    </w:p>
    <w:p>
      <w:pPr>
        <w:ind w:left="840" w:right="240" w:hanging="487"/>
        <w:spacing w:after="0" w:line="248" w:lineRule="auto"/>
        <w:tabs>
          <w:tab w:leader="none" w:pos="74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30" w:lineRule="exact"/>
        <w:rPr>
          <w:rFonts w:ascii="Arial" w:cs="Arial" w:eastAsia="Arial" w:hAnsi="Arial"/>
          <w:sz w:val="16"/>
          <w:szCs w:val="16"/>
          <w:color w:val="auto"/>
        </w:rPr>
      </w:pPr>
    </w:p>
    <w:p>
      <w:pPr>
        <w:ind w:left="800" w:right="220" w:hanging="488"/>
        <w:spacing w:after="0" w:line="268" w:lineRule="auto"/>
        <w:tabs>
          <w:tab w:leader="none" w:pos="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29" w:lineRule="exact"/>
        <w:rPr>
          <w:rFonts w:ascii="Arial" w:cs="Arial" w:eastAsia="Arial" w:hAnsi="Arial"/>
          <w:sz w:val="16"/>
          <w:szCs w:val="16"/>
          <w:color w:val="auto"/>
        </w:rPr>
      </w:pPr>
    </w:p>
    <w:p>
      <w:pPr>
        <w:ind w:left="800" w:right="160" w:hanging="488"/>
        <w:spacing w:after="0" w:line="248" w:lineRule="auto"/>
        <w:tabs>
          <w:tab w:leader="none" w:pos="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31" w:lineRule="exact"/>
        <w:rPr>
          <w:rFonts w:ascii="Arial" w:cs="Arial" w:eastAsia="Arial" w:hAnsi="Arial"/>
          <w:sz w:val="16"/>
          <w:szCs w:val="16"/>
          <w:color w:val="auto"/>
        </w:rPr>
      </w:pPr>
    </w:p>
    <w:p>
      <w:pPr>
        <w:ind w:left="800" w:right="40" w:hanging="488"/>
        <w:spacing w:after="0" w:line="268" w:lineRule="auto"/>
        <w:tabs>
          <w:tab w:leader="none" w:pos="6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UK Limited also owns 1% of Kaplan International Egypt for Consultancy and Support Services Limited. The combined ownership of Kaplan UK Limited and Aspect Education Limited in Kaplan International Egypt for Consultancy and Support Services Limited is 100%.</w:t>
      </w:r>
    </w:p>
    <w:p>
      <w:pPr>
        <w:spacing w:after="0" w:line="115" w:lineRule="exact"/>
        <w:rPr>
          <w:rFonts w:ascii="Arial" w:cs="Arial" w:eastAsia="Arial" w:hAnsi="Arial"/>
          <w:sz w:val="16"/>
          <w:szCs w:val="16"/>
          <w:color w:val="auto"/>
        </w:rPr>
      </w:pPr>
    </w:p>
    <w:p>
      <w:pPr>
        <w:ind w:left="800" w:hanging="488"/>
        <w:spacing w:after="0" w:line="257" w:lineRule="auto"/>
        <w:tabs>
          <w:tab w:leader="none" w:pos="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64" w:lineRule="exact"/>
        <w:rPr>
          <w:rFonts w:ascii="Arial" w:cs="Arial" w:eastAsia="Arial" w:hAnsi="Arial"/>
          <w:sz w:val="16"/>
          <w:szCs w:val="16"/>
          <w:color w:val="auto"/>
        </w:rPr>
      </w:pPr>
    </w:p>
    <w:p>
      <w:pPr>
        <w:ind w:left="800" w:hanging="488"/>
        <w:spacing w:after="0" w:line="286" w:lineRule="auto"/>
        <w:tabs>
          <w:tab w:leader="none" w:pos="75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Azurlingua SARL also owns 31.5% stock in SCI Clemenceau 57. The combined ownership of Azurlingua SARL and Heverald Groupe S.A. in SCI Clemenceau 57 is 100%</w:t>
      </w:r>
    </w:p>
    <w:p>
      <w:pPr>
        <w:spacing w:after="0" w:line="182" w:lineRule="exact"/>
        <w:rPr>
          <w:rFonts w:ascii="Arial" w:cs="Arial" w:eastAsia="Arial" w:hAnsi="Arial"/>
          <w:sz w:val="16"/>
          <w:szCs w:val="16"/>
          <w:color w:val="auto"/>
        </w:rPr>
      </w:pPr>
    </w:p>
    <w:p>
      <w:pPr>
        <w:ind w:left="800" w:right="60" w:hanging="488"/>
        <w:spacing w:after="0" w:line="286" w:lineRule="auto"/>
        <w:tabs>
          <w:tab w:leader="none" w:pos="6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01" w:lineRule="exact"/>
        <w:rPr>
          <w:rFonts w:ascii="Arial" w:cs="Arial" w:eastAsia="Arial" w:hAnsi="Arial"/>
          <w:sz w:val="16"/>
          <w:szCs w:val="16"/>
          <w:color w:val="auto"/>
        </w:rPr>
      </w:pPr>
    </w:p>
    <w:p>
      <w:pPr>
        <w:ind w:left="800" w:right="160" w:hanging="488"/>
        <w:spacing w:after="0" w:line="243" w:lineRule="auto"/>
        <w:tabs>
          <w:tab w:leader="none" w:pos="6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124" w:lineRule="exact"/>
        <w:rPr>
          <w:rFonts w:ascii="Arial" w:cs="Arial" w:eastAsia="Arial" w:hAnsi="Arial"/>
          <w:sz w:val="16"/>
          <w:szCs w:val="16"/>
          <w:color w:val="auto"/>
        </w:rPr>
      </w:pPr>
    </w:p>
    <w:p>
      <w:pPr>
        <w:ind w:left="680" w:hanging="368"/>
        <w:spacing w:after="0"/>
        <w:tabs>
          <w:tab w:leader="none" w:pos="6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Leaf Group Services, LLC owns 5% of Out of the Box S.A. and Leaf Group Ltd. owns 95%.</w:t>
      </w:r>
    </w:p>
    <w:p>
      <w:pPr>
        <w:sectPr>
          <w:pgSz w:w="11900" w:h="16838" w:orient="portrait"/>
          <w:cols w:equalWidth="0" w:num="1">
            <w:col w:w="11160"/>
          </w:cols>
          <w:pgMar w:left="380" w:top="1090" w:right="359" w:bottom="1440" w:gutter="0" w:footer="0" w:header="0"/>
        </w:sectPr>
      </w:pPr>
    </w:p>
    <w:bookmarkStart w:id="140" w:name="page141"/>
    <w:bookmarkEnd w:id="140"/>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060"/>
          </w:cols>
          <w:pgMar w:left="320" w:top="1440" w:right="5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333-276044, 333-265764, 333-189559 and 033-54295) and Form S-3 (No. 333-71350) of Graham Holdings Company of our report dated February 26, 2025 relating to the financial statements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89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34"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January 16, 2025</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2024,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E. Graham,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40" w:right="40"/>
        <w:spacing w:after="0"/>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300"/>
        <w:spacing w:after="0"/>
        <w:rPr>
          <w:sz w:val="20"/>
          <w:szCs w:val="20"/>
          <w:color w:val="auto"/>
        </w:rPr>
      </w:pPr>
      <w:r>
        <w:rPr>
          <w:rFonts w:ascii="Arial" w:cs="Arial" w:eastAsia="Arial" w:hAnsi="Arial"/>
          <w:sz w:val="18"/>
          <w:szCs w:val="18"/>
          <w:color w:val="auto"/>
        </w:rPr>
        <w:t>Wallace R. Cooney, Chief Financial Officer (Principal Financial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Marcel A. Snyman, Chief Accounting Officer (Principal Accounting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Tony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Allen,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Danielle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Danielle Conley,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Anne M. Mulcahy, Chair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 Richard Wagoner, Jr.,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890" w:right="3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80" w:lineRule="exact"/>
        <w:rPr>
          <w:sz w:val="20"/>
          <w:szCs w:val="20"/>
          <w:color w:val="auto"/>
        </w:rPr>
      </w:pPr>
    </w:p>
    <w:p>
      <w:pPr>
        <w:ind w:left="200" w:hanging="192"/>
        <w:spacing w:after="0"/>
        <w:tabs>
          <w:tab w:leader="none" w:pos="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89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89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2024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203"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lowerLetter"/>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9"/>
    </w:lvl>
  </w:abstractNum>
  <w:abstractNum w:abstractNumId="62">
    <w:nsid w:val="6EB5BD4"/>
    <w:multiLevelType w:val="hybridMultilevel"/>
    <w:lvl w:ilvl="0">
      <w:lvlJc w:val="left"/>
      <w:lvlText w:val="%1"/>
      <w:numFmt w:val="decimal"/>
      <w:start w:val="21"/>
    </w:lvl>
  </w:abstractNum>
  <w:abstractNum w:abstractNumId="63">
    <w:nsid w:val="6F6DD9AC"/>
    <w:multiLevelType w:val="hybridMultilevel"/>
    <w:lvl w:ilvl="0">
      <w:lvlJc w:val="left"/>
      <w:lvlText w:val="%1"/>
      <w:numFmt w:val="decimal"/>
      <w:start w:val="23"/>
    </w:lvl>
  </w:abstractNum>
  <w:abstractNum w:abstractNumId="64">
    <w:nsid w:val="94211F2"/>
    <w:multiLevelType w:val="hybridMultilevel"/>
    <w:lvl w:ilvl="0">
      <w:lvlJc w:val="left"/>
      <w:lvlText w:val="%1"/>
      <w:numFmt w:val="decimal"/>
      <w:start w:val="32"/>
    </w:lvl>
  </w:abstractNum>
  <w:abstractNum w:abstractNumId="65">
    <w:nsid w:val="885E1B"/>
    <w:multiLevelType w:val="hybridMultilevel"/>
    <w:lvl w:ilvl="0">
      <w:lvlJc w:val="left"/>
      <w:lvlText w:val="%1"/>
      <w:numFmt w:val="decimal"/>
      <w:start w:val="97"/>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decimal"/>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2"/>
    </w:lvl>
  </w:abstractNum>
  <w:abstractNum w:abstractNumId="76">
    <w:nsid w:val="39EE015C"/>
    <w:multiLevelType w:val="hybridMultilevel"/>
    <w:lvl w:ilvl="0">
      <w:lvlJc w:val="left"/>
      <w:lvlText w:val="%1."/>
      <w:numFmt w:val="decimal"/>
      <w:start w:val="3"/>
    </w:lvl>
  </w:abstractNum>
  <w:abstractNum w:abstractNumId="77">
    <w:nsid w:val="57FC4FBB"/>
    <w:multiLevelType w:val="hybridMultilevel"/>
    <w:lvl w:ilvl="0">
      <w:lvlJc w:val="left"/>
      <w:lvlText w:val="%1."/>
      <w:numFmt w:val="decimal"/>
      <w:start w:val="4"/>
    </w:lvl>
  </w:abstractNum>
  <w:abstractNum w:abstractNumId="78">
    <w:nsid w:val="CC1016F"/>
    <w:multiLevelType w:val="hybridMultilevel"/>
    <w:lvl w:ilvl="0">
      <w:lvlJc w:val="left"/>
      <w:lvlText w:val="%1."/>
      <w:numFmt w:val="decimal"/>
      <w:start w:val="5"/>
    </w:lvl>
  </w:abstractNum>
  <w:abstractNum w:abstractNumId="79">
    <w:nsid w:val="43F18422"/>
    <w:multiLevelType w:val="hybridMultilevel"/>
    <w:lvl w:ilvl="0">
      <w:lvlJc w:val="left"/>
      <w:lvlText w:val="%1."/>
      <w:numFmt w:val="decimal"/>
      <w:start w:val="9"/>
    </w:lvl>
  </w:abstractNum>
  <w:abstractNum w:abstractNumId="80">
    <w:nsid w:val="60EF0119"/>
    <w:multiLevelType w:val="hybridMultilevel"/>
    <w:lvl w:ilvl="0">
      <w:lvlJc w:val="left"/>
      <w:lvlText w:val="%1."/>
      <w:numFmt w:val="decimal"/>
      <w:start w:val="1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decimal"/>
      <w:start w:val="12"/>
    </w:lvl>
  </w:abstractNum>
  <w:abstractNum w:abstractNumId="83">
    <w:nsid w:val="49DA307D"/>
    <w:multiLevelType w:val="hybridMultilevel"/>
    <w:lvl w:ilvl="0">
      <w:lvlJc w:val="left"/>
      <w:lvlText w:val="(%1)"/>
      <w:numFmt w:val="decimal"/>
      <w:start w:val="1"/>
    </w:lvl>
  </w:abstractNum>
  <w:abstractNum w:abstractNumId="84">
    <w:nsid w:val="7055A5F5"/>
    <w:multiLevelType w:val="hybridMultilevel"/>
    <w:lvl w:ilvl="0">
      <w:lvlJc w:val="left"/>
      <w:lvlText w:val="(%1)"/>
      <w:numFmt w:val="decimal"/>
      <w:start w:val="1"/>
    </w:lvl>
  </w:abstractNum>
  <w:abstractNum w:abstractNumId="85">
    <w:nsid w:val="5FB8370B"/>
    <w:multiLevelType w:val="hybridMultilevel"/>
    <w:lvl w:ilvl="0">
      <w:lvlJc w:val="left"/>
      <w:lvlText w:val="%1."/>
      <w:numFmt w:val="decimal"/>
      <w:start w:val="13"/>
    </w:lvl>
  </w:abstractNum>
  <w:abstractNum w:abstractNumId="86">
    <w:nsid w:val="50801EE1"/>
    <w:multiLevelType w:val="hybridMultilevel"/>
    <w:lvl w:ilvl="0">
      <w:lvlJc w:val="left"/>
      <w:lvlText w:val="%1."/>
      <w:numFmt w:val="decimal"/>
      <w:start w:val="14"/>
    </w:lvl>
  </w:abstractNum>
  <w:abstractNum w:abstractNumId="87">
    <w:nsid w:val="488AC1A"/>
    <w:multiLevelType w:val="hybridMultilevel"/>
    <w:lvl w:ilvl="0">
      <w:lvlJc w:val="left"/>
      <w:lvlText w:val="%1."/>
      <w:numFmt w:val="decimal"/>
      <w:start w:val="15"/>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7"/>
    </w:lvl>
  </w:abstractNum>
  <w:abstractNum w:abstractNumId="92">
    <w:nsid w:val="6A5F7029"/>
    <w:multiLevelType w:val="hybridMultilevel"/>
    <w:lvl w:ilvl="0">
      <w:lvlJc w:val="left"/>
      <w:lvlText w:val="%1"/>
      <w:numFmt w:val="decimal"/>
      <w:start w:val="1"/>
    </w:lvl>
    <w:lvl w:ilvl="1">
      <w:lvlJc w:val="left"/>
      <w:lvlText w:val="(%2)"/>
      <w:numFmt w:val="decimal"/>
      <w:start w:val="1"/>
    </w:lvl>
  </w:abstractNum>
  <w:abstractNum w:abstractNumId="93">
    <w:nsid w:val="7D5E18F8"/>
    <w:multiLevelType w:val="hybridMultilevel"/>
    <w:lvl w:ilvl="0">
      <w:lvlJc w:val="left"/>
      <w:lvlText w:val="%1."/>
      <w:numFmt w:val="decimal"/>
      <w:start w:val="18"/>
    </w:lvl>
    <w:lvl w:ilvl="1">
      <w:lvlJc w:val="left"/>
      <w:lvlText w:val="%2"/>
      <w:numFmt w:val="decimal"/>
      <w:start w:val="1"/>
    </w:lvl>
  </w:abstractNum>
  <w:abstractNum w:abstractNumId="94">
    <w:nsid w:val="5F3534A4"/>
    <w:multiLevelType w:val="hybridMultilevel"/>
    <w:lvl w:ilvl="0">
      <w:lvlJc w:val="left"/>
      <w:lvlText w:val="%1."/>
      <w:numFmt w:val="decimal"/>
      <w:start w:val="19"/>
    </w:lvl>
  </w:abstractNum>
  <w:abstractNum w:abstractNumId="95">
    <w:nsid w:val="73A1821B"/>
    <w:multiLevelType w:val="hybridMultilevel"/>
    <w:lvl w:ilvl="0">
      <w:lvlJc w:val="left"/>
      <w:lvlText w:val="•"/>
      <w:numFmt w:val="bullet"/>
      <w:start w:val="1"/>
    </w:lvl>
    <w:lvl w:ilvl="1">
      <w:lvlJc w:val="left"/>
      <w:lvlText w:val="◦"/>
      <w:numFmt w:val="bullet"/>
      <w:start w:val="1"/>
    </w:lvl>
  </w:abstractNum>
  <w:abstractNum w:abstractNumId="96">
    <w:nsid w:val="7DE67713"/>
    <w:multiLevelType w:val="hybridMultilevel"/>
    <w:lvl w:ilvl="0">
      <w:lvlJc w:val="left"/>
      <w:lvlText w:val="(%1)"/>
      <w:numFmt w:val="decimal"/>
      <w:start w:val="1"/>
    </w:lvl>
    <w:lvl w:ilvl="1">
      <w:lvlJc w:val="left"/>
      <w:lvlText w:val="(%2)"/>
      <w:numFmt w:val="lowerLetter"/>
      <w:start w:val="1"/>
    </w:lvl>
  </w:abstractNum>
  <w:abstractNum w:abstractNumId="97">
    <w:nsid w:val="555C55B5"/>
    <w:multiLevelType w:val="hybridMultilevel"/>
    <w:lvl w:ilvl="0">
      <w:lvlJc w:val="left"/>
      <w:lvlText w:val="(%1)"/>
      <w:numFmt w:val="decimal"/>
      <w:start w:val="1"/>
    </w:lvl>
    <w:lvl w:ilvl="1">
      <w:lvlJc w:val="left"/>
      <w:lvlText w:val="(%2)"/>
      <w:numFmt w:val="lowerLetter"/>
      <w:start w:val="1"/>
    </w:lvl>
  </w:abstractNum>
  <w:abstractNum w:abstractNumId="98">
    <w:nsid w:val="3FA62ACA"/>
    <w:multiLevelType w:val="hybridMultilevel"/>
    <w:lvl w:ilvl="0">
      <w:lvlJc w:val="left"/>
      <w:lvlText w:val="(%1)"/>
      <w:numFmt w:val="decimal"/>
      <w:start w:val="1"/>
    </w:lvl>
    <w:lvl w:ilvl="1">
      <w:lvlJc w:val="left"/>
      <w:lvlText w:val="(%2)"/>
      <w:numFmt w:val="lowerLetter"/>
      <w:start w:val="1"/>
    </w:lvl>
  </w:abstractNum>
  <w:abstractNum w:abstractNumId="99">
    <w:nsid w:val="14FCE74E"/>
    <w:multiLevelType w:val="hybridMultilevel"/>
    <w:lvl w:ilvl="0">
      <w:lvlJc w:val="left"/>
      <w:lvlText w:val="(%1)"/>
      <w:numFmt w:val="decimal"/>
      <w:start w:val="1"/>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1"/>
    </w:lvl>
  </w:abstractNum>
  <w:abstractNum w:abstractNumId="101">
    <w:nsid w:val="71C91298"/>
    <w:multiLevelType w:val="hybridMultilevel"/>
    <w:lvl w:ilvl="0">
      <w:lvlJc w:val="left"/>
      <w:lvlText w:val="(%1)"/>
      <w:numFmt w:val="decimal"/>
      <w:start w:val="1"/>
    </w:lvl>
    <w:lvl w:ilvl="1">
      <w:lvlJc w:val="left"/>
      <w:lvlText w:val="(%2)"/>
      <w:numFmt w:val="lowerLetter"/>
      <w:start w:val="1"/>
    </w:lvl>
  </w:abstractNum>
  <w:abstractNum w:abstractNumId="102">
    <w:nsid w:val="9DAF632"/>
    <w:multiLevelType w:val="hybridMultilevel"/>
    <w:lvl w:ilvl="0">
      <w:lvlJc w:val="left"/>
      <w:lvlText w:val="%1"/>
      <w:numFmt w:val="lowerLetter"/>
      <w:start w:val="1"/>
    </w:lvl>
    <w:lvl w:ilvl="1">
      <w:lvlJc w:val="left"/>
      <w:lvlText w:val="(%2)"/>
      <w:numFmt w:val="lowerLetter"/>
      <w:start w:val="1"/>
    </w:lvl>
  </w:abstractNum>
  <w:abstractNum w:abstractNumId="103">
    <w:nsid w:val="53299938"/>
    <w:multiLevelType w:val="hybridMultilevel"/>
    <w:lvl w:ilvl="0">
      <w:lvlJc w:val="left"/>
      <w:lvlText w:val="(%1)"/>
      <w:numFmt w:val="lowerLetter"/>
      <w:start w:val="4"/>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62" Type="http://schemas.openxmlformats.org/officeDocument/2006/relationships/hyperlink" Target="https://www.sec.gov/Archives/edgar/data/104889/000095015717000514/ex2-1.htm" TargetMode="External"/><Relationship Id="rId63" Type="http://schemas.openxmlformats.org/officeDocument/2006/relationships/hyperlink" Target="https://www.sec.gov/Archives/edgar/data/104889/000095013304000785/w94191exv3w1.htm" TargetMode="External"/><Relationship Id="rId64" Type="http://schemas.openxmlformats.org/officeDocument/2006/relationships/hyperlink" Target="https://www.sec.gov/Archives/edgar/data/104889/000095015713000428/ex3-1.htm" TargetMode="External"/><Relationship Id="rId65" Type="http://schemas.openxmlformats.org/officeDocument/2006/relationships/hyperlink" Target="https://www.sec.gov/Archives/edgar/data/104889/000010488924000047/a2024-09x12form8xkexhibit31.htm" TargetMode="External"/><Relationship Id="rId66" Type="http://schemas.openxmlformats.org/officeDocument/2006/relationships/hyperlink" Target="https://www.sec.gov/Archives/edgar/data/104889/000095015718000572/ex4-1.htm" TargetMode="External"/><Relationship Id="rId67" Type="http://schemas.openxmlformats.org/officeDocument/2006/relationships/hyperlink" Target="https://www.sec.gov/Archives/edgar/data/104889/000010488920000031/dex42.htm" TargetMode="External"/><Relationship Id="rId68" Type="http://schemas.openxmlformats.org/officeDocument/2006/relationships/hyperlink" Target="https://www.sec.gov/Archives/edgar/data/104889/000010488922000011/a2021q410-kex43.htm" TargetMode="External"/><Relationship Id="rId69" Type="http://schemas.openxmlformats.org/officeDocument/2006/relationships/hyperlink" Target="https://www.sec.gov/Archives/edgar/data/104889/000010488923000064/a2023q310-qex44.htm" TargetMode="External"/><Relationship Id="rId70" Type="http://schemas.openxmlformats.org/officeDocument/2006/relationships/hyperlink" Target="https://www.sec.gov/Archives/edgar/data/104889/000010488920000007/dex42.htm" TargetMode="External"/><Relationship Id="rId71" Type="http://schemas.openxmlformats.org/officeDocument/2006/relationships/hyperlink" Target="https://www.sec.gov/Archives/edgar/data/104889/000010488918000036/dex42.htm" TargetMode="External"/><Relationship Id="rId72" Type="http://schemas.openxmlformats.org/officeDocument/2006/relationships/hyperlink" Target="https://www.sec.gov/Archives/edgar/data/104889/000010488922000011/a2021q410-kex102.htm" TargetMode="External"/><Relationship Id="rId73" Type="http://schemas.openxmlformats.org/officeDocument/2006/relationships/hyperlink" Target="https://www.sec.gov/Archives/edgar/data/104889/000010488922000016/a2022q110-qex101.htm" TargetMode="External"/><Relationship Id="rId74" Type="http://schemas.openxmlformats.org/officeDocument/2006/relationships/hyperlink" Target="https://www.sec.gov/Archives/edgar/data/104889/000010488923000052/a2023q210-qex101.htm" TargetMode="External"/><Relationship Id="rId75" Type="http://schemas.openxmlformats.org/officeDocument/2006/relationships/hyperlink" Target="https://www.sec.gov/Archives/edgar/data/104889/000095015718000360/ex10-1.htm" TargetMode="External"/><Relationship Id="rId78" Type="http://schemas.openxmlformats.org/officeDocument/2006/relationships/hyperlink" Target="https://www.sec.gov/Archives/edgar/data/104889/000010488919000037/dex101.htm" TargetMode="External"/><Relationship Id="rId79" Type="http://schemas.openxmlformats.org/officeDocument/2006/relationships/hyperlink" Target="https://www.sec.gov/Archives/edgar/data/104889/000119312522083932/d229673ddef14a.htm" TargetMode="External"/><Relationship Id="rId80" Type="http://schemas.openxmlformats.org/officeDocument/2006/relationships/hyperlink" Target="https://www.sec.gov/Archives/edgar/data/104889/000010488914000013/dex103.htm" TargetMode="External"/><Relationship Id="rId81" Type="http://schemas.openxmlformats.org/officeDocument/2006/relationships/hyperlink" Target="https://www.sec.gov/Archives/edgar/data/104889/000010488915000017/dex104.htm" TargetMode="External"/><Relationship Id="rId82" Type="http://schemas.openxmlformats.org/officeDocument/2006/relationships/hyperlink" Target="https://www.sec.gov/Archives/edgar/data/104889/000010488914000013/dex104.htm" TargetMode="External"/><Relationship Id="rId83" Type="http://schemas.openxmlformats.org/officeDocument/2006/relationships/hyperlink" Target="https://www.sec.gov/Archives/edgar/data/104889/000010488915000017/dex106.htm" TargetMode="External"/><Relationship Id="rId84" Type="http://schemas.openxmlformats.org/officeDocument/2006/relationships/hyperlink" Target="https://www.sec.gov/Archives/edgar/data/104889/000010488915000032/dex101.htm" TargetMode="External"/><Relationship Id="rId85" Type="http://schemas.openxmlformats.org/officeDocument/2006/relationships/hyperlink" Target="https://www.sec.gov/Archives/edgar/data/104889/000010488919000013/dex1010.htm" TargetMode="External"/><Relationship Id="rId86" Type="http://schemas.openxmlformats.org/officeDocument/2006/relationships/hyperlink" Target="https://www.sec.gov/Archives/edgar/data/104889/000010488924000010/a2023q4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2025-02-26T07:32:35Z</dcterms:created>
  <dcterms:modified xsi:type="dcterms:W3CDTF">2025-02-26T07:32:35Z</dcterms:modified>
</cp:coreProperties>
</file>