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2024</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65" w:lineRule="exact"/>
        <w:rPr>
          <w:sz w:val="24"/>
          <w:szCs w:val="24"/>
          <w:color w:val="auto"/>
        </w:rPr>
      </w:pPr>
    </w:p>
    <w:p>
      <w:pPr>
        <w:jc w:val="center"/>
        <w:ind w:right="-1086"/>
        <w:spacing w:after="0"/>
        <w:rPr>
          <w:sz w:val="20"/>
          <w:szCs w:val="20"/>
          <w:color w:val="auto"/>
        </w:rPr>
      </w:pPr>
      <w:r>
        <w:rPr>
          <w:rFonts w:ascii="Arial" w:cs="Arial" w:eastAsia="Arial" w:hAnsi="Arial"/>
          <w:sz w:val="28"/>
          <w:szCs w:val="28"/>
          <w:b w:val="1"/>
          <w:bCs w:val="1"/>
          <w:color w:val="auto"/>
        </w:rPr>
        <w:t>The Kaplan, Inc. Tax Deferred</w:t>
      </w:r>
    </w:p>
    <w:p>
      <w:pPr>
        <w:jc w:val="center"/>
        <w:ind w:right="-1086"/>
        <w:spacing w:after="0"/>
        <w:rPr>
          <w:sz w:val="20"/>
          <w:szCs w:val="20"/>
          <w:color w:val="auto"/>
        </w:rPr>
      </w:pPr>
      <w:r>
        <w:rPr>
          <w:rFonts w:ascii="Arial" w:cs="Arial" w:eastAsia="Arial" w:hAnsi="Arial"/>
          <w:sz w:val="28"/>
          <w:szCs w:val="28"/>
          <w:b w:val="1"/>
          <w:bCs w:val="1"/>
          <w:color w:val="auto"/>
        </w:rPr>
        <w:t>Savings Plan for Salaried Employees</w:t>
      </w:r>
    </w:p>
    <w:p>
      <w:pPr>
        <w:spacing w:after="0" w:line="200" w:lineRule="exact"/>
        <w:rPr>
          <w:sz w:val="24"/>
          <w:szCs w:val="24"/>
          <w:color w:val="auto"/>
        </w:rPr>
      </w:pPr>
    </w:p>
    <w:p>
      <w:pPr>
        <w:spacing w:after="0" w:line="262"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Reports of Independent Registered Public Accounting Firms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2024 and 2023</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2024</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13</w:t>
            </w: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2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Administrator and Plan Participants of The Kaplan, Inc. Tax Deferred Savings Plan for Salaried Employees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Kaplan, Inc. Tax Deferred Savings Plan for Salaried</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Employees (the “Plan”) as of December 31, 2024 and the related statement of changes in net assets available for benefits for the year then ended, including the related notes (collectively referred to as the “financial statements”). In our opinion, the financial statements present fairly, in all material</w:t>
      </w:r>
    </w:p>
    <w:p>
      <w:pPr>
        <w:spacing w:after="0" w:line="255" w:lineRule="auto"/>
        <w:rPr>
          <w:sz w:val="20"/>
          <w:szCs w:val="20"/>
          <w:color w:val="auto"/>
        </w:rPr>
      </w:pPr>
      <w:r>
        <w:rPr>
          <w:rFonts w:ascii="Arial" w:cs="Arial" w:eastAsia="Arial" w:hAnsi="Arial"/>
          <w:sz w:val="17"/>
          <w:szCs w:val="17"/>
          <w:color w:val="auto"/>
        </w:rPr>
        <w:t>respects, the net assets available for benefits of the Plan as of December 31, 2024, and the changes in net assets available for benefits for the year then ended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9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4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supplemental Schedule H, Line 4i – Schedule of Assets (Held at End of Year) as of December 31, 2024 has been subjected to audit procedures performed in conjunction with the audit of the Plan’s financial statements. The supplemental schedule is the responsibility of the Plan’s</w:t>
      </w:r>
    </w:p>
    <w:p>
      <w:pPr>
        <w:spacing w:after="0" w:line="1" w:lineRule="exact"/>
        <w:rPr>
          <w:sz w:val="20"/>
          <w:szCs w:val="20"/>
          <w:color w:val="auto"/>
        </w:rPr>
      </w:pPr>
    </w:p>
    <w:p>
      <w:pPr>
        <w:ind w:right="540"/>
        <w:spacing w:after="0" w:line="230" w:lineRule="auto"/>
        <w:rPr>
          <w:sz w:val="20"/>
          <w:szCs w:val="20"/>
          <w:color w:val="auto"/>
        </w:rPr>
      </w:pPr>
      <w:r>
        <w:rPr>
          <w:rFonts w:ascii="Arial" w:cs="Arial" w:eastAsia="Arial" w:hAnsi="Arial"/>
          <w:sz w:val="17"/>
          <w:szCs w:val="17"/>
          <w:color w:val="auto"/>
        </w:rPr>
        <w:t>management. Our audit procedures included determining whether the supplemental schedule reconciles to the financial statements or the underlying accounting and other records, as applicable, and performing procedures to test the completeness and accuracy of the information</w:t>
      </w:r>
    </w:p>
    <w:p>
      <w:pPr>
        <w:spacing w:after="0" w:line="238" w:lineRule="auto"/>
        <w:rPr>
          <w:sz w:val="20"/>
          <w:szCs w:val="20"/>
          <w:color w:val="auto"/>
        </w:rPr>
      </w:pPr>
      <w:r>
        <w:rPr>
          <w:rFonts w:ascii="Arial" w:cs="Arial" w:eastAsia="Arial" w:hAnsi="Arial"/>
          <w:sz w:val="17"/>
          <w:szCs w:val="17"/>
          <w:color w:val="auto"/>
        </w:rPr>
        <w:t>presented in the supplemental schedule. In forming our opinion on the supplemental schedule, we evaluated whether the supplemental schedule,</w:t>
      </w:r>
    </w:p>
    <w:p>
      <w:pPr>
        <w:ind w:right="40"/>
        <w:spacing w:after="0" w:line="230" w:lineRule="auto"/>
        <w:rPr>
          <w:sz w:val="20"/>
          <w:szCs w:val="20"/>
          <w:color w:val="auto"/>
        </w:rPr>
      </w:pPr>
      <w:r>
        <w:rPr>
          <w:rFonts w:ascii="Arial" w:cs="Arial" w:eastAsia="Arial" w:hAnsi="Arial"/>
          <w:sz w:val="17"/>
          <w:szCs w:val="17"/>
          <w:color w:val="auto"/>
        </w:rPr>
        <w:t>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w:t>
      </w:r>
    </w:p>
    <w:p>
      <w:pPr>
        <w:spacing w:after="0"/>
        <w:rPr>
          <w:sz w:val="20"/>
          <w:szCs w:val="20"/>
          <w:color w:val="auto"/>
        </w:rPr>
      </w:pPr>
      <w:r>
        <w:rPr>
          <w:rFonts w:ascii="Arial" w:cs="Arial" w:eastAsia="Arial" w:hAnsi="Arial"/>
          <w:sz w:val="17"/>
          <w:szCs w:val="17"/>
          <w:color w:val="auto"/>
        </w:rPr>
        <w:t>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50"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Kaplan, Inc. Tax Deferred Savings Plan for Salaried Employees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 of net assets available for benefits of The Kaplan, Inc. Tax Deferred Savings Plan for Salaried</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Employees (the Plan) as of December 31, 2023 and the related notes (collectively referred to as the financial statements). In our opinion, the financial statements present fairly, in all material respects, the net assets available for benefits of the Plan as of December 31, 2023 in conformity</w:t>
      </w:r>
    </w:p>
    <w:p>
      <w:pPr>
        <w:spacing w:after="0"/>
        <w:rPr>
          <w:sz w:val="20"/>
          <w:szCs w:val="20"/>
          <w:color w:val="auto"/>
        </w:rPr>
      </w:pPr>
      <w:r>
        <w:rPr>
          <w:rFonts w:ascii="Arial" w:cs="Arial" w:eastAsia="Arial" w:hAnsi="Arial"/>
          <w:sz w:val="17"/>
          <w:szCs w:val="17"/>
          <w:color w:val="auto"/>
        </w:rPr>
        <w:t>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40"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(PCAOB) and are required to be independent with respect to the Plan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w:t>
      </w:r>
    </w:p>
    <w:p>
      <w:pPr>
        <w:spacing w:after="0" w:line="1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w:t>
      </w:r>
    </w:p>
    <w:p>
      <w:pPr>
        <w:ind w:right="360"/>
        <w:spacing w:after="0" w:line="255" w:lineRule="auto"/>
        <w:rPr>
          <w:sz w:val="20"/>
          <w:szCs w:val="20"/>
          <w:color w:val="auto"/>
        </w:rPr>
      </w:pPr>
      <w:r>
        <w:rPr>
          <w:rFonts w:ascii="Arial" w:cs="Arial" w:eastAsia="Arial" w:hAnsi="Arial"/>
          <w:sz w:val="17"/>
          <w:szCs w:val="17"/>
          <w:color w:val="auto"/>
        </w:rPr>
        <w:t>obtain an understanding of internal control over financial reporting, but not for the purpose of expressing an opinion on the effectiveness of the Plan’s internal control over financial reporting. Accordingly, we express no such opinion.</w:t>
      </w:r>
    </w:p>
    <w:p>
      <w:pPr>
        <w:spacing w:after="0" w:line="9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Plan’s auditor from 2007 to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320" w:top="850" w:right="4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auto"/>
        </w:rPr>
        <w:t>THE KAPLAN, INC. TAX DEFERRED</w:t>
      </w:r>
    </w:p>
    <w:p>
      <w:pPr>
        <w:jc w:val="center"/>
        <w:ind w:right="-1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2023</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363,927,277</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310,002,741</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363,927,277</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310,002,741</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378,652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1,312,693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1,691,345</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365,618,622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310,002,741</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1"/>
          <w:szCs w:val="21"/>
          <w:b w:val="1"/>
          <w:bCs w:val="1"/>
          <w:color w:val="auto"/>
        </w:rPr>
        <w:t>THE KAPLAN, INC. TAX DEFERRED</w:t>
      </w:r>
    </w:p>
    <w:p>
      <w:pPr>
        <w:jc w:val="center"/>
        <w:ind w:right="-3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right="3191"/>
        <w:spacing w:after="0" w:line="274" w:lineRule="auto"/>
        <w:rPr>
          <w:sz w:val="20"/>
          <w:szCs w:val="20"/>
          <w:color w:val="auto"/>
        </w:rPr>
      </w:pPr>
      <w:r>
        <w:rPr>
          <w:rFonts w:ascii="Arial" w:cs="Arial" w:eastAsia="Arial" w:hAnsi="Arial"/>
          <w:sz w:val="16"/>
          <w:szCs w:val="16"/>
          <w:color w:val="auto"/>
        </w:rPr>
        <w:t>Plan interest in investment income of the Graham Holdings Company Master Trust Interest income - notes receivable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investment income</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Contributions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Participant</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(to)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Savings Plan for Graham Holdings Company</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401(k) Savings Plan for GHC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Savings Plan for Graham Holdings Company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401(k) Savings Plan for GHC Affiliates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(to) from other affiliated plans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31, 2024</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51,778,752</w:t>
      </w:r>
    </w:p>
    <w:p>
      <w:pPr>
        <w:spacing w:after="0" w:line="22" w:lineRule="exact"/>
        <w:rPr>
          <w:rFonts w:ascii="Arial" w:cs="Arial" w:eastAsia="Arial" w:hAnsi="Arial"/>
          <w:sz w:val="16"/>
          <w:szCs w:val="16"/>
          <w:color w:val="auto"/>
        </w:rPr>
      </w:pPr>
    </w:p>
    <w:p>
      <w:pPr>
        <w:ind w:left="969"/>
        <w:spacing w:after="0"/>
        <w:rPr>
          <w:rFonts w:ascii="Arial" w:cs="Arial" w:eastAsia="Arial" w:hAnsi="Arial"/>
          <w:sz w:val="16"/>
          <w:szCs w:val="16"/>
          <w:color w:val="auto"/>
        </w:rPr>
      </w:pPr>
      <w:r>
        <w:rPr>
          <w:rFonts w:ascii="Arial" w:cs="Arial" w:eastAsia="Arial" w:hAnsi="Arial"/>
          <w:sz w:val="16"/>
          <w:szCs w:val="16"/>
          <w:color w:val="auto"/>
        </w:rPr>
        <w:t>75,484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51,854,236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13,047,043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47,058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1,908,234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15,002,335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(27,485,783)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(251,097)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(27,736,880)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69"/>
        <w:spacing w:after="0"/>
        <w:rPr>
          <w:sz w:val="20"/>
          <w:szCs w:val="20"/>
          <w:color w:val="auto"/>
        </w:rPr>
      </w:pPr>
      <w:r>
        <w:rPr>
          <w:rFonts w:ascii="Arial" w:cs="Arial" w:eastAsia="Arial" w:hAnsi="Arial"/>
          <w:sz w:val="16"/>
          <w:szCs w:val="16"/>
          <w:color w:val="auto"/>
        </w:rPr>
        <w:t>7,687,523</w:t>
      </w:r>
    </w:p>
    <w:p>
      <w:pPr>
        <w:spacing w:after="0" w:line="23"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19,538,180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(2,605,748)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(8,123,765)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16,496,190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669"/>
        <w:spacing w:after="0"/>
        <w:rPr>
          <w:sz w:val="20"/>
          <w:szCs w:val="20"/>
          <w:color w:val="auto"/>
        </w:rPr>
      </w:pPr>
      <w:r>
        <w:rPr>
          <w:rFonts w:ascii="Arial" w:cs="Arial" w:eastAsia="Arial" w:hAnsi="Arial"/>
          <w:sz w:val="16"/>
          <w:szCs w:val="16"/>
          <w:color w:val="auto"/>
        </w:rPr>
        <w:t>55,615,881</w:t>
      </w:r>
    </w:p>
    <w:p>
      <w:pPr>
        <w:spacing w:after="0" w:line="200" w:lineRule="exact"/>
        <w:rPr>
          <w:sz w:val="20"/>
          <w:szCs w:val="20"/>
          <w:color w:val="auto"/>
        </w:rPr>
      </w:pPr>
    </w:p>
    <w:p>
      <w:pPr>
        <w:spacing w:after="0" w:line="236" w:lineRule="exact"/>
        <w:rPr>
          <w:sz w:val="20"/>
          <w:szCs w:val="20"/>
          <w:color w:val="auto"/>
        </w:rPr>
      </w:pPr>
    </w:p>
    <w:p>
      <w:pPr>
        <w:ind w:left="589"/>
        <w:spacing w:after="0"/>
        <w:rPr>
          <w:sz w:val="20"/>
          <w:szCs w:val="20"/>
          <w:color w:val="auto"/>
        </w:rPr>
      </w:pPr>
      <w:r>
        <w:rPr>
          <w:rFonts w:ascii="Arial" w:cs="Arial" w:eastAsia="Arial" w:hAnsi="Arial"/>
          <w:sz w:val="16"/>
          <w:szCs w:val="16"/>
          <w:color w:val="auto"/>
        </w:rPr>
        <w:t>310,002,741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589" w:hanging="589"/>
        <w:spacing w:after="0"/>
        <w:tabs>
          <w:tab w:leader="none" w:pos="589" w:val="left"/>
        </w:tabs>
        <w:numPr>
          <w:ilvl w:val="0"/>
          <w:numId w:val="5"/>
        </w:numPr>
        <w:rPr>
          <w:rFonts w:ascii="Arial" w:cs="Arial" w:eastAsia="Arial" w:hAnsi="Arial"/>
          <w:sz w:val="16"/>
          <w:szCs w:val="16"/>
          <w:color w:val="auto"/>
        </w:rPr>
      </w:pPr>
      <w:r>
        <w:rPr>
          <w:rFonts w:ascii="Arial" w:cs="Arial" w:eastAsia="Arial" w:hAnsi="Arial"/>
          <w:sz w:val="16"/>
          <w:szCs w:val="16"/>
          <w:color w:val="auto"/>
        </w:rPr>
        <w:t>365,618,622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822"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THE KAPLAN, INC. TAX DEFERRED SAVINGS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SALARIED EMPLOYEES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The following description of The Kaplan, Inc. Tax Deferred Savings Plan for Salaried Employees (the Plan) provides only general information. Participants should refer to the Plan document and Summary Plan Description (SPD) for a more comprehensive description of the Plan’s provisions. The Plan is subject to the provisions of the Employee Retirement Income Security Act of 1974, as amended (ERISA).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defined contribution plan permitting eligible salaried employees of Kaplan, Inc. and its subsidiaries (collectively, the Company) to</w:t>
      </w:r>
    </w:p>
    <w:p>
      <w:pPr>
        <w:spacing w:after="0" w:line="14"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participate upon hire. The Company is the Plan Sponsor and a subsidiary of Graham Holdings Company (GHC). The Plan was amended and restated effective January 1, 2024 to incorporate the amendments detailed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The GHC Savings Plan Committee (the Plan Administrator), whose members are appointed by the Plan Sponsor.</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Vanguard Fiduciary Trust Company (VFTC) is the Plan’s Trustee and recordkeeper. The Plan entered into a Master Trust Agreement with VFTC to establish the Graham Holdings Company Master Trust (Master Trust) effective January 1,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2024 and 2023, the Plan Administrator adopted amendments to the Plan, which are not expected to affect the Plan’s qualified status under</w:t>
      </w:r>
    </w:p>
    <w:p>
      <w:pPr>
        <w:spacing w:after="0" w:line="1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ERISA. Substantially all of these amendments became effective in 2024. The Plan was restated in 2024 and the Summary Plan Description was amended on January 1, 2024 and July 1, 2024, and again in January 1, 2025.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153" w:lineRule="exact"/>
        <w:rPr>
          <w:sz w:val="20"/>
          <w:szCs w:val="20"/>
          <w:color w:val="auto"/>
        </w:rPr>
      </w:pPr>
    </w:p>
    <w:p>
      <w:pPr>
        <w:ind w:left="620" w:right="220" w:hanging="307"/>
        <w:spacing w:after="0" w:line="23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Substantially all employees in this Plan participate in The Retirement Plan for Graham Holdings Company. Accordingly, these employees are not eligible for Company Matching Contributions for participating employers in the Plan;</w:t>
      </w:r>
    </w:p>
    <w:p>
      <w:pPr>
        <w:spacing w:after="0" w:line="1" w:lineRule="exact"/>
        <w:rPr>
          <w:rFonts w:ascii="Arial" w:cs="Arial" w:eastAsia="Arial" w:hAnsi="Arial"/>
          <w:sz w:val="17"/>
          <w:szCs w:val="17"/>
          <w:color w:val="auto"/>
        </w:rPr>
      </w:pPr>
    </w:p>
    <w:p>
      <w:pPr>
        <w:ind w:left="620" w:right="380" w:hanging="307"/>
        <w:spacing w:after="0" w:line="251"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w:t>
      </w:r>
    </w:p>
    <w:p>
      <w:pPr>
        <w:spacing w:after="0" w:line="1"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in accordance with the Plan’s provisions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37" w:lineRule="exact"/>
        <w:rPr>
          <w:rFonts w:ascii="Arial" w:cs="Arial" w:eastAsia="Arial" w:hAnsi="Arial"/>
          <w:sz w:val="17"/>
          <w:szCs w:val="17"/>
          <w:color w:val="auto"/>
        </w:rPr>
      </w:pPr>
    </w:p>
    <w:p>
      <w:pPr>
        <w:ind w:left="620" w:right="100" w:hanging="307"/>
        <w:spacing w:after="0" w:line="24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of base salary on a pre-tax basis. The default increases at a rate of 1% on an annual basis not to exceed 10%. Participants may at any time change deferral elections and can opt out of auto-enrollment within a 30-day period. If the participant does not enroll in the Plan when they are first eligible to participate or opt out if automatically enrolled, they may enroll at any time thereafter.</w:t>
      </w:r>
    </w:p>
    <w:p>
      <w:pPr>
        <w:spacing w:after="0" w:line="15" w:lineRule="exact"/>
        <w:rPr>
          <w:rFonts w:ascii="Arial" w:cs="Arial" w:eastAsia="Arial" w:hAnsi="Arial"/>
          <w:sz w:val="17"/>
          <w:szCs w:val="17"/>
          <w:color w:val="auto"/>
        </w:rPr>
      </w:pPr>
    </w:p>
    <w:p>
      <w:pPr>
        <w:jc w:val="both"/>
        <w:ind w:left="62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14" w:lineRule="exact"/>
        <w:rPr>
          <w:rFonts w:ascii="Arial" w:cs="Arial" w:eastAsia="Arial" w:hAnsi="Arial"/>
          <w:sz w:val="17"/>
          <w:szCs w:val="17"/>
          <w:color w:val="auto"/>
        </w:rPr>
      </w:pPr>
    </w:p>
    <w:p>
      <w:pPr>
        <w:ind w:left="62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Participants may allocate up to 20% of their employee contributions into the Graham Holdings Company Stock Fund, in accordance with the Plan’s provisions.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 total pre-tax and Roth combined contributions, however, is subject to dollar limitations set forth by the Internal Revenue Code ($23,000 in 2024).</w:t>
      </w:r>
    </w:p>
    <w:p>
      <w:pPr>
        <w:spacing w:after="0"/>
        <w:rPr>
          <w:sz w:val="20"/>
          <w:szCs w:val="20"/>
          <w:color w:val="auto"/>
        </w:rPr>
      </w:pPr>
      <w:r>
        <w:rPr>
          <w:rFonts w:ascii="Arial" w:cs="Arial" w:eastAsia="Arial" w:hAnsi="Arial"/>
          <w:sz w:val="17"/>
          <w:szCs w:val="17"/>
          <w:color w:val="auto"/>
        </w:rPr>
        <w:t>Participants age 50 or older by the end of the plan year, may make additional pre-tax or Roth 401(k) contributions (of up to $7,500 in 2024) that are</w:t>
      </w:r>
    </w:p>
    <w:p>
      <w:pPr>
        <w:ind w:right="720"/>
        <w:spacing w:after="0" w:line="239"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 established by the Plan Administrator.</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Contributions to the Berkshire Hathaway Stock Fund may not exceed 25% of a participant’s own contributions to a participant’s account. Exchanges into the Berkshire Hathaway Stock Fund from any other fund(s) may be made only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50" w:right="339" w:bottom="1440" w:gutter="0" w:footer="0" w:header="0"/>
        </w:sectPr>
      </w:pPr>
    </w:p>
    <w:bookmarkStart w:id="7" w:name="page8"/>
    <w:bookmarkEnd w:id="7"/>
    <w:p>
      <w:pPr>
        <w:ind w:right="60"/>
        <w:spacing w:after="0" w:line="275" w:lineRule="auto"/>
        <w:rPr>
          <w:sz w:val="20"/>
          <w:szCs w:val="20"/>
          <w:color w:val="auto"/>
        </w:rPr>
      </w:pPr>
      <w:r>
        <w:rPr>
          <w:rFonts w:ascii="Arial" w:cs="Arial" w:eastAsia="Arial" w:hAnsi="Arial"/>
          <w:sz w:val="17"/>
          <w:szCs w:val="17"/>
          <w:color w:val="auto"/>
        </w:rPr>
        <w:t>if the resulting investment in the Berkshire Hathaway Stock Fund immediately following the exchange is no more than 25% of the participant’s total account balance.</w:t>
      </w:r>
    </w:p>
    <w:p>
      <w:pPr>
        <w:spacing w:after="0" w:line="82"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 Date Retirement Fund with the target date closest to the year in which the participant reaches age 65. This serves as the Plan’s Qualified Default Investment Alternative (“QDIA”).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Each participant’s account is credited with his/her contributions and an allocation of the investment income (losses) and administrative expenses.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Allocations are based on participant earnings, account balances, or specific participant transactions, as defined.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w:t>
      </w:r>
    </w:p>
    <w:p>
      <w:pPr>
        <w:spacing w:after="0" w:line="14"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rate as received by Vanguard from Reuters. Reuters calculates their prime rate through a formula, which includes the average lending rates of the top 30 banks in the United States. General purpose loans have a maximum term of 5 years and principal residence loans have a maximum term of</w:t>
      </w:r>
    </w:p>
    <w:p>
      <w:pPr>
        <w:spacing w:after="0" w:line="238" w:lineRule="auto"/>
        <w:rPr>
          <w:sz w:val="20"/>
          <w:szCs w:val="20"/>
          <w:color w:val="auto"/>
        </w:rPr>
      </w:pPr>
      <w:r>
        <w:rPr>
          <w:rFonts w:ascii="Arial" w:cs="Arial" w:eastAsia="Arial" w:hAnsi="Arial"/>
          <w:sz w:val="17"/>
          <w:szCs w:val="17"/>
          <w:color w:val="auto"/>
        </w:rPr>
        <w:t>10 years. A participant may borrow as much as 50% of his or her vested account balance, subject to certain minimum and maximum limitations as</w:t>
      </w:r>
    </w:p>
    <w:p>
      <w:pPr>
        <w:ind w:right="60"/>
        <w:spacing w:after="0" w:line="230" w:lineRule="auto"/>
        <w:rPr>
          <w:sz w:val="20"/>
          <w:szCs w:val="20"/>
          <w:color w:val="auto"/>
        </w:rPr>
      </w:pPr>
      <w:r>
        <w:rPr>
          <w:rFonts w:ascii="Arial" w:cs="Arial" w:eastAsia="Arial" w:hAnsi="Arial"/>
          <w:sz w:val="17"/>
          <w:szCs w:val="17"/>
          <w:color w:val="auto"/>
        </w:rPr>
        <w:t>defined in the Plan. The minimum loan amount is $1,000 with a maximum of $50,000. Loan processing fees are paid by the participant. As a result of a plan merger or rollovers received, there may be additional participant loans transferred to the Plan and administered in accordance with their</w:t>
      </w:r>
    </w:p>
    <w:p>
      <w:pPr>
        <w:spacing w:after="0"/>
        <w:rPr>
          <w:sz w:val="20"/>
          <w:szCs w:val="20"/>
          <w:color w:val="auto"/>
        </w:rPr>
      </w:pPr>
      <w:r>
        <w:rPr>
          <w:rFonts w:ascii="Arial" w:cs="Arial" w:eastAsia="Arial" w:hAnsi="Arial"/>
          <w:sz w:val="17"/>
          <w:szCs w:val="17"/>
          <w:color w:val="auto"/>
        </w:rPr>
        <w:t>terms.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GHC plans</w:t>
      </w:r>
    </w:p>
    <w:p>
      <w:pPr>
        <w:spacing w:after="0" w:line="22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 Additionally, transfers may also occur between the Plan and other GHC plans that relate to new organizational positions, rehired employees by one</w:t>
      </w:r>
    </w:p>
    <w:p>
      <w:pPr>
        <w:spacing w:after="0" w:line="1"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of the employers with an existing balance in another GHC plan, or transferred employees to one of the employers with an existing balance in another GHC plan.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233"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 expenses that are not paid by the Company are paid by the Plan itself. The Plan charges certain expenses directly to each of the participants’</w:t>
      </w:r>
    </w:p>
    <w:p>
      <w:pPr>
        <w:spacing w:after="0" w:line="1" w:lineRule="exact"/>
        <w:rPr>
          <w:sz w:val="20"/>
          <w:szCs w:val="20"/>
          <w:color w:val="auto"/>
        </w:rPr>
      </w:pPr>
    </w:p>
    <w:p>
      <w:pPr>
        <w:ind w:right="760"/>
        <w:spacing w:after="0" w:line="255" w:lineRule="auto"/>
        <w:rPr>
          <w:sz w:val="20"/>
          <w:szCs w:val="20"/>
          <w:color w:val="auto"/>
        </w:rPr>
      </w:pPr>
      <w:r>
        <w:rPr>
          <w:rFonts w:ascii="Arial" w:cs="Arial" w:eastAsia="Arial" w:hAnsi="Arial"/>
          <w:sz w:val="17"/>
          <w:szCs w:val="17"/>
          <w:color w:val="auto"/>
        </w:rPr>
        <w:t>accounts such as recordkeeping and maintenance of the website and phone services to participants. Each of the investment funds incurs investment and administrative expenses that are paid by the fund itself, which reduce the net investment return to participants.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 disability and withdrawals based on whether or not the participant has reached age 59 1/2. Upon termination of employment with the Company</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(including termination due to death, disability, or retirement), participants may receive a lump-sum payment of their entire account balance, net of any outstanding loan balances. Otherwise, distributions generally begin on a participant's required beginning date, which is set by Federal law, and</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not by the Company. Participants may roll over account balances to individual retirement accounts or another employer’s qualified retirement plan. If a terminated participant with an account balance dies prior to receiving the full value of the account, the account balance will be paid to the</w:t>
      </w:r>
    </w:p>
    <w:p>
      <w:pPr>
        <w:spacing w:after="0" w:line="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participant’s beneficiary or in the absence of an election pursuant to the Plan’s provisions. Account balances of $7,000 (in 2024) or less may not be deferred and are subject to automatic rollover/automatic cash out.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w:t>
      </w:r>
    </w:p>
    <w:p>
      <w:pPr>
        <w:spacing w:after="0" w:line="14"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Sponsor and Board of Directors subject to the provisions of ERISA. In the event the Plan terminates, participants would receive the full value of their accounts from the Plan.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320" w:top="846"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w:t>
      </w:r>
    </w:p>
    <w:p>
      <w:pPr>
        <w:spacing w:after="0" w:line="1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reported amounts of assets and liabilities and changes therein and disclosure of contingent assets and liabilities. Actual results could differ from those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specifically in relation to the fair value of the assets assigned to the Plan. Fair value is the price that would be received to sell an asset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or paid to transfer a liability in an orderly transaction between market participants at the measurement date. The Committee determines the Master Trust’s valuation policies utilizing information provided by the trustee. See Note 6 for discussion of fair value measurements.</w:t>
      </w:r>
    </w:p>
    <w:p>
      <w:pPr>
        <w:spacing w:after="0" w:line="9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 income is recorded on the ex-dividend date. Capital gain distributions are included in dividend income. The Master Trust’s net appreciation includes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Trust’s gains and losses on investments bought and sold as well as held during the year. See Note 5 for the Plan’s interest in the Master Trust, as well as the Master Trust’s investment income.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w:t>
      </w:r>
    </w:p>
    <w:p>
      <w:pPr>
        <w:ind w:right="100"/>
        <w:spacing w:after="0" w:line="239" w:lineRule="auto"/>
        <w:rPr>
          <w:sz w:val="20"/>
          <w:szCs w:val="20"/>
          <w:color w:val="auto"/>
        </w:rPr>
      </w:pPr>
      <w:r>
        <w:rPr>
          <w:rFonts w:ascii="Arial" w:cs="Arial" w:eastAsia="Arial" w:hAnsi="Arial"/>
          <w:sz w:val="17"/>
          <w:szCs w:val="17"/>
          <w:color w:val="auto"/>
        </w:rPr>
        <w:t>the values of investment securities 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Management of the Plan has evaluated subsequent events from December 31, 2024 through the date these financial statements were issued.</w:t>
      </w:r>
    </w:p>
    <w:p>
      <w:pPr>
        <w:spacing w:after="0" w:line="14" w:lineRule="exact"/>
        <w:rPr>
          <w:sz w:val="20"/>
          <w:szCs w:val="20"/>
          <w:color w:val="auto"/>
        </w:rPr>
      </w:pPr>
    </w:p>
    <w:p>
      <w:pPr>
        <w:ind w:right="360"/>
        <w:spacing w:after="0" w:line="239" w:lineRule="auto"/>
        <w:rPr>
          <w:sz w:val="20"/>
          <w:szCs w:val="20"/>
          <w:color w:val="auto"/>
        </w:rPr>
      </w:pPr>
      <w:r>
        <w:rPr>
          <w:rFonts w:ascii="Arial" w:cs="Arial" w:eastAsia="Arial" w:hAnsi="Arial"/>
          <w:sz w:val="17"/>
          <w:szCs w:val="17"/>
          <w:color w:val="auto"/>
        </w:rPr>
        <w:t>Other than described below, management of the Plan is not aware of any subsequent events that require recognition or additional disclosure in these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2025, the SPD was revised to reflect updated 2025 regulatory limits, changes to the Plan’s one eligibility year of service</w:t>
      </w:r>
    </w:p>
    <w:p>
      <w:pPr>
        <w:spacing w:after="0" w:line="14" w:lineRule="exact"/>
        <w:rPr>
          <w:sz w:val="20"/>
          <w:szCs w:val="20"/>
          <w:color w:val="auto"/>
        </w:rPr>
      </w:pPr>
    </w:p>
    <w:p>
      <w:pPr>
        <w:ind w:right="420"/>
        <w:spacing w:after="0" w:line="230" w:lineRule="auto"/>
        <w:rPr>
          <w:sz w:val="20"/>
          <w:szCs w:val="20"/>
          <w:color w:val="auto"/>
        </w:rPr>
      </w:pPr>
      <w:r>
        <w:rPr>
          <w:rFonts w:ascii="Arial" w:cs="Arial" w:eastAsia="Arial" w:hAnsi="Arial"/>
          <w:sz w:val="17"/>
          <w:szCs w:val="17"/>
          <w:color w:val="auto"/>
        </w:rPr>
        <w:t>affecting highly compensated employees, designating short-term disability pay as eligible compensation in certain situations, and how account balances between $1,000 and $7,000 and greater than $7,000 can be automatically distributed. The Plan now allows certain small account</w:t>
      </w:r>
    </w:p>
    <w:p>
      <w:pPr>
        <w:spacing w:after="0" w:line="238" w:lineRule="auto"/>
        <w:rPr>
          <w:sz w:val="20"/>
          <w:szCs w:val="20"/>
          <w:color w:val="auto"/>
        </w:rPr>
      </w:pPr>
      <w:r>
        <w:rPr>
          <w:rFonts w:ascii="Arial" w:cs="Arial" w:eastAsia="Arial" w:hAnsi="Arial"/>
          <w:sz w:val="17"/>
          <w:szCs w:val="17"/>
          <w:color w:val="auto"/>
        </w:rPr>
        <w:t>balances of terminated participants to be automatically rolled over into an IRA with a third-party vendor, Portability Services Network ("PSN").</w:t>
      </w:r>
    </w:p>
    <w:p>
      <w:pPr>
        <w:spacing w:after="0"/>
        <w:rPr>
          <w:sz w:val="20"/>
          <w:szCs w:val="20"/>
          <w:color w:val="auto"/>
        </w:rPr>
      </w:pPr>
      <w:r>
        <w:rPr>
          <w:rFonts w:ascii="Arial" w:cs="Arial" w:eastAsia="Arial" w:hAnsi="Arial"/>
          <w:sz w:val="17"/>
          <w:szCs w:val="17"/>
          <w:color w:val="auto"/>
        </w:rPr>
        <w:t>Participants have the option to opt out of this auto-portability service.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AND PARTY-IN-INTEREST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w:t>
      </w:r>
    </w:p>
    <w:p>
      <w:pPr>
        <w:spacing w:after="0" w:line="14"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relationship between VFTC as Trustee of the Master Trust and the Plan investment transactions managed by The Vanguard Group, Inc. qualify as party-in-interest transactions. Investments in the Vanguard registered investment companies and common collective trusts are exempt from the</w:t>
      </w:r>
    </w:p>
    <w:p>
      <w:pPr>
        <w:spacing w:after="0"/>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844" w:right="359" w:bottom="1440" w:gutter="0" w:footer="0" w:header="0"/>
        </w:sectPr>
      </w:pPr>
    </w:p>
    <w:bookmarkStart w:id="9" w:name="page10"/>
    <w:bookmarkEnd w:id="9"/>
    <w:p>
      <w:pPr>
        <w:ind w:right="580"/>
        <w:spacing w:after="0" w:line="275" w:lineRule="auto"/>
        <w:rPr>
          <w:sz w:val="20"/>
          <w:szCs w:val="20"/>
          <w:color w:val="auto"/>
        </w:rPr>
      </w:pPr>
      <w:r>
        <w:rPr>
          <w:rFonts w:ascii="Arial" w:cs="Arial" w:eastAsia="Arial" w:hAnsi="Arial"/>
          <w:sz w:val="17"/>
          <w:szCs w:val="17"/>
          <w:color w:val="auto"/>
        </w:rPr>
        <w:t>fees associated with the management of these investments by The Vanguard Group, Inc. are included in the Master Trust’s net appreciation (depreciation) in fair value of investments.</w:t>
      </w:r>
    </w:p>
    <w:p>
      <w:pPr>
        <w:spacing w:after="0" w:line="8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Plan invests in shares of GHC through the Graham Holdings Company Stock Fund in the Master Trust; therefore, these transactions qualify as party-in-interest transactions. Purchases and sales of Graham Holdings stock within the Graham Holdings Stock Fund in the Master Trust for the</w:t>
      </w:r>
    </w:p>
    <w:p>
      <w:pPr>
        <w:spacing w:after="0" w:line="1"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period ended December 31, 2024, were $157,057 and $969,619, respectively. Additionally, personnel and facilities of the Company have been used to perform administrative functions for the Plan at no cost to the Plan.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On October 21, 2016, the Internal Revenue Service made a favorable determination that the Plan, as then designed, were qualified under IRC Section 401(a). Such determination letter did not involve a review of the effect on the Plan of certain amendments subsequently adopted. Plan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management engaged the Plan’s ERISA counsel to examine the plan document and amendments, and ERISA counsel concluded that none of the amendments had an adverse effect on the tax-qualified status of the Plan under Section 401(a), including the 2016 and 2024 restatements.</w:t>
      </w:r>
    </w:p>
    <w:p>
      <w:pPr>
        <w:spacing w:after="0" w:line="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95"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w:t>
      </w:r>
    </w:p>
    <w:p>
      <w:pPr>
        <w:spacing w:after="0" w:line="14" w:lineRule="exact"/>
        <w:rPr>
          <w:sz w:val="20"/>
          <w:szCs w:val="20"/>
          <w:color w:val="auto"/>
        </w:rPr>
      </w:pPr>
    </w:p>
    <w:p>
      <w:pPr>
        <w:ind w:right="440"/>
        <w:spacing w:after="0" w:line="230" w:lineRule="auto"/>
        <w:rPr>
          <w:sz w:val="20"/>
          <w:szCs w:val="20"/>
          <w:color w:val="auto"/>
        </w:rPr>
      </w:pPr>
      <w:r>
        <w:rPr>
          <w:rFonts w:ascii="Arial" w:cs="Arial" w:eastAsia="Arial" w:hAnsi="Arial"/>
          <w:sz w:val="17"/>
          <w:szCs w:val="17"/>
          <w:color w:val="auto"/>
        </w:rPr>
        <w:t>uncertain position that more likely than not would not be sustained upon examination by federal, state and/or local taxing authorities. The plan administrator has analyzed the tax positions by the Plan, and has concluded that as of December 31, 2024 and 2023, there are no uncertain</w:t>
      </w:r>
    </w:p>
    <w:p>
      <w:pPr>
        <w:ind w:right="220"/>
        <w:spacing w:after="0" w:line="230"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w:t>
      </w:r>
    </w:p>
    <w:p>
      <w:pPr>
        <w:spacing w:after="0"/>
        <w:rPr>
          <w:sz w:val="20"/>
          <w:szCs w:val="20"/>
          <w:color w:val="auto"/>
        </w:rPr>
      </w:pPr>
      <w:r>
        <w:rPr>
          <w:rFonts w:ascii="Arial" w:cs="Arial" w:eastAsia="Arial" w:hAnsi="Arial"/>
          <w:sz w:val="17"/>
          <w:szCs w:val="17"/>
          <w:color w:val="auto"/>
        </w:rPr>
        <w:t>believes it is no longer subject to income tax examinations for the years prior to 2021.</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line="1"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 and their elected investment options specific to each plan. The Master Trust assets are allocated among the Participating Plans by assigning to</w:t>
      </w:r>
    </w:p>
    <w:p>
      <w:pPr>
        <w:spacing w:after="0" w:line="238" w:lineRule="auto"/>
        <w:rPr>
          <w:sz w:val="20"/>
          <w:szCs w:val="20"/>
          <w:color w:val="auto"/>
        </w:rPr>
      </w:pPr>
      <w:r>
        <w:rPr>
          <w:rFonts w:ascii="Arial" w:cs="Arial" w:eastAsia="Arial" w:hAnsi="Arial"/>
          <w:sz w:val="17"/>
          <w:szCs w:val="17"/>
          <w:color w:val="auto"/>
        </w:rPr>
        <w:t>each Participating Plan the entire amount of contributions received on behalf of each Participating Plan, benefit payments, or other expenses</w:t>
      </w:r>
    </w:p>
    <w:p>
      <w:pPr>
        <w:ind w:right="420"/>
        <w:spacing w:after="0" w:line="230"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 Participating Plans, in proportion to the value of the assets assigned to each Participating Plan, income and expenses resulting from collective</w:t>
      </w:r>
    </w:p>
    <w:p>
      <w:pPr>
        <w:spacing w:after="0"/>
        <w:rPr>
          <w:sz w:val="20"/>
          <w:szCs w:val="20"/>
          <w:color w:val="auto"/>
        </w:rPr>
      </w:pPr>
      <w:r>
        <w:rPr>
          <w:rFonts w:ascii="Arial" w:cs="Arial" w:eastAsia="Arial" w:hAnsi="Arial"/>
          <w:sz w:val="17"/>
          <w:szCs w:val="17"/>
          <w:color w:val="auto"/>
        </w:rPr>
        <w:t>investment of the assets of the Master Trust.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2024</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221,766,892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189,436,563</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116,724,098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100,317,044</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24,616,280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19,610,704</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820,007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638,430</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363,927,277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310,002,741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846"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95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113,332,031</w:t>
            </w:r>
          </w:p>
        </w:tc>
        <w:tc>
          <w:tcPr>
            <w:tcW w:w="0" w:type="dxa"/>
            <w:vAlign w:val="bottom"/>
          </w:tcPr>
          <w:p>
            <w:pPr>
              <w:spacing w:after="0"/>
              <w:rPr>
                <w:sz w:val="1"/>
                <w:szCs w:val="1"/>
                <w:color w:val="auto"/>
              </w:rPr>
            </w:pPr>
          </w:p>
        </w:tc>
      </w:tr>
      <w:tr>
        <w:trPr>
          <w:trHeight w:val="245"/>
        </w:trPr>
        <w:tc>
          <w:tcPr>
            <w:tcW w:w="95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26,359,033</w:t>
            </w:r>
          </w:p>
        </w:tc>
        <w:tc>
          <w:tcPr>
            <w:tcW w:w="0" w:type="dxa"/>
            <w:vAlign w:val="bottom"/>
          </w:tcPr>
          <w:p>
            <w:pPr>
              <w:spacing w:after="0"/>
              <w:rPr>
                <w:sz w:val="1"/>
                <w:szCs w:val="1"/>
                <w:color w:val="auto"/>
              </w:rPr>
            </w:pPr>
          </w:p>
        </w:tc>
      </w:tr>
      <w:tr>
        <w:trPr>
          <w:trHeight w:val="24"/>
        </w:trPr>
        <w:tc>
          <w:tcPr>
            <w:tcW w:w="95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58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139,691,064</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42"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 unobservable inputs that require the Master Trust to use present value and other valuation techniques in the determination of fair value (Level 3).</w:t>
      </w:r>
    </w:p>
    <w:p>
      <w:pPr>
        <w:spacing w:after="0" w:line="238"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 The</w:t>
      </w:r>
    </w:p>
    <w:p>
      <w:pPr>
        <w:spacing w:after="0" w:line="239"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 These funds are required to publish their daily net</w:t>
      </w:r>
    </w:p>
    <w:p>
      <w:pPr>
        <w:spacing w:after="0"/>
        <w:rPr>
          <w:sz w:val="20"/>
          <w:szCs w:val="20"/>
          <w:color w:val="auto"/>
        </w:rPr>
      </w:pPr>
      <w:r>
        <w:rPr>
          <w:rFonts w:ascii="Arial" w:cs="Arial" w:eastAsia="Arial" w:hAnsi="Arial"/>
          <w:sz w:val="17"/>
          <w:szCs w:val="17"/>
          <w:color w:val="auto"/>
        </w:rPr>
        <w:t>asset value (NAV) and to transact at that price. The mutual funds are considered actively traded.</w:t>
      </w:r>
    </w:p>
    <w:p>
      <w:pPr>
        <w:spacing w:after="0" w:line="135"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20"/>
        <w:spacing w:after="0" w:line="239"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8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40"/>
        <w:spacing w:after="0" w:line="239"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846"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2024</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common stock</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common stock</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240" w:hanging="237"/>
        <w:spacing w:after="0" w:line="221" w:lineRule="auto"/>
        <w:tabs>
          <w:tab w:leader="none" w:pos="332"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2024</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2023</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338,587,009</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267,276,011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6,837,311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7,640,841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345,424,320</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274,916,852</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363,927,277</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(3.75%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1,312,693</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365,239,970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8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center"/>
              <w:ind w:right="1400"/>
              <w:spacing w:after="0"/>
              <w:rPr>
                <w:sz w:val="20"/>
                <w:szCs w:val="20"/>
                <w:color w:val="auto"/>
              </w:rPr>
            </w:pPr>
            <w:r>
              <w:rPr>
                <w:rFonts w:ascii="Arial" w:cs="Arial" w:eastAsia="Arial" w:hAnsi="Arial"/>
                <w:sz w:val="21"/>
                <w:szCs w:val="21"/>
                <w:b w:val="1"/>
                <w:bCs w:val="1"/>
                <w:color w:val="auto"/>
                <w:w w:val="98"/>
              </w:rPr>
              <w:t>INDEX TO EXHIBITS</w:t>
            </w:r>
          </w:p>
        </w:tc>
      </w:tr>
      <w:tr>
        <w:trPr>
          <w:trHeight w:val="542"/>
        </w:trPr>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Number</w:t>
            </w:r>
          </w:p>
        </w:tc>
        <w:tc>
          <w:tcPr>
            <w:tcW w:w="98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63"/>
        </w:trPr>
        <w:tc>
          <w:tcPr>
            <w:tcW w:w="1300" w:type="dxa"/>
            <w:vAlign w:val="bottom"/>
            <w:tcBorders>
              <w:top w:val="single" w:sz="8" w:color="auto"/>
            </w:tcBorders>
          </w:tcPr>
          <w:p>
            <w:pPr>
              <w:ind w:left="20"/>
              <w:spacing w:after="0" w:line="163" w:lineRule="exact"/>
              <w:rPr>
                <w:sz w:val="20"/>
                <w:szCs w:val="20"/>
                <w:color w:val="auto"/>
              </w:rPr>
            </w:pPr>
            <w:r>
              <w:rPr>
                <w:rFonts w:ascii="Arial" w:cs="Arial" w:eastAsia="Arial" w:hAnsi="Arial"/>
                <w:sz w:val="16"/>
                <w:szCs w:val="16"/>
                <w:color w:val="auto"/>
              </w:rPr>
              <w:t>23.1</w:t>
            </w:r>
          </w:p>
        </w:tc>
        <w:tc>
          <w:tcPr>
            <w:tcW w:w="120" w:type="dxa"/>
            <w:vAlign w:val="bottom"/>
          </w:tcPr>
          <w:p>
            <w:pPr>
              <w:spacing w:after="0"/>
              <w:rPr>
                <w:sz w:val="14"/>
                <w:szCs w:val="14"/>
                <w:color w:val="auto"/>
              </w:rPr>
            </w:pPr>
          </w:p>
        </w:tc>
        <w:tc>
          <w:tcPr>
            <w:tcW w:w="4200" w:type="dxa"/>
            <w:vAlign w:val="bottom"/>
            <w:tcBorders>
              <w:top w:val="single" w:sz="8" w:color="auto"/>
              <w:bottom w:val="single" w:sz="8" w:color="0000FF"/>
            </w:tcBorders>
          </w:tcPr>
          <w:p>
            <w:pPr>
              <w:spacing w:after="0" w:line="163" w:lineRule="exact"/>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Borders>
              <w:top w:val="single" w:sz="8" w:color="auto"/>
            </w:tcBorders>
          </w:tcPr>
          <w:p>
            <w:pPr>
              <w:spacing w:after="0"/>
              <w:rPr>
                <w:sz w:val="14"/>
                <w:szCs w:val="14"/>
                <w:color w:val="auto"/>
              </w:rPr>
            </w:pPr>
          </w:p>
        </w:tc>
      </w:tr>
      <w:tr>
        <w:trPr>
          <w:trHeight w:val="200"/>
        </w:trPr>
        <w:tc>
          <w:tcPr>
            <w:tcW w:w="1300" w:type="dxa"/>
            <w:vAlign w:val="bottom"/>
          </w:tcPr>
          <w:p>
            <w:pPr>
              <w:ind w:left="2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42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Pr>
          <w:p>
            <w:pPr>
              <w:spacing w:after="0"/>
              <w:rPr>
                <w:sz w:val="17"/>
                <w:szCs w:val="17"/>
                <w:color w:val="auto"/>
              </w:rPr>
            </w:pPr>
          </w:p>
        </w:tc>
      </w:tr>
      <w:tr>
        <w:trPr>
          <w:trHeight w:val="900"/>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right"/>
              <w:ind w:right="5520"/>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1240"/>
          </w:cols>
          <w:pgMar w:left="320" w:top="863" w:right="339" w:bottom="1440" w:gutter="0" w:footer="0" w:header="0"/>
        </w:sectPr>
      </w:pPr>
    </w:p>
    <w:bookmarkStart w:id="14" w:name="page15"/>
    <w:bookmarkEnd w:id="14"/>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60"/>
        <w:spacing w:after="0"/>
        <w:rPr>
          <w:sz w:val="20"/>
          <w:szCs w:val="20"/>
          <w:color w:val="auto"/>
        </w:rPr>
      </w:pPr>
      <w:r>
        <w:rPr>
          <w:rFonts w:ascii="Arial" w:cs="Arial" w:eastAsia="Arial" w:hAnsi="Arial"/>
          <w:sz w:val="17"/>
          <w:szCs w:val="17"/>
          <w:b w:val="1"/>
          <w:bCs w:val="1"/>
          <w:color w:val="auto"/>
        </w:rPr>
        <w:t>THE KAPLAN, INC. TAX DEFERRED SAVINGS</w:t>
      </w:r>
    </w:p>
    <w:p>
      <w:pPr>
        <w:jc w:val="center"/>
        <w:ind w:left="7160"/>
        <w:spacing w:after="0"/>
        <w:rPr>
          <w:sz w:val="20"/>
          <w:szCs w:val="20"/>
          <w:color w:val="auto"/>
        </w:rPr>
      </w:pPr>
      <w:r>
        <w:rPr>
          <w:rFonts w:ascii="Arial" w:cs="Arial" w:eastAsia="Arial" w:hAnsi="Arial"/>
          <w:sz w:val="17"/>
          <w:szCs w:val="17"/>
          <w:b w:val="1"/>
          <w:bCs w:val="1"/>
          <w:color w:val="auto"/>
        </w:rPr>
        <w:t>PLAN 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June 27,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Wallace R. Cooney,</w:t>
      </w:r>
    </w:p>
    <w:p>
      <w:pPr>
        <w:jc w:val="center"/>
        <w:ind w:left="71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80"/>
          </w:cols>
          <w:pgMar w:left="320" w:top="1018" w:right="499"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b w:val="1"/>
          <w:bCs w:val="1"/>
          <w:color w:val="auto"/>
        </w:rPr>
        <w:t>EXHIBIT 23.1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333-276044) of Graham Holdings Company of our report dated June 27, 2025 relating to the financial statements and supplemental schedule of The Kaplan, Inc. Tax Deferred Savings Plan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Salaried Employees, which appears in this Form 11-K.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ectPr>
          <w:pgSz w:w="11900" w:h="16838" w:orient="portrait"/>
          <w:cols w:equalWidth="0" w:num="1">
            <w:col w:w="11240"/>
          </w:cols>
          <w:pgMar w:left="320" w:top="85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7"/>
          <w:szCs w:val="17"/>
          <w:b w:val="1"/>
          <w:bCs w:val="1"/>
          <w:color w:val="auto"/>
        </w:rPr>
        <w:t>EXHIBIT 23.2</w:t>
      </w:r>
    </w:p>
    <w:p>
      <w:pPr>
        <w:spacing w:after="0" w:line="153" w:lineRule="exact"/>
        <w:rPr>
          <w:sz w:val="20"/>
          <w:szCs w:val="20"/>
          <w:color w:val="auto"/>
        </w:rPr>
      </w:pPr>
    </w:p>
    <w:p>
      <w:pPr>
        <w:ind w:right="2640" w:firstLine="2645"/>
        <w:spacing w:after="0" w:line="468"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The Kaplan, Inc. Tax Deferred Savings Plan for Salaried Employees</w:t>
      </w:r>
    </w:p>
    <w:p>
      <w:pPr>
        <w:spacing w:after="0" w:line="2"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 our report dated October 4, 2024, relating to the financial statements of The Kaplan, Inc. Tax Deferred Savings Plan for Salaried Employees as of December 31, 2023 appearing in this Annual Report on Form 11-K for the year ended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2025-06-27T11:57:11Z</dcterms:created>
  <dcterms:modified xsi:type="dcterms:W3CDTF">2025-06-27T11:57:11Z</dcterms:modified>
</cp:coreProperties>
</file>