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30,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spacing w:after="0" w:line="207" w:lineRule="exact"/>
        <w:tabs>
          <w:tab w:leader="none" w:pos="2020" w:val="left"/>
          <w:tab w:leader="none" w:pos="3620" w:val="left"/>
          <w:tab w:leader="none" w:pos="5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8140" w:val="left"/>
          <w:tab w:leader="none" w:pos="8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30, 2008:</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ind w:left="2440"/>
              <w:spacing w:after="0"/>
              <w:rPr>
                <w:sz w:val="20"/>
                <w:szCs w:val="20"/>
                <w:color w:val="auto"/>
              </w:rPr>
            </w:pPr>
            <w:r>
              <w:rPr>
                <w:rFonts w:ascii="Arial" w:cs="Arial" w:eastAsia="Arial" w:hAnsi="Arial"/>
                <w:sz w:val="18"/>
                <w:szCs w:val="18"/>
                <w:b w:val="1"/>
                <w:bCs w:val="1"/>
                <w:color w:val="auto"/>
              </w:rPr>
              <w:t>Class A Common Stock</w:t>
            </w:r>
          </w:p>
        </w:tc>
        <w:tc>
          <w:tcPr>
            <w:tcW w:w="5520" w:type="dxa"/>
            <w:vAlign w:val="bottom"/>
          </w:tcPr>
          <w:p>
            <w:pPr>
              <w:ind w:left="1680"/>
              <w:spacing w:after="0"/>
              <w:rPr>
                <w:sz w:val="20"/>
                <w:szCs w:val="20"/>
                <w:color w:val="auto"/>
              </w:rPr>
            </w:pPr>
            <w:r>
              <w:rPr>
                <w:rFonts w:ascii="Arial" w:cs="Arial" w:eastAsia="Arial" w:hAnsi="Arial"/>
                <w:sz w:val="18"/>
                <w:szCs w:val="18"/>
                <w:b w:val="1"/>
                <w:bCs w:val="1"/>
                <w:color w:val="auto"/>
              </w:rPr>
              <w:t>1,291,693 Shares</w:t>
            </w:r>
          </w:p>
        </w:tc>
      </w:tr>
      <w:tr>
        <w:trPr>
          <w:trHeight w:val="228"/>
        </w:trPr>
        <w:tc>
          <w:tcPr>
            <w:tcW w:w="5900" w:type="dxa"/>
            <w:vAlign w:val="bottom"/>
          </w:tcPr>
          <w:p>
            <w:pPr>
              <w:ind w:left="2440"/>
              <w:spacing w:after="0"/>
              <w:rPr>
                <w:sz w:val="20"/>
                <w:szCs w:val="20"/>
                <w:color w:val="auto"/>
              </w:rPr>
            </w:pPr>
            <w:r>
              <w:rPr>
                <w:rFonts w:ascii="Arial" w:cs="Arial" w:eastAsia="Arial" w:hAnsi="Arial"/>
                <w:sz w:val="18"/>
                <w:szCs w:val="18"/>
                <w:b w:val="1"/>
                <w:bCs w:val="1"/>
                <w:color w:val="auto"/>
              </w:rPr>
              <w:t>Class B Common Stock</w:t>
            </w:r>
          </w:p>
        </w:tc>
        <w:tc>
          <w:tcPr>
            <w:tcW w:w="5520" w:type="dxa"/>
            <w:vAlign w:val="bottom"/>
          </w:tcPr>
          <w:p>
            <w:pPr>
              <w:ind w:left="1680"/>
              <w:spacing w:after="0"/>
              <w:rPr>
                <w:sz w:val="20"/>
                <w:szCs w:val="20"/>
                <w:color w:val="auto"/>
              </w:rPr>
            </w:pPr>
            <w:r>
              <w:rPr>
                <w:rFonts w:ascii="Arial" w:cs="Arial" w:eastAsia="Arial" w:hAnsi="Arial"/>
                <w:sz w:val="18"/>
                <w:szCs w:val="18"/>
                <w:b w:val="1"/>
                <w:bCs w:val="1"/>
                <w:color w:val="auto"/>
              </w:rPr>
              <w:t>8,235,138 Shares</w:t>
            </w:r>
          </w:p>
        </w:tc>
      </w:tr>
      <w:tr>
        <w:trPr>
          <w:trHeight w:val="124"/>
        </w:trPr>
        <w:tc>
          <w:tcPr>
            <w:tcW w:w="5900" w:type="dxa"/>
            <w:vAlign w:val="bottom"/>
            <w:tcBorders>
              <w:bottom w:val="single" w:sz="8" w:color="auto"/>
            </w:tcBorders>
          </w:tcPr>
          <w:p>
            <w:pPr>
              <w:spacing w:after="0"/>
              <w:rPr>
                <w:sz w:val="10"/>
                <w:szCs w:val="10"/>
                <w:color w:val="auto"/>
              </w:rPr>
            </w:pPr>
          </w:p>
        </w:tc>
        <w:tc>
          <w:tcPr>
            <w:tcW w:w="5520" w:type="dxa"/>
            <w:vAlign w:val="bottom"/>
            <w:tcBorders>
              <w:bottom w:val="single" w:sz="8" w:color="auto"/>
            </w:tcBorders>
          </w:tcPr>
          <w:p>
            <w:pPr>
              <w:spacing w:after="0"/>
              <w:rPr>
                <w:sz w:val="10"/>
                <w:szCs w:val="10"/>
                <w:color w:val="auto"/>
              </w:rPr>
            </w:pP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94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w w:val="97"/>
              </w:rPr>
              <w:t>THE WASHINGTON POST COMPANY</w:t>
            </w:r>
          </w:p>
        </w:tc>
        <w:tc>
          <w:tcPr>
            <w:tcW w:w="38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4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w w:val="91"/>
              </w:rPr>
              <w:t>Index to Form 10-Q</w:t>
            </w:r>
          </w:p>
        </w:tc>
        <w:tc>
          <w:tcPr>
            <w:tcW w:w="380" w:type="dxa"/>
            <w:vAlign w:val="bottom"/>
          </w:tcPr>
          <w:p>
            <w:pPr>
              <w:spacing w:after="0"/>
              <w:rPr>
                <w:sz w:val="24"/>
                <w:szCs w:val="24"/>
                <w:color w:val="auto"/>
              </w:rPr>
            </w:pPr>
          </w:p>
        </w:tc>
      </w:tr>
      <w:tr>
        <w:trPr>
          <w:trHeight w:val="380"/>
        </w:trPr>
        <w:tc>
          <w:tcPr>
            <w:tcW w:w="9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94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   Condensed Consolidated Statements of Income (Unaudited) for the Thirteen Weeks Ended March 30, 2008 and April 1, 2007</w:t>
              </w:r>
            </w:hyperlink>
          </w:p>
        </w:tc>
        <w:tc>
          <w:tcPr>
            <w:tcW w:w="940" w:type="dxa"/>
            <w:vAlign w:val="bottom"/>
            <w:gridSpan w:val="3"/>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   Condensed Consolidated Statements of Comprehensive Income (Unaudited) for the Thirteen Weeks Ended March 30, 2008 and April 1,</w:t>
              </w:r>
            </w:hyperlink>
          </w:p>
        </w:tc>
        <w:tc>
          <w:tcPr>
            <w:tcW w:w="38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tcBorders>
            <w:gridSpan w:val="3"/>
          </w:tcPr>
          <w:p>
            <w:pPr>
              <w:ind w:left="44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2007</w:t>
              </w:r>
            </w:hyperlink>
          </w:p>
        </w:tc>
        <w:tc>
          <w:tcPr>
            <w:tcW w:w="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ind w:left="200"/>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   Condensed Consolidated Balance Sheets at March 30, 2008 (Unaudited) and December 30, 2007</w:t>
              </w:r>
            </w:hyperlink>
          </w:p>
        </w:tc>
        <w:tc>
          <w:tcPr>
            <w:tcW w:w="2940" w:type="dxa"/>
            <w:vAlign w:val="bottom"/>
            <w:gridSpan w:val="4"/>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d.   Condensed Consolidated Statements of Cash Flows (Unaudited) for the Thirteen Weeks Ended March 30, 2008 and April 1, 2007</w:t>
              </w:r>
            </w:hyperlink>
          </w:p>
        </w:tc>
        <w:tc>
          <w:tcPr>
            <w:tcW w:w="640" w:type="dxa"/>
            <w:vAlign w:val="bottom"/>
            <w:gridSpan w:val="2"/>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e.   Notes to Condensed Consolidated Financial Statements (Unaudited)</w:t>
              </w:r>
            </w:hyperlink>
          </w:p>
        </w:tc>
        <w:tc>
          <w:tcPr>
            <w:tcW w:w="4960" w:type="dxa"/>
            <w:vAlign w:val="bottom"/>
            <w:gridSpan w:val="6"/>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7</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Results of Operations and Financial Condition</w:t>
              </w:r>
            </w:hyperlink>
          </w:p>
        </w:tc>
        <w:tc>
          <w:tcPr>
            <w:tcW w:w="3840" w:type="dxa"/>
            <w:vAlign w:val="bottom"/>
            <w:gridSpan w:val="5"/>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18</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380" w:type="dxa"/>
            <w:vAlign w:val="bottom"/>
          </w:tcPr>
          <w:p>
            <w:pPr>
              <w:ind w:left="200"/>
              <w:spacing w:after="0"/>
              <w:rPr>
                <w:sz w:val="20"/>
                <w:szCs w:val="20"/>
                <w:color w:val="auto"/>
              </w:rPr>
            </w:pPr>
            <w:r>
              <w:rPr>
                <w:rFonts w:ascii="Arial" w:cs="Arial" w:eastAsia="Arial" w:hAnsi="Arial"/>
                <w:sz w:val="18"/>
                <w:szCs w:val="18"/>
                <w:color w:val="auto"/>
                <w:w w:val="79"/>
              </w:rPr>
              <w:t>24</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940" w:type="dxa"/>
            <w:vAlign w:val="bottom"/>
            <w:gridSpan w:val="8"/>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OTHER INFORMATION</w:t>
              </w:r>
            </w:hyperlink>
          </w:p>
        </w:tc>
        <w:tc>
          <w:tcPr>
            <w:tcW w:w="830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380" w:type="dxa"/>
            <w:vAlign w:val="bottom"/>
          </w:tcPr>
          <w:p>
            <w:pPr>
              <w:ind w:left="200"/>
              <w:spacing w:after="0"/>
              <w:rPr>
                <w:sz w:val="20"/>
                <w:szCs w:val="20"/>
                <w:color w:val="auto"/>
              </w:rPr>
            </w:pPr>
            <w:r>
              <w:rPr>
                <w:rFonts w:ascii="Arial" w:cs="Arial" w:eastAsia="Arial" w:hAnsi="Arial"/>
                <w:sz w:val="18"/>
                <w:szCs w:val="18"/>
                <w:color w:val="auto"/>
                <w:w w:val="79"/>
              </w:rPr>
              <w:t>25</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900" w:type="dxa"/>
            <w:vAlign w:val="bottom"/>
            <w:gridSpan w:val="7"/>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26</w:t>
            </w:r>
          </w:p>
        </w:tc>
      </w:tr>
      <w:tr>
        <w:trPr>
          <w:trHeight w:val="304"/>
        </w:trPr>
        <w:tc>
          <w:tcPr>
            <w:tcW w:w="90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27</w:t>
            </w:r>
          </w:p>
        </w:tc>
      </w:tr>
      <w:tr>
        <w:trPr>
          <w:trHeight w:val="383"/>
        </w:trPr>
        <w:tc>
          <w:tcPr>
            <w:tcW w:w="7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0"/>
          </w:tcPr>
          <w:p>
            <w:pPr>
              <w:jc w:val="center"/>
              <w:ind w:left="4372"/>
              <w:spacing w:after="0"/>
              <w:rPr>
                <w:sz w:val="20"/>
                <w:szCs w:val="20"/>
                <w:color w:val="auto"/>
              </w:rPr>
            </w:pPr>
            <w:r>
              <w:rPr>
                <w:rFonts w:ascii="Arial" w:cs="Arial" w:eastAsia="Arial" w:hAnsi="Arial"/>
                <w:sz w:val="18"/>
                <w:szCs w:val="18"/>
                <w:color w:val="auto"/>
                <w:w w:val="79"/>
              </w:rPr>
              <w:t>2</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940" w:type="dxa"/>
            <w:vAlign w:val="bottom"/>
            <w:gridSpan w:val="3"/>
          </w:tcPr>
          <w:p>
            <w:pPr>
              <w:spacing w:after="0"/>
              <w:rPr>
                <w:sz w:val="20"/>
                <w:szCs w:val="20"/>
                <w:color w:val="auto"/>
              </w:rPr>
            </w:pPr>
            <w:r>
              <w:rPr>
                <w:rFonts w:ascii="Arial" w:cs="Arial" w:eastAsia="Arial" w:hAnsi="Arial"/>
                <w:sz w:val="18"/>
                <w:szCs w:val="18"/>
                <w:color w:val="auto"/>
              </w:rPr>
              <w:t>The Washington Post Company</w:t>
            </w: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Arial" w:cs="Arial" w:eastAsia="Arial" w:hAnsi="Arial"/>
                <w:sz w:val="18"/>
                <w:szCs w:val="18"/>
                <w:color w:val="auto"/>
              </w:rPr>
              <w:t>Condensed Consolidated Statements of Income (Unaudited)</w:t>
            </w: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2"/>
              </w:rPr>
              <w:t>March 30,</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92"/>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543,256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475,781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267,726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218,608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1,063,140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985,608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491,153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450,675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440,048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386,757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60,460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4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996,271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893,613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4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w:t>
            </w:r>
          </w:p>
        </w:tc>
        <w:tc>
          <w:tcPr>
            <w:tcW w:w="40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3"/>
            <w:vMerge w:val="continue"/>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3"/>
            <w:vMerge w:val="continue"/>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3"/>
          </w:tcPr>
          <w:p>
            <w:pPr>
              <w:spacing w:after="0"/>
              <w:rPr>
                <w:sz w:val="20"/>
                <w:szCs w:val="20"/>
                <w:color w:val="auto"/>
              </w:rPr>
            </w:pPr>
            <w:r>
              <w:rPr>
                <w:rFonts w:ascii="Arial" w:cs="Arial" w:eastAsia="Arial" w:hAnsi="Arial"/>
                <w:sz w:val="18"/>
                <w:szCs w:val="18"/>
                <w:color w:val="auto"/>
              </w:rPr>
              <w:t>Diluted average number of common shares outstanding</w:t>
            </w: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60" w:type="dxa"/>
            <w:vAlign w:val="bottom"/>
          </w:tcPr>
          <w:p>
            <w:pPr>
              <w:jc w:val="right"/>
              <w:ind w:right="375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6"/>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2"/>
              </w:rPr>
              <w:t>March 30,</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39,267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(53,181)</w:t>
            </w:r>
          </w:p>
        </w:tc>
        <w:tc>
          <w:tcPr>
            <w:tcW w:w="580" w:type="dxa"/>
            <w:vAlign w:val="bottom"/>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(47,610)</w:t>
            </w:r>
          </w:p>
        </w:tc>
        <w:tc>
          <w:tcPr>
            <w:tcW w:w="580" w:type="dxa"/>
            <w:vAlign w:val="bottom"/>
          </w:tcPr>
          <w:p>
            <w:pPr>
              <w:jc w:val="right"/>
              <w:spacing w:after="0"/>
              <w:rPr>
                <w:sz w:val="20"/>
                <w:szCs w:val="20"/>
                <w:color w:val="auto"/>
              </w:rPr>
            </w:pPr>
            <w:r>
              <w:rPr>
                <w:rFonts w:ascii="Arial" w:cs="Arial" w:eastAsia="Arial" w:hAnsi="Arial"/>
                <w:sz w:val="18"/>
                <w:szCs w:val="18"/>
                <w:color w:val="auto"/>
              </w:rPr>
              <w:t>1,510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Income tax benefit related to other comprehensive income (loss)</w:t>
            </w:r>
          </w:p>
        </w:tc>
        <w:tc>
          <w:tcPr>
            <w:tcW w:w="4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22,954</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(24,656)</w:t>
            </w:r>
          </w:p>
        </w:tc>
        <w:tc>
          <w:tcPr>
            <w:tcW w:w="580" w:type="dxa"/>
            <w:vAlign w:val="bottom"/>
          </w:tcPr>
          <w:p>
            <w:pPr>
              <w:jc w:val="right"/>
              <w:spacing w:after="0"/>
              <w:rPr>
                <w:sz w:val="20"/>
                <w:szCs w:val="20"/>
                <w:color w:val="auto"/>
              </w:rPr>
            </w:pPr>
            <w:r>
              <w:rPr>
                <w:rFonts w:ascii="Arial" w:cs="Arial" w:eastAsia="Arial" w:hAnsi="Arial"/>
                <w:sz w:val="18"/>
                <w:szCs w:val="18"/>
                <w:color w:val="auto"/>
              </w:rPr>
              <w:t>1,669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14,611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520" w:type="dxa"/>
            <w:vAlign w:val="bottom"/>
            <w:vMerge w:val="restart"/>
          </w:tcPr>
          <w:p>
            <w:pPr>
              <w:jc w:val="right"/>
              <w:ind w:right="399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March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6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4720" w:type="dxa"/>
            <w:vAlign w:val="bottom"/>
            <w:gridSpan w:val="2"/>
            <w:shd w:val="clear" w:color="auto" w:fill="CCEEFF"/>
          </w:tcPr>
          <w:p>
            <w:pPr>
              <w:ind w:left="46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228,128</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321,466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85,523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51,678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453,334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480,743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46,397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46,399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33,177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77,521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71,490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924,080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994,970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Buildings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348,432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346,116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Machinery, equipment and fixtures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2,230,685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2,185,920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Leasehold improvements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246,875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2,825,992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2,771,677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Less accumulated depreciation</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(1,652,617)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(1,596,698)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1,173,375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1,174,979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Land</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49,333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Construction in progress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63,986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56,571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1,286,694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1,280,737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396,523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417,781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affiliates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104,353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Goodwill, net</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1,542,424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1,498,237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 net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530,304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520,905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Amortized intangible assets, net</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65,584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70,437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pension cost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1,018,367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Deferred charges and other assets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87,339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720" w:type="dxa"/>
            <w:vAlign w:val="bottom"/>
            <w:gridSpan w:val="2"/>
            <w:shd w:val="clear" w:color="auto" w:fill="CCEEFF"/>
          </w:tcPr>
          <w:p>
            <w:pPr>
              <w:ind w:left="46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5,955,668</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6,004,509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4"/>
                <w:szCs w:val="14"/>
                <w:color w:val="auto"/>
              </w:rPr>
              <w:t>Liabilities and Shareholders’ Equity</w:t>
            </w: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40" w:type="dxa"/>
            <w:vAlign w:val="bottom"/>
            <w:gridSpan w:val="2"/>
            <w:vMerge w:val="continue"/>
          </w:tcPr>
          <w:p>
            <w:pPr>
              <w:spacing w:after="0"/>
              <w:rPr>
                <w:sz w:val="12"/>
                <w:szCs w:val="12"/>
                <w:color w:val="auto"/>
              </w:rPr>
            </w:pP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4720" w:type="dxa"/>
            <w:vAlign w:val="bottom"/>
            <w:gridSpan w:val="2"/>
          </w:tcPr>
          <w:p>
            <w:pPr>
              <w:ind w:left="46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502,713</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564,744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15,105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408,883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354,564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466,974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89,585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1,414,381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1,013,473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81,907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 and related benefits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237,178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242,583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82,667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84,214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687,631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2,503,867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2,531,524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Redeemable preferred stock</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11,826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840" w:type="dxa"/>
            <w:vAlign w:val="bottom"/>
            <w:gridSpan w:val="2"/>
          </w:tcPr>
          <w:p>
            <w:pPr>
              <w:spacing w:after="0" w:line="155" w:lineRule="exact"/>
              <w:rPr>
                <w:sz w:val="20"/>
                <w:szCs w:val="20"/>
                <w:color w:val="auto"/>
              </w:rPr>
            </w:pPr>
            <w:r>
              <w:rPr>
                <w:rFonts w:ascii="Arial" w:cs="Arial" w:eastAsia="Arial" w:hAnsi="Arial"/>
                <w:sz w:val="14"/>
                <w:szCs w:val="14"/>
                <w:color w:val="auto"/>
              </w:rPr>
              <w:t>Common shareholders’ equity</w:t>
            </w:r>
          </w:p>
        </w:tc>
        <w:tc>
          <w:tcPr>
            <w:tcW w:w="46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Capital in excess of par value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223,369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217,780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4,327,589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4,329,726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51,230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86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121,630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153,539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Unrealized gain on pension and other postretirement plans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297,020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Cost of Class B common stock held in treasury</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6"/>
              </w:rPr>
              <w:t>(1,600,863)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(1,600,883)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3,439,975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3,461,159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720" w:type="dxa"/>
            <w:vAlign w:val="bottom"/>
            <w:gridSpan w:val="2"/>
          </w:tcPr>
          <w:p>
            <w:pPr>
              <w:ind w:left="464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5,955,668</w:t>
            </w: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6,004,509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vMerge w:val="restart"/>
          </w:tcPr>
          <w:p>
            <w:pPr>
              <w:ind w:left="84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9"/>
              </w:rPr>
              <w:t>March 30,</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6"/>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39,267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60,460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Foreign exchange gain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(earnings) of affiliates, net of distributions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Provision for deferred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accounts receivable,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31,344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inventories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(64,703)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44,969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in income taxes payable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other assets and other liabilities,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123,475</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(65,768)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Investments in affiliates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(179,282)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(180,358)</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commercial paper,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(20,697)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repurchased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(41,716)</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(93,338)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(55,804)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321,466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348,148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228,128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Results of operations at the Kaplan education division, when examined on a quarterly basis, reflect the volatility of Kaplan stock compensation charges, as well as other seasonal effects. Results of operations, when examined on a quarterly basis, also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current year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 Recent Accounting Pronouncements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September 2006, the FASB issued Statement of Financial Accounting Standards No. 157 (SFAS 157), “Fair Value Measurements,” which defines fair value, establishes a framework for measuring fair value and expands disclosures about fair value measurements. The provisions of SFAS 157 related to financial assets and liabilities are effective as of the beginning of the Company’s 2008 fiscal year. The adoption of these provisions did not have any impact on the Company’s financial statements, as the Company’s existing fair value measurements are consistent with the guidance of SFAS 157. The FASB deferred the effective date of SFAS 157 for nonfinancial assets and liabilities that are not remeasured at fair value on a recurring basis, until the beginning of the Company’s 2009 fiscal year. The Company is currently evaluating the impact that SFAS 157 will have on its pension related financial assets and nonfinancial assets and liabilities that are not valued on a recurring basis (at least annually). See Note 10 for additional disclosures about fair value measurements.</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 Including an amendment of FASB Statement No. 115.” SFAS 159 permits entities to choose to measure eligible items at fair value at specified election dates and report unrealized gains and losses on items for which the fair value option has been elected in earnings at such subsequent reporting dates. The provisions of SFAS 159 are effective as of the beginning of the Company’s 2008 fiscal year. The adoption of SFAS 159 in the first quarter of 2008 did not have any impact on the Company’s financial statements as the Company did not elect this fair value option.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December 2007, the FASB issued SFAS 141 (revised 2007), “Business Combinations” (SFAS 141R), and SFAS 160, “Noncontrolling Interests in Consolidated Financial Statements,” to improve, simplify and converge internationally the accounting for business combinations and the reporting of noncontrolling interests in consolidated financial statements. The provisions of SFAS 141R and SFAS 160 are effective as of the beginning of the Company’s 2009 fiscal year. The Company is currently evaluating the impact of adopting SFAS 141R and SFAS 160 on the Company’s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March 30, 2008 and December 30, 2007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March 30,</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30,</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$279,329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213,561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Gross unrealized gains</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213,251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255,898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losses</w:t>
            </w:r>
          </w:p>
        </w:tc>
        <w:tc>
          <w:tcPr>
            <w:tcW w:w="4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(10,534)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Arial" w:cs="Arial" w:eastAsia="Arial" w:hAnsi="Arial"/>
                <w:sz w:val="18"/>
                <w:szCs w:val="18"/>
                <w:color w:val="auto"/>
              </w:rPr>
              <w:t>Total fair value</w:t>
            </w:r>
          </w:p>
        </w:tc>
        <w:tc>
          <w:tcPr>
            <w:tcW w:w="4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482,046</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469,459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380" w:type="dxa"/>
            <w:vAlign w:val="bottom"/>
            <w:vMerge w:val="restart"/>
          </w:tcPr>
          <w:p>
            <w:pPr>
              <w:jc w:val="right"/>
              <w:ind w:right="2652"/>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first quarter of 2008, the Company purchased $65.8 million in the common stock of Corinthian Colleges, Inc, a publicly traded education company. There were no investments made in marketable equity securities during the first quarter of 2007. Unrealized losses at March 30, 2008, consisted of securities whose cost exceeded fair value for less than three months.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March 30, 2008 and December 30, 2007, the Company had money market investments of $5.6 million and $5.1 million, respectively, that are classified as “cash and cash equivalents” on the Company’s consolidated balance sheet.</w:t>
      </w:r>
    </w:p>
    <w:p>
      <w:pPr>
        <w:spacing w:after="0" w:line="13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 the first quarter of 2007, $8.9 million of the equity in earnings of affiliates is due to a gain on the sale of land at the Company’s Bowater Mersey Paper Company Limited affiliate.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3: Acquisitions.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of 2008, Kaplan acquired two businesses in their professional and test preparation divisions totaling $31.4 million. In addition, the cable division acquired subscribers in the Winona, Mississippi area for $15.4 million. Most of the purchase price for these acquisitions has been allocated to goodwill and other intangibles on a preliminary basis.</w:t>
      </w:r>
    </w:p>
    <w:p>
      <w:pPr>
        <w:spacing w:after="0" w:line="14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2007, Kaplan purchased a 40% interest in ACE Education, a provider of education in China that provides preparation courses for entry to U.K. universities, along with degree and professional training programs at campuses throughout China. In the first quarter of 2008, Kaplan exercised an option to increase its investment in ACE Education to a majority interest. This transaction is expected to close in the second quarter.</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the first quarter of 2007, Kaplan acquired two businesses in their professional division totaling $115.8 million. These acquisitions included EduNeering Holdings, Inc., a Princeton, N.J. based provider of knowledge management solutions for organizations in the pharmaceutical, medical device, healthcare, energy and manufacturing sectors. In addition, the cable division acquired subscribers in the Boise, Idaho area for $4.1 million.</w:t>
      </w:r>
    </w:p>
    <w:p>
      <w:pPr>
        <w:spacing w:after="0" w:line="10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certain 2007 acquisitions, additional purchase consideration of approximately $22 million is contingent on the achievement of certain future operating results; such amounts have largely been funded in escrow and are not included in the Company’s purchase accounting as of March 30, 2008. Any additional purchase consideration related to these contingencies is expected to be recorded as goodwill.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4: Goodwill and Other Intangible Assets.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non-compete agreements, trademarks and databases, with amortization periods up to ten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March 30, 2008 and December 30, 2007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Goodwill</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$1,840,826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$1,542,424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5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694,110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4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114,420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511,044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2,138,312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2007</w:t>
            </w:r>
          </w:p>
        </w:tc>
        <w:tc>
          <w:tcPr>
            <w:tcW w:w="4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vMerge w:val="continue"/>
          </w:tcPr>
          <w:p>
            <w:pPr>
              <w:spacing w:after="0"/>
              <w:rPr>
                <w:sz w:val="18"/>
                <w:szCs w:val="18"/>
                <w:color w:val="auto"/>
              </w:rPr>
            </w:pPr>
          </w:p>
        </w:tc>
        <w:tc>
          <w:tcPr>
            <w:tcW w:w="4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$1,796,639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5420" w:type="dxa"/>
            <w:vAlign w:val="bottom"/>
            <w:gridSpan w:val="3"/>
          </w:tcPr>
          <w:p>
            <w:pPr>
              <w:jc w:val="right"/>
              <w:ind w:right="220"/>
              <w:spacing w:after="0"/>
              <w:rPr>
                <w:sz w:val="20"/>
                <w:szCs w:val="20"/>
                <w:color w:val="auto"/>
              </w:rPr>
            </w:pPr>
            <w:r>
              <w:rPr>
                <w:rFonts w:ascii="Arial" w:cs="Arial" w:eastAsia="Arial" w:hAnsi="Arial"/>
                <w:sz w:val="18"/>
                <w:szCs w:val="18"/>
                <w:color w:val="auto"/>
              </w:rPr>
              <w:t>684,711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520,905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4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Pr>
          <w:p>
            <w:pPr>
              <w:spacing w:after="0"/>
              <w:rPr>
                <w:sz w:val="19"/>
                <w:szCs w:val="19"/>
                <w:color w:val="auto"/>
              </w:rPr>
            </w:pPr>
          </w:p>
        </w:tc>
        <w:tc>
          <w:tcPr>
            <w:tcW w:w="5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2,596,013</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506,434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2,089,579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20" w:type="dxa"/>
            <w:vAlign w:val="bottom"/>
            <w:vMerge w:val="restart"/>
          </w:tcPr>
          <w:p>
            <w:pPr>
              <w:jc w:val="right"/>
              <w:ind w:right="2772"/>
              <w:spacing w:after="0"/>
              <w:rPr>
                <w:sz w:val="20"/>
                <w:szCs w:val="20"/>
                <w:color w:val="auto"/>
              </w:rPr>
            </w:pPr>
            <w:r>
              <w:rPr>
                <w:rFonts w:ascii="Arial" w:cs="Arial" w:eastAsia="Arial" w:hAnsi="Arial"/>
                <w:sz w:val="18"/>
                <w:szCs w:val="18"/>
                <w:color w:val="auto"/>
              </w:rPr>
              <w:t>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March 30, 2008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rPr>
              <w:t>Goodwill, Net</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8"/>
          </w:tcPr>
          <w:p>
            <w:pPr>
              <w:jc w:val="right"/>
              <w:ind w:right="460"/>
              <w:spacing w:after="0" w:line="129" w:lineRule="exact"/>
              <w:rPr>
                <w:sz w:val="20"/>
                <w:szCs w:val="20"/>
                <w:color w:val="auto"/>
              </w:rPr>
            </w:pPr>
            <w:r>
              <w:rPr>
                <w:rFonts w:ascii="Arial" w:cs="Arial" w:eastAsia="Arial" w:hAnsi="Arial"/>
                <w:sz w:val="14"/>
                <w:szCs w:val="14"/>
                <w:b w:val="1"/>
                <w:bCs w:val="1"/>
                <w:color w:val="auto"/>
                <w:w w:val="87"/>
              </w:rPr>
              <w:t>Foreign Currency</w:t>
            </w:r>
          </w:p>
        </w:tc>
        <w:tc>
          <w:tcPr>
            <w:tcW w:w="7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1"/>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Beginning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8"/>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Exchange Rate</w:t>
            </w:r>
          </w:p>
        </w:tc>
        <w:tc>
          <w:tcPr>
            <w:tcW w:w="7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120"/>
              <w:spacing w:after="0"/>
              <w:rPr>
                <w:sz w:val="20"/>
                <w:szCs w:val="20"/>
                <w:color w:val="auto"/>
              </w:rPr>
            </w:pPr>
            <w:r>
              <w:rPr>
                <w:rFonts w:ascii="Arial" w:cs="Arial" w:eastAsia="Arial" w:hAnsi="Arial"/>
                <w:sz w:val="14"/>
                <w:szCs w:val="14"/>
                <w:b w:val="1"/>
                <w:bCs w:val="1"/>
                <w:color w:val="auto"/>
              </w:rPr>
              <w:t>of Year</w:t>
            </w:r>
          </w:p>
        </w:tc>
        <w:tc>
          <w:tcPr>
            <w:tcW w:w="42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92"/>
              </w:rPr>
              <w:t>Acquisitions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Changes</w:t>
            </w:r>
          </w:p>
        </w:tc>
        <w:tc>
          <w:tcPr>
            <w:tcW w:w="8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$1,020,177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7"/>
              </w:rPr>
              <w:t>32,493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11,550</w:t>
            </w: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$1,064,220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Newspaper Publishing</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81,169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Magazine Publishing</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1,498,237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7"/>
              </w:rPr>
              <w:t>32,637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11,550</w:t>
            </w: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1,542,424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4"/>
          </w:tcPr>
          <w:p>
            <w:pPr>
              <w:ind w:left="40"/>
              <w:spacing w:after="0"/>
              <w:rPr>
                <w:sz w:val="20"/>
                <w:szCs w:val="20"/>
                <w:color w:val="auto"/>
              </w:rPr>
            </w:pPr>
            <w:r>
              <w:rPr>
                <w:rFonts w:ascii="Arial" w:cs="Arial" w:eastAsia="Arial" w:hAnsi="Arial"/>
                <w:sz w:val="14"/>
                <w:szCs w:val="14"/>
                <w:b w:val="1"/>
                <w:bCs w:val="1"/>
                <w:color w:val="auto"/>
              </w:rPr>
              <w:t>Indefinite-Lived Intangible Assets, Net</w:t>
            </w: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4"/>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Beginning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March 30,</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of Year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8"/>
              </w:rPr>
              <w:t>9,262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Newspaper Publishing</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Magazine Publishing</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511,643</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9,399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520,905</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4"/>
          </w:tcPr>
          <w:p>
            <w:pPr>
              <w:jc w:val="center"/>
              <w:ind w:left="420"/>
              <w:spacing w:after="0"/>
              <w:rPr>
                <w:sz w:val="20"/>
                <w:szCs w:val="20"/>
                <w:color w:val="auto"/>
              </w:rPr>
            </w:pPr>
            <w:r>
              <w:rPr>
                <w:rFonts w:ascii="Arial" w:cs="Arial" w:eastAsia="Arial" w:hAnsi="Arial"/>
                <w:sz w:val="14"/>
                <w:szCs w:val="14"/>
                <w:b w:val="1"/>
                <w:bCs w:val="1"/>
                <w:color w:val="auto"/>
                <w:w w:val="86"/>
              </w:rPr>
              <w:t>Amortized Intangible Assets, Net</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jc w:val="right"/>
              <w:ind w:right="560"/>
              <w:spacing w:after="0" w:line="129" w:lineRule="exact"/>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Exchange Rate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Beginning</w:t>
            </w:r>
          </w:p>
        </w:tc>
        <w:tc>
          <w:tcPr>
            <w:tcW w:w="46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Acquisitions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Changes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of Year</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9"/>
              </w:rPr>
              <w:t>Additions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4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5"/>
              </w:rPr>
              <w:t>other</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$ 36,822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$ 33,939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Newspaper Publishing</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4,240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9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Magazine Publishing</w:t>
            </w:r>
          </w:p>
        </w:tc>
        <w:tc>
          <w:tcPr>
            <w:tcW w:w="142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1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28,294</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92"/>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$ 70,437</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color w:val="auto"/>
              </w:rPr>
              <w:t>(4,610)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$ 65,584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8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April 1, 2007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Goodwill, Net</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8"/>
          </w:tcPr>
          <w:p>
            <w:pPr>
              <w:jc w:val="right"/>
              <w:ind w:right="460"/>
              <w:spacing w:after="0" w:line="129" w:lineRule="exact"/>
              <w:rPr>
                <w:sz w:val="20"/>
                <w:szCs w:val="20"/>
                <w:color w:val="auto"/>
              </w:rPr>
            </w:pPr>
            <w:r>
              <w:rPr>
                <w:rFonts w:ascii="Arial" w:cs="Arial" w:eastAsia="Arial" w:hAnsi="Arial"/>
                <w:sz w:val="14"/>
                <w:szCs w:val="14"/>
                <w:b w:val="1"/>
                <w:bCs w:val="1"/>
                <w:color w:val="auto"/>
                <w:w w:val="87"/>
              </w:rPr>
              <w:t>Foreign Currency</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w w:val="81"/>
              </w:rPr>
              <w:t>Beginning</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8"/>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April 1,</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of Year</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88"/>
              </w:rPr>
              <w:t>Acquisitions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4"/>
              </w:rPr>
              <w:t>Changes</w:t>
            </w:r>
          </w:p>
        </w:tc>
        <w:tc>
          <w:tcPr>
            <w:tcW w:w="10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845,754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$ 109,174</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957,338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Newspaper Publishing</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79,739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Magazine Publishing</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1,240,251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$ 109,174</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1,351,835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13"/>
          </w:tcPr>
          <w:p>
            <w:pPr>
              <w:ind w:left="80"/>
              <w:spacing w:after="0"/>
              <w:rPr>
                <w:sz w:val="20"/>
                <w:szCs w:val="20"/>
                <w:color w:val="auto"/>
              </w:rPr>
            </w:pPr>
            <w:r>
              <w:rPr>
                <w:rFonts w:ascii="Arial" w:cs="Arial" w:eastAsia="Arial" w:hAnsi="Arial"/>
                <w:sz w:val="14"/>
                <w:szCs w:val="14"/>
                <w:b w:val="1"/>
                <w:bCs w:val="1"/>
                <w:color w:val="auto"/>
              </w:rPr>
              <w:t>Indefinite-Lived Intangible Assets, Net</w:t>
            </w: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gridSpan w:val="6"/>
          </w:tcPr>
          <w:p>
            <w:pPr>
              <w:ind w:left="40"/>
              <w:spacing w:after="0" w:line="129" w:lineRule="exact"/>
              <w:rPr>
                <w:sz w:val="20"/>
                <w:szCs w:val="20"/>
                <w:color w:val="auto"/>
              </w:rPr>
            </w:pPr>
            <w:r>
              <w:rPr>
                <w:rFonts w:ascii="Arial" w:cs="Arial" w:eastAsia="Arial" w:hAnsi="Arial"/>
                <w:sz w:val="14"/>
                <w:szCs w:val="14"/>
                <w:b w:val="1"/>
                <w:bCs w:val="1"/>
                <w:color w:val="auto"/>
                <w:w w:val="96"/>
              </w:rPr>
              <w:t>Beginning</w:t>
            </w: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1"/>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of Year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April 1,2007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7"/>
              </w:rPr>
              <w:t>9,262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Newspaper Publishing</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Magazine Publishing</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508,480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3,300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517,742</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3,300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1"/>
          </w:tcPr>
          <w:p>
            <w:pPr>
              <w:jc w:val="center"/>
              <w:ind w:left="112"/>
              <w:spacing w:after="0"/>
              <w:rPr>
                <w:sz w:val="20"/>
                <w:szCs w:val="20"/>
                <w:color w:val="auto"/>
              </w:rPr>
            </w:pPr>
            <w:r>
              <w:rPr>
                <w:rFonts w:ascii="Arial" w:cs="Arial" w:eastAsia="Arial" w:hAnsi="Arial"/>
                <w:sz w:val="14"/>
                <w:szCs w:val="14"/>
                <w:b w:val="1"/>
                <w:bCs w:val="1"/>
                <w:color w:val="auto"/>
                <w:w w:val="87"/>
              </w:rPr>
              <w:t>Amortized Intangible Assets, Net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9"/>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Foreign Currency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8"/>
          </w:tcPr>
          <w:p>
            <w:pPr>
              <w:jc w:val="right"/>
              <w:ind w:right="620"/>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Beginning</w:t>
            </w:r>
          </w:p>
        </w:tc>
        <w:tc>
          <w:tcPr>
            <w:tcW w:w="520" w:type="dxa"/>
            <w:vAlign w:val="bottom"/>
          </w:tcPr>
          <w:p>
            <w:pPr>
              <w:spacing w:after="0"/>
              <w:rPr>
                <w:sz w:val="12"/>
                <w:szCs w:val="12"/>
                <w:color w:val="auto"/>
              </w:rPr>
            </w:pPr>
          </w:p>
        </w:tc>
        <w:tc>
          <w:tcPr>
            <w:tcW w:w="1240" w:type="dxa"/>
            <w:vAlign w:val="bottom"/>
            <w:gridSpan w:val="4"/>
          </w:tcPr>
          <w:p>
            <w:pPr>
              <w:jc w:val="right"/>
              <w:ind w:right="412"/>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6"/>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Changes</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of Year</w:t>
            </w:r>
          </w:p>
        </w:tc>
        <w:tc>
          <w:tcPr>
            <w:tcW w:w="520" w:type="dxa"/>
            <w:vAlign w:val="bottom"/>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and Additions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300" w:type="dxa"/>
            <w:vAlign w:val="bottom"/>
            <w:gridSpan w:val="3"/>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4"/>
                <w:szCs w:val="14"/>
                <w:b w:val="1"/>
                <w:bCs w:val="1"/>
                <w:color w:val="auto"/>
                <w:w w:val="87"/>
              </w:rPr>
              <w:t>and other</w:t>
            </w:r>
          </w:p>
        </w:tc>
        <w:tc>
          <w:tcPr>
            <w:tcW w:w="540" w:type="dxa"/>
            <w:vAlign w:val="bottom"/>
            <w:gridSpan w:val="3"/>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April 1, 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$ 25,270</w:t>
            </w: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(2,268)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Newspaper Publishing</w:t>
            </w:r>
          </w:p>
        </w:tc>
        <w:tc>
          <w:tcPr>
            <w:tcW w:w="600" w:type="dxa"/>
            <w:vAlign w:val="bottom"/>
          </w:tcPr>
          <w:p>
            <w:pPr>
              <w:jc w:val="right"/>
              <w:spacing w:after="0"/>
              <w:rPr>
                <w:sz w:val="20"/>
                <w:szCs w:val="20"/>
                <w:color w:val="auto"/>
              </w:rPr>
            </w:pPr>
            <w:r>
              <w:rPr>
                <w:rFonts w:ascii="Arial" w:cs="Arial" w:eastAsia="Arial" w:hAnsi="Arial"/>
                <w:sz w:val="18"/>
                <w:szCs w:val="18"/>
                <w:color w:val="auto"/>
              </w:rPr>
              <w:t>5,508</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52"/>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Magazine Publishing</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52"/>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$ 31,799</w:t>
            </w: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(2,732)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5: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March 30,</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2008</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467.1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(467.0)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Company’s commercial paper borrowings at March 30, 2008 and December 30, 2007 were at average interest rates of 2.3 percent and 4.5 percent, respectively. The commercial paper borrowings have various maturities through the second quarter of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$399.8 million unsecured notes that are due February 15, 2009 are now classified as current liabilities at March 30, 2008.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other indebtedness at March 30, 2008 and December 30, 2007 is at interest rates of 5% to 8% and matures from 2008 to 2010.</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2008 and 2007, the Company had average borrowings outstanding of approximately $490.8 million and $404.9 million, respectively, at average annual interest rates of approximately 5.0 percent and 5.5 percent, respectively. During the first quarter of 2008 and 2007, the Company incurred net interest expense of $4.4 million and $2.6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6: 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earnings per share (basic and diluted) for the first quarters of 2008 and 2007, are presented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8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March 30,</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8"/>
              </w:rPr>
              <w:t>April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38,794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9,484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first quarter 2008 and 2007 diluted earnings per share amount excludes the effects of 11,875 stock options outstanding and 7,500 stock options outstanding, respectively, as their inclusion would be antidilutive.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7: Pension and Postretirement Plans.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total cost (income) arising from the Company’s defined benefit pension plans for the first quarters ended March 30, 2008 and April 1, 2007, consists of the following components (in thousands):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4"/>
                <w:szCs w:val="14"/>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b w:val="1"/>
                <w:bCs w:val="1"/>
                <w:color w:val="auto"/>
                <w:w w:val="89"/>
              </w:rPr>
              <w:t>SERP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2"/>
              </w:rPr>
              <w:t>March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8"/>
              </w:rPr>
              <w:t>April 1,</w:t>
            </w:r>
          </w:p>
        </w:tc>
        <w:tc>
          <w:tcPr>
            <w:tcW w:w="380" w:type="dxa"/>
            <w:vAlign w:val="bottom"/>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30,</w:t>
            </w: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(24,427)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(21,627)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Recognized actuarial (gain) loss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22,524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cost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15,909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total cost arising from the Company’s postretirement plan for the first quarters ended March 30, 2008 and April 1, 2007, consists of the following components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Postretirement Plans</w:t>
            </w:r>
          </w:p>
        </w:tc>
      </w:tr>
      <w:tr>
        <w:trPr>
          <w:trHeight w:val="129"/>
        </w:trPr>
        <w:tc>
          <w:tcPr>
            <w:tcW w:w="7700" w:type="dxa"/>
            <w:vAlign w:val="bottom"/>
          </w:tcPr>
          <w:p>
            <w:pPr>
              <w:spacing w:after="0"/>
              <w:rPr>
                <w:sz w:val="11"/>
                <w:szCs w:val="11"/>
                <w:color w:val="auto"/>
              </w:rPr>
            </w:pPr>
          </w:p>
        </w:tc>
        <w:tc>
          <w:tcPr>
            <w:tcW w:w="12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30,</w:t>
            </w: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r>
      <w:tr>
        <w:trPr>
          <w:trHeight w:val="161"/>
        </w:trPr>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4"/>
                <w:szCs w:val="14"/>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1,227</w:t>
            </w: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(1,286)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(1,176)</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2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Newsweek offered a Voluntary Retirement Incentive Program to certain employees in February 2008 and 115 employees have accepted the offer. The early retirement program expense is estimated at $33.0 million, which will be funded primarily from the assets of the Company’s pension plans. Of this amount, $24.6 million was recorded in the first quarter of 2008 and the remainder will be recorded in the second quarter of 2008.</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offered a Voluntary Retirement Incentive Program in March 2008 to some employees of The Washington Post newspaper and the corporate office. The early retirement program will be completed in the second quarter of 2008, and the related cost will be funded primarily from the assets of the Company’s pension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8: Other Non-Operating Income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2008 and 2007, the Company recorded other non-operating income, net, of $4.1 million and $0.8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thirteen weeks ended March 30, 2008 and April 1, 2007, is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5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$ 0.8</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losses, net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w:t>
            </w:r>
          </w:p>
        </w:tc>
        <w:tc>
          <w:tcPr>
            <w:tcW w:w="5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$ 0.8</w:t>
            </w:r>
          </w:p>
        </w:tc>
      </w:tr>
      <w:tr>
        <w:trPr>
          <w:trHeight w:val="20"/>
        </w:trPr>
        <w:tc>
          <w:tcPr>
            <w:tcW w:w="8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9: Contingencies.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previously disclosed in the 2007 Annual Report, in February 2008, Kaplan, Inc. was served with a purported class action lawsuit alleging similar claims as a previously settled lawsuit. The putative class is said to include all persons who purchased a bar review course from BAR/BRI in the United States since 2006 and all potential future purchasers of bar review courses. In April 2008, the case was dismissed by the U.S. District Court for the Central District of California.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10: Fair Value Measurements.</w:t>
      </w:r>
    </w:p>
    <w:p>
      <w:pPr>
        <w:spacing w:after="0" w:line="90"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In accordance with SFAS 157, a fair value measurement is determined based on the assumptions that a market participant would use in pricing an asset or liability. SFAS 157 also established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firstLine="8"/>
        <w:spacing w:after="0" w:line="254"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March 30, 2008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Fair Value Measurements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90"/>
              </w:rPr>
              <w:t>March 30, 2008</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Identical Items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30, 2008</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(Level 1)</w:t>
            </w:r>
          </w:p>
        </w:tc>
        <w:tc>
          <w:tcPr>
            <w:tcW w:w="2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line="217" w:lineRule="exact"/>
              <w:rPr>
                <w:sz w:val="20"/>
                <w:szCs w:val="20"/>
                <w:color w:val="auto"/>
              </w:rPr>
            </w:pPr>
            <w:r>
              <w:rPr>
                <w:rFonts w:ascii="Arial" w:cs="Arial" w:eastAsia="Arial" w:hAnsi="Arial"/>
                <w:sz w:val="18"/>
                <w:szCs w:val="18"/>
                <w:color w:val="auto"/>
              </w:rPr>
              <w:t>Marketable equity securities</w:t>
            </w:r>
            <w:r>
              <w:rPr>
                <w:rFonts w:ascii="Arial" w:cs="Arial" w:eastAsia="Arial" w:hAnsi="Arial"/>
                <w:sz w:val="22"/>
                <w:szCs w:val="22"/>
                <w:color w:val="auto"/>
                <w:vertAlign w:val="superscript"/>
              </w:rPr>
              <w:t>(1)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85,523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396,523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396,523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482,046</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482,046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Total financial liabilities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82,261</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82,261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The Company’s investments in marketable equity securities are classified as available-for-sale.</w:t>
      </w:r>
    </w:p>
    <w:p>
      <w:pPr>
        <w:ind w:left="460" w:right="520" w:hanging="452"/>
        <w:spacing w:after="0" w:line="238"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Includes The Washington Post Company Deferred Compensation Plan and supplemental savings plan benefits under The Washington Post Company Supplemental Executive Retirement Plan.</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11: Business Segments.</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2008 and 2007 asset information is as of March 30, 2008 and December 30,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7"/>
              </w:rPr>
              <w:t>Businesses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Television</w:t>
            </w:r>
          </w:p>
        </w:tc>
        <w:tc>
          <w:tcPr>
            <w:tcW w:w="6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Cable</w:t>
            </w:r>
          </w:p>
        </w:tc>
        <w:tc>
          <w:tcPr>
            <w:tcW w:w="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Corporate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Intersegment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Education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Broadcasting</w:t>
            </w:r>
          </w:p>
        </w:tc>
        <w:tc>
          <w:tcPr>
            <w:tcW w:w="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Television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Office</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3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543,256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$206,090</w:t>
            </w:r>
          </w:p>
        </w:tc>
        <w:tc>
          <w:tcPr>
            <w:tcW w:w="160" w:type="dxa"/>
            <w:vAlign w:val="bottom"/>
          </w:tcPr>
          <w:p>
            <w:pPr>
              <w:spacing w:after="0"/>
              <w:rPr>
                <w:sz w:val="18"/>
                <w:szCs w:val="18"/>
                <w:color w:val="auto"/>
              </w:rPr>
            </w:pPr>
          </w:p>
        </w:tc>
        <w:tc>
          <w:tcPr>
            <w:tcW w:w="820" w:type="dxa"/>
            <w:vAlign w:val="bottom"/>
            <w:gridSpan w:val="3"/>
          </w:tcPr>
          <w:p>
            <w:pPr>
              <w:ind w:left="120"/>
              <w:spacing w:after="0"/>
              <w:rPr>
                <w:sz w:val="20"/>
                <w:szCs w:val="20"/>
                <w:color w:val="auto"/>
              </w:rPr>
            </w:pPr>
            <w:r>
              <w:rPr>
                <w:rFonts w:ascii="Arial" w:cs="Arial" w:eastAsia="Arial" w:hAnsi="Arial"/>
                <w:sz w:val="18"/>
                <w:szCs w:val="18"/>
                <w:color w:val="auto"/>
                <w:w w:val="96"/>
              </w:rPr>
              <w:t>$ 77,668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53,388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174,257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9,459</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95"/>
              </w:rPr>
              <w:t>(978)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$1,063,140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$ 26,604</w:t>
            </w: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7"/>
              </w:rPr>
              <w:t>$ (32,330)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34,285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16,299</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10,484</w:t>
            </w:r>
          </w:p>
        </w:tc>
        <w:tc>
          <w:tcPr>
            <w:tcW w:w="160" w:type="dxa"/>
            <w:vAlign w:val="bottom"/>
          </w:tcPr>
          <w:p>
            <w:pPr>
              <w:spacing w:after="0" w:line="20" w:lineRule="exact"/>
              <w:rPr>
                <w:sz w:val="1"/>
                <w:szCs w:val="1"/>
                <w:color w:val="auto"/>
              </w:rPr>
            </w:pPr>
          </w:p>
        </w:tc>
        <w:tc>
          <w:tcPr>
            <w:tcW w:w="2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2,198</w:t>
            </w: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524</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30,824</w:t>
            </w:r>
          </w:p>
        </w:tc>
        <w:tc>
          <w:tcPr>
            <w:tcW w:w="18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880" w:type="dxa"/>
            <w:vAlign w:val="bottom"/>
            <w:gridSpan w:val="4"/>
          </w:tcPr>
          <w:p>
            <w:pPr>
              <w:ind w:left="60"/>
              <w:spacing w:after="0"/>
              <w:rPr>
                <w:sz w:val="20"/>
                <w:szCs w:val="20"/>
                <w:color w:val="auto"/>
              </w:rPr>
            </w:pPr>
            <w:r>
              <w:rPr>
                <w:rFonts w:ascii="Arial" w:cs="Arial" w:eastAsia="Arial" w:hAnsi="Arial"/>
                <w:sz w:val="18"/>
                <w:szCs w:val="18"/>
                <w:color w:val="auto"/>
                <w:w w:val="97"/>
              </w:rPr>
              <w:t>$ (12,699)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1,895,581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$830,583</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$458,997</w:t>
            </w: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$818,948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1,214,041</w:t>
            </w:r>
          </w:p>
        </w:tc>
        <w:tc>
          <w:tcPr>
            <w:tcW w:w="8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$ 151,119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$5,369,269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482,046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5,955,668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7"/>
              </w:rPr>
              <w:t>Businesses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Television</w:t>
            </w:r>
          </w:p>
        </w:tc>
        <w:tc>
          <w:tcPr>
            <w:tcW w:w="6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Cable</w:t>
            </w:r>
          </w:p>
        </w:tc>
        <w:tc>
          <w:tcPr>
            <w:tcW w:w="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Corporate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Intersegment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Education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Broadcasting</w:t>
            </w:r>
          </w:p>
        </w:tc>
        <w:tc>
          <w:tcPr>
            <w:tcW w:w="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Television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Office</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475,781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$219,154</w:t>
            </w:r>
          </w:p>
        </w:tc>
        <w:tc>
          <w:tcPr>
            <w:tcW w:w="160" w:type="dxa"/>
            <w:vAlign w:val="bottom"/>
          </w:tcPr>
          <w:p>
            <w:pPr>
              <w:spacing w:after="0"/>
              <w:rPr>
                <w:sz w:val="18"/>
                <w:szCs w:val="18"/>
                <w:color w:val="auto"/>
              </w:rPr>
            </w:pPr>
          </w:p>
        </w:tc>
        <w:tc>
          <w:tcPr>
            <w:tcW w:w="820" w:type="dxa"/>
            <w:vAlign w:val="bottom"/>
            <w:gridSpan w:val="3"/>
          </w:tcPr>
          <w:p>
            <w:pPr>
              <w:ind w:left="120"/>
              <w:spacing w:after="0"/>
              <w:rPr>
                <w:sz w:val="20"/>
                <w:szCs w:val="20"/>
                <w:color w:val="auto"/>
              </w:rPr>
            </w:pPr>
            <w:r>
              <w:rPr>
                <w:rFonts w:ascii="Arial" w:cs="Arial" w:eastAsia="Arial" w:hAnsi="Arial"/>
                <w:sz w:val="18"/>
                <w:szCs w:val="18"/>
                <w:color w:val="auto"/>
                <w:w w:val="96"/>
              </w:rPr>
              <w:t>$ 80,834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61,243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148,975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95"/>
              </w:rPr>
              <w:t>(379)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985,608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14,926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29,411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28,019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14,053</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9,244</w:t>
            </w:r>
          </w:p>
        </w:tc>
        <w:tc>
          <w:tcPr>
            <w:tcW w:w="160" w:type="dxa"/>
            <w:vAlign w:val="bottom"/>
          </w:tcPr>
          <w:p>
            <w:pPr>
              <w:spacing w:after="0" w:line="20" w:lineRule="exact"/>
              <w:rPr>
                <w:sz w:val="1"/>
                <w:szCs w:val="1"/>
                <w:color w:val="auto"/>
              </w:rPr>
            </w:pPr>
          </w:p>
        </w:tc>
        <w:tc>
          <w:tcPr>
            <w:tcW w:w="2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2,358</w:t>
            </w: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541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26,888</w:t>
            </w:r>
          </w:p>
        </w:tc>
        <w:tc>
          <w:tcPr>
            <w:tcW w:w="18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8,489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1,930,525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$832,655</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$464,815</w:t>
            </w: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$837,527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1,205,374</w:t>
            </w:r>
          </w:p>
        </w:tc>
        <w:tc>
          <w:tcPr>
            <w:tcW w:w="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7"/>
              </w:rPr>
              <w:t>$161,755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$5,432,651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6,004,509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Higher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Test Prep</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5"/>
              </w:rPr>
              <w:t>Professional</w:t>
            </w:r>
          </w:p>
        </w:tc>
        <w:tc>
          <w:tcPr>
            <w:tcW w:w="1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4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940" w:type="dxa"/>
            <w:vAlign w:val="bottom"/>
            <w:gridSpan w:val="4"/>
          </w:tcPr>
          <w:p>
            <w:pPr>
              <w:jc w:val="right"/>
              <w:ind w:right="100"/>
              <w:spacing w:after="0"/>
              <w:rPr>
                <w:sz w:val="20"/>
                <w:szCs w:val="20"/>
                <w:color w:val="auto"/>
              </w:rPr>
            </w:pPr>
            <w:r>
              <w:rPr>
                <w:rFonts w:ascii="Arial" w:cs="Arial" w:eastAsia="Arial" w:hAnsi="Arial"/>
                <w:sz w:val="18"/>
                <w:szCs w:val="18"/>
                <w:color w:val="auto"/>
              </w:rPr>
              <w:t>$294,603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$135,875</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$ 112,593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543,256</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(7,384)</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46,731</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940" w:type="dxa"/>
            <w:vAlign w:val="bottom"/>
            <w:gridSpan w:val="4"/>
          </w:tcPr>
          <w:p>
            <w:pPr>
              <w:jc w:val="right"/>
              <w:ind w:right="100"/>
              <w:spacing w:after="0"/>
              <w:rPr>
                <w:sz w:val="20"/>
                <w:szCs w:val="20"/>
                <w:color w:val="auto"/>
              </w:rPr>
            </w:pPr>
            <w:r>
              <w:rPr>
                <w:rFonts w:ascii="Arial" w:cs="Arial" w:eastAsia="Arial" w:hAnsi="Arial"/>
                <w:sz w:val="18"/>
                <w:szCs w:val="18"/>
                <w:color w:val="auto"/>
              </w:rPr>
              <w:t>$641,374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$397,295</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$ 843,811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$ 13,101</w:t>
            </w:r>
          </w:p>
        </w:tc>
        <w:tc>
          <w:tcPr>
            <w:tcW w:w="16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1,895,581</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16,299</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2,840</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stock-based incentive compensation credit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(6,682)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w:t>
            </w:r>
          </w:p>
        </w:tc>
      </w:tr>
      <w:tr>
        <w:trPr>
          <w:trHeight w:val="35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Higher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Test Prep</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5"/>
              </w:rPr>
              <w:t>Professional</w:t>
            </w:r>
          </w:p>
        </w:tc>
        <w:tc>
          <w:tcPr>
            <w:tcW w:w="1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4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940" w:type="dxa"/>
            <w:vAlign w:val="bottom"/>
            <w:gridSpan w:val="4"/>
          </w:tcPr>
          <w:p>
            <w:pPr>
              <w:jc w:val="right"/>
              <w:ind w:right="100"/>
              <w:spacing w:after="0"/>
              <w:rPr>
                <w:sz w:val="20"/>
                <w:szCs w:val="20"/>
                <w:color w:val="auto"/>
              </w:rPr>
            </w:pPr>
            <w:r>
              <w:rPr>
                <w:rFonts w:ascii="Arial" w:cs="Arial" w:eastAsia="Arial" w:hAnsi="Arial"/>
                <w:sz w:val="18"/>
                <w:szCs w:val="18"/>
                <w:color w:val="auto"/>
              </w:rPr>
              <w:t>$248,021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$134,279</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93,119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475,781</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14,631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5,831</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(22,365)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34,343</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940" w:type="dxa"/>
            <w:vAlign w:val="bottom"/>
            <w:gridSpan w:val="4"/>
          </w:tcPr>
          <w:p>
            <w:pPr>
              <w:jc w:val="right"/>
              <w:ind w:right="100"/>
              <w:spacing w:after="0"/>
              <w:rPr>
                <w:sz w:val="20"/>
                <w:szCs w:val="20"/>
                <w:color w:val="auto"/>
              </w:rPr>
            </w:pPr>
            <w:r>
              <w:rPr>
                <w:rFonts w:ascii="Arial" w:cs="Arial" w:eastAsia="Arial" w:hAnsi="Arial"/>
                <w:sz w:val="18"/>
                <w:szCs w:val="18"/>
                <w:color w:val="auto"/>
              </w:rPr>
              <w:t>$748,269</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$380,158</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$ 785,593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$ 16,505</w:t>
            </w:r>
          </w:p>
        </w:tc>
        <w:tc>
          <w:tcPr>
            <w:tcW w:w="16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1,930,525</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14,053</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2,268</w:t>
            </w:r>
          </w:p>
        </w:tc>
        <w:tc>
          <w:tcPr>
            <w:tcW w:w="16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2,268</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$ 10,268</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10,268</w:t>
            </w: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Education products and services are provided through the Company’s subsidiary Kaplan, Inc. Kaplan’s businesses include higher education services, which includes Kaplan’s domestic and international post-secondary education businesses, including fixed facility colleges which offer bachelor’s degrees, associate’s degrees and diploma programs primarily in the fields of healthcare, business and information technology; and online post-secondary and career programs. Kaplan’s businesses also include domestic and international test preparation, which includes Kaplan’s standardized test prep and English-language course offerings, as well as K12 and Score!, which offer multi-media learning and private tutoring to children and educational resources to parents. Kaplan’s businesses also include Kaplan professional, which provides education and career services to business people and other professionals domestically and internationally. The education division’s primary segments are higher education, test prep and professional. Kaplan “Corporate Overhead and Other” is also included; “Other” includes Kaplan stock compensation expense and amortization of certain intangibles. Certain minor changes were made to Kaplan’s segment reporting in the third quarter of 2007 due to changes in the management structure, which are reflected in the first quarter 2007 Kaplan segment amounts.</w:t>
      </w:r>
    </w:p>
    <w:p>
      <w:pPr>
        <w:spacing w:after="0" w:line="12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Newspaper publishing includes the publication of newspapers in the Washington, D.C. area and Everett, Washington; newsprint warehousing and recycling facilities; and the majority of the Company’s online media publishing businesses (primarily washingtonpost.com).</w:t>
      </w:r>
    </w:p>
    <w:p>
      <w:pPr>
        <w:spacing w:after="0" w:line="8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 magazine, Newsweek, which has one domestic and three English-language international editions (and, in conjunction with others, publishes seven foreign-language editions around the world) and the publication of Arthur Frommer’s Budget Travel. The magazine publishing division also includes certain online media publishing businesses (newsweek.com and budgettravel.com).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first quarter of 2008, other businesses and corporate office includes the expenses associated with the Company’s corporate office and the operating results of CourseAdvisor. In the first quarter of 2007, other businesses and corporate office includes the expenses associated with the Company’s corporate office. CourseAdvisor is a lead generation provider for the post-secondary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income for the first quarter of 2008 was $39.3 million ($4.08 per share), down from net income of $64.4 million ($6.70 per share) in the first quarter of last year.</w:t>
      </w:r>
    </w:p>
    <w:p>
      <w:pPr>
        <w:spacing w:after="0" w:line="13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Results for the first quarter of 2008 included charges of $24.6 million related to early retirement program expense at Newsweek (after-tax impact of $15.3 million, or $1.60 per share). Results for the first quarter of 2007 included a significant increase in equity in earnings of affiliates primarily as a result of a large gain on the sale of land at the Company’s Bowater Mersey Paper Company Limited affiliate (after-tax impact of $8.5 million, or $0.89 per share).</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 for the first quarter of 2008 was $1,063.1 million, up 8% from $985.6 million in 2007. The increase is due to revenue growth at the education and cable television divisions, while revenues were down at the newspaper publishing, magazine publishing and television broadcasting divisions. Operating income for the quarter declined 27% to $66.9 million, from $92.0 million in 2007. Operating results were down at the newspaper publishing, magazine publishing and television broadcasting divisions, while the education and cable divisions reported improved results for the quarter.</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Excluding charges related to early retirement programs, the Company’s operating income for the first quarter of 2008 includes $6.6 million of net pension credits, compared to $5.0 million in the first quarter of 2007.</w:t>
      </w:r>
    </w:p>
    <w:p>
      <w:pPr>
        <w:spacing w:after="0" w:line="126"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b w:val="1"/>
          <w:bCs w:val="1"/>
          <w:color w:val="auto"/>
        </w:rPr>
        <w:t>Education Division</w:t>
      </w:r>
      <w:r>
        <w:rPr>
          <w:rFonts w:ascii="Arial" w:cs="Arial" w:eastAsia="Arial" w:hAnsi="Arial"/>
          <w:sz w:val="15"/>
          <w:szCs w:val="15"/>
          <w:color w:val="auto"/>
        </w:rPr>
        <w:t>. Education division revenue totaled $543.3 million for the first quarter of 2008, a 14% increase over revenue of $475.8 million for the first</w:t>
      </w:r>
      <w:r>
        <w:rPr>
          <w:rFonts w:ascii="Arial" w:cs="Arial" w:eastAsia="Arial" w:hAnsi="Arial"/>
          <w:sz w:val="15"/>
          <w:szCs w:val="15"/>
          <w:b w:val="1"/>
          <w:bCs w:val="1"/>
          <w:color w:val="auto"/>
        </w:rPr>
        <w:t xml:space="preserve"> </w:t>
      </w:r>
      <w:r>
        <w:rPr>
          <w:rFonts w:ascii="Arial" w:cs="Arial" w:eastAsia="Arial" w:hAnsi="Arial"/>
          <w:sz w:val="15"/>
          <w:szCs w:val="15"/>
          <w:color w:val="auto"/>
        </w:rPr>
        <w:t>quarter of 2007. Excluding revenue from acquired businesses, education division revenue increased 9% for the first quarter of 2008. Kaplan reported first quarter 2008 operating income of $46.7 million, an increase from $34.3 million in the first quarter of 2007. Operating income in the first quarter of 2008 includes a $6.7 million credit in stock compensation expense in the first quarter of 2008, compared to stock compensation expense of $10.3 million in the first quarter of 2007.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first quarter operating results compared to 2007 is as follows:</w:t>
      </w: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First Quarter</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9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294,603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248,021</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135,875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134,279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112,593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93,119</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543,256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475,781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5"/>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40" w:type="dxa"/>
            <w:vAlign w:val="bottom"/>
            <w:gridSpan w:val="5"/>
            <w:vMerge w:val="continue"/>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44,203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36,246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tcPr>
          <w:p>
            <w:pPr>
              <w:ind w:left="440"/>
              <w:spacing w:after="0"/>
              <w:rPr>
                <w:sz w:val="20"/>
                <w:szCs w:val="20"/>
                <w:color w:val="auto"/>
              </w:rPr>
            </w:pPr>
            <w:r>
              <w:rPr>
                <w:rFonts w:ascii="Arial" w:cs="Arial" w:eastAsia="Arial" w:hAnsi="Arial"/>
                <w:sz w:val="18"/>
                <w:szCs w:val="18"/>
                <w:color w:val="auto"/>
              </w:rPr>
              <w:t>Test preparation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14,631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tcPr>
          <w:p>
            <w:pPr>
              <w:ind w:left="440"/>
              <w:spacing w:after="0"/>
              <w:rPr>
                <w:sz w:val="20"/>
                <w:szCs w:val="20"/>
                <w:color w:val="auto"/>
              </w:rPr>
            </w:pPr>
            <w:r>
              <w:rPr>
                <w:rFonts w:ascii="Arial" w:cs="Arial" w:eastAsia="Arial" w:hAnsi="Arial"/>
                <w:sz w:val="18"/>
                <w:szCs w:val="18"/>
                <w:color w:val="auto"/>
              </w:rPr>
              <w:t>Kaplan corporate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(11,226)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(12,536)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46,731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620" w:right="2840" w:hanging="5166"/>
        <w:spacing w:after="0" w:line="440"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includes credits (charges) for stock-based incentive compensation and amortization of certain intangibles. 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Higher education includes Kaplan’s domestic and international post-secondary education businesses, including fixed-facility colleges as well as online post-secondary and career programs. Higher education revenue grew 19% for the first quarter of 2008. Enrollments increased 17% to 94,200 at March 31, 2008, compared to 80,500 at March 31, 2007, due primarily to enrollment growth in the online programs. Higher education results in the first quarter of 2008 include additional costs associated with the expansion of Kaplan’s online high school and international programs. Higher education results in the first quarter of 2007 were adversely affected by $2.7 million in lease termination charges.</w:t>
      </w:r>
    </w:p>
    <w:p>
      <w:pPr>
        <w:spacing w:after="0" w:line="1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 markets, certain lenders have announced that they will apply more stringent lending standards for non-Title IV private student loans. KHE estimates that approximately 9% of its domestic revenues come from non-Title IV private loans obtained by its students. To date, KHE has not been significantly impacted by the changes in the student loan market; however, continued tightening of the credit markets may result in financing difficulties for those students who rely on non-Title IV loans. Legislative and administrative efforts by both the U.S. Congress and the U.S. Department of Education are currently pending to help enhance stability in the U.S. student loan markets; however, the ultimate outcome of these efforts is uncertain.</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Test prep includes Kaplan’s standardized test preparation and English-language course offerings, as well as the K12 and Score! businesses. Test prep revenue, excluding Score!, grew 7% in the first quarter of 2008, largely due to growth in English-language programs. Score! revenues declined 46% as a result of the restructuring announced in the fourth quarter of 2007, which resulted in the closing of 75 Score! centers. After closings and consolidations, Score! operates 79 centers that focus on providing computer-assisted instruction and small-group tutoring. Operating income for test prep declined in the first quarter of 2008 due to higher sales and marketing costs for the English-language and traditional test preparation programs, along with continued weakness at Score!</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Professional includes Kaplan’s domestic and overseas professional businesses. Professional revenue grew 21% in the first quarter of 2008 largely due to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Australasia. Excluding revenue from acquired businesses, professional revenue grew 2% in the first quarter of 2008 due to revenue growth at Kaplan Professional (U.K.) and Kaplan Professional (Asia-Pacific), and from growth in the Schweser CFA exam course offerings, offset by continued declines in professional’s real estate book publishing and real estate course offerings. Operating income is down largely due to continued weakness in professional’s real estate businesses, and severance and other transition costs related to the restructuring of the Kaplan Professional (U.S.) businesses, which was announced in the fourth quarter of 2007. In connection with this restructuring, product changes are being implemented and certain operations are being decentralized, in addition to employee terminations. The restructuring has largely been completed; $1.4 million in severance costs were recorded in the first quarter of 2008, and additional severance costs of an estimated $1.8 million are expected to be incurred during the remainder of 2008.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Other includes (credits) charges for incentive compensation arising from equity awards under the Kaplan stock option plan, which was established for certain members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Kaplan’s management. Under the plan, the amount of compensation (credit) expense varies directly with the estimated fair value of Kaplan’s common stock, which is based on a comparison of operating results and public market values of other education companies. In the first quarter of 2008, Kaplan reversed a portion of the accrual related to this plan, resulting in a stock compensation credit of $6.7 million, compared to stock compensation expense of $10.3 million in the first quarter of 2007. The credit reflects a decline in the estimated fair value of Kaplan’s common stock, due largely to an overall decrease in the public market values of other education companies. In addition, Other includes amortization of certain intangibles, which increased due to recent Kaplan acquisitions.</w:t>
      </w:r>
    </w:p>
    <w:p>
      <w:pPr>
        <w:spacing w:after="0" w:line="110"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$206.1 million for the first quarter of 2008, a 6% decline from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$219.2 million for the first quarter of 2007. Division operating income was $1.2 million, down from $14.9 million in 2007. The decrease in operating income reflects the continued decline in division revenues, while expenses were flat, despite a 13% reduction in newsprint expense.</w:t>
      </w:r>
    </w:p>
    <w:p>
      <w:pPr>
        <w:spacing w:after="0" w:line="10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Print advertising revenue at The Post decreased 11% to $111.6 million, from $125.1 million in 2007. This decline is primarily due to a sharp reduction in classified advertising, along with declines in general and retail.</w:t>
      </w:r>
    </w:p>
    <w:p>
      <w:pPr>
        <w:spacing w:after="0" w:line="13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For the first quarter of 2008, Post daily and Sunday circulation declined 3.6% and 4.3%, respectively, compared to the first quarter of 2007. Average daily circulation totaled 638,300, and average Sunday circulation totaled 886,000.</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8% to $27.1 million for the first quarter of 2008, versus $25.1 million for the first quarter of 2007. Display online advertising revenue grew 17%, and online classified advertising revenue on washingtonpost.com increased 2%. A small portion of the Company’s online publishing revenues is included in the magazine publishing division.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previously announced, the Company offered a Voluntary Retirement Incentive Program in March 2008 to some employees of The Washington Post newspaper and the corporate office. The early retirement program will be completed in the second quarter of 2008, and the related cost will be funded primarily from the assets of the Company’s pension plans. Also as previously announced, The Post will close its College Park, MD, printing plant in early 2010, after two presses are moved to The Post’s Springfield, VA, plant.</w:t>
      </w:r>
    </w:p>
    <w:p>
      <w:pPr>
        <w:spacing w:after="0" w:line="137"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broadcast division declined 4% in the first quarter of 2008 to $77.7 million, from $80.8 million in 2007;</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for the first quarter of 2008 declined 10% to $26.6 million, from $29.4 million in 2007. The decrease in revenue and operating income is primarily due to soft advertising demand overall, offset by an increase of $2.8 million in political advertising revenue.</w:t>
      </w:r>
    </w:p>
    <w:p>
      <w:pPr>
        <w:spacing w:after="0" w:line="97"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$53.4 million for the first quarter of 2008, a 13% decrease from $61.2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first quarter of 2007. The decline is due to a 15% reduction in advertising revenue at Newsweek due in part to fewer ad pages at the domestic edition, but to a larger extent as a result of lower rates due to the previously announced circulation rate base reduction, from 3.1 million to 2.6 million. Subscription revenue at the domestic edition also declined due to the rate base reduction.</w:t>
      </w:r>
    </w:p>
    <w:p>
      <w:pPr>
        <w:spacing w:after="0" w:line="10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February 2008 and 115 employees have accepted the offer. The early retirement program expense is estimated at $33.0 million, which will be funded primarily from the assets of the Company’s pension plans. Of this amount, $24.6 million was recorded in the first quarter of 2008 and the remainder will be recorded in the second quarter of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division had an operating loss of $32.3 million in the first quarter of 2008, compared to an operating loss of $6.0 million in the first quarter of 2007, with the decline due primarily to $24.6 million in early retirement program expense and the revenue reductions discussed above, offset by a decline in subscription, manufacturing and distribution expenses at the domestic edition of Newsweek.</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Cable Television Division</w:t>
      </w:r>
      <w:r>
        <w:rPr>
          <w:rFonts w:ascii="Arial" w:cs="Arial" w:eastAsia="Arial" w:hAnsi="Arial"/>
          <w:sz w:val="18"/>
          <w:szCs w:val="18"/>
          <w:color w:val="auto"/>
        </w:rPr>
        <w:t>. Cable division revenue of $174.3 million for the first quarter of 2008 represents a 17% increase from $149.0 million in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2007. The 2008 revenue increase is due to continued growth in the division’s cable modem, telephone and digital revenues, as well as the $3.05 monthly rate increase in September 2007 for most high-speed data subscribers, and the January 2008 basic video cable service rate increase of $3.50 per month at nearly all of its systems. In January 2008, the cable division purchased approximately 6,600 subscribers in Winona, MS, which also had a favorable impact on revenue growth for the quarter.</w:t>
      </w:r>
    </w:p>
    <w:p>
      <w:pPr>
        <w:spacing w:after="0" w:line="145"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Cable division operating income increased 22% to $34.3 million in the first quarter of 2008, versus $28.0 million in the first quarter of 2007. The increase in operating income is due to the division’s revenue growth, offset by higher depreciation and programming expenses and increases in Internet and telephony costs.</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March 31, 2008, Revenue Generating Units (RGUs) grew 10% due to continued growth in high-speed data and telephony subscribers and increases in the basic video and digital video subscriber categories. The cable division began offering telephone service on a very limited basis in the second quarter of 2006; as of March 31, 2008, telephone service is being offered in all or part of systems representing 90% of homes passed. RGUs include about 7,000 subscribers who receive free basic cable service, primarily local governments, schools and other organizations as required by the various franchise agreements. A summary of RGUs is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71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711,049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Digital</w:t>
            </w:r>
          </w:p>
        </w:tc>
        <w:tc>
          <w:tcPr>
            <w:tcW w:w="7320" w:type="dxa"/>
            <w:vAlign w:val="bottom"/>
            <w:gridSpan w:val="3"/>
          </w:tcPr>
          <w:p>
            <w:pPr>
              <w:jc w:val="right"/>
              <w:ind w:right="200"/>
              <w:spacing w:after="0"/>
              <w:rPr>
                <w:sz w:val="20"/>
                <w:szCs w:val="20"/>
                <w:color w:val="auto"/>
              </w:rPr>
            </w:pPr>
            <w:r>
              <w:rPr>
                <w:rFonts w:ascii="Arial" w:cs="Arial" w:eastAsia="Arial" w:hAnsi="Arial"/>
                <w:sz w:val="18"/>
                <w:szCs w:val="18"/>
                <w:color w:val="auto"/>
              </w:rPr>
              <w:t>227,104</w:t>
            </w:r>
          </w:p>
        </w:tc>
        <w:tc>
          <w:tcPr>
            <w:tcW w:w="860" w:type="dxa"/>
            <w:vAlign w:val="bottom"/>
          </w:tcPr>
          <w:p>
            <w:pPr>
              <w:jc w:val="right"/>
              <w:spacing w:after="0"/>
              <w:rPr>
                <w:sz w:val="20"/>
                <w:szCs w:val="20"/>
                <w:color w:val="auto"/>
              </w:rPr>
            </w:pPr>
            <w:r>
              <w:rPr>
                <w:rFonts w:ascii="Arial" w:cs="Arial" w:eastAsia="Arial" w:hAnsi="Arial"/>
                <w:sz w:val="18"/>
                <w:szCs w:val="18"/>
                <w:color w:val="auto"/>
              </w:rPr>
              <w:t>220,542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356,543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Telephony</w:t>
            </w:r>
          </w:p>
        </w:tc>
        <w:tc>
          <w:tcPr>
            <w:tcW w:w="6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73,786</w:t>
            </w:r>
          </w:p>
        </w:tc>
        <w:tc>
          <w:tcPr>
            <w:tcW w:w="860" w:type="dxa"/>
            <w:vAlign w:val="bottom"/>
          </w:tcPr>
          <w:p>
            <w:pPr>
              <w:jc w:val="right"/>
              <w:spacing w:after="0"/>
              <w:rPr>
                <w:sz w:val="20"/>
                <w:szCs w:val="20"/>
                <w:color w:val="auto"/>
              </w:rPr>
            </w:pPr>
            <w:r>
              <w:rPr>
                <w:rFonts w:ascii="Arial" w:cs="Arial" w:eastAsia="Arial" w:hAnsi="Arial"/>
                <w:sz w:val="18"/>
                <w:szCs w:val="18"/>
                <w:color w:val="auto"/>
              </w:rPr>
              <w:t>10,009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1,368,482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2008 and 2007, as defined by the NCTA Standard Reporting Categories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Upgrade/Rebuild</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22"/>
        </w:trPr>
        <w:tc>
          <w:tcPr>
            <w:tcW w:w="938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25.1</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w:t>
            </w:r>
          </w:p>
        </w:tc>
      </w:tr>
      <w:tr>
        <w:trPr>
          <w:trHeight w:val="20"/>
        </w:trPr>
        <w:tc>
          <w:tcPr>
            <w:tcW w:w="9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Other Businesses and Corporate Office</w:t>
      </w:r>
      <w:r>
        <w:rPr>
          <w:rFonts w:ascii="Arial" w:cs="Arial" w:eastAsia="Arial" w:hAnsi="Arial"/>
          <w:sz w:val="16"/>
          <w:szCs w:val="16"/>
          <w:color w:val="auto"/>
        </w:rPr>
        <w:t>. In October 2007, the Company acquired the outstanding stock of CourseAdvisor, Inc., a premier online lead generation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headquartered in Wakefield, MA. Through its search engine marketing expertise and proprietary technology platform, CourseAdvisor generates student leads for the post-secondary education market. CourseAdvisor operates as an independent subsidiary of The Washington Post Company.</w:t>
      </w:r>
    </w:p>
    <w:p>
      <w:pPr>
        <w:spacing w:after="0" w:line="10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the first quarter of 2008, other businesses and corporate office included the expenses associated with the Company’s corporate office and the operating results of CourseAdvisor. In the first quarter of 2007, other businesses and corporate office included the expenses of the Company’s corporate office.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Revenue for other businesses (CourseAdvisor) totaled $9.5 million in the first quarter of 2008. Operating expenses were $19.0 million for the first quarter of 2008, from $8.7 million in the first quarter of 2007. The increase in expenses for 2008 is due to expenses from CourseAdvisor.</w:t>
      </w:r>
    </w:p>
    <w:p>
      <w:pPr>
        <w:spacing w:after="0" w:line="7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Equity in Earnings (Losses) of Affiliates</w:t>
      </w:r>
      <w:r>
        <w:rPr>
          <w:rFonts w:ascii="Arial" w:cs="Arial" w:eastAsia="Arial" w:hAnsi="Arial"/>
          <w:sz w:val="16"/>
          <w:szCs w:val="16"/>
          <w:color w:val="auto"/>
        </w:rPr>
        <w:t>. The Company’s equity in losses of affiliates for the first quarter of 2008 was $3.2 million, compared to earnings of</w:t>
      </w:r>
      <w:r>
        <w:rPr>
          <w:rFonts w:ascii="Arial" w:cs="Arial" w:eastAsia="Arial" w:hAnsi="Arial"/>
          <w:sz w:val="16"/>
          <w:szCs w:val="16"/>
          <w:b w:val="1"/>
          <w:bCs w:val="1"/>
          <w:color w:val="auto"/>
        </w:rPr>
        <w:t xml:space="preserve"> </w:t>
      </w:r>
      <w:r>
        <w:rPr>
          <w:rFonts w:ascii="Arial" w:cs="Arial" w:eastAsia="Arial" w:hAnsi="Arial"/>
          <w:sz w:val="16"/>
          <w:szCs w:val="16"/>
          <w:color w:val="auto"/>
        </w:rPr>
        <w:t>$9.1 million in the first quarter of 2007. In the first quarter of 2007, $8.9 million of the equity in earnings of affiliates was due to a gain on the sale of land at the Company’s Bowater Mersey Paper Company Limited affiliate. The Company holds a 49% interest in Bowater Mersey Paper Company.</w:t>
      </w:r>
    </w:p>
    <w:p>
      <w:pPr>
        <w:spacing w:after="0" w:line="9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Other Non-Operating Income (Expense)</w:t>
      </w:r>
      <w:r>
        <w:rPr>
          <w:rFonts w:ascii="Arial" w:cs="Arial" w:eastAsia="Arial" w:hAnsi="Arial"/>
          <w:sz w:val="18"/>
          <w:szCs w:val="18"/>
          <w:color w:val="auto"/>
        </w:rPr>
        <w:t>. The Company recorded other non-operating income, net, of $4.1 million for the first quarter of 2008,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 income, net, of $0.8 million for the first quarter of 2007.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thirteen weeks ended March 30, 2008 and April 1, 2007, is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5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$ 0.8</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losses, net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w:t>
            </w:r>
          </w:p>
        </w:tc>
        <w:tc>
          <w:tcPr>
            <w:tcW w:w="5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$ 0.8</w:t>
            </w:r>
          </w:p>
        </w:tc>
      </w:tr>
      <w:tr>
        <w:trPr>
          <w:trHeight w:val="20"/>
        </w:trPr>
        <w:tc>
          <w:tcPr>
            <w:tcW w:w="8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Net Interest Expense</w:t>
      </w:r>
      <w:r>
        <w:rPr>
          <w:rFonts w:ascii="Arial" w:cs="Arial" w:eastAsia="Arial" w:hAnsi="Arial"/>
          <w:sz w:val="16"/>
          <w:szCs w:val="16"/>
          <w:color w:val="auto"/>
        </w:rPr>
        <w:t>. The Company incurred net interest expense of $4.4 million for the first quarter of 2008, compared to $2.6 million for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2007. The increase is due to a decline in interest income, as well as higher average borrowings in the first quarter of 2008 versus the same period of the prior year. At March 30, 2008, the Company had $467.1 million in borrowings outstanding, at an average interest rate of 5.0%.</w:t>
      </w:r>
    </w:p>
    <w:p>
      <w:pPr>
        <w:spacing w:after="0" w:line="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first quarter of 2008 was 37.9%, compared to 35.1% for the same period of 2007. The 2007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rate was impacted by lower taxes provided on the gain on the sale of land at the Company’s Bowater Mersey Paper Company Limited affiliate investment. Excluding this gain, the effective tax rate for the first quarter of 2007 was 38.0%.</w:t>
      </w:r>
    </w:p>
    <w:p>
      <w:pPr>
        <w:spacing w:after="0" w:line="13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first quarter of 2008 was based on 9,512,966 weighted average shares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9,547,097 for the first quarter of 2007. The Company repurchased 2,604 shares of its Class B common stock at a cost of $1.8 million during the first quarter of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In the first quarter of 2008, Kaplan acquired two businesses in their professional and test preparation divisions totaling $31.4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addition, the cable division acquired subscribers in the Winona, Mississippi area for $15.4 million. Most of the purchase price for these acquisitions has been allocated to goodwill and other intangibles on a preliminary basis.</w:t>
      </w:r>
    </w:p>
    <w:p>
      <w:pPr>
        <w:spacing w:after="0" w:line="13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2007, Kaplan purchased a 40% interest in ACE Education, a provider of education in China that provides preparation courses for entry to U.K. universities, along with degree and professional training programs at campuses throughout China. In the first quarter of 2008, Kaplan exercised an option to increase its investment in ACE Education to a majority interest. This transaction is expected to close in the second quarter.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the first quarter of 2007, Kaplan acquired two businesses in their professional division totaling $115.8 million. These acquisitions included EduNeering Holdings, Inc., a Princeton, N.J. based provider of knowledge management solutions for organizations in the pharmaceutical, medical device, healthcare, energy and manufacturing sectors. In addition, the cable division acquired subscribers in the Boise, Idaho area for $4.1 million.</w:t>
      </w:r>
    </w:p>
    <w:p>
      <w:pPr>
        <w:spacing w:after="0" w:line="10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connection with certain 2007 acquisitions, additional purchase consideration of approximately $22 million is contingent on the achievement of certain future operating results; such amounts have largely been funded in escrow and are not included in the Company’s purchase accounting as of March 30, 2008. Any additional purchase consideration related to these contingencies is expected to be recorded as goodwill.</w:t>
      </w:r>
    </w:p>
    <w:p>
      <w:pPr>
        <w:spacing w:after="0" w:line="10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three months of 2008, the Company’s capital expenditures totaled $60.1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$325 million to $350 million in 2008.</w:t>
      </w:r>
    </w:p>
    <w:p>
      <w:pPr>
        <w:spacing w:after="0" w:line="12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decreased by $23.0 million, to $467.1 million at March 30, 2008, as compared to borrowings of $490.1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30, 2007</w:t>
      </w:r>
      <w:r>
        <w:rPr>
          <w:rFonts w:ascii="Arial" w:cs="Arial" w:eastAsia="Arial" w:hAnsi="Arial"/>
          <w:sz w:val="18"/>
          <w:szCs w:val="18"/>
          <w:i w:val="1"/>
          <w:iCs w:val="1"/>
          <w:color w:val="auto"/>
        </w:rPr>
        <w:t>.</w:t>
      </w:r>
      <w:r>
        <w:rPr>
          <w:rFonts w:ascii="Arial" w:cs="Arial" w:eastAsia="Arial" w:hAnsi="Arial"/>
          <w:sz w:val="18"/>
          <w:szCs w:val="18"/>
          <w:color w:val="auto"/>
        </w:rPr>
        <w:t xml:space="preserve"> At March 30, 2008, the Company has $228.1 million in cash and cash equivalents, compared to $321.5 million at December 30, 2007. The Company had money market investments of $5.6 million and $5.1 million that are classified ad “Cash and cash equivalents” in the Company’s Consolidated Balance Sheet as of March 30, 2008 and December 30, 2007, respectively.</w:t>
      </w:r>
    </w:p>
    <w:p>
      <w:pPr>
        <w:spacing w:after="0" w:line="14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At March 30, 2008, the Company had $467.1 million in total debt outstanding, which comprised $63.0 million of commercial paper borrowings, $399.8 million of 5.5 percent unsecured notes due February 15, 2009, and $4.3 million in other debt.</w:t>
      </w:r>
    </w:p>
    <w:p>
      <w:pPr>
        <w:spacing w:after="0" w:line="13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has $399.8 million in unsecured notes that mature on February 15, 2009 and are now classified as short-term borrowings. As of March 30, 2008, the Company has sufficient cash and marketable equity securities that could be used to pay off this debt at maturity. In addition, the Company could refinance some or all of this debt by issuing commercial paper under its $500 million commercial paper program or by borrowing money in the capital markets.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quarter of 2008 and 2007, the Company had average borrowings outstanding of approximately $490.8 million and $404.9 million, respectively, at average annual interest rates of approximately 5.0 percent and 5.5 percent, respectively. During the first quarter of 2008 and 2007, the Company incurred net interest expense of $4.4 million and $2.6 million, respectively.</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March 30, 2008 and December 30, 2007, the Company had a working capital deficit of $490.3 million and $18.5 million, respectively. The increase in working capital deficit is due to the Company’s $399.8 million unsecured notes due February 15, 2009 now classified as current liabilities.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through commercial paper borrowings. In management’s opinion, the Company will have ample liquidity to meet its various cash needs throughout 2008.</w:t>
      </w:r>
    </w:p>
    <w:p>
      <w:pPr>
        <w:spacing w:after="0" w:line="14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30,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materially from those anticipated in such statements. For more information about these forward-looking statements and related risks, please refer to the section titled “Forward-Looking Statements” in Part I of the Company’s Annual Report on Form 10-K for the fiscal year ended December 30, 2007.</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2007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March 30, 2008.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Vice President—Finance, in a manner that allows timely decisions regarding required disclosure.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30, 2008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30, 2008, the Company purchased shares of its Class B Common Stock as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2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of Shares</w:t>
            </w:r>
          </w:p>
        </w:tc>
        <w:tc>
          <w:tcPr>
            <w:tcW w:w="2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Paid per</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70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Purchased</w:t>
            </w:r>
          </w:p>
        </w:tc>
        <w:tc>
          <w:tcPr>
            <w:tcW w:w="24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Share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 31 – Feb. 3, 2008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Feb. 4 – Mar. 2, 2008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410,994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3 – Mar. 30, 2008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2,604</w:t>
            </w:r>
          </w:p>
        </w:tc>
        <w:tc>
          <w:tcPr>
            <w:tcW w:w="13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9"/>
              </w:rPr>
              <w:t>$694.99</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2,604</w:t>
            </w: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$694.99</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20" w:right="100" w:hanging="212"/>
        <w:spacing w:after="0" w:line="254"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Under the Company’s Stock Option Plan, the holder of a vested stock option has the right to pay some or all of the exercise price of the option by surrendering shares of the Company’s Class B Common Stock owned by such holder. In the first quarter of 2008, 2,604 shares were acquired from an employee electing this option for a stock option exercise. This activity does not count toward the Company’s stock repurchase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19"/>
                <w:szCs w:val="19"/>
                <w:color w:val="auto"/>
              </w:rPr>
            </w:pPr>
          </w:p>
        </w:tc>
        <w:tc>
          <w:tcPr>
            <w:tcW w:w="104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Restated Certificate of Incorporation of the Company dated November 13, 2003 (incorporated by reference to Exhibit 3.1 to the Company’s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Report on Form 10-K for the fiscal year ended December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3"/>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By-Laws of the Company as amended and restated through November 8, 2007 (incorporated by reference to Exhibit 3.1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Report on Form 8-K dated November 14, 2007).</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1"/>
              </w:rPr>
              <w:t>The First National Bank of Chicago, as Trustee (incorporated by reference to Exhibit 4.2 to the Company’s Annual Report on Form 10-K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fiscal year ended January 3, 1999).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Indenture dated as of February 17, 1999, between the Company and The First National Bank of Chicago, as Trustee (incorporated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the Company’s Annual Report on Form 10-K for the fiscal year ended January 3, 1999).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0"/>
              </w:rPr>
              <w:t>First Supplemental Indenture dated as of September 22, 2003, among WP Company LLC, the Company and Bank One, NA, as successor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First National Bank of Chicago, as trustee, to the Indenture dated as of February 17, 1999, between The Washington Post Company and The First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National Bank of Chicago, as trustee (incorporated by reference to Exhibit 4.1 to the Company’s Current Report on Form 8-K dated September 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3"/>
              </w:rPr>
              <w:t>Five Year Credit Agreement dated as of August 8, 2006, among the Company, Citibank, N.A., JPMorgan Chase Bank, N.A., Wachovia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2"/>
              </w:rPr>
              <w:t>National Association, SunTrust Bank, The Bank of New York, PNC Bank, National Association, Bank of America, N.A. and Wells Fargo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9"/>
              </w:rPr>
              <w:t>N.A. (incorporated by reference to Exhibit 4.4 to the Company’s Quarterly Report on Form 10-Q for the quarter ended July 2, 2006).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20" w:right="4160" w:hanging="5612"/>
        <w:spacing w:after="0" w:line="440" w:lineRule="auto"/>
        <w:tabs>
          <w:tab w:leader="none" w:pos="947"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 of the Chief Executive Officer and the Chief Financial Officer. 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60" w:val="left"/>
          <w:tab w:leader="none" w:pos="7960" w:val="left"/>
        </w:tabs>
        <w:rPr>
          <w:sz w:val="20"/>
          <w:szCs w:val="20"/>
          <w:color w:val="auto"/>
        </w:rPr>
      </w:pPr>
      <w:r>
        <w:rPr>
          <w:rFonts w:ascii="Arial" w:cs="Arial" w:eastAsia="Arial" w:hAnsi="Arial"/>
          <w:sz w:val="18"/>
          <w:szCs w:val="18"/>
          <w:color w:val="auto"/>
        </w:rPr>
        <w:t>Date:</w:t>
        <w:tab/>
        <w:t>May 6, 2008</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60" w:val="left"/>
          <w:tab w:leader="none" w:pos="8100" w:val="left"/>
        </w:tabs>
        <w:rPr>
          <w:sz w:val="20"/>
          <w:szCs w:val="20"/>
          <w:color w:val="auto"/>
        </w:rPr>
      </w:pPr>
      <w:r>
        <w:rPr>
          <w:rFonts w:ascii="Arial" w:cs="Arial" w:eastAsia="Arial" w:hAnsi="Arial"/>
          <w:sz w:val="18"/>
          <w:szCs w:val="18"/>
          <w:color w:val="auto"/>
        </w:rPr>
        <w:t>Date:</w:t>
        <w:tab/>
        <w:t>May 6, 2008</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2008</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2008</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March 30, 2008 (the “Report”),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Donald E. Graham, Chief Executive Officer of the Company and John B. Morse, Jr., Vice President-Finance of the Company, each hereby certifies, pursuant to 18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as adopted pursuant to Section 906 of the Sarbanes-Oxley Act of 2002, that:</w:t>
      </w:r>
    </w:p>
    <w:p>
      <w:pPr>
        <w:spacing w:after="0" w:line="84"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3"/>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2019-12-11T14:40:36Z</dcterms:created>
  <dcterms:modified xsi:type="dcterms:W3CDTF">2019-12-11T14:40:36Z</dcterms:modified>
</cp:coreProperties>
</file>