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8)*</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Graham Holdings Company</w:t>
      </w:r>
    </w:p>
    <w:p>
      <w:pPr>
        <w:ind w:left="2120"/>
        <w:spacing w:after="0" w:line="238" w:lineRule="auto"/>
        <w:rPr>
          <w:sz w:val="20"/>
          <w:szCs w:val="20"/>
          <w:color w:val="auto"/>
        </w:rPr>
      </w:pPr>
      <w:r>
        <w:rPr>
          <w:rFonts w:ascii="Courier New" w:cs="Courier New" w:eastAsia="Courier New" w:hAnsi="Courier New"/>
          <w:sz w:val="18"/>
          <w:szCs w:val="18"/>
          <w:color w:val="auto"/>
        </w:rPr>
        <w:t>(formerly The Washington Post Company)</w:t>
      </w: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________________________________________________________</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B Common Stock</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jc w:val="center"/>
        <w:ind w:right="1879"/>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384637104</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64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7" w:lineRule="exact"/>
        <w:rPr>
          <w:sz w:val="24"/>
          <w:szCs w:val="24"/>
          <w:color w:val="auto"/>
        </w:rPr>
      </w:pPr>
    </w:p>
    <w:p>
      <w:pPr>
        <w:ind w:right="3259" w:firstLine="8"/>
        <w:spacing w:after="0" w:line="47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300" w:type="dxa"/>
            <w:vAlign w:val="bottom"/>
          </w:tcPr>
          <w:p>
            <w:pPr>
              <w:ind w:left="200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:(5) SOLE VOTING POWER</w:t>
      </w:r>
    </w:p>
    <w:p>
      <w:pPr>
        <w:ind w:left="3700"/>
        <w:spacing w:after="0" w:line="238" w:lineRule="auto"/>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(Discretionary Accounts)</w:t>
      </w:r>
    </w:p>
    <w:p>
      <w:pPr>
        <w:spacing w:after="0"/>
        <w:tabs>
          <w:tab w:leader="none" w:pos="3680" w:val="left"/>
          <w:tab w:leader="none" w:pos="462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242,703 shares</w:t>
      </w:r>
    </w:p>
    <w:p>
      <w:pPr>
        <w:spacing w:after="0"/>
        <w:tabs>
          <w:tab w:leader="none" w:pos="368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__________________________________________</w:t>
      </w:r>
    </w:p>
    <w:p>
      <w:pPr>
        <w:spacing w:after="0" w:line="238"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 SHARED OR NO VOTING POWER</w:t>
      </w:r>
    </w:p>
    <w:p>
      <w:pPr>
        <w:spacing w:after="0" w:line="202"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428,000 shares (Shared)</w:t>
      </w:r>
    </w:p>
    <w:p>
      <w:pPr>
        <w:sectPr>
          <w:pgSz w:w="11900" w:h="16855" w:orient="portrait"/>
          <w:cols w:equalWidth="0" w:num="1">
            <w:col w:w="10219"/>
          </w:cols>
          <w:pgMar w:left="240" w:top="244" w:right="1440" w:bottom="0" w:gutter="0" w:footer="0" w:header="0"/>
        </w:sectPr>
      </w:pPr>
    </w:p>
    <w:bookmarkStart w:id="1" w:name="page2"/>
    <w:bookmarkEnd w:id="1"/>
    <w:p>
      <w:pPr>
        <w:ind w:left="4740"/>
        <w:spacing w:after="0"/>
        <w:rPr>
          <w:sz w:val="20"/>
          <w:szCs w:val="20"/>
          <w:color w:val="auto"/>
        </w:rPr>
      </w:pPr>
      <w:r>
        <w:rPr>
          <w:rFonts w:ascii="Courier New" w:cs="Courier New" w:eastAsia="Courier New" w:hAnsi="Courier New"/>
          <w:sz w:val="18"/>
          <w:szCs w:val="18"/>
          <w:color w:val="auto"/>
        </w:rPr>
        <w:t>91,491 shares (No Vote)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:(7) SOLE DISPOSITIVE POWER</w:t>
      </w:r>
    </w:p>
    <w:p>
      <w:pPr>
        <w:ind w:left="4220"/>
        <w:spacing w:after="0" w:line="238" w:lineRule="auto"/>
        <w:rPr>
          <w:sz w:val="20"/>
          <w:szCs w:val="20"/>
          <w:color w:val="auto"/>
        </w:rPr>
      </w:pPr>
      <w:r>
        <w:rPr>
          <w:rFonts w:ascii="Courier New" w:cs="Courier New" w:eastAsia="Courier New" w:hAnsi="Courier New"/>
          <w:sz w:val="18"/>
          <w:szCs w:val="18"/>
          <w:color w:val="auto"/>
        </w:rPr>
        <w:t>(Discretionary Accounts)</w:t>
      </w:r>
    </w:p>
    <w:p>
      <w:pPr>
        <w:ind w:left="4640" w:hanging="945"/>
        <w:spacing w:after="0"/>
        <w:tabs>
          <w:tab w:leader="none" w:pos="4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334,194 shares</w:t>
      </w:r>
    </w:p>
    <w:p>
      <w:pPr>
        <w:spacing w:after="0" w:line="3"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640" w:hanging="945"/>
        <w:spacing w:after="0"/>
        <w:tabs>
          <w:tab w:leader="none" w:pos="4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428,000 shares (Shared)</w:t>
      </w:r>
    </w:p>
    <w:p>
      <w:pPr>
        <w:ind w:left="5280"/>
        <w:spacing w:after="0" w:line="238" w:lineRule="auto"/>
        <w:rPr>
          <w:sz w:val="20"/>
          <w:szCs w:val="20"/>
          <w:color w:val="auto"/>
        </w:rPr>
      </w:pPr>
      <w:r>
        <w:rPr>
          <w:rFonts w:ascii="Courier New" w:cs="Courier New" w:eastAsia="Courier New" w:hAnsi="Courier New"/>
          <w:sz w:val="18"/>
          <w:szCs w:val="18"/>
          <w:color w:val="auto"/>
        </w:rPr>
        <w:t>0 shares (None)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335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(Discretionary &amp; Non-discretionary Accounts)</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762,194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740" w:right="4619" w:hanging="732"/>
        <w:spacing w:after="0" w:line="235"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16.5 %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680" w:type="dxa"/>
            <w:vAlign w:val="bottom"/>
          </w:tcPr>
          <w:p>
            <w:pPr>
              <w:ind w:left="238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tabs>
          <w:tab w:leader="none" w:pos="5880" w:val="left"/>
        </w:tabs>
        <w:rPr>
          <w:sz w:val="20"/>
          <w:szCs w:val="20"/>
          <w:color w:val="auto"/>
        </w:rPr>
      </w:pPr>
      <w:r>
        <w:rPr>
          <w:rFonts w:ascii="Courier New" w:cs="Courier New" w:eastAsia="Courier New" w:hAnsi="Courier New"/>
          <w:sz w:val="18"/>
          <w:szCs w:val="18"/>
          <w:color w:val="auto"/>
        </w:rPr>
        <w:t>Longleaf Partners Small-Cap Fund</w:t>
      </w:r>
      <w:r>
        <w:rPr>
          <w:sz w:val="20"/>
          <w:szCs w:val="20"/>
          <w:color w:val="auto"/>
        </w:rPr>
        <w:tab/>
      </w:r>
      <w:r>
        <w:rPr>
          <w:rFonts w:ascii="Courier New" w:cs="Courier New" w:eastAsia="Courier New" w:hAnsi="Courier New"/>
          <w:sz w:val="16"/>
          <w:szCs w:val="16"/>
          <w:color w:val="auto"/>
        </w:rPr>
        <w:t>I.D. No. 62-1376170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540"/>
        <w:spacing w:after="0"/>
        <w:rPr>
          <w:sz w:val="20"/>
          <w:szCs w:val="20"/>
          <w:color w:val="auto"/>
        </w:rPr>
      </w:pPr>
      <w:r>
        <w:rPr>
          <w:rFonts w:ascii="Courier New" w:cs="Courier New" w:eastAsia="Courier New" w:hAnsi="Courier New"/>
          <w:sz w:val="18"/>
          <w:szCs w:val="18"/>
          <w:color w:val="auto"/>
        </w:rPr>
        <w:t>Massachusetts Business Trust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:(5) SOLE VOTING POWER</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3680" w:val="left"/>
          <w:tab w:leader="none" w:pos="420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None</w:t>
      </w:r>
    </w:p>
    <w:p>
      <w:pPr>
        <w:spacing w:after="0"/>
        <w:tabs>
          <w:tab w:leader="none" w:pos="368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__________________________________________</w:t>
      </w:r>
    </w:p>
    <w:p>
      <w:pPr>
        <w:spacing w:after="0" w:line="238"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 SHARED VOTING POWER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428,000</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1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:(7) SOLE DISPOSITIVE POWER</w:t>
      </w:r>
    </w:p>
    <w:p>
      <w:pPr>
        <w:spacing w:after="0" w:line="201" w:lineRule="exact"/>
        <w:rPr>
          <w:sz w:val="20"/>
          <w:szCs w:val="20"/>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428,000 (Shared)</w:t>
      </w:r>
    </w:p>
    <w:p>
      <w:pPr>
        <w:ind w:left="4220" w:hanging="525"/>
        <w:spacing w:after="0" w:line="238" w:lineRule="auto"/>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428,000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740"/>
        <w:spacing w:after="0" w:line="238" w:lineRule="auto"/>
        <w:rPr>
          <w:sz w:val="20"/>
          <w:szCs w:val="20"/>
          <w:color w:val="auto"/>
        </w:rPr>
      </w:pPr>
      <w:r>
        <w:rPr>
          <w:rFonts w:ascii="Courier New" w:cs="Courier New" w:eastAsia="Courier New" w:hAnsi="Courier New"/>
          <w:sz w:val="18"/>
          <w:szCs w:val="18"/>
          <w:color w:val="auto"/>
        </w:rPr>
        <w:t>9.3 %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160" w:type="dxa"/>
            <w:vAlign w:val="bottom"/>
          </w:tcPr>
          <w:p>
            <w:pPr>
              <w:ind w:left="184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XXX-XX-XXXX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sectPr>
          <w:pgSz w:w="11900" w:h="16838" w:orient="portrait"/>
          <w:cols w:equalWidth="0" w:num="1">
            <w:col w:w="10219"/>
          </w:cols>
          <w:pgMar w:left="240" w:top="136" w:right="1440" w:bottom="0" w:gutter="0" w:footer="0" w:header="0"/>
        </w:sectPr>
      </w:pPr>
    </w:p>
    <w:bookmarkStart w:id="2" w:name="page3"/>
    <w:bookmarkEnd w:id="2"/>
    <w:p>
      <w:pPr>
        <w:ind w:left="4860"/>
        <w:spacing w:after="0"/>
        <w:rPr>
          <w:sz w:val="20"/>
          <w:szCs w:val="20"/>
          <w:color w:val="auto"/>
        </w:rPr>
      </w:pPr>
      <w:r>
        <w:rPr>
          <w:rFonts w:ascii="Courier New" w:cs="Courier New" w:eastAsia="Courier New" w:hAnsi="Courier New"/>
          <w:sz w:val="18"/>
          <w:szCs w:val="18"/>
          <w:color w:val="auto"/>
        </w:rPr>
        <w:t>(a)</w:t>
      </w:r>
    </w:p>
    <w:p>
      <w:pPr>
        <w:ind w:left="4860"/>
        <w:spacing w:after="0" w:line="238" w:lineRule="auto"/>
        <w:rPr>
          <w:sz w:val="20"/>
          <w:szCs w:val="20"/>
          <w:color w:val="auto"/>
        </w:rPr>
      </w:pPr>
      <w:r>
        <w:rPr>
          <w:rFonts w:ascii="Courier New" w:cs="Courier New" w:eastAsia="Courier New" w:hAnsi="Courier New"/>
          <w:sz w:val="18"/>
          <w:szCs w:val="18"/>
          <w:color w:val="auto"/>
        </w:rPr>
        <w:t>(b) 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68" w:lineRule="auto"/>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Citizen of United States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w w:val="92"/>
              </w:rPr>
              <w:t>:(5)</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:(6) SHARED VOTING POWER</w:t>
            </w:r>
          </w:p>
        </w:tc>
      </w:tr>
    </w:tbl>
    <w:p>
      <w:pPr>
        <w:spacing w:after="0" w:line="201" w:lineRule="exact"/>
        <w:rPr>
          <w:sz w:val="20"/>
          <w:szCs w:val="20"/>
          <w:color w:val="auto"/>
        </w:rPr>
      </w:pPr>
    </w:p>
    <w:p>
      <w:pPr>
        <w:ind w:left="4220" w:hanging="525"/>
        <w:spacing w:after="0"/>
        <w:tabs>
          <w:tab w:leader="none" w:pos="42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 (See Item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w:t>
      </w:r>
    </w:p>
    <w:p>
      <w:pPr>
        <w:ind w:left="640"/>
        <w:spacing w:after="0" w:line="238" w:lineRule="auto"/>
        <w:rPr>
          <w:sz w:val="20"/>
          <w:szCs w:val="20"/>
          <w:color w:val="auto"/>
        </w:rPr>
      </w:pPr>
      <w:r>
        <w:rPr>
          <w:rFonts w:ascii="Courier New" w:cs="Courier New" w:eastAsia="Courier New" w:hAnsi="Courier New"/>
          <w:sz w:val="18"/>
          <w:szCs w:val="18"/>
          <w:color w:val="auto"/>
        </w:rPr>
        <w:t>CERTAIN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1060" w:right="3579" w:hanging="526"/>
        <w:spacing w:after="0" w:line="235" w:lineRule="auto"/>
        <w:rPr>
          <w:sz w:val="20"/>
          <w:szCs w:val="20"/>
          <w:color w:val="auto"/>
        </w:rPr>
      </w:pPr>
      <w:r>
        <w:rPr>
          <w:rFonts w:ascii="Courier New" w:cs="Courier New" w:eastAsia="Courier New" w:hAnsi="Courier New"/>
          <w:sz w:val="18"/>
          <w:szCs w:val="18"/>
          <w:color w:val="auto"/>
        </w:rPr>
        <w:t>(a). Name of Issuer: Graham Holdings Company (formerly The Washington Post Company) ("Issuer")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1150 15th Street, N.W.</w:t>
      </w:r>
    </w:p>
    <w:p>
      <w:pPr>
        <w:ind w:left="1060"/>
        <w:spacing w:after="0"/>
        <w:tabs>
          <w:tab w:leader="none" w:pos="29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20071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3159" w:hanging="425"/>
        <w:spacing w:after="0" w:line="235" w:lineRule="auto"/>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202" w:lineRule="exact"/>
        <w:rPr>
          <w:rFonts w:ascii="Courier New" w:cs="Courier New" w:eastAsia="Courier New" w:hAnsi="Courier New"/>
          <w:sz w:val="18"/>
          <w:szCs w:val="18"/>
          <w:color w:val="auto"/>
        </w:rPr>
      </w:pPr>
    </w:p>
    <w:p>
      <w:pPr>
        <w:ind w:left="1580" w:hanging="940"/>
        <w:spacing w:after="0"/>
        <w:tabs>
          <w:tab w:leader="none" w:pos="15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w:t>
      </w:r>
    </w:p>
    <w:p>
      <w:pPr>
        <w:spacing w:after="0" w:line="4" w:lineRule="exact"/>
        <w:rPr>
          <w:rFonts w:ascii="Courier New" w:cs="Courier New" w:eastAsia="Courier New" w:hAnsi="Courier New"/>
          <w:sz w:val="18"/>
          <w:szCs w:val="18"/>
          <w:color w:val="auto"/>
        </w:rPr>
      </w:pPr>
    </w:p>
    <w:p>
      <w:pPr>
        <w:ind w:left="158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6410 Poplar Ave., Suite 900 Memphis, TN 38119</w:t>
      </w:r>
    </w:p>
    <w:p>
      <w:pPr>
        <w:spacing w:after="0" w:line="202" w:lineRule="exact"/>
        <w:rPr>
          <w:rFonts w:ascii="Courier New" w:cs="Courier New" w:eastAsia="Courier New" w:hAnsi="Courier New"/>
          <w:sz w:val="18"/>
          <w:szCs w:val="18"/>
          <w:color w:val="auto"/>
        </w:rPr>
      </w:pPr>
    </w:p>
    <w:p>
      <w:pPr>
        <w:ind w:left="1580" w:hanging="940"/>
        <w:spacing w:after="0"/>
        <w:tabs>
          <w:tab w:leader="none" w:pos="15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Longleaf Partners Small-Cap Fund</w:t>
      </w:r>
    </w:p>
    <w:p>
      <w:pPr>
        <w:spacing w:after="0" w:line="4" w:lineRule="exact"/>
        <w:rPr>
          <w:rFonts w:ascii="Courier New" w:cs="Courier New" w:eastAsia="Courier New" w:hAnsi="Courier New"/>
          <w:sz w:val="18"/>
          <w:szCs w:val="18"/>
          <w:color w:val="auto"/>
        </w:rPr>
      </w:pPr>
    </w:p>
    <w:p>
      <w:pPr>
        <w:ind w:left="1580" w:right="4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 Southeastern Asset Management, Inc. 6410 Poplar Avenue, Suite 900 Memphis, TN, 38119</w:t>
      </w:r>
    </w:p>
    <w:p>
      <w:pPr>
        <w:spacing w:after="0" w:line="203" w:lineRule="exact"/>
        <w:rPr>
          <w:sz w:val="20"/>
          <w:szCs w:val="20"/>
          <w:color w:val="auto"/>
        </w:rPr>
      </w:pPr>
    </w:p>
    <w:p>
      <w:pPr>
        <w:ind w:left="1580" w:hanging="940"/>
        <w:spacing w:after="0"/>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4" w:lineRule="exact"/>
        <w:rPr>
          <w:rFonts w:ascii="Courier New" w:cs="Courier New" w:eastAsia="Courier New" w:hAnsi="Courier New"/>
          <w:sz w:val="18"/>
          <w:szCs w:val="18"/>
          <w:color w:val="auto"/>
        </w:rPr>
      </w:pPr>
    </w:p>
    <w:p>
      <w:pPr>
        <w:ind w:left="1580" w:right="4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7" w:lineRule="exact"/>
        <w:rPr>
          <w:sz w:val="20"/>
          <w:szCs w:val="20"/>
          <w:color w:val="auto"/>
        </w:rPr>
      </w:pPr>
    </w:p>
    <w:p>
      <w:pPr>
        <w:ind w:left="1060" w:right="2519"/>
        <w:spacing w:after="0" w:line="235" w:lineRule="auto"/>
        <w:rPr>
          <w:sz w:val="20"/>
          <w:szCs w:val="20"/>
          <w:color w:val="auto"/>
        </w:rPr>
      </w:pPr>
      <w:r>
        <w:rPr>
          <w:rFonts w:ascii="Courier New" w:cs="Courier New" w:eastAsia="Courier New" w:hAnsi="Courier New"/>
          <w:sz w:val="18"/>
          <w:szCs w:val="18"/>
          <w:color w:val="auto"/>
        </w:rPr>
        <w:t>Longleaf Partners Small-Cap Fund, a series of Longleaf Partners Funds Trust, a Massachusetts business trust.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ectPr>
          <w:pgSz w:w="11900" w:h="16838" w:orient="portrait"/>
          <w:cols w:equalWidth="0" w:num="1">
            <w:col w:w="10219"/>
          </w:cols>
          <w:pgMar w:left="240" w:top="136" w:right="1440" w:bottom="0" w:gutter="0" w:footer="0" w:header="0"/>
        </w:sectPr>
      </w:pPr>
    </w:p>
    <w:bookmarkStart w:id="3" w:name="page4"/>
    <w:bookmarkEnd w:id="3"/>
    <w:p>
      <w:pPr>
        <w:ind w:left="1060" w:right="3259" w:hanging="52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Class B Common Stock (the "Securities").</w:t>
      </w:r>
    </w:p>
    <w:p>
      <w:pPr>
        <w:spacing w:after="0" w:line="398"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384637104</w:t>
      </w:r>
    </w:p>
    <w:p>
      <w:pPr>
        <w:spacing w:after="0" w:line="200" w:lineRule="exact"/>
        <w:rPr>
          <w:sz w:val="20"/>
          <w:szCs w:val="20"/>
          <w:color w:val="auto"/>
        </w:rPr>
      </w:pPr>
    </w:p>
    <w:p>
      <w:pPr>
        <w:spacing w:after="0" w:line="204" w:lineRule="exact"/>
        <w:rPr>
          <w:sz w:val="20"/>
          <w:szCs w:val="20"/>
          <w:color w:val="auto"/>
        </w:rPr>
      </w:pPr>
    </w:p>
    <w:p>
      <w:pPr>
        <w:jc w:val="center"/>
        <w:ind w:right="3259"/>
        <w:spacing w:after="0"/>
        <w:tabs>
          <w:tab w:leader="none" w:pos="2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jc w:val="center"/>
        <w:ind w:right="3259"/>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7" w:lineRule="exact"/>
        <w:rPr>
          <w:sz w:val="20"/>
          <w:szCs w:val="20"/>
          <w:color w:val="auto"/>
        </w:rPr>
      </w:pPr>
    </w:p>
    <w:p>
      <w:pPr>
        <w:ind w:left="960" w:right="2939" w:hanging="526"/>
        <w:spacing w:after="0" w:line="236" w:lineRule="auto"/>
        <w:rPr>
          <w:sz w:val="20"/>
          <w:szCs w:val="20"/>
          <w:color w:val="auto"/>
        </w:rPr>
      </w:pPr>
      <w:r>
        <w:rPr>
          <w:rFonts w:ascii="Courier New" w:cs="Courier New" w:eastAsia="Courier New" w:hAnsi="Courier New"/>
          <w:sz w:val="18"/>
          <w:szCs w:val="18"/>
          <w:color w:val="auto"/>
        </w:rPr>
        <w:t>(d). Investment Company registered under Sec. 8 of the Investment Company Act - Longleaf Partners Small-Cap Fund, a series of Longleaf Partners Funds Trust.</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 Investment Adviser registered under Section 203 of the</w:t>
      </w:r>
    </w:p>
    <w:p>
      <w:pPr>
        <w:ind w:left="960"/>
        <w:spacing w:after="0"/>
        <w:tabs>
          <w:tab w:leader="none" w:pos="4520" w:val="left"/>
        </w:tabs>
        <w:rPr>
          <w:sz w:val="20"/>
          <w:szCs w:val="20"/>
          <w:color w:val="auto"/>
        </w:rPr>
      </w:pPr>
      <w:r>
        <w:rPr>
          <w:rFonts w:ascii="Courier New" w:cs="Courier New" w:eastAsia="Courier New" w:hAnsi="Courier New"/>
          <w:sz w:val="18"/>
          <w:szCs w:val="18"/>
          <w:color w:val="auto"/>
        </w:rPr>
        <w:t>Investment Advisers Act of 1940.</w:t>
      </w:r>
      <w:r>
        <w:rPr>
          <w:sz w:val="20"/>
          <w:szCs w:val="20"/>
          <w:color w:val="auto"/>
        </w:rPr>
        <w:tab/>
      </w:r>
      <w:r>
        <w:rPr>
          <w:rFonts w:ascii="Courier New" w:cs="Courier New" w:eastAsia="Courier New" w:hAnsi="Courier New"/>
          <w:sz w:val="16"/>
          <w:szCs w:val="16"/>
          <w:color w:val="auto"/>
        </w:rPr>
        <w:t>This statement is being filed</w:t>
      </w:r>
    </w:p>
    <w:p>
      <w:pPr>
        <w:ind w:left="960"/>
        <w:spacing w:after="0"/>
        <w:rPr>
          <w:sz w:val="20"/>
          <w:szCs w:val="20"/>
          <w:color w:val="auto"/>
        </w:rPr>
      </w:pPr>
      <w:r>
        <w:rPr>
          <w:rFonts w:ascii="Courier New" w:cs="Courier New" w:eastAsia="Courier New" w:hAnsi="Courier New"/>
          <w:sz w:val="18"/>
          <w:szCs w:val="18"/>
          <w:color w:val="auto"/>
        </w:rPr>
        <w:t>by Southeastern Asset Management, Inc. as a registered investment</w:t>
      </w:r>
    </w:p>
    <w:p>
      <w:pPr>
        <w:ind w:left="960"/>
        <w:spacing w:after="0" w:line="237" w:lineRule="auto"/>
        <w:rPr>
          <w:sz w:val="20"/>
          <w:szCs w:val="20"/>
          <w:color w:val="auto"/>
        </w:rPr>
      </w:pPr>
      <w:r>
        <w:rPr>
          <w:rFonts w:ascii="Courier New" w:cs="Courier New" w:eastAsia="Courier New" w:hAnsi="Courier New"/>
          <w:sz w:val="18"/>
          <w:szCs w:val="18"/>
          <w:color w:val="auto"/>
        </w:rPr>
        <w:t>adviser. All of the securities covered by this report are owned</w:t>
      </w:r>
    </w:p>
    <w:p>
      <w:pPr>
        <w:ind w:left="960"/>
        <w:spacing w:after="0" w:line="238" w:lineRule="auto"/>
        <w:rPr>
          <w:sz w:val="20"/>
          <w:szCs w:val="20"/>
          <w:color w:val="auto"/>
        </w:rPr>
      </w:pPr>
      <w:r>
        <w:rPr>
          <w:rFonts w:ascii="Courier New" w:cs="Courier New" w:eastAsia="Courier New" w:hAnsi="Courier New"/>
          <w:sz w:val="18"/>
          <w:szCs w:val="18"/>
          <w:color w:val="auto"/>
        </w:rPr>
        <w:t>legally by Southeastern's investment advisory clients and none</w:t>
      </w:r>
    </w:p>
    <w:p>
      <w:pPr>
        <w:ind w:left="960"/>
        <w:spacing w:after="0"/>
        <w:tabs>
          <w:tab w:leader="none" w:pos="6300" w:val="left"/>
        </w:tabs>
        <w:rPr>
          <w:sz w:val="20"/>
          <w:szCs w:val="20"/>
          <w:color w:val="auto"/>
        </w:rPr>
      </w:pPr>
      <w:r>
        <w:rPr>
          <w:rFonts w:ascii="Courier New" w:cs="Courier New" w:eastAsia="Courier New" w:hAnsi="Courier New"/>
          <w:sz w:val="18"/>
          <w:szCs w:val="18"/>
          <w:color w:val="auto"/>
        </w:rPr>
        <w:t>are owned directly or indirectly by Southeastern.</w:t>
      </w:r>
      <w:r>
        <w:rPr>
          <w:sz w:val="20"/>
          <w:szCs w:val="20"/>
          <w:color w:val="auto"/>
        </w:rPr>
        <w:tab/>
      </w:r>
      <w:r>
        <w:rPr>
          <w:rFonts w:ascii="Courier New" w:cs="Courier New" w:eastAsia="Courier New" w:hAnsi="Courier New"/>
          <w:sz w:val="16"/>
          <w:szCs w:val="16"/>
          <w:color w:val="auto"/>
        </w:rPr>
        <w:t>As permitted</w:t>
      </w:r>
    </w:p>
    <w:p>
      <w:pPr>
        <w:ind w:left="960"/>
        <w:spacing w:after="0" w:line="237" w:lineRule="auto"/>
        <w:rPr>
          <w:sz w:val="20"/>
          <w:szCs w:val="20"/>
          <w:color w:val="auto"/>
        </w:rPr>
      </w:pPr>
      <w:r>
        <w:rPr>
          <w:rFonts w:ascii="Courier New" w:cs="Courier New" w:eastAsia="Courier New" w:hAnsi="Courier New"/>
          <w:sz w:val="18"/>
          <w:szCs w:val="18"/>
          <w:color w:val="auto"/>
        </w:rPr>
        <w:t>by Rule 13d-4, the filing of this statement shall not be construed</w:t>
      </w:r>
    </w:p>
    <w:p>
      <w:pPr>
        <w:ind w:left="960"/>
        <w:spacing w:after="0"/>
        <w:rPr>
          <w:sz w:val="20"/>
          <w:szCs w:val="20"/>
          <w:color w:val="auto"/>
        </w:rPr>
      </w:pPr>
      <w:r>
        <w:rPr>
          <w:rFonts w:ascii="Courier New" w:cs="Courier New" w:eastAsia="Courier New" w:hAnsi="Courier New"/>
          <w:sz w:val="18"/>
          <w:szCs w:val="18"/>
          <w:color w:val="auto"/>
        </w:rPr>
        <w:t>as an admission that Southeastern Asset Management, Inc. is the</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beneficial owner of any of the securities covered by this statement.</w:t>
      </w:r>
    </w:p>
    <w:p>
      <w:pPr>
        <w:spacing w:after="0" w:line="224" w:lineRule="exact"/>
        <w:rPr>
          <w:sz w:val="20"/>
          <w:szCs w:val="20"/>
          <w:color w:val="auto"/>
        </w:rPr>
      </w:pPr>
    </w:p>
    <w:p>
      <w:pPr>
        <w:ind w:left="960" w:right="2199" w:hanging="631"/>
        <w:spacing w:after="0" w:line="237" w:lineRule="auto"/>
        <w:tabs>
          <w:tab w:leader="none" w:pos="940" w:val="left"/>
        </w:tabs>
        <w:rPr>
          <w:sz w:val="20"/>
          <w:szCs w:val="20"/>
          <w:color w:val="auto"/>
        </w:rPr>
      </w:pPr>
      <w:r>
        <w:rPr>
          <w:rFonts w:ascii="Courier New" w:cs="Courier New" w:eastAsia="Courier New" w:hAnsi="Courier New"/>
          <w:sz w:val="18"/>
          <w:szCs w:val="18"/>
          <w:color w:val="auto"/>
        </w:rPr>
        <w:t>(g).</w:t>
        <w:tab/>
        <w:t>Parent Holding Company. This statement is also being filed by Mr. O. Mason Hawkins, Chairman of the Board and C.E.O. of Southeastern Asset Management, Inc. in the event he could be deemed to be a controlling person of that firm as the result of his official positions with or ownership of its voting securities. The existence of such control is expressly disclaimed. Mr. Hawkins does not own directly or indirectly any securities covered by this statement for his own account. As permitted by Rule 13d-4, the filing of this statement shall not be construed as an admission that Mr. Hawkins is the beneficial owner of any of the securities covered by this statement.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10/31/14)</w:t>
      </w:r>
    </w:p>
    <w:p>
      <w:pPr>
        <w:ind w:left="1060"/>
        <w:spacing w:after="0" w:line="238" w:lineRule="auto"/>
        <w:rPr>
          <w:sz w:val="20"/>
          <w:szCs w:val="20"/>
          <w:color w:val="auto"/>
        </w:rPr>
      </w:pPr>
      <w:r>
        <w:rPr>
          <w:rFonts w:ascii="Courier New" w:cs="Courier New" w:eastAsia="Courier New" w:hAnsi="Courier New"/>
          <w:sz w:val="18"/>
          <w:szCs w:val="18"/>
          <w:color w:val="auto"/>
        </w:rPr>
        <w:t>762,194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060"/>
        <w:spacing w:after="0" w:line="238" w:lineRule="auto"/>
        <w:rPr>
          <w:sz w:val="20"/>
          <w:szCs w:val="20"/>
          <w:color w:val="auto"/>
        </w:rPr>
      </w:pPr>
      <w:r>
        <w:rPr>
          <w:rFonts w:ascii="Courier New" w:cs="Courier New" w:eastAsia="Courier New" w:hAnsi="Courier New"/>
          <w:sz w:val="18"/>
          <w:szCs w:val="18"/>
          <w:color w:val="auto"/>
        </w:rPr>
        <w:t>16.5 %</w:t>
      </w:r>
    </w:p>
    <w:p>
      <w:pPr>
        <w:spacing w:after="0" w:line="207" w:lineRule="exact"/>
        <w:rPr>
          <w:sz w:val="20"/>
          <w:szCs w:val="20"/>
          <w:color w:val="auto"/>
        </w:rPr>
      </w:pPr>
    </w:p>
    <w:p>
      <w:pPr>
        <w:ind w:left="1060" w:right="2519"/>
        <w:spacing w:after="0" w:line="235" w:lineRule="auto"/>
        <w:rPr>
          <w:sz w:val="20"/>
          <w:szCs w:val="20"/>
          <w:color w:val="auto"/>
        </w:rPr>
      </w:pPr>
      <w:r>
        <w:rPr>
          <w:rFonts w:ascii="Courier New" w:cs="Courier New" w:eastAsia="Courier New" w:hAnsi="Courier New"/>
          <w:sz w:val="18"/>
          <w:szCs w:val="18"/>
          <w:color w:val="auto"/>
        </w:rPr>
        <w:t>Above percentage is based on 4,624,280 shares of Class B Common Stock outstanding.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242,703 shares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- 428,000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Small Cap Fund - 428,000</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to Vote - 91,491</w:t>
      </w:r>
    </w:p>
    <w:p>
      <w:pPr>
        <w:spacing w:after="0" w:line="207" w:lineRule="exact"/>
        <w:rPr>
          <w:sz w:val="20"/>
          <w:szCs w:val="20"/>
          <w:color w:val="auto"/>
        </w:rPr>
      </w:pPr>
    </w:p>
    <w:p>
      <w:pPr>
        <w:ind w:left="1800" w:right="3159" w:hanging="736"/>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334,194 shares</w:t>
      </w:r>
    </w:p>
    <w:p>
      <w:pPr>
        <w:spacing w:after="0" w:line="207" w:lineRule="exact"/>
        <w:rPr>
          <w:sz w:val="20"/>
          <w:szCs w:val="20"/>
          <w:color w:val="auto"/>
        </w:rPr>
      </w:pPr>
    </w:p>
    <w:p>
      <w:pPr>
        <w:ind w:left="1800" w:right="357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- 428,000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Small Cap Fund - 428,000</w:t>
      </w:r>
    </w:p>
    <w:p>
      <w:pPr>
        <w:sectPr>
          <w:pgSz w:w="11900" w:h="16838" w:orient="portrait"/>
          <w:cols w:equalWidth="0" w:num="1">
            <w:col w:w="10219"/>
          </w:cols>
          <w:pgMar w:left="240" w:top="142" w:right="1440" w:bottom="0" w:gutter="0" w:footer="0" w:header="0"/>
        </w:sectPr>
      </w:pPr>
    </w:p>
    <w:bookmarkStart w:id="4" w:name="page5"/>
    <w:bookmarkEnd w:id="4"/>
    <w:p>
      <w:pPr>
        <w:ind w:left="1800"/>
        <w:spacing w:after="0"/>
        <w:rPr>
          <w:sz w:val="20"/>
          <w:szCs w:val="20"/>
          <w:color w:val="auto"/>
        </w:rPr>
      </w:pPr>
      <w:r>
        <w:rPr>
          <w:rFonts w:ascii="Courier New" w:cs="Courier New" w:eastAsia="Courier New" w:hAnsi="Courier New"/>
          <w:sz w:val="18"/>
          <w:szCs w:val="18"/>
          <w:color w:val="auto"/>
        </w:rPr>
        <w:t>No Power - 0 shares.</w:t>
      </w:r>
    </w:p>
    <w:p>
      <w:pPr>
        <w:spacing w:after="0" w:line="200" w:lineRule="exact"/>
        <w:rPr>
          <w:sz w:val="20"/>
          <w:szCs w:val="20"/>
          <w:color w:val="auto"/>
        </w:rPr>
      </w:pPr>
    </w:p>
    <w:p>
      <w:pPr>
        <w:spacing w:after="0" w:line="204"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9" w:lineRule="exact"/>
        <w:rPr>
          <w:sz w:val="20"/>
          <w:szCs w:val="20"/>
          <w:color w:val="auto"/>
        </w:rPr>
      </w:pPr>
    </w:p>
    <w:p>
      <w:pPr>
        <w:ind w:left="860" w:right="347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35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10, 2014</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Longleaf Partners Small-Cap Fund</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Southeastern Asset Management, Inc.</w:t>
      </w: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November 10, 2014.</w:t>
      </w: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ectPr>
          <w:pgSz w:w="11900" w:h="16838" w:orient="portrait"/>
          <w:cols w:equalWidth="0" w:num="1">
            <w:col w:w="10219"/>
          </w:cols>
          <w:pgMar w:left="240" w:top="136" w:right="1440" w:bottom="0" w:gutter="0" w:footer="0" w:header="0"/>
        </w:sectPr>
      </w:pPr>
    </w:p>
    <w:bookmarkStart w:id="5" w:name="page6"/>
    <w:bookmarkEnd w:id="5"/>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Longleaf Partners Small-Cap Fund</w:t>
      </w:r>
    </w:p>
    <w:p>
      <w:pPr>
        <w:ind w:left="3160"/>
        <w:spacing w:after="0" w:line="238" w:lineRule="auto"/>
        <w:rPr>
          <w:sz w:val="20"/>
          <w:szCs w:val="20"/>
          <w:color w:val="auto"/>
        </w:rPr>
      </w:pPr>
      <w:r>
        <w:rPr>
          <w:rFonts w:ascii="Courier New" w:cs="Courier New" w:eastAsia="Courier New" w:hAnsi="Courier New"/>
          <w:sz w:val="18"/>
          <w:szCs w:val="18"/>
          <w:color w:val="auto"/>
        </w:rPr>
        <w:t>By: Southeastern Asset Management, Inc.</w:t>
      </w: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WPO13G8.doc</w:t>
      </w:r>
    </w:p>
    <w:p>
      <w:pPr>
        <w:spacing w:after="0"/>
        <w:rPr>
          <w:sz w:val="20"/>
          <w:szCs w:val="20"/>
          <w:color w:val="auto"/>
        </w:rPr>
      </w:pPr>
      <w:r>
        <w:rPr>
          <w:rFonts w:ascii="Courier New" w:cs="Courier New" w:eastAsia="Courier New" w:hAnsi="Courier New"/>
          <w:sz w:val="18"/>
          <w:szCs w:val="18"/>
          <w:color w:val="auto"/>
        </w:rPr>
        <w:t>SCHEDULE 13G - Graham Holdings Company ("Issuer")</w:t>
      </w:r>
    </w:p>
    <w:p>
      <w:pPr>
        <w:spacing w:after="0" w:line="237" w:lineRule="auto"/>
        <w:rPr>
          <w:sz w:val="20"/>
          <w:szCs w:val="20"/>
          <w:color w:val="auto"/>
        </w:rPr>
      </w:pPr>
      <w:r>
        <w:rPr>
          <w:rFonts w:ascii="Courier New" w:cs="Courier New" w:eastAsia="Courier New" w:hAnsi="Courier New"/>
          <w:sz w:val="18"/>
          <w:szCs w:val="18"/>
          <w:color w:val="auto"/>
        </w:rPr>
        <w:t>Amendment #8</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rPr>
          <w:sz w:val="20"/>
          <w:szCs w:val="20"/>
          <w:color w:val="auto"/>
        </w:rPr>
      </w:pPr>
      <w:r>
        <w:rPr>
          <w:rFonts w:ascii="Courier New" w:cs="Courier New" w:eastAsia="Courier New" w:hAnsi="Courier New"/>
          <w:sz w:val="18"/>
          <w:szCs w:val="18"/>
          <w:color w:val="auto"/>
        </w:rPr>
        <w:t>WPO13G8.doc</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lvl w:ilvl="1">
      <w:lvlJc w:val="left"/>
      <w:lvlText w:val="(%2)"/>
      <w:numFmt w:val="lowerLetter"/>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9"/>
    </w:lvl>
  </w:abstractNum>
  <w:abstractNum w:abstractNumId="5">
    <w:nsid w:val="DED7263"/>
    <w:multiLevelType w:val="hybridMultilevel"/>
    <w:lvl w:ilvl="0">
      <w:lvlJc w:val="left"/>
      <w:lvlText w:val="(%1)"/>
      <w:numFmt w:val="decimal"/>
      <w:start w:val="10"/>
    </w:lvl>
  </w:abstractNum>
  <w:abstractNum w:abstractNumId="6">
    <w:nsid w:val="7FDCC233"/>
    <w:multiLevelType w:val="hybridMultilevel"/>
    <w:lvl w:ilvl="0">
      <w:lvlJc w:val="left"/>
      <w:lvlText w:val="(%1)"/>
      <w:numFmt w:val="decimal"/>
      <w:start w:val="11"/>
    </w:lvl>
  </w:abstractNum>
  <w:abstractNum w:abstractNumId="7">
    <w:nsid w:val="1BEFD79F"/>
    <w:multiLevelType w:val="hybridMultilevel"/>
    <w:lvl w:ilvl="0">
      <w:lvlJc w:val="left"/>
      <w:lvlText w:val="(%1)"/>
      <w:numFmt w:val="decimal"/>
      <w:start w:val="12"/>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2"/>
    </w:lvl>
    <w:lvl w:ilvl="1">
      <w:lvlJc w:val="left"/>
      <w:lvlText w:val="(%2)"/>
      <w:numFmt w:val="lowerLetter"/>
      <w:start w:val="1"/>
    </w:lvl>
  </w:abstractNum>
  <w:abstractNum w:abstractNumId="10">
    <w:nsid w:val="4E6AFB66"/>
    <w:multiLevelType w:val="hybridMultilevel"/>
    <w:lvl w:ilvl="0">
      <w:lvlJc w:val="left"/>
      <w:lvlText w:val="(%1)"/>
      <w:numFmt w:val="decimal"/>
      <w:start w:val="8"/>
    </w:lvl>
    <w:lvl w:ilvl="1">
      <w:lvlJc w:val="left"/>
      <w:lvlText w:val=":"/>
      <w:numFmt w:val="bullet"/>
      <w:start w:val="1"/>
    </w:lvl>
  </w:abstractNum>
  <w:abstractNum w:abstractNumId="11">
    <w:nsid w:val="25E45D32"/>
    <w:multiLevelType w:val="hybridMultilevel"/>
    <w:lvl w:ilvl="0">
      <w:lvlJc w:val="left"/>
      <w:lvlText w:val="(%1)"/>
      <w:numFmt w:val="decimal"/>
      <w:start w:val="10"/>
    </w:lvl>
  </w:abstractNum>
  <w:abstractNum w:abstractNumId="12">
    <w:nsid w:val="519B500D"/>
    <w:multiLevelType w:val="hybridMultilevel"/>
    <w:lvl w:ilvl="0">
      <w:lvlJc w:val="left"/>
      <w:lvlText w:val="(%1)"/>
      <w:numFmt w:val="decimal"/>
      <w:start w:val="11"/>
    </w:lvl>
  </w:abstractNum>
  <w:abstractNum w:abstractNumId="13">
    <w:nsid w:val="431BD7B7"/>
    <w:multiLevelType w:val="hybridMultilevel"/>
    <w:lvl w:ilvl="0">
      <w:lvlJc w:val="left"/>
      <w:lvlText w:val="(%1)"/>
      <w:numFmt w:val="decimal"/>
      <w:start w:val="12"/>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3"/>
    </w:lvl>
  </w:abstractNum>
  <w:abstractNum w:abstractNumId="16">
    <w:nsid w:val="257130A3"/>
    <w:multiLevelType w:val="hybridMultilevel"/>
    <w:lvl w:ilvl="0">
      <w:lvlJc w:val="left"/>
      <w:lvlText w:val="(%1)"/>
      <w:numFmt w:val="decimal"/>
      <w:start w:val="8"/>
    </w:lvl>
    <w:lvl w:ilvl="1">
      <w:lvlJc w:val="left"/>
      <w:lvlText w:val=":"/>
      <w:numFmt w:val="bullet"/>
      <w:start w:val="1"/>
    </w:lvl>
  </w:abstractNum>
  <w:abstractNum w:abstractNumId="17">
    <w:nsid w:val="62BBD95A"/>
    <w:multiLevelType w:val="hybridMultilevel"/>
    <w:lvl w:ilvl="0">
      <w:lvlJc w:val="left"/>
      <w:lvlText w:val="(%1)"/>
      <w:numFmt w:val="decimal"/>
      <w:start w:val="10"/>
    </w:lvl>
  </w:abstractNum>
  <w:abstractNum w:abstractNumId="18">
    <w:nsid w:val="436C6125"/>
    <w:multiLevelType w:val="hybridMultilevel"/>
    <w:lvl w:ilvl="0">
      <w:lvlJc w:val="left"/>
      <w:lvlText w:val="(%1)"/>
      <w:numFmt w:val="decimal"/>
      <w:start w:val="11"/>
    </w:lvl>
  </w:abstractNum>
  <w:abstractNum w:abstractNumId="19">
    <w:nsid w:val="628C895D"/>
    <w:multiLevelType w:val="hybridMultilevel"/>
    <w:lvl w:ilvl="0">
      <w:lvlJc w:val="left"/>
      <w:lvlText w:val="(%1)"/>
      <w:numFmt w:val="decimal"/>
      <w:start w:val="12"/>
    </w:lvl>
  </w:abstractNum>
  <w:abstractNum w:abstractNumId="20">
    <w:nsid w:val="333AB105"/>
    <w:multiLevelType w:val="hybridMultilevel"/>
    <w:lvl w:ilvl="0">
      <w:lvlJc w:val="left"/>
      <w:lvlText w:val="(%1)"/>
      <w:numFmt w:val="lowerLetter"/>
      <w:start w:val="1"/>
    </w:lvl>
    <w:lvl w:ilvl="1">
      <w:lvlJc w:val="left"/>
      <w:lvlText w:val="(%2)"/>
      <w:numFmt w:val="decimal"/>
      <w:start w:val="1"/>
    </w:lvl>
  </w:abstractNum>
  <w:abstractNum w:abstractNumId="21">
    <w:nsid w:val="721DA31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2019-12-05T15:55:20Z</dcterms:created>
  <dcterms:modified xsi:type="dcterms:W3CDTF">2019-12-05T15:55:20Z</dcterms:modified>
</cp:coreProperties>
</file>