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1203960</wp:posOffset>
            </wp:positionH>
            <wp:positionV relativeFrom="page">
              <wp:posOffset>157480</wp:posOffset>
            </wp:positionV>
            <wp:extent cx="51625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2550" cy="8890"/>
                    </a:xfrm>
                    <a:prstGeom prst="rect">
                      <a:avLst/>
                    </a:prstGeom>
                    <a:noFill/>
                  </pic:spPr>
                </pic:pic>
              </a:graphicData>
            </a:graphic>
          </wp:anchor>
        </w:drawing>
        <w:t>SECURITIES AND EXCHANGE COMMISSION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1051560</wp:posOffset>
            </wp:positionH>
            <wp:positionV relativeFrom="paragraph">
              <wp:posOffset>139700</wp:posOffset>
            </wp:positionV>
            <wp:extent cx="51625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QUARTERLY REPORT PURSUANT TO SECTION 13 OR 15(d) OF</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SECURITIES EXCHANGE ACT OF 1934</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the Quarterly Period Ended March 31,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1051560</wp:posOffset>
            </wp:positionH>
            <wp:positionV relativeFrom="paragraph">
              <wp:posOffset>148590</wp:posOffset>
            </wp:positionV>
            <wp:extent cx="51625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Commission File Number 1-6714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THE WASHINGTON POST COMPANY</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72" w:lineRule="exact"/>
        <w:rPr>
          <w:sz w:val="24"/>
          <w:szCs w:val="24"/>
          <w:color w:val="auto"/>
        </w:rPr>
      </w:pPr>
    </w:p>
    <w:tbl>
      <w:tblPr>
        <w:tblLayout w:type="fixed"/>
        <w:tblInd w:w="2620" w:type="dxa"/>
        <w:tblCellMar>
          <w:top w:w="0" w:type="dxa"/>
          <w:left w:w="0" w:type="dxa"/>
          <w:bottom w:w="0" w:type="dxa"/>
          <w:right w:w="0" w:type="dxa"/>
        </w:tblCellMar>
      </w:tblPr>
      <w:tr>
        <w:trPr>
          <w:trHeight w:val="260"/>
        </w:trPr>
        <w:tc>
          <w:tcPr>
            <w:tcW w:w="3300" w:type="dxa"/>
            <w:vAlign w:val="bottom"/>
          </w:tcPr>
          <w:p>
            <w:pPr>
              <w:jc w:val="center"/>
              <w:ind w:right="1085"/>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2480" w:type="dxa"/>
            <w:vAlign w:val="bottom"/>
          </w:tcPr>
          <w:p>
            <w:pPr>
              <w:jc w:val="center"/>
              <w:ind w:left="1065"/>
              <w:spacing w:after="0"/>
              <w:rPr>
                <w:sz w:val="20"/>
                <w:szCs w:val="20"/>
                <w:color w:val="auto"/>
              </w:rPr>
            </w:pPr>
            <w:r>
              <w:rPr>
                <w:rFonts w:ascii="Times New Roman" w:cs="Times New Roman" w:eastAsia="Times New Roman" w:hAnsi="Times New Roman"/>
                <w:sz w:val="22"/>
                <w:szCs w:val="22"/>
                <w:b w:val="1"/>
                <w:bCs w:val="1"/>
                <w:color w:val="auto"/>
                <w:w w:val="97"/>
              </w:rPr>
              <w:t>53-0182885</w:t>
            </w:r>
          </w:p>
        </w:tc>
      </w:tr>
      <w:tr>
        <w:trPr>
          <w:trHeight w:val="216"/>
        </w:trPr>
        <w:tc>
          <w:tcPr>
            <w:tcW w:w="3300" w:type="dxa"/>
            <w:vAlign w:val="bottom"/>
          </w:tcPr>
          <w:p>
            <w:pPr>
              <w:jc w:val="center"/>
              <w:ind w:right="1125"/>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2480" w:type="dxa"/>
            <w:vAlign w:val="bottom"/>
          </w:tcPr>
          <w:p>
            <w:pPr>
              <w:jc w:val="center"/>
              <w:ind w:left="1065"/>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28"/>
        </w:trPr>
        <w:tc>
          <w:tcPr>
            <w:tcW w:w="3300" w:type="dxa"/>
            <w:vAlign w:val="bottom"/>
          </w:tcPr>
          <w:p>
            <w:pPr>
              <w:jc w:val="center"/>
              <w:ind w:right="1085"/>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2480" w:type="dxa"/>
            <w:vAlign w:val="bottom"/>
          </w:tcPr>
          <w:p>
            <w:pPr>
              <w:jc w:val="center"/>
              <w:ind w:left="1085"/>
              <w:spacing w:after="0"/>
              <w:rPr>
                <w:sz w:val="20"/>
                <w:szCs w:val="20"/>
                <w:color w:val="auto"/>
              </w:rPr>
            </w:pPr>
            <w:r>
              <w:rPr>
                <w:rFonts w:ascii="Times New Roman" w:cs="Times New Roman" w:eastAsia="Times New Roman" w:hAnsi="Times New Roman"/>
                <w:sz w:val="18"/>
                <w:szCs w:val="18"/>
                <w:color w:val="auto"/>
                <w:w w:val="96"/>
              </w:rPr>
              <w:t>Identification No.)</w:t>
            </w:r>
          </w:p>
        </w:tc>
      </w:tr>
    </w:tbl>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1150 15th Street, N.W. Washington, D.C. 20071</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 and zip Code)</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 334-6000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1051560</wp:posOffset>
            </wp:positionH>
            <wp:positionV relativeFrom="paragraph">
              <wp:posOffset>219075</wp:posOffset>
            </wp:positionV>
            <wp:extent cx="51625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ind w:right="140"/>
        <w:spacing w:after="0" w:line="235" w:lineRule="auto"/>
        <w:rPr>
          <w:sz w:val="20"/>
          <w:szCs w:val="20"/>
          <w:color w:val="auto"/>
        </w:rPr>
      </w:pPr>
      <w:r>
        <w:rPr>
          <w:rFonts w:ascii="Verdana" w:cs="Verdana" w:eastAsia="Verdana" w:hAnsi="Verdana"/>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Layout w:type="fixed"/>
        <w:tblInd w:w="0" w:type="dxa"/>
        <w:tblCellMar>
          <w:top w:w="0" w:type="dxa"/>
          <w:left w:w="0" w:type="dxa"/>
          <w:bottom w:w="0" w:type="dxa"/>
          <w:right w:w="0" w:type="dxa"/>
        </w:tblCellMar>
      </w:tblPr>
      <w:tr>
        <w:trPr>
          <w:trHeight w:val="196"/>
        </w:trPr>
        <w:tc>
          <w:tcPr>
            <w:tcW w:w="1780" w:type="dxa"/>
            <w:vAlign w:val="bottom"/>
            <w:gridSpan w:val="4"/>
          </w:tcPr>
          <w:p>
            <w:pPr>
              <w:spacing w:after="0" w:line="196" w:lineRule="exact"/>
              <w:rPr>
                <w:sz w:val="20"/>
                <w:szCs w:val="20"/>
                <w:color w:val="auto"/>
              </w:rPr>
            </w:pPr>
            <w:r>
              <w:rPr>
                <w:rFonts w:ascii="Verdana" w:cs="Verdana" w:eastAsia="Verdana" w:hAnsi="Verdana"/>
                <w:sz w:val="18"/>
                <w:szCs w:val="18"/>
                <w:color w:val="auto"/>
              </w:rPr>
              <w:t>Yes  X   .  No</w:t>
            </w:r>
          </w:p>
        </w:tc>
        <w:tc>
          <w:tcPr>
            <w:tcW w:w="1940" w:type="dxa"/>
            <w:vAlign w:val="bottom"/>
          </w:tcPr>
          <w:p>
            <w:pPr>
              <w:jc w:val="right"/>
              <w:ind w:right="1803"/>
              <w:spacing w:after="0"/>
              <w:rPr>
                <w:sz w:val="20"/>
                <w:szCs w:val="20"/>
                <w:color w:val="auto"/>
              </w:rPr>
            </w:pPr>
            <w:r>
              <w:rPr>
                <w:rFonts w:ascii="Verdana" w:cs="Verdana" w:eastAsia="Verdana" w:hAnsi="Verdana"/>
                <w:sz w:val="15"/>
                <w:szCs w:val="15"/>
                <w:color w:val="auto"/>
                <w:w w:val="71"/>
              </w:rPr>
              <w:t>.</w:t>
            </w:r>
          </w:p>
        </w:tc>
        <w:tc>
          <w:tcPr>
            <w:tcW w:w="13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48"/>
        </w:trPr>
        <w:tc>
          <w:tcPr>
            <w:tcW w:w="3720" w:type="dxa"/>
            <w:vAlign w:val="bottom"/>
            <w:gridSpan w:val="5"/>
          </w:tcPr>
          <w:p>
            <w:pPr>
              <w:spacing w:after="0"/>
              <w:rPr>
                <w:sz w:val="20"/>
                <w:szCs w:val="20"/>
                <w:color w:val="auto"/>
              </w:rPr>
            </w:pPr>
            <w:r>
              <w:rPr>
                <w:rFonts w:ascii="Verdana" w:cs="Verdana" w:eastAsia="Verdana" w:hAnsi="Verdana"/>
                <w:sz w:val="18"/>
                <w:szCs w:val="18"/>
                <w:color w:val="auto"/>
              </w:rPr>
              <w:t>Shares outstanding at May 2, 2002:</w:t>
            </w: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86"/>
        </w:trPr>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60" w:type="dxa"/>
            <w:vAlign w:val="bottom"/>
            <w:gridSpan w:val="3"/>
          </w:tcPr>
          <w:p>
            <w:pPr>
              <w:ind w:left="460"/>
              <w:spacing w:after="0"/>
              <w:rPr>
                <w:sz w:val="20"/>
                <w:szCs w:val="20"/>
                <w:color w:val="auto"/>
              </w:rPr>
            </w:pPr>
            <w:r>
              <w:rPr>
                <w:rFonts w:ascii="Verdana" w:cs="Verdana" w:eastAsia="Verdana" w:hAnsi="Verdana"/>
                <w:sz w:val="18"/>
                <w:szCs w:val="18"/>
                <w:color w:val="auto"/>
              </w:rPr>
              <w:t>Class A Common Stock</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1,722,250</w:t>
            </w:r>
          </w:p>
        </w:tc>
        <w:tc>
          <w:tcPr>
            <w:tcW w:w="660" w:type="dxa"/>
            <w:vAlign w:val="bottom"/>
          </w:tcPr>
          <w:p>
            <w:pPr>
              <w:ind w:left="60"/>
              <w:spacing w:after="0"/>
              <w:rPr>
                <w:sz w:val="20"/>
                <w:szCs w:val="20"/>
                <w:color w:val="auto"/>
              </w:rPr>
            </w:pPr>
            <w:r>
              <w:rPr>
                <w:rFonts w:ascii="Verdana" w:cs="Verdana" w:eastAsia="Verdana" w:hAnsi="Verdana"/>
                <w:sz w:val="18"/>
                <w:szCs w:val="18"/>
                <w:color w:val="auto"/>
                <w:w w:val="92"/>
              </w:rPr>
              <w:t>Shares</w:t>
            </w:r>
          </w:p>
        </w:tc>
      </w:tr>
      <w:tr>
        <w:trPr>
          <w:trHeight w:val="486"/>
        </w:trPr>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60" w:type="dxa"/>
            <w:vAlign w:val="bottom"/>
            <w:gridSpan w:val="3"/>
          </w:tcPr>
          <w:p>
            <w:pPr>
              <w:ind w:left="460"/>
              <w:spacing w:after="0"/>
              <w:rPr>
                <w:sz w:val="20"/>
                <w:szCs w:val="20"/>
                <w:color w:val="auto"/>
              </w:rPr>
            </w:pPr>
            <w:r>
              <w:rPr>
                <w:rFonts w:ascii="Verdana" w:cs="Verdana" w:eastAsia="Verdana" w:hAnsi="Verdana"/>
                <w:sz w:val="18"/>
                <w:szCs w:val="18"/>
                <w:color w:val="auto"/>
              </w:rPr>
              <w:t>Class B Common Stock</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7,780,834</w:t>
            </w:r>
          </w:p>
        </w:tc>
        <w:tc>
          <w:tcPr>
            <w:tcW w:w="660" w:type="dxa"/>
            <w:vAlign w:val="bottom"/>
          </w:tcPr>
          <w:p>
            <w:pPr>
              <w:ind w:left="60"/>
              <w:spacing w:after="0"/>
              <w:rPr>
                <w:sz w:val="20"/>
                <w:szCs w:val="20"/>
                <w:color w:val="auto"/>
              </w:rPr>
            </w:pPr>
            <w:r>
              <w:rPr>
                <w:rFonts w:ascii="Verdana" w:cs="Verdana" w:eastAsia="Verdana" w:hAnsi="Verdana"/>
                <w:sz w:val="18"/>
                <w:szCs w:val="18"/>
                <w:color w:val="auto"/>
                <w:w w:val="92"/>
              </w:rPr>
              <w:t>Shares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4" w:lineRule="exact"/>
        <w:rPr>
          <w:sz w:val="24"/>
          <w:szCs w:val="24"/>
          <w:color w:val="auto"/>
        </w:rPr>
      </w:pPr>
    </w:p>
    <w:p>
      <w:pPr>
        <w:jc w:val="right"/>
        <w:spacing w:after="0"/>
        <w:rPr>
          <w:sz w:val="20"/>
          <w:szCs w:val="20"/>
          <w:color w:val="auto"/>
        </w:rPr>
      </w:pPr>
      <w:r>
        <w:rPr>
          <w:rFonts w:ascii="Verdana" w:cs="Verdana" w:eastAsia="Verdana" w:hAnsi="Verdana"/>
          <w:sz w:val="18"/>
          <w:szCs w:val="18"/>
          <w:color w:val="auto"/>
        </w:rPr>
        <w:t>2.</w:t>
      </w:r>
    </w:p>
    <w:p>
      <w:pPr>
        <w:spacing w:after="0" w:line="213" w:lineRule="exact"/>
        <w:rPr>
          <w:sz w:val="24"/>
          <w:szCs w:val="24"/>
          <w:color w:val="auto"/>
        </w:rPr>
      </w:pPr>
    </w:p>
    <w:p>
      <w:pPr>
        <w:jc w:val="center"/>
        <w:spacing w:after="0"/>
        <w:rPr>
          <w:sz w:val="20"/>
          <w:szCs w:val="20"/>
          <w:color w:val="auto"/>
        </w:rPr>
      </w:pPr>
      <w:r>
        <w:rPr>
          <w:rFonts w:ascii="Verdana" w:cs="Verdana" w:eastAsia="Verdana" w:hAnsi="Verdana"/>
          <w:sz w:val="18"/>
          <w:szCs w:val="18"/>
          <w:b w:val="1"/>
          <w:bCs w:val="1"/>
          <w:color w:val="auto"/>
        </w:rPr>
        <w:t>THE WASHINGTON POST COMPANY</w:t>
      </w:r>
    </w:p>
    <w:p>
      <w:pPr>
        <w:spacing w:after="0" w:line="213" w:lineRule="exact"/>
        <w:rPr>
          <w:sz w:val="24"/>
          <w:szCs w:val="24"/>
          <w:color w:val="auto"/>
        </w:rPr>
      </w:pPr>
    </w:p>
    <w:p>
      <w:pPr>
        <w:jc w:val="center"/>
        <w:ind w:right="-59"/>
        <w:spacing w:after="0"/>
        <w:rPr>
          <w:sz w:val="20"/>
          <w:szCs w:val="20"/>
          <w:color w:val="auto"/>
        </w:rPr>
      </w:pPr>
      <w:r>
        <w:rPr>
          <w:rFonts w:ascii="Verdana" w:cs="Verdana" w:eastAsia="Verdana" w:hAnsi="Verdana"/>
          <w:sz w:val="18"/>
          <w:szCs w:val="18"/>
          <w:u w:val="single" w:color="auto"/>
          <w:color w:val="auto"/>
        </w:rPr>
        <w:t>Table of Contents</w:t>
      </w:r>
    </w:p>
    <w:p>
      <w:pPr>
        <w:spacing w:after="0" w:line="227" w:lineRule="exact"/>
        <w:rPr>
          <w:sz w:val="24"/>
          <w:szCs w:val="24"/>
          <w:color w:val="auto"/>
        </w:rPr>
      </w:pPr>
    </w:p>
    <w:p>
      <w:pPr>
        <w:ind w:left="9120"/>
        <w:spacing w:after="0"/>
        <w:rPr>
          <w:sz w:val="20"/>
          <w:szCs w:val="20"/>
          <w:color w:val="auto"/>
        </w:rPr>
      </w:pPr>
      <w:r>
        <w:rPr>
          <w:rFonts w:ascii="Verdana" w:cs="Verdana" w:eastAsia="Verdana" w:hAnsi="Verdana"/>
          <w:sz w:val="18"/>
          <w:szCs w:val="18"/>
          <w:color w:val="auto"/>
        </w:rPr>
        <w:t>Page</w:t>
      </w:r>
    </w:p>
    <w:p>
      <w:pPr>
        <w:spacing w:after="0" w:line="24" w:lineRule="exact"/>
        <w:rPr>
          <w:sz w:val="24"/>
          <w:szCs w:val="24"/>
          <w:color w:val="auto"/>
        </w:rPr>
      </w:pPr>
    </w:p>
    <w:p>
      <w:pPr>
        <w:spacing w:after="0"/>
        <w:tabs>
          <w:tab w:leader="none" w:pos="900" w:val="left"/>
        </w:tabs>
        <w:rPr>
          <w:sz w:val="20"/>
          <w:szCs w:val="20"/>
          <w:color w:val="auto"/>
        </w:rPr>
      </w:pPr>
      <w:r>
        <w:rPr>
          <w:rFonts w:ascii="Verdana" w:cs="Verdana" w:eastAsia="Verdana" w:hAnsi="Verdana"/>
          <w:sz w:val="18"/>
          <w:szCs w:val="18"/>
          <w:b w:val="1"/>
          <w:bCs w:val="1"/>
          <w:i w:val="1"/>
          <w:iCs w:val="1"/>
          <w:color w:val="auto"/>
        </w:rPr>
        <w:t>PART I.</w:t>
      </w:r>
      <w:r>
        <w:rPr>
          <w:sz w:val="20"/>
          <w:szCs w:val="20"/>
          <w:color w:val="auto"/>
        </w:rPr>
        <w:tab/>
      </w:r>
      <w:r>
        <w:rPr>
          <w:rFonts w:ascii="Verdana" w:cs="Verdana" w:eastAsia="Verdana" w:hAnsi="Verdana"/>
          <w:sz w:val="16"/>
          <w:szCs w:val="16"/>
          <w:b w:val="1"/>
          <w:bCs w:val="1"/>
          <w:i w:val="1"/>
          <w:iCs w:val="1"/>
          <w:color w:val="auto"/>
        </w:rPr>
        <w:t>FINANCIAL INFORMATION</w:t>
      </w:r>
    </w:p>
    <w:p>
      <w:pPr>
        <w:spacing w:after="0" w:line="267" w:lineRule="exact"/>
        <w:rPr>
          <w:sz w:val="24"/>
          <w:szCs w:val="24"/>
          <w:color w:val="auto"/>
        </w:rPr>
      </w:pPr>
    </w:p>
    <w:p>
      <w:pPr>
        <w:ind w:left="780"/>
        <w:spacing w:after="0"/>
        <w:rPr>
          <w:sz w:val="20"/>
          <w:szCs w:val="20"/>
          <w:color w:val="auto"/>
        </w:rPr>
      </w:pPr>
      <w:r>
        <w:rPr>
          <w:rFonts w:ascii="Verdana" w:cs="Verdana" w:eastAsia="Verdana" w:hAnsi="Verdana"/>
          <w:sz w:val="18"/>
          <w:szCs w:val="18"/>
          <w:color w:val="auto"/>
        </w:rPr>
        <w:t>Item 1. Financial Statements</w:t>
      </w:r>
    </w:p>
    <w:p>
      <w:pPr>
        <w:spacing w:after="0" w:line="254" w:lineRule="exact"/>
        <w:rPr>
          <w:sz w:val="24"/>
          <w:szCs w:val="24"/>
          <w:color w:val="auto"/>
        </w:rPr>
      </w:pPr>
    </w:p>
    <w:tbl>
      <w:tblPr>
        <w:tblLayout w:type="fixed"/>
        <w:tblInd w:w="780" w:type="dxa"/>
        <w:tblCellMar>
          <w:top w:w="0" w:type="dxa"/>
          <w:left w:w="0" w:type="dxa"/>
          <w:bottom w:w="0" w:type="dxa"/>
          <w:right w:w="0" w:type="dxa"/>
        </w:tblCellMar>
      </w:tblPr>
      <w:tr>
        <w:trPr>
          <w:trHeight w:val="219"/>
        </w:trPr>
        <w:tc>
          <w:tcPr>
            <w:tcW w:w="940" w:type="dxa"/>
            <w:vAlign w:val="bottom"/>
          </w:tcPr>
          <w:p>
            <w:pPr>
              <w:ind w:left="440"/>
              <w:spacing w:after="0"/>
              <w:rPr>
                <w:sz w:val="20"/>
                <w:szCs w:val="20"/>
                <w:color w:val="auto"/>
              </w:rPr>
            </w:pPr>
            <w:r>
              <w:rPr>
                <w:rFonts w:ascii="Verdana" w:cs="Verdana" w:eastAsia="Verdana" w:hAnsi="Verdana"/>
                <w:sz w:val="18"/>
                <w:szCs w:val="18"/>
                <w:color w:val="auto"/>
              </w:rPr>
              <w:t>a.</w:t>
            </w:r>
          </w:p>
        </w:tc>
        <w:tc>
          <w:tcPr>
            <w:tcW w:w="7360" w:type="dxa"/>
            <w:vAlign w:val="bottom"/>
          </w:tcPr>
          <w:p>
            <w:pPr>
              <w:ind w:left="120"/>
              <w:spacing w:after="0"/>
              <w:rPr>
                <w:sz w:val="20"/>
                <w:szCs w:val="20"/>
                <w:color w:val="auto"/>
              </w:rPr>
            </w:pPr>
            <w:r>
              <w:rPr>
                <w:rFonts w:ascii="Verdana" w:cs="Verdana" w:eastAsia="Verdana" w:hAnsi="Verdana"/>
                <w:sz w:val="18"/>
                <w:szCs w:val="18"/>
                <w:color w:val="auto"/>
              </w:rPr>
              <w:t>Condensed Consolidated Statements of Income (Unaudited) for the Thirteen</w:t>
            </w:r>
          </w:p>
        </w:tc>
        <w:tc>
          <w:tcPr>
            <w:tcW w:w="360" w:type="dxa"/>
            <w:vAlign w:val="bottom"/>
          </w:tcPr>
          <w:p>
            <w:pPr>
              <w:jc w:val="center"/>
              <w:ind w:left="52"/>
              <w:spacing w:after="0"/>
              <w:rPr>
                <w:sz w:val="20"/>
                <w:szCs w:val="20"/>
                <w:color w:val="auto"/>
              </w:rPr>
            </w:pPr>
            <w:r>
              <w:rPr>
                <w:rFonts w:ascii="Verdana" w:cs="Verdana" w:eastAsia="Verdana" w:hAnsi="Verdana"/>
                <w:sz w:val="18"/>
                <w:szCs w:val="18"/>
                <w:color w:val="auto"/>
                <w:w w:val="86"/>
              </w:rPr>
              <w:t>3</w:t>
            </w:r>
          </w:p>
        </w:tc>
      </w:tr>
      <w:tr>
        <w:trPr>
          <w:trHeight w:val="216"/>
        </w:trPr>
        <w:tc>
          <w:tcPr>
            <w:tcW w:w="940" w:type="dxa"/>
            <w:vAlign w:val="bottom"/>
          </w:tcPr>
          <w:p>
            <w:pPr>
              <w:spacing w:after="0"/>
              <w:rPr>
                <w:sz w:val="18"/>
                <w:szCs w:val="18"/>
                <w:color w:val="auto"/>
              </w:rPr>
            </w:pPr>
          </w:p>
        </w:tc>
        <w:tc>
          <w:tcPr>
            <w:tcW w:w="7360" w:type="dxa"/>
            <w:vAlign w:val="bottom"/>
          </w:tcPr>
          <w:p>
            <w:pPr>
              <w:ind w:left="120"/>
              <w:spacing w:after="0" w:line="217" w:lineRule="exact"/>
              <w:rPr>
                <w:sz w:val="20"/>
                <w:szCs w:val="20"/>
                <w:color w:val="auto"/>
              </w:rPr>
            </w:pPr>
            <w:r>
              <w:rPr>
                <w:rFonts w:ascii="Verdana" w:cs="Verdana" w:eastAsia="Verdana" w:hAnsi="Verdana"/>
                <w:sz w:val="18"/>
                <w:szCs w:val="18"/>
                <w:color w:val="auto"/>
              </w:rPr>
              <w:t>Weeks Ended March 31, 2002 and April 1, 2001</w:t>
            </w:r>
          </w:p>
        </w:tc>
        <w:tc>
          <w:tcPr>
            <w:tcW w:w="360" w:type="dxa"/>
            <w:vAlign w:val="bottom"/>
          </w:tcPr>
          <w:p>
            <w:pPr>
              <w:spacing w:after="0"/>
              <w:rPr>
                <w:sz w:val="18"/>
                <w:szCs w:val="18"/>
                <w:color w:val="auto"/>
              </w:rPr>
            </w:pPr>
          </w:p>
        </w:tc>
      </w:tr>
      <w:tr>
        <w:trPr>
          <w:trHeight w:val="459"/>
        </w:trPr>
        <w:tc>
          <w:tcPr>
            <w:tcW w:w="940" w:type="dxa"/>
            <w:vAlign w:val="bottom"/>
          </w:tcPr>
          <w:p>
            <w:pPr>
              <w:ind w:left="440"/>
              <w:spacing w:after="0"/>
              <w:rPr>
                <w:sz w:val="20"/>
                <w:szCs w:val="20"/>
                <w:color w:val="auto"/>
              </w:rPr>
            </w:pPr>
            <w:r>
              <w:rPr>
                <w:rFonts w:ascii="Verdana" w:cs="Verdana" w:eastAsia="Verdana" w:hAnsi="Verdana"/>
                <w:sz w:val="18"/>
                <w:szCs w:val="18"/>
                <w:color w:val="auto"/>
              </w:rPr>
              <w:t>b.</w:t>
            </w:r>
          </w:p>
        </w:tc>
        <w:tc>
          <w:tcPr>
            <w:tcW w:w="7360" w:type="dxa"/>
            <w:vAlign w:val="bottom"/>
          </w:tcPr>
          <w:p>
            <w:pPr>
              <w:ind w:left="120"/>
              <w:spacing w:after="0"/>
              <w:rPr>
                <w:sz w:val="20"/>
                <w:szCs w:val="20"/>
                <w:color w:val="auto"/>
              </w:rPr>
            </w:pPr>
            <w:r>
              <w:rPr>
                <w:rFonts w:ascii="Verdana" w:cs="Verdana" w:eastAsia="Verdana" w:hAnsi="Verdana"/>
                <w:sz w:val="18"/>
                <w:szCs w:val="18"/>
                <w:color w:val="auto"/>
                <w:w w:val="99"/>
              </w:rPr>
              <w:t>Condensed Consolidated Statements of Comprehensive Income (Unaudited) for</w:t>
            </w:r>
          </w:p>
        </w:tc>
        <w:tc>
          <w:tcPr>
            <w:tcW w:w="360" w:type="dxa"/>
            <w:vAlign w:val="bottom"/>
          </w:tcPr>
          <w:p>
            <w:pPr>
              <w:jc w:val="center"/>
              <w:ind w:left="52"/>
              <w:spacing w:after="0"/>
              <w:rPr>
                <w:sz w:val="20"/>
                <w:szCs w:val="20"/>
                <w:color w:val="auto"/>
              </w:rPr>
            </w:pPr>
            <w:r>
              <w:rPr>
                <w:rFonts w:ascii="Verdana" w:cs="Verdana" w:eastAsia="Verdana" w:hAnsi="Verdana"/>
                <w:sz w:val="18"/>
                <w:szCs w:val="18"/>
                <w:color w:val="auto"/>
                <w:w w:val="86"/>
              </w:rPr>
              <w:t>4</w:t>
            </w:r>
          </w:p>
        </w:tc>
      </w:tr>
      <w:tr>
        <w:trPr>
          <w:trHeight w:val="216"/>
        </w:trPr>
        <w:tc>
          <w:tcPr>
            <w:tcW w:w="940" w:type="dxa"/>
            <w:vAlign w:val="bottom"/>
          </w:tcPr>
          <w:p>
            <w:pPr>
              <w:spacing w:after="0"/>
              <w:rPr>
                <w:sz w:val="18"/>
                <w:szCs w:val="18"/>
                <w:color w:val="auto"/>
              </w:rPr>
            </w:pPr>
          </w:p>
        </w:tc>
        <w:tc>
          <w:tcPr>
            <w:tcW w:w="7360" w:type="dxa"/>
            <w:vAlign w:val="bottom"/>
          </w:tcPr>
          <w:p>
            <w:pPr>
              <w:ind w:left="120"/>
              <w:spacing w:after="0" w:line="217" w:lineRule="exact"/>
              <w:rPr>
                <w:sz w:val="20"/>
                <w:szCs w:val="20"/>
                <w:color w:val="auto"/>
              </w:rPr>
            </w:pPr>
            <w:r>
              <w:rPr>
                <w:rFonts w:ascii="Verdana" w:cs="Verdana" w:eastAsia="Verdana" w:hAnsi="Verdana"/>
                <w:sz w:val="18"/>
                <w:szCs w:val="18"/>
                <w:color w:val="auto"/>
              </w:rPr>
              <w:t>the Thirteen Weeks Ended March 31, 2002 and April 1, 2001</w:t>
            </w:r>
          </w:p>
        </w:tc>
        <w:tc>
          <w:tcPr>
            <w:tcW w:w="360" w:type="dxa"/>
            <w:vAlign w:val="bottom"/>
          </w:tcPr>
          <w:p>
            <w:pPr>
              <w:spacing w:after="0"/>
              <w:rPr>
                <w:sz w:val="18"/>
                <w:szCs w:val="18"/>
                <w:color w:val="auto"/>
              </w:rPr>
            </w:pPr>
          </w:p>
        </w:tc>
      </w:tr>
      <w:tr>
        <w:trPr>
          <w:trHeight w:val="459"/>
        </w:trPr>
        <w:tc>
          <w:tcPr>
            <w:tcW w:w="940" w:type="dxa"/>
            <w:vAlign w:val="bottom"/>
          </w:tcPr>
          <w:p>
            <w:pPr>
              <w:ind w:left="460"/>
              <w:spacing w:after="0"/>
              <w:rPr>
                <w:sz w:val="20"/>
                <w:szCs w:val="20"/>
                <w:color w:val="auto"/>
              </w:rPr>
            </w:pPr>
            <w:r>
              <w:rPr>
                <w:rFonts w:ascii="Verdana" w:cs="Verdana" w:eastAsia="Verdana" w:hAnsi="Verdana"/>
                <w:sz w:val="18"/>
                <w:szCs w:val="18"/>
                <w:color w:val="auto"/>
              </w:rPr>
              <w:t>c.</w:t>
            </w:r>
          </w:p>
        </w:tc>
        <w:tc>
          <w:tcPr>
            <w:tcW w:w="7360" w:type="dxa"/>
            <w:vAlign w:val="bottom"/>
          </w:tcPr>
          <w:p>
            <w:pPr>
              <w:ind w:left="120"/>
              <w:spacing w:after="0"/>
              <w:rPr>
                <w:sz w:val="20"/>
                <w:szCs w:val="20"/>
                <w:color w:val="auto"/>
              </w:rPr>
            </w:pPr>
            <w:r>
              <w:rPr>
                <w:rFonts w:ascii="Verdana" w:cs="Verdana" w:eastAsia="Verdana" w:hAnsi="Verdana"/>
                <w:sz w:val="18"/>
                <w:szCs w:val="18"/>
                <w:color w:val="auto"/>
              </w:rPr>
              <w:t>Condensed Consolidated Balance Sheets at March 31, 2002 (Unaudited) and</w:t>
            </w:r>
          </w:p>
        </w:tc>
        <w:tc>
          <w:tcPr>
            <w:tcW w:w="360" w:type="dxa"/>
            <w:vAlign w:val="bottom"/>
          </w:tcPr>
          <w:p>
            <w:pPr>
              <w:jc w:val="center"/>
              <w:ind w:left="52"/>
              <w:spacing w:after="0"/>
              <w:rPr>
                <w:sz w:val="20"/>
                <w:szCs w:val="20"/>
                <w:color w:val="auto"/>
              </w:rPr>
            </w:pPr>
            <w:r>
              <w:rPr>
                <w:rFonts w:ascii="Verdana" w:cs="Verdana" w:eastAsia="Verdana" w:hAnsi="Verdana"/>
                <w:sz w:val="18"/>
                <w:szCs w:val="18"/>
                <w:color w:val="auto"/>
                <w:w w:val="86"/>
              </w:rPr>
              <w:t>5</w:t>
            </w:r>
          </w:p>
        </w:tc>
      </w:tr>
      <w:tr>
        <w:trPr>
          <w:trHeight w:val="216"/>
        </w:trPr>
        <w:tc>
          <w:tcPr>
            <w:tcW w:w="940" w:type="dxa"/>
            <w:vAlign w:val="bottom"/>
          </w:tcPr>
          <w:p>
            <w:pPr>
              <w:spacing w:after="0"/>
              <w:rPr>
                <w:sz w:val="18"/>
                <w:szCs w:val="18"/>
                <w:color w:val="auto"/>
              </w:rPr>
            </w:pPr>
          </w:p>
        </w:tc>
        <w:tc>
          <w:tcPr>
            <w:tcW w:w="7360" w:type="dxa"/>
            <w:vAlign w:val="bottom"/>
          </w:tcPr>
          <w:p>
            <w:pPr>
              <w:ind w:left="120"/>
              <w:spacing w:after="0" w:line="217" w:lineRule="exact"/>
              <w:rPr>
                <w:sz w:val="20"/>
                <w:szCs w:val="20"/>
                <w:color w:val="auto"/>
              </w:rPr>
            </w:pPr>
            <w:r>
              <w:rPr>
                <w:rFonts w:ascii="Verdana" w:cs="Verdana" w:eastAsia="Verdana" w:hAnsi="Verdana"/>
                <w:sz w:val="18"/>
                <w:szCs w:val="18"/>
                <w:color w:val="auto"/>
              </w:rPr>
              <w:t>December 30, 2001</w:t>
            </w:r>
          </w:p>
        </w:tc>
        <w:tc>
          <w:tcPr>
            <w:tcW w:w="360" w:type="dxa"/>
            <w:vAlign w:val="bottom"/>
          </w:tcPr>
          <w:p>
            <w:pPr>
              <w:spacing w:after="0"/>
              <w:rPr>
                <w:sz w:val="18"/>
                <w:szCs w:val="18"/>
                <w:color w:val="auto"/>
              </w:rPr>
            </w:pPr>
          </w:p>
        </w:tc>
      </w:tr>
      <w:tr>
        <w:trPr>
          <w:trHeight w:val="459"/>
        </w:trPr>
        <w:tc>
          <w:tcPr>
            <w:tcW w:w="940" w:type="dxa"/>
            <w:vAlign w:val="bottom"/>
          </w:tcPr>
          <w:p>
            <w:pPr>
              <w:ind w:left="440"/>
              <w:spacing w:after="0"/>
              <w:rPr>
                <w:sz w:val="20"/>
                <w:szCs w:val="20"/>
                <w:color w:val="auto"/>
              </w:rPr>
            </w:pPr>
            <w:r>
              <w:rPr>
                <w:rFonts w:ascii="Verdana" w:cs="Verdana" w:eastAsia="Verdana" w:hAnsi="Verdana"/>
                <w:sz w:val="18"/>
                <w:szCs w:val="18"/>
                <w:color w:val="auto"/>
              </w:rPr>
              <w:t>d.</w:t>
            </w:r>
          </w:p>
        </w:tc>
        <w:tc>
          <w:tcPr>
            <w:tcW w:w="7360" w:type="dxa"/>
            <w:vAlign w:val="bottom"/>
          </w:tcPr>
          <w:p>
            <w:pPr>
              <w:ind w:left="120"/>
              <w:spacing w:after="0"/>
              <w:rPr>
                <w:sz w:val="20"/>
                <w:szCs w:val="20"/>
                <w:color w:val="auto"/>
              </w:rPr>
            </w:pPr>
            <w:r>
              <w:rPr>
                <w:rFonts w:ascii="Verdana" w:cs="Verdana" w:eastAsia="Verdana" w:hAnsi="Verdana"/>
                <w:sz w:val="18"/>
                <w:szCs w:val="18"/>
                <w:color w:val="auto"/>
                <w:w w:val="99"/>
              </w:rPr>
              <w:t>Condensed Consolidated Statements of Cash Flows (Unaudited) for the Thirteen</w:t>
            </w:r>
          </w:p>
        </w:tc>
        <w:tc>
          <w:tcPr>
            <w:tcW w:w="360" w:type="dxa"/>
            <w:vAlign w:val="bottom"/>
          </w:tcPr>
          <w:p>
            <w:pPr>
              <w:jc w:val="center"/>
              <w:ind w:left="52"/>
              <w:spacing w:after="0"/>
              <w:rPr>
                <w:sz w:val="20"/>
                <w:szCs w:val="20"/>
                <w:color w:val="auto"/>
              </w:rPr>
            </w:pPr>
            <w:r>
              <w:rPr>
                <w:rFonts w:ascii="Verdana" w:cs="Verdana" w:eastAsia="Verdana" w:hAnsi="Verdana"/>
                <w:sz w:val="18"/>
                <w:szCs w:val="18"/>
                <w:color w:val="auto"/>
                <w:w w:val="86"/>
              </w:rPr>
              <w:t>6</w:t>
            </w:r>
          </w:p>
        </w:tc>
      </w:tr>
      <w:tr>
        <w:trPr>
          <w:trHeight w:val="216"/>
        </w:trPr>
        <w:tc>
          <w:tcPr>
            <w:tcW w:w="940" w:type="dxa"/>
            <w:vAlign w:val="bottom"/>
          </w:tcPr>
          <w:p>
            <w:pPr>
              <w:spacing w:after="0"/>
              <w:rPr>
                <w:sz w:val="18"/>
                <w:szCs w:val="18"/>
                <w:color w:val="auto"/>
              </w:rPr>
            </w:pPr>
          </w:p>
        </w:tc>
        <w:tc>
          <w:tcPr>
            <w:tcW w:w="7360" w:type="dxa"/>
            <w:vAlign w:val="bottom"/>
          </w:tcPr>
          <w:p>
            <w:pPr>
              <w:ind w:left="120"/>
              <w:spacing w:after="0" w:line="217" w:lineRule="exact"/>
              <w:rPr>
                <w:sz w:val="20"/>
                <w:szCs w:val="20"/>
                <w:color w:val="auto"/>
              </w:rPr>
            </w:pPr>
            <w:r>
              <w:rPr>
                <w:rFonts w:ascii="Verdana" w:cs="Verdana" w:eastAsia="Verdana" w:hAnsi="Verdana"/>
                <w:sz w:val="18"/>
                <w:szCs w:val="18"/>
                <w:color w:val="auto"/>
              </w:rPr>
              <w:t>Weeks Ended March 31, 2002 and April 1, 2001</w:t>
            </w:r>
          </w:p>
        </w:tc>
        <w:tc>
          <w:tcPr>
            <w:tcW w:w="360" w:type="dxa"/>
            <w:vAlign w:val="bottom"/>
          </w:tcPr>
          <w:p>
            <w:pPr>
              <w:spacing w:after="0"/>
              <w:rPr>
                <w:sz w:val="18"/>
                <w:szCs w:val="18"/>
                <w:color w:val="auto"/>
              </w:rPr>
            </w:pPr>
          </w:p>
        </w:tc>
      </w:tr>
      <w:tr>
        <w:trPr>
          <w:trHeight w:val="473"/>
        </w:trPr>
        <w:tc>
          <w:tcPr>
            <w:tcW w:w="940" w:type="dxa"/>
            <w:vAlign w:val="bottom"/>
          </w:tcPr>
          <w:p>
            <w:pPr>
              <w:ind w:left="440"/>
              <w:spacing w:after="0"/>
              <w:rPr>
                <w:sz w:val="20"/>
                <w:szCs w:val="20"/>
                <w:color w:val="auto"/>
              </w:rPr>
            </w:pPr>
            <w:r>
              <w:rPr>
                <w:rFonts w:ascii="Verdana" w:cs="Verdana" w:eastAsia="Verdana" w:hAnsi="Verdana"/>
                <w:sz w:val="18"/>
                <w:szCs w:val="18"/>
                <w:color w:val="auto"/>
              </w:rPr>
              <w:t>e.</w:t>
            </w:r>
          </w:p>
        </w:tc>
        <w:tc>
          <w:tcPr>
            <w:tcW w:w="7360" w:type="dxa"/>
            <w:vAlign w:val="bottom"/>
          </w:tcPr>
          <w:p>
            <w:pPr>
              <w:ind w:left="120"/>
              <w:spacing w:after="0"/>
              <w:rPr>
                <w:sz w:val="20"/>
                <w:szCs w:val="20"/>
                <w:color w:val="auto"/>
              </w:rPr>
            </w:pPr>
            <w:r>
              <w:rPr>
                <w:rFonts w:ascii="Verdana" w:cs="Verdana" w:eastAsia="Verdana" w:hAnsi="Verdana"/>
                <w:sz w:val="18"/>
                <w:szCs w:val="18"/>
                <w:color w:val="auto"/>
              </w:rPr>
              <w:t>Notes to Condensed Consolidated Financial Statements (Unaudited)</w:t>
            </w:r>
          </w:p>
        </w:tc>
        <w:tc>
          <w:tcPr>
            <w:tcW w:w="360" w:type="dxa"/>
            <w:vAlign w:val="bottom"/>
          </w:tcPr>
          <w:p>
            <w:pPr>
              <w:jc w:val="center"/>
              <w:ind w:left="52"/>
              <w:spacing w:after="0"/>
              <w:rPr>
                <w:sz w:val="20"/>
                <w:szCs w:val="20"/>
                <w:color w:val="auto"/>
              </w:rPr>
            </w:pPr>
            <w:r>
              <w:rPr>
                <w:rFonts w:ascii="Verdana" w:cs="Verdana" w:eastAsia="Verdana" w:hAnsi="Verdana"/>
                <w:sz w:val="18"/>
                <w:szCs w:val="18"/>
                <w:color w:val="auto"/>
                <w:w w:val="86"/>
              </w:rPr>
              <w:t>7</w:t>
            </w:r>
          </w:p>
        </w:tc>
      </w:tr>
      <w:tr>
        <w:trPr>
          <w:trHeight w:val="473"/>
        </w:trPr>
        <w:tc>
          <w:tcPr>
            <w:tcW w:w="8300" w:type="dxa"/>
            <w:vAlign w:val="bottom"/>
            <w:gridSpan w:val="2"/>
          </w:tcPr>
          <w:p>
            <w:pPr>
              <w:spacing w:after="0"/>
              <w:rPr>
                <w:sz w:val="20"/>
                <w:szCs w:val="20"/>
                <w:color w:val="auto"/>
              </w:rPr>
            </w:pPr>
            <w:r>
              <w:rPr>
                <w:rFonts w:ascii="Verdana" w:cs="Verdana" w:eastAsia="Verdana" w:hAnsi="Verdana"/>
                <w:sz w:val="18"/>
                <w:szCs w:val="18"/>
                <w:color w:val="auto"/>
              </w:rPr>
              <w:t>Item 2. Management's Discussion and Analysis of Results of Operations and Financial</w:t>
            </w:r>
          </w:p>
        </w:tc>
        <w:tc>
          <w:tcPr>
            <w:tcW w:w="360" w:type="dxa"/>
            <w:vAlign w:val="bottom"/>
          </w:tcPr>
          <w:p>
            <w:pPr>
              <w:jc w:val="center"/>
              <w:ind w:left="52"/>
              <w:spacing w:after="0"/>
              <w:rPr>
                <w:sz w:val="20"/>
                <w:szCs w:val="20"/>
                <w:color w:val="auto"/>
              </w:rPr>
            </w:pPr>
            <w:r>
              <w:rPr>
                <w:rFonts w:ascii="Verdana" w:cs="Verdana" w:eastAsia="Verdana" w:hAnsi="Verdana"/>
                <w:sz w:val="18"/>
                <w:szCs w:val="18"/>
                <w:color w:val="auto"/>
                <w:w w:val="95"/>
              </w:rPr>
              <w:t>11</w:t>
            </w:r>
          </w:p>
        </w:tc>
      </w:tr>
      <w:tr>
        <w:trPr>
          <w:trHeight w:val="216"/>
        </w:trPr>
        <w:tc>
          <w:tcPr>
            <w:tcW w:w="940" w:type="dxa"/>
            <w:vAlign w:val="bottom"/>
          </w:tcPr>
          <w:p>
            <w:pPr>
              <w:spacing w:after="0" w:line="217" w:lineRule="exact"/>
              <w:rPr>
                <w:sz w:val="20"/>
                <w:szCs w:val="20"/>
                <w:color w:val="auto"/>
              </w:rPr>
            </w:pPr>
            <w:r>
              <w:rPr>
                <w:rFonts w:ascii="Verdana" w:cs="Verdana" w:eastAsia="Verdana" w:hAnsi="Verdana"/>
                <w:sz w:val="18"/>
                <w:szCs w:val="18"/>
                <w:color w:val="auto"/>
              </w:rPr>
              <w:t>Condition</w:t>
            </w:r>
          </w:p>
        </w:tc>
        <w:tc>
          <w:tcPr>
            <w:tcW w:w="7360" w:type="dxa"/>
            <w:vAlign w:val="bottom"/>
          </w:tcPr>
          <w:p>
            <w:pPr>
              <w:spacing w:after="0"/>
              <w:rPr>
                <w:sz w:val="18"/>
                <w:szCs w:val="18"/>
                <w:color w:val="auto"/>
              </w:rPr>
            </w:pPr>
          </w:p>
        </w:tc>
        <w:tc>
          <w:tcPr>
            <w:tcW w:w="360" w:type="dxa"/>
            <w:vAlign w:val="bottom"/>
          </w:tcPr>
          <w:p>
            <w:pPr>
              <w:spacing w:after="0"/>
              <w:rPr>
                <w:sz w:val="18"/>
                <w:szCs w:val="18"/>
                <w:color w:val="auto"/>
              </w:rPr>
            </w:pPr>
          </w:p>
        </w:tc>
      </w:tr>
    </w:tbl>
    <w:p>
      <w:pPr>
        <w:spacing w:after="0" w:line="254" w:lineRule="exact"/>
        <w:rPr>
          <w:sz w:val="24"/>
          <w:szCs w:val="24"/>
          <w:color w:val="auto"/>
        </w:rPr>
      </w:pPr>
    </w:p>
    <w:p>
      <w:pPr>
        <w:spacing w:after="0"/>
        <w:rPr>
          <w:sz w:val="20"/>
          <w:szCs w:val="20"/>
          <w:color w:val="auto"/>
        </w:rPr>
      </w:pPr>
      <w:r>
        <w:rPr>
          <w:rFonts w:ascii="Verdana" w:cs="Verdana" w:eastAsia="Verdana" w:hAnsi="Verdana"/>
          <w:sz w:val="18"/>
          <w:szCs w:val="18"/>
          <w:b w:val="1"/>
          <w:bCs w:val="1"/>
          <w:i w:val="1"/>
          <w:iCs w:val="1"/>
          <w:color w:val="auto"/>
        </w:rPr>
        <w:t>PART II. OTHER INFORMATION</w:t>
      </w:r>
    </w:p>
    <w:p>
      <w:pPr>
        <w:sectPr>
          <w:pgSz w:w="11900" w:h="16838" w:orient="portrait"/>
          <w:cols w:equalWidth="0" w:num="1">
            <w:col w:w="11420"/>
          </w:cols>
          <w:pgMar w:left="240" w:top="430"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2"/>
        </w:trPr>
        <w:tc>
          <w:tcPr>
            <w:tcW w:w="5420" w:type="dxa"/>
            <w:vAlign w:val="bottom"/>
            <w:gridSpan w:val="2"/>
          </w:tcPr>
          <w:p>
            <w:pPr>
              <w:ind w:left="780"/>
              <w:spacing w:after="0"/>
              <w:rPr>
                <w:sz w:val="20"/>
                <w:szCs w:val="20"/>
                <w:color w:val="auto"/>
              </w:rPr>
            </w:pPr>
            <w:r>
              <w:rPr>
                <w:rFonts w:ascii="Verdana" w:cs="Verdana" w:eastAsia="Verdana" w:hAnsi="Verdana"/>
                <w:sz w:val="18"/>
                <w:szCs w:val="18"/>
                <w:color w:val="auto"/>
              </w:rPr>
              <w:t>Item 6. Exhibits and Reports on Form 8-K</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500" w:type="dxa"/>
            <w:vAlign w:val="bottom"/>
            <w:gridSpan w:val="9"/>
          </w:tcPr>
          <w:p>
            <w:pPr>
              <w:jc w:val="right"/>
              <w:ind w:right="1980"/>
              <w:spacing w:after="0"/>
              <w:rPr>
                <w:sz w:val="20"/>
                <w:szCs w:val="20"/>
                <w:color w:val="auto"/>
              </w:rPr>
            </w:pPr>
            <w:r>
              <w:rPr>
                <w:rFonts w:ascii="Verdana" w:cs="Verdana" w:eastAsia="Verdana" w:hAnsi="Verdana"/>
                <w:sz w:val="18"/>
                <w:szCs w:val="18"/>
                <w:color w:val="auto"/>
              </w:rPr>
              <w:t>17</w:t>
            </w:r>
          </w:p>
        </w:tc>
      </w:tr>
      <w:tr>
        <w:trPr>
          <w:trHeight w:val="473"/>
        </w:trPr>
        <w:tc>
          <w:tcPr>
            <w:tcW w:w="5420" w:type="dxa"/>
            <w:vAlign w:val="bottom"/>
            <w:gridSpan w:val="2"/>
          </w:tcPr>
          <w:p>
            <w:pPr>
              <w:spacing w:after="0"/>
              <w:rPr>
                <w:sz w:val="20"/>
                <w:szCs w:val="20"/>
                <w:color w:val="auto"/>
              </w:rPr>
            </w:pPr>
            <w:r>
              <w:rPr>
                <w:rFonts w:ascii="Verdana" w:cs="Verdana" w:eastAsia="Verdana" w:hAnsi="Verdana"/>
                <w:sz w:val="18"/>
                <w:szCs w:val="18"/>
                <w:b w:val="1"/>
                <w:bCs w:val="1"/>
                <w:i w:val="1"/>
                <w:iCs w:val="1"/>
                <w:color w:val="auto"/>
              </w:rPr>
              <w:t>Signatures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00" w:type="dxa"/>
            <w:vAlign w:val="bottom"/>
            <w:gridSpan w:val="9"/>
          </w:tcPr>
          <w:p>
            <w:pPr>
              <w:jc w:val="right"/>
              <w:ind w:right="1980"/>
              <w:spacing w:after="0"/>
              <w:rPr>
                <w:sz w:val="20"/>
                <w:szCs w:val="20"/>
                <w:color w:val="auto"/>
              </w:rPr>
            </w:pPr>
            <w:r>
              <w:rPr>
                <w:rFonts w:ascii="Verdana" w:cs="Verdana" w:eastAsia="Verdana" w:hAnsi="Verdana"/>
                <w:sz w:val="18"/>
                <w:szCs w:val="18"/>
                <w:color w:val="auto"/>
              </w:rPr>
              <w:t>18</w:t>
            </w:r>
          </w:p>
        </w:tc>
      </w:tr>
      <w:tr>
        <w:trPr>
          <w:trHeight w:val="369"/>
        </w:trPr>
        <w:tc>
          <w:tcPr>
            <w:tcW w:w="50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r>
      <w:tr>
        <w:trPr>
          <w:trHeight w:val="313"/>
        </w:trPr>
        <w:tc>
          <w:tcPr>
            <w:tcW w:w="5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00" w:type="dxa"/>
            <w:vAlign w:val="bottom"/>
            <w:gridSpan w:val="9"/>
          </w:tcPr>
          <w:p>
            <w:pPr>
              <w:jc w:val="right"/>
              <w:ind w:right="60"/>
              <w:spacing w:after="0"/>
              <w:rPr>
                <w:sz w:val="20"/>
                <w:szCs w:val="20"/>
                <w:color w:val="auto"/>
              </w:rPr>
            </w:pPr>
            <w:r>
              <w:rPr>
                <w:rFonts w:ascii="Verdana" w:cs="Verdana" w:eastAsia="Verdana" w:hAnsi="Verdana"/>
                <w:sz w:val="18"/>
                <w:szCs w:val="18"/>
                <w:color w:val="auto"/>
              </w:rPr>
              <w:t>3.</w:t>
            </w:r>
          </w:p>
        </w:tc>
      </w:tr>
      <w:tr>
        <w:trPr>
          <w:trHeight w:val="432"/>
        </w:trPr>
        <w:tc>
          <w:tcPr>
            <w:tcW w:w="5420" w:type="dxa"/>
            <w:vAlign w:val="bottom"/>
            <w:gridSpan w:val="2"/>
          </w:tcPr>
          <w:p>
            <w:pPr>
              <w:spacing w:after="0"/>
              <w:rPr>
                <w:sz w:val="20"/>
                <w:szCs w:val="20"/>
                <w:color w:val="auto"/>
              </w:rPr>
            </w:pPr>
            <w:r>
              <w:rPr>
                <w:rFonts w:ascii="Verdana" w:cs="Verdana" w:eastAsia="Verdana" w:hAnsi="Verdana"/>
                <w:sz w:val="18"/>
                <w:szCs w:val="18"/>
                <w:b w:val="1"/>
                <w:bCs w:val="1"/>
                <w:color w:val="auto"/>
              </w:rPr>
              <w:t>PART I. FINANCIAL INFORMATION</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432"/>
        </w:trPr>
        <w:tc>
          <w:tcPr>
            <w:tcW w:w="5420" w:type="dxa"/>
            <w:vAlign w:val="bottom"/>
            <w:gridSpan w:val="2"/>
          </w:tcPr>
          <w:p>
            <w:pPr>
              <w:spacing w:after="0"/>
              <w:rPr>
                <w:sz w:val="20"/>
                <w:szCs w:val="20"/>
                <w:color w:val="auto"/>
              </w:rPr>
            </w:pPr>
            <w:r>
              <w:rPr>
                <w:rFonts w:ascii="Verdana" w:cs="Verdana" w:eastAsia="Verdana" w:hAnsi="Verdana"/>
                <w:sz w:val="18"/>
                <w:szCs w:val="18"/>
                <w:b w:val="1"/>
                <w:bCs w:val="1"/>
                <w:color w:val="auto"/>
              </w:rPr>
              <w:t>Item 1. Financial Statements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432"/>
        </w:trPr>
        <w:tc>
          <w:tcPr>
            <w:tcW w:w="5420" w:type="dxa"/>
            <w:vAlign w:val="bottom"/>
            <w:gridSpan w:val="2"/>
          </w:tcPr>
          <w:p>
            <w:pPr>
              <w:spacing w:after="0"/>
              <w:rPr>
                <w:sz w:val="20"/>
                <w:szCs w:val="20"/>
                <w:color w:val="auto"/>
              </w:rPr>
            </w:pPr>
            <w:r>
              <w:rPr>
                <w:rFonts w:ascii="Verdana" w:cs="Verdana" w:eastAsia="Verdana" w:hAnsi="Verdana"/>
                <w:sz w:val="18"/>
                <w:szCs w:val="18"/>
                <w:color w:val="auto"/>
              </w:rPr>
              <w:t>The Washington Post Company</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16"/>
        </w:trPr>
        <w:tc>
          <w:tcPr>
            <w:tcW w:w="5420" w:type="dxa"/>
            <w:vAlign w:val="bottom"/>
            <w:gridSpan w:val="2"/>
          </w:tcPr>
          <w:p>
            <w:pPr>
              <w:spacing w:after="0" w:line="217" w:lineRule="exact"/>
              <w:rPr>
                <w:sz w:val="20"/>
                <w:szCs w:val="20"/>
                <w:color w:val="auto"/>
              </w:rPr>
            </w:pPr>
            <w:r>
              <w:rPr>
                <w:rFonts w:ascii="Verdana" w:cs="Verdana" w:eastAsia="Verdana" w:hAnsi="Verdana"/>
                <w:sz w:val="18"/>
                <w:szCs w:val="18"/>
                <w:color w:val="auto"/>
                <w:w w:val="99"/>
              </w:rPr>
              <w:t>Condensed Consolidated Statements of Income (Unaudited)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432"/>
        </w:trPr>
        <w:tc>
          <w:tcPr>
            <w:tcW w:w="5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60" w:type="dxa"/>
            <w:vAlign w:val="bottom"/>
            <w:gridSpan w:val="12"/>
          </w:tcPr>
          <w:p>
            <w:pPr>
              <w:jc w:val="right"/>
              <w:ind w:right="3580"/>
              <w:spacing w:after="0"/>
              <w:rPr>
                <w:sz w:val="20"/>
                <w:szCs w:val="20"/>
                <w:color w:val="auto"/>
              </w:rPr>
            </w:pPr>
            <w:r>
              <w:rPr>
                <w:rFonts w:ascii="Verdana" w:cs="Verdana" w:eastAsia="Verdana" w:hAnsi="Verdana"/>
                <w:sz w:val="18"/>
                <w:szCs w:val="18"/>
                <w:color w:val="auto"/>
                <w:w w:val="96"/>
              </w:rPr>
              <w:t>Thirteen Weeks Ended</w:t>
            </w:r>
          </w:p>
        </w:tc>
      </w:tr>
      <w:tr>
        <w:trPr>
          <w:trHeight w:val="113"/>
        </w:trPr>
        <w:tc>
          <w:tcPr>
            <w:tcW w:w="5040" w:type="dxa"/>
            <w:vAlign w:val="bottom"/>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760" w:type="dxa"/>
            <w:vAlign w:val="bottom"/>
          </w:tcPr>
          <w:p>
            <w:pPr>
              <w:spacing w:after="0"/>
              <w:rPr>
                <w:sz w:val="9"/>
                <w:szCs w:val="9"/>
                <w:color w:val="auto"/>
              </w:rPr>
            </w:pPr>
          </w:p>
        </w:tc>
      </w:tr>
      <w:tr>
        <w:trPr>
          <w:trHeight w:val="327"/>
        </w:trPr>
        <w:tc>
          <w:tcPr>
            <w:tcW w:w="5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gridSpan w:val="7"/>
          </w:tcPr>
          <w:p>
            <w:pPr>
              <w:jc w:val="right"/>
              <w:ind w:right="520"/>
              <w:spacing w:after="0"/>
              <w:rPr>
                <w:sz w:val="20"/>
                <w:szCs w:val="20"/>
                <w:color w:val="auto"/>
              </w:rPr>
            </w:pPr>
            <w:r>
              <w:rPr>
                <w:rFonts w:ascii="Verdana" w:cs="Verdana" w:eastAsia="Verdana" w:hAnsi="Verdana"/>
                <w:sz w:val="18"/>
                <w:szCs w:val="18"/>
                <w:color w:val="auto"/>
              </w:rPr>
              <w:t>March 31,</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80" w:type="dxa"/>
            <w:vAlign w:val="bottom"/>
            <w:gridSpan w:val="7"/>
          </w:tcPr>
          <w:p>
            <w:pPr>
              <w:jc w:val="right"/>
              <w:ind w:right="3200"/>
              <w:spacing w:after="0"/>
              <w:rPr>
                <w:sz w:val="20"/>
                <w:szCs w:val="20"/>
                <w:color w:val="auto"/>
              </w:rPr>
            </w:pPr>
            <w:r>
              <w:rPr>
                <w:rFonts w:ascii="Verdana" w:cs="Verdana" w:eastAsia="Verdana" w:hAnsi="Verdana"/>
                <w:sz w:val="18"/>
                <w:szCs w:val="18"/>
                <w:color w:val="auto"/>
              </w:rPr>
              <w:t>April 1,</w:t>
            </w:r>
          </w:p>
        </w:tc>
      </w:tr>
      <w:tr>
        <w:trPr>
          <w:trHeight w:val="221"/>
        </w:trPr>
        <w:tc>
          <w:tcPr>
            <w:tcW w:w="5420" w:type="dxa"/>
            <w:vAlign w:val="bottom"/>
            <w:gridSpan w:val="2"/>
          </w:tcPr>
          <w:p>
            <w:pPr>
              <w:spacing w:after="0"/>
              <w:rPr>
                <w:sz w:val="20"/>
                <w:szCs w:val="20"/>
                <w:color w:val="auto"/>
              </w:rPr>
            </w:pPr>
            <w:r>
              <w:rPr>
                <w:rFonts w:ascii="Verdana" w:cs="Verdana" w:eastAsia="Verdana" w:hAnsi="Verdana"/>
                <w:sz w:val="18"/>
                <w:szCs w:val="18"/>
                <w:color w:val="auto"/>
              </w:rPr>
              <w:t>(In thousands, except per share amounts)</w:t>
            </w:r>
          </w:p>
        </w:tc>
        <w:tc>
          <w:tcPr>
            <w:tcW w:w="980" w:type="dxa"/>
            <w:vAlign w:val="bottom"/>
            <w:gridSpan w:val="6"/>
          </w:tcPr>
          <w:p>
            <w:pPr>
              <w:jc w:val="right"/>
              <w:spacing w:after="0"/>
              <w:rPr>
                <w:sz w:val="20"/>
                <w:szCs w:val="20"/>
                <w:color w:val="auto"/>
              </w:rPr>
            </w:pPr>
            <w:r>
              <w:rPr>
                <w:rFonts w:ascii="Verdana" w:cs="Verdana" w:eastAsia="Verdana" w:hAnsi="Verdana"/>
                <w:sz w:val="18"/>
                <w:szCs w:val="18"/>
                <w:color w:val="auto"/>
              </w:rPr>
              <w:t>2002</w:t>
            </w:r>
          </w:p>
        </w:tc>
        <w:tc>
          <w:tcPr>
            <w:tcW w:w="520" w:type="dxa"/>
            <w:vAlign w:val="bottom"/>
          </w:tcPr>
          <w:p>
            <w:pPr>
              <w:spacing w:after="0"/>
              <w:rPr>
                <w:sz w:val="19"/>
                <w:szCs w:val="19"/>
                <w:color w:val="auto"/>
              </w:rPr>
            </w:pPr>
          </w:p>
        </w:tc>
        <w:tc>
          <w:tcPr>
            <w:tcW w:w="1740" w:type="dxa"/>
            <w:vAlign w:val="bottom"/>
            <w:gridSpan w:val="8"/>
          </w:tcPr>
          <w:p>
            <w:pPr>
              <w:jc w:val="right"/>
              <w:ind w:right="440"/>
              <w:spacing w:after="0"/>
              <w:rPr>
                <w:sz w:val="20"/>
                <w:szCs w:val="20"/>
                <w:color w:val="auto"/>
              </w:rPr>
            </w:pPr>
            <w:r>
              <w:rPr>
                <w:rFonts w:ascii="Verdana" w:cs="Verdana" w:eastAsia="Verdana" w:hAnsi="Verdana"/>
                <w:sz w:val="18"/>
                <w:szCs w:val="18"/>
                <w:color w:val="auto"/>
              </w:rPr>
              <w:t>2001</w:t>
            </w:r>
          </w:p>
        </w:tc>
        <w:tc>
          <w:tcPr>
            <w:tcW w:w="2760" w:type="dxa"/>
            <w:vAlign w:val="bottom"/>
          </w:tcPr>
          <w:p>
            <w:pPr>
              <w:spacing w:after="0"/>
              <w:rPr>
                <w:sz w:val="19"/>
                <w:szCs w:val="19"/>
                <w:color w:val="auto"/>
              </w:rPr>
            </w:pPr>
          </w:p>
        </w:tc>
      </w:tr>
      <w:tr>
        <w:trPr>
          <w:trHeight w:val="489"/>
        </w:trPr>
        <w:tc>
          <w:tcPr>
            <w:tcW w:w="5420" w:type="dxa"/>
            <w:vAlign w:val="bottom"/>
            <w:gridSpan w:val="2"/>
          </w:tcPr>
          <w:p>
            <w:pPr>
              <w:spacing w:after="0"/>
              <w:rPr>
                <w:sz w:val="20"/>
                <w:szCs w:val="20"/>
                <w:color w:val="auto"/>
              </w:rPr>
            </w:pPr>
            <w:r>
              <w:rPr>
                <w:rFonts w:ascii="Verdana" w:cs="Verdana" w:eastAsia="Verdana" w:hAnsi="Verdana"/>
                <w:sz w:val="18"/>
                <w:szCs w:val="18"/>
                <w:color w:val="auto"/>
              </w:rPr>
              <w:t>Operating revenues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43"/>
        </w:trPr>
        <w:tc>
          <w:tcPr>
            <w:tcW w:w="5420" w:type="dxa"/>
            <w:vAlign w:val="bottom"/>
            <w:gridSpan w:val="2"/>
          </w:tcPr>
          <w:p>
            <w:pPr>
              <w:ind w:left="140"/>
              <w:spacing w:after="0"/>
              <w:rPr>
                <w:sz w:val="20"/>
                <w:szCs w:val="20"/>
                <w:color w:val="auto"/>
              </w:rPr>
            </w:pPr>
            <w:r>
              <w:rPr>
                <w:rFonts w:ascii="Verdana" w:cs="Verdana" w:eastAsia="Verdana" w:hAnsi="Verdana"/>
                <w:sz w:val="18"/>
                <w:szCs w:val="18"/>
                <w:color w:val="auto"/>
              </w:rPr>
              <w:t>Advertising</w:t>
            </w:r>
          </w:p>
        </w:tc>
        <w:tc>
          <w:tcPr>
            <w:tcW w:w="980" w:type="dxa"/>
            <w:vAlign w:val="bottom"/>
            <w:gridSpan w:val="6"/>
          </w:tcPr>
          <w:p>
            <w:pPr>
              <w:jc w:val="right"/>
              <w:spacing w:after="0"/>
              <w:rPr>
                <w:sz w:val="20"/>
                <w:szCs w:val="20"/>
                <w:color w:val="auto"/>
              </w:rPr>
            </w:pPr>
            <w:r>
              <w:rPr>
                <w:rFonts w:ascii="Verdana" w:cs="Verdana" w:eastAsia="Verdana" w:hAnsi="Verdana"/>
                <w:sz w:val="18"/>
                <w:szCs w:val="18"/>
                <w:color w:val="auto"/>
              </w:rPr>
              <w:t>$273,564</w:t>
            </w:r>
          </w:p>
        </w:tc>
        <w:tc>
          <w:tcPr>
            <w:tcW w:w="520" w:type="dxa"/>
            <w:vAlign w:val="bottom"/>
          </w:tcPr>
          <w:p>
            <w:pPr>
              <w:spacing w:after="0"/>
              <w:rPr>
                <w:sz w:val="21"/>
                <w:szCs w:val="21"/>
                <w:color w:val="auto"/>
              </w:rPr>
            </w:pPr>
          </w:p>
        </w:tc>
        <w:tc>
          <w:tcPr>
            <w:tcW w:w="1740" w:type="dxa"/>
            <w:vAlign w:val="bottom"/>
            <w:gridSpan w:val="8"/>
          </w:tcPr>
          <w:p>
            <w:pPr>
              <w:jc w:val="right"/>
              <w:ind w:right="440"/>
              <w:spacing w:after="0"/>
              <w:rPr>
                <w:sz w:val="20"/>
                <w:szCs w:val="20"/>
                <w:color w:val="auto"/>
              </w:rPr>
            </w:pPr>
            <w:r>
              <w:rPr>
                <w:rFonts w:ascii="Verdana" w:cs="Verdana" w:eastAsia="Verdana" w:hAnsi="Verdana"/>
                <w:sz w:val="18"/>
                <w:szCs w:val="18"/>
                <w:color w:val="auto"/>
              </w:rPr>
              <w:t>$297,974</w:t>
            </w:r>
          </w:p>
        </w:tc>
        <w:tc>
          <w:tcPr>
            <w:tcW w:w="2760" w:type="dxa"/>
            <w:vAlign w:val="bottom"/>
          </w:tcPr>
          <w:p>
            <w:pPr>
              <w:spacing w:after="0"/>
              <w:rPr>
                <w:sz w:val="21"/>
                <w:szCs w:val="21"/>
                <w:color w:val="auto"/>
              </w:rPr>
            </w:pPr>
          </w:p>
        </w:tc>
      </w:tr>
      <w:tr>
        <w:trPr>
          <w:trHeight w:val="243"/>
        </w:trPr>
        <w:tc>
          <w:tcPr>
            <w:tcW w:w="5420" w:type="dxa"/>
            <w:vAlign w:val="bottom"/>
            <w:gridSpan w:val="2"/>
          </w:tcPr>
          <w:p>
            <w:pPr>
              <w:ind w:left="140"/>
              <w:spacing w:after="0"/>
              <w:rPr>
                <w:sz w:val="20"/>
                <w:szCs w:val="20"/>
                <w:color w:val="auto"/>
              </w:rPr>
            </w:pPr>
            <w:r>
              <w:rPr>
                <w:rFonts w:ascii="Verdana" w:cs="Verdana" w:eastAsia="Verdana" w:hAnsi="Verdana"/>
                <w:sz w:val="18"/>
                <w:szCs w:val="18"/>
                <w:color w:val="auto"/>
              </w:rPr>
              <w:t>Circulation and subscriber</w:t>
            </w:r>
          </w:p>
        </w:tc>
        <w:tc>
          <w:tcPr>
            <w:tcW w:w="980" w:type="dxa"/>
            <w:vAlign w:val="bottom"/>
            <w:gridSpan w:val="6"/>
          </w:tcPr>
          <w:p>
            <w:pPr>
              <w:jc w:val="right"/>
              <w:spacing w:after="0"/>
              <w:rPr>
                <w:sz w:val="20"/>
                <w:szCs w:val="20"/>
                <w:color w:val="auto"/>
              </w:rPr>
            </w:pPr>
            <w:r>
              <w:rPr>
                <w:rFonts w:ascii="Verdana" w:cs="Verdana" w:eastAsia="Verdana" w:hAnsi="Verdana"/>
                <w:sz w:val="18"/>
                <w:szCs w:val="18"/>
                <w:color w:val="auto"/>
              </w:rPr>
              <w:t>161,298</w:t>
            </w:r>
          </w:p>
        </w:tc>
        <w:tc>
          <w:tcPr>
            <w:tcW w:w="520" w:type="dxa"/>
            <w:vAlign w:val="bottom"/>
          </w:tcPr>
          <w:p>
            <w:pPr>
              <w:spacing w:after="0"/>
              <w:rPr>
                <w:sz w:val="21"/>
                <w:szCs w:val="21"/>
                <w:color w:val="auto"/>
              </w:rPr>
            </w:pPr>
          </w:p>
        </w:tc>
        <w:tc>
          <w:tcPr>
            <w:tcW w:w="1740" w:type="dxa"/>
            <w:vAlign w:val="bottom"/>
            <w:gridSpan w:val="8"/>
          </w:tcPr>
          <w:p>
            <w:pPr>
              <w:jc w:val="right"/>
              <w:ind w:right="440"/>
              <w:spacing w:after="0"/>
              <w:rPr>
                <w:sz w:val="20"/>
                <w:szCs w:val="20"/>
                <w:color w:val="auto"/>
              </w:rPr>
            </w:pPr>
            <w:r>
              <w:rPr>
                <w:rFonts w:ascii="Verdana" w:cs="Verdana" w:eastAsia="Verdana" w:hAnsi="Verdana"/>
                <w:sz w:val="18"/>
                <w:szCs w:val="18"/>
                <w:color w:val="auto"/>
              </w:rPr>
              <w:t>148,016</w:t>
            </w:r>
          </w:p>
        </w:tc>
        <w:tc>
          <w:tcPr>
            <w:tcW w:w="2760" w:type="dxa"/>
            <w:vAlign w:val="bottom"/>
          </w:tcPr>
          <w:p>
            <w:pPr>
              <w:spacing w:after="0"/>
              <w:rPr>
                <w:sz w:val="21"/>
                <w:szCs w:val="21"/>
                <w:color w:val="auto"/>
              </w:rPr>
            </w:pPr>
          </w:p>
        </w:tc>
      </w:tr>
      <w:tr>
        <w:trPr>
          <w:trHeight w:val="243"/>
        </w:trPr>
        <w:tc>
          <w:tcPr>
            <w:tcW w:w="5420" w:type="dxa"/>
            <w:vAlign w:val="bottom"/>
            <w:gridSpan w:val="2"/>
          </w:tcPr>
          <w:p>
            <w:pPr>
              <w:ind w:left="140"/>
              <w:spacing w:after="0"/>
              <w:rPr>
                <w:sz w:val="20"/>
                <w:szCs w:val="20"/>
                <w:color w:val="auto"/>
              </w:rPr>
            </w:pPr>
            <w:r>
              <w:rPr>
                <w:rFonts w:ascii="Verdana" w:cs="Verdana" w:eastAsia="Verdana" w:hAnsi="Verdana"/>
                <w:sz w:val="18"/>
                <w:szCs w:val="18"/>
                <w:color w:val="auto"/>
              </w:rPr>
              <w:t>Education</w:t>
            </w:r>
          </w:p>
        </w:tc>
        <w:tc>
          <w:tcPr>
            <w:tcW w:w="980" w:type="dxa"/>
            <w:vAlign w:val="bottom"/>
            <w:gridSpan w:val="6"/>
          </w:tcPr>
          <w:p>
            <w:pPr>
              <w:jc w:val="right"/>
              <w:spacing w:after="0"/>
              <w:rPr>
                <w:sz w:val="20"/>
                <w:szCs w:val="20"/>
                <w:color w:val="auto"/>
              </w:rPr>
            </w:pPr>
            <w:r>
              <w:rPr>
                <w:rFonts w:ascii="Verdana" w:cs="Verdana" w:eastAsia="Verdana" w:hAnsi="Verdana"/>
                <w:sz w:val="18"/>
                <w:szCs w:val="18"/>
                <w:color w:val="auto"/>
              </w:rPr>
              <w:t>146,929</w:t>
            </w:r>
          </w:p>
        </w:tc>
        <w:tc>
          <w:tcPr>
            <w:tcW w:w="520" w:type="dxa"/>
            <w:vAlign w:val="bottom"/>
          </w:tcPr>
          <w:p>
            <w:pPr>
              <w:spacing w:after="0"/>
              <w:rPr>
                <w:sz w:val="21"/>
                <w:szCs w:val="21"/>
                <w:color w:val="auto"/>
              </w:rPr>
            </w:pPr>
          </w:p>
        </w:tc>
        <w:tc>
          <w:tcPr>
            <w:tcW w:w="1740" w:type="dxa"/>
            <w:vAlign w:val="bottom"/>
            <w:gridSpan w:val="8"/>
          </w:tcPr>
          <w:p>
            <w:pPr>
              <w:jc w:val="right"/>
              <w:ind w:right="440"/>
              <w:spacing w:after="0"/>
              <w:rPr>
                <w:sz w:val="20"/>
                <w:szCs w:val="20"/>
                <w:color w:val="auto"/>
              </w:rPr>
            </w:pPr>
            <w:r>
              <w:rPr>
                <w:rFonts w:ascii="Verdana" w:cs="Verdana" w:eastAsia="Verdana" w:hAnsi="Verdana"/>
                <w:sz w:val="18"/>
                <w:szCs w:val="18"/>
                <w:color w:val="auto"/>
              </w:rPr>
              <w:t>121,341</w:t>
            </w:r>
          </w:p>
        </w:tc>
        <w:tc>
          <w:tcPr>
            <w:tcW w:w="2760" w:type="dxa"/>
            <w:vAlign w:val="bottom"/>
          </w:tcPr>
          <w:p>
            <w:pPr>
              <w:spacing w:after="0"/>
              <w:rPr>
                <w:sz w:val="21"/>
                <w:szCs w:val="21"/>
                <w:color w:val="auto"/>
              </w:rPr>
            </w:pPr>
          </w:p>
        </w:tc>
      </w:tr>
      <w:tr>
        <w:trPr>
          <w:trHeight w:val="221"/>
        </w:trPr>
        <w:tc>
          <w:tcPr>
            <w:tcW w:w="5420" w:type="dxa"/>
            <w:vAlign w:val="bottom"/>
            <w:gridSpan w:val="2"/>
          </w:tcPr>
          <w:p>
            <w:pPr>
              <w:ind w:left="140"/>
              <w:spacing w:after="0"/>
              <w:rPr>
                <w:sz w:val="20"/>
                <w:szCs w:val="20"/>
                <w:color w:val="auto"/>
              </w:rPr>
            </w:pPr>
            <w:r>
              <w:rPr>
                <w:rFonts w:ascii="Verdana" w:cs="Verdana" w:eastAsia="Verdana" w:hAnsi="Verdana"/>
                <w:sz w:val="18"/>
                <w:szCs w:val="18"/>
                <w:color w:val="auto"/>
              </w:rPr>
              <w:t>Other</w:t>
            </w:r>
          </w:p>
        </w:tc>
        <w:tc>
          <w:tcPr>
            <w:tcW w:w="300" w:type="dxa"/>
            <w:vAlign w:val="bottom"/>
            <w:gridSpan w:val="3"/>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8"/>
                <w:szCs w:val="18"/>
                <w:color w:val="auto"/>
              </w:rPr>
              <w:t>18,531</w:t>
            </w:r>
          </w:p>
        </w:tc>
        <w:tc>
          <w:tcPr>
            <w:tcW w:w="520" w:type="dxa"/>
            <w:vAlign w:val="bottom"/>
          </w:tcPr>
          <w:p>
            <w:pPr>
              <w:spacing w:after="0"/>
              <w:rPr>
                <w:sz w:val="19"/>
                <w:szCs w:val="19"/>
                <w:color w:val="auto"/>
              </w:rPr>
            </w:pPr>
          </w:p>
        </w:tc>
        <w:tc>
          <w:tcPr>
            <w:tcW w:w="620" w:type="dxa"/>
            <w:vAlign w:val="bottom"/>
            <w:gridSpan w:val="2"/>
          </w:tcPr>
          <w:p>
            <w:pPr>
              <w:spacing w:after="0"/>
              <w:rPr>
                <w:sz w:val="19"/>
                <w:szCs w:val="19"/>
                <w:color w:val="auto"/>
              </w:rPr>
            </w:pPr>
          </w:p>
        </w:tc>
        <w:tc>
          <w:tcPr>
            <w:tcW w:w="700" w:type="dxa"/>
            <w:vAlign w:val="bottom"/>
            <w:tcBorders>
              <w:bottom w:val="single" w:sz="8" w:color="auto"/>
            </w:tcBorders>
            <w:gridSpan w:val="5"/>
          </w:tcPr>
          <w:p>
            <w:pPr>
              <w:jc w:val="right"/>
              <w:ind w:right="20"/>
              <w:spacing w:after="0"/>
              <w:rPr>
                <w:sz w:val="20"/>
                <w:szCs w:val="20"/>
                <w:color w:val="auto"/>
              </w:rPr>
            </w:pPr>
            <w:r>
              <w:rPr>
                <w:rFonts w:ascii="Verdana" w:cs="Verdana" w:eastAsia="Verdana" w:hAnsi="Verdana"/>
                <w:sz w:val="18"/>
                <w:szCs w:val="18"/>
                <w:color w:val="auto"/>
              </w:rPr>
              <w:t>19,068</w:t>
            </w:r>
          </w:p>
        </w:tc>
        <w:tc>
          <w:tcPr>
            <w:tcW w:w="42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223"/>
        </w:trPr>
        <w:tc>
          <w:tcPr>
            <w:tcW w:w="5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6"/>
          </w:tcPr>
          <w:p>
            <w:pPr>
              <w:jc w:val="right"/>
              <w:spacing w:after="0"/>
              <w:rPr>
                <w:sz w:val="20"/>
                <w:szCs w:val="20"/>
                <w:color w:val="auto"/>
              </w:rPr>
            </w:pPr>
            <w:r>
              <w:rPr>
                <w:rFonts w:ascii="Verdana" w:cs="Verdana" w:eastAsia="Verdana" w:hAnsi="Verdana"/>
                <w:sz w:val="18"/>
                <w:szCs w:val="18"/>
                <w:color w:val="auto"/>
              </w:rPr>
              <w:t>600,322</w:t>
            </w:r>
          </w:p>
        </w:tc>
        <w:tc>
          <w:tcPr>
            <w:tcW w:w="520" w:type="dxa"/>
            <w:vAlign w:val="bottom"/>
          </w:tcPr>
          <w:p>
            <w:pPr>
              <w:spacing w:after="0"/>
              <w:rPr>
                <w:sz w:val="19"/>
                <w:szCs w:val="19"/>
                <w:color w:val="auto"/>
              </w:rPr>
            </w:pPr>
          </w:p>
        </w:tc>
        <w:tc>
          <w:tcPr>
            <w:tcW w:w="1740" w:type="dxa"/>
            <w:vAlign w:val="bottom"/>
            <w:gridSpan w:val="8"/>
          </w:tcPr>
          <w:p>
            <w:pPr>
              <w:jc w:val="right"/>
              <w:ind w:right="440"/>
              <w:spacing w:after="0"/>
              <w:rPr>
                <w:sz w:val="20"/>
                <w:szCs w:val="20"/>
                <w:color w:val="auto"/>
              </w:rPr>
            </w:pPr>
            <w:r>
              <w:rPr>
                <w:rFonts w:ascii="Verdana" w:cs="Verdana" w:eastAsia="Verdana" w:hAnsi="Verdana"/>
                <w:sz w:val="18"/>
                <w:szCs w:val="18"/>
                <w:color w:val="auto"/>
              </w:rPr>
              <w:t>586,399</w:t>
            </w:r>
          </w:p>
        </w:tc>
        <w:tc>
          <w:tcPr>
            <w:tcW w:w="2760" w:type="dxa"/>
            <w:vAlign w:val="bottom"/>
          </w:tcPr>
          <w:p>
            <w:pPr>
              <w:spacing w:after="0"/>
              <w:rPr>
                <w:sz w:val="19"/>
                <w:szCs w:val="19"/>
                <w:color w:val="auto"/>
              </w:rPr>
            </w:pPr>
          </w:p>
        </w:tc>
      </w:tr>
      <w:tr>
        <w:trPr>
          <w:trHeight w:val="246"/>
        </w:trPr>
        <w:tc>
          <w:tcPr>
            <w:tcW w:w="5420" w:type="dxa"/>
            <w:vAlign w:val="bottom"/>
            <w:gridSpan w:val="2"/>
          </w:tcPr>
          <w:p>
            <w:pPr>
              <w:spacing w:after="0"/>
              <w:rPr>
                <w:sz w:val="20"/>
                <w:szCs w:val="20"/>
                <w:color w:val="auto"/>
              </w:rPr>
            </w:pPr>
            <w:r>
              <w:rPr>
                <w:rFonts w:ascii="Verdana" w:cs="Verdana" w:eastAsia="Verdana" w:hAnsi="Verdana"/>
                <w:sz w:val="18"/>
                <w:szCs w:val="18"/>
                <w:color w:val="auto"/>
              </w:rPr>
              <w:t>Operating costs and expenses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760" w:type="dxa"/>
            <w:vAlign w:val="bottom"/>
          </w:tcPr>
          <w:p>
            <w:pPr>
              <w:spacing w:after="0"/>
              <w:rPr>
                <w:sz w:val="21"/>
                <w:szCs w:val="21"/>
                <w:color w:val="auto"/>
              </w:rPr>
            </w:pPr>
          </w:p>
        </w:tc>
      </w:tr>
      <w:tr>
        <w:trPr>
          <w:trHeight w:val="243"/>
        </w:trPr>
        <w:tc>
          <w:tcPr>
            <w:tcW w:w="5420" w:type="dxa"/>
            <w:vAlign w:val="bottom"/>
            <w:gridSpan w:val="2"/>
          </w:tcPr>
          <w:p>
            <w:pPr>
              <w:ind w:left="140"/>
              <w:spacing w:after="0"/>
              <w:rPr>
                <w:sz w:val="20"/>
                <w:szCs w:val="20"/>
                <w:color w:val="auto"/>
              </w:rPr>
            </w:pPr>
            <w:r>
              <w:rPr>
                <w:rFonts w:ascii="Verdana" w:cs="Verdana" w:eastAsia="Verdana" w:hAnsi="Verdana"/>
                <w:sz w:val="18"/>
                <w:szCs w:val="18"/>
                <w:color w:val="auto"/>
              </w:rPr>
              <w:t>Operating</w:t>
            </w:r>
          </w:p>
        </w:tc>
        <w:tc>
          <w:tcPr>
            <w:tcW w:w="980" w:type="dxa"/>
            <w:vAlign w:val="bottom"/>
            <w:gridSpan w:val="6"/>
          </w:tcPr>
          <w:p>
            <w:pPr>
              <w:jc w:val="right"/>
              <w:spacing w:after="0"/>
              <w:rPr>
                <w:sz w:val="20"/>
                <w:szCs w:val="20"/>
                <w:color w:val="auto"/>
              </w:rPr>
            </w:pPr>
            <w:r>
              <w:rPr>
                <w:rFonts w:ascii="Verdana" w:cs="Verdana" w:eastAsia="Verdana" w:hAnsi="Verdana"/>
                <w:sz w:val="18"/>
                <w:szCs w:val="18"/>
                <w:color w:val="auto"/>
              </w:rPr>
              <w:t>333,239</w:t>
            </w:r>
          </w:p>
        </w:tc>
        <w:tc>
          <w:tcPr>
            <w:tcW w:w="520" w:type="dxa"/>
            <w:vAlign w:val="bottom"/>
          </w:tcPr>
          <w:p>
            <w:pPr>
              <w:spacing w:after="0"/>
              <w:rPr>
                <w:sz w:val="21"/>
                <w:szCs w:val="21"/>
                <w:color w:val="auto"/>
              </w:rPr>
            </w:pPr>
          </w:p>
        </w:tc>
        <w:tc>
          <w:tcPr>
            <w:tcW w:w="1740" w:type="dxa"/>
            <w:vAlign w:val="bottom"/>
            <w:gridSpan w:val="8"/>
          </w:tcPr>
          <w:p>
            <w:pPr>
              <w:jc w:val="right"/>
              <w:ind w:right="440"/>
              <w:spacing w:after="0"/>
              <w:rPr>
                <w:sz w:val="20"/>
                <w:szCs w:val="20"/>
                <w:color w:val="auto"/>
              </w:rPr>
            </w:pPr>
            <w:r>
              <w:rPr>
                <w:rFonts w:ascii="Verdana" w:cs="Verdana" w:eastAsia="Verdana" w:hAnsi="Verdana"/>
                <w:sz w:val="18"/>
                <w:szCs w:val="18"/>
                <w:color w:val="auto"/>
              </w:rPr>
              <w:t>343,416</w:t>
            </w:r>
          </w:p>
        </w:tc>
        <w:tc>
          <w:tcPr>
            <w:tcW w:w="2760" w:type="dxa"/>
            <w:vAlign w:val="bottom"/>
          </w:tcPr>
          <w:p>
            <w:pPr>
              <w:spacing w:after="0"/>
              <w:rPr>
                <w:sz w:val="21"/>
                <w:szCs w:val="21"/>
                <w:color w:val="auto"/>
              </w:rPr>
            </w:pPr>
          </w:p>
        </w:tc>
      </w:tr>
      <w:tr>
        <w:trPr>
          <w:trHeight w:val="243"/>
        </w:trPr>
        <w:tc>
          <w:tcPr>
            <w:tcW w:w="5420" w:type="dxa"/>
            <w:vAlign w:val="bottom"/>
            <w:gridSpan w:val="2"/>
          </w:tcPr>
          <w:p>
            <w:pPr>
              <w:ind w:left="140"/>
              <w:spacing w:after="0"/>
              <w:rPr>
                <w:sz w:val="20"/>
                <w:szCs w:val="20"/>
                <w:color w:val="auto"/>
              </w:rPr>
            </w:pPr>
            <w:r>
              <w:rPr>
                <w:rFonts w:ascii="Verdana" w:cs="Verdana" w:eastAsia="Verdana" w:hAnsi="Verdana"/>
                <w:sz w:val="18"/>
                <w:szCs w:val="18"/>
                <w:color w:val="auto"/>
              </w:rPr>
              <w:t>Selling, general and administrative</w:t>
            </w:r>
          </w:p>
        </w:tc>
        <w:tc>
          <w:tcPr>
            <w:tcW w:w="980" w:type="dxa"/>
            <w:vAlign w:val="bottom"/>
            <w:gridSpan w:val="6"/>
          </w:tcPr>
          <w:p>
            <w:pPr>
              <w:jc w:val="right"/>
              <w:spacing w:after="0"/>
              <w:rPr>
                <w:sz w:val="20"/>
                <w:szCs w:val="20"/>
                <w:color w:val="auto"/>
              </w:rPr>
            </w:pPr>
            <w:r>
              <w:rPr>
                <w:rFonts w:ascii="Verdana" w:cs="Verdana" w:eastAsia="Verdana" w:hAnsi="Verdana"/>
                <w:sz w:val="18"/>
                <w:szCs w:val="18"/>
                <w:color w:val="auto"/>
              </w:rPr>
              <w:t>176,866</w:t>
            </w:r>
          </w:p>
        </w:tc>
        <w:tc>
          <w:tcPr>
            <w:tcW w:w="520" w:type="dxa"/>
            <w:vAlign w:val="bottom"/>
          </w:tcPr>
          <w:p>
            <w:pPr>
              <w:spacing w:after="0"/>
              <w:rPr>
                <w:sz w:val="21"/>
                <w:szCs w:val="21"/>
                <w:color w:val="auto"/>
              </w:rPr>
            </w:pPr>
          </w:p>
        </w:tc>
        <w:tc>
          <w:tcPr>
            <w:tcW w:w="1740" w:type="dxa"/>
            <w:vAlign w:val="bottom"/>
            <w:gridSpan w:val="8"/>
          </w:tcPr>
          <w:p>
            <w:pPr>
              <w:jc w:val="right"/>
              <w:ind w:right="440"/>
              <w:spacing w:after="0"/>
              <w:rPr>
                <w:sz w:val="20"/>
                <w:szCs w:val="20"/>
                <w:color w:val="auto"/>
              </w:rPr>
            </w:pPr>
            <w:r>
              <w:rPr>
                <w:rFonts w:ascii="Verdana" w:cs="Verdana" w:eastAsia="Verdana" w:hAnsi="Verdana"/>
                <w:sz w:val="18"/>
                <w:szCs w:val="18"/>
                <w:color w:val="auto"/>
              </w:rPr>
              <w:t>147,915</w:t>
            </w:r>
          </w:p>
        </w:tc>
        <w:tc>
          <w:tcPr>
            <w:tcW w:w="2760" w:type="dxa"/>
            <w:vAlign w:val="bottom"/>
          </w:tcPr>
          <w:p>
            <w:pPr>
              <w:spacing w:after="0"/>
              <w:rPr>
                <w:sz w:val="21"/>
                <w:szCs w:val="21"/>
                <w:color w:val="auto"/>
              </w:rPr>
            </w:pPr>
          </w:p>
        </w:tc>
      </w:tr>
      <w:tr>
        <w:trPr>
          <w:trHeight w:val="243"/>
        </w:trPr>
        <w:tc>
          <w:tcPr>
            <w:tcW w:w="5420" w:type="dxa"/>
            <w:vAlign w:val="bottom"/>
            <w:gridSpan w:val="2"/>
          </w:tcPr>
          <w:p>
            <w:pPr>
              <w:ind w:left="140"/>
              <w:spacing w:after="0"/>
              <w:rPr>
                <w:sz w:val="20"/>
                <w:szCs w:val="20"/>
                <w:color w:val="auto"/>
              </w:rPr>
            </w:pPr>
            <w:r>
              <w:rPr>
                <w:rFonts w:ascii="Verdana" w:cs="Verdana" w:eastAsia="Verdana" w:hAnsi="Verdana"/>
                <w:sz w:val="18"/>
                <w:szCs w:val="18"/>
                <w:color w:val="auto"/>
              </w:rPr>
              <w:t>Depreciation of property, plant and equipment</w:t>
            </w:r>
          </w:p>
        </w:tc>
        <w:tc>
          <w:tcPr>
            <w:tcW w:w="980" w:type="dxa"/>
            <w:vAlign w:val="bottom"/>
            <w:gridSpan w:val="6"/>
          </w:tcPr>
          <w:p>
            <w:pPr>
              <w:jc w:val="right"/>
              <w:spacing w:after="0"/>
              <w:rPr>
                <w:sz w:val="20"/>
                <w:szCs w:val="20"/>
                <w:color w:val="auto"/>
              </w:rPr>
            </w:pPr>
            <w:r>
              <w:rPr>
                <w:rFonts w:ascii="Verdana" w:cs="Verdana" w:eastAsia="Verdana" w:hAnsi="Verdana"/>
                <w:sz w:val="18"/>
                <w:szCs w:val="18"/>
                <w:color w:val="auto"/>
              </w:rPr>
              <w:t>41,173</w:t>
            </w:r>
          </w:p>
        </w:tc>
        <w:tc>
          <w:tcPr>
            <w:tcW w:w="520" w:type="dxa"/>
            <w:vAlign w:val="bottom"/>
          </w:tcPr>
          <w:p>
            <w:pPr>
              <w:spacing w:after="0"/>
              <w:rPr>
                <w:sz w:val="21"/>
                <w:szCs w:val="21"/>
                <w:color w:val="auto"/>
              </w:rPr>
            </w:pPr>
          </w:p>
        </w:tc>
        <w:tc>
          <w:tcPr>
            <w:tcW w:w="1740" w:type="dxa"/>
            <w:vAlign w:val="bottom"/>
            <w:gridSpan w:val="8"/>
          </w:tcPr>
          <w:p>
            <w:pPr>
              <w:jc w:val="right"/>
              <w:ind w:right="440"/>
              <w:spacing w:after="0"/>
              <w:rPr>
                <w:sz w:val="20"/>
                <w:szCs w:val="20"/>
                <w:color w:val="auto"/>
              </w:rPr>
            </w:pPr>
            <w:r>
              <w:rPr>
                <w:rFonts w:ascii="Verdana" w:cs="Verdana" w:eastAsia="Verdana" w:hAnsi="Verdana"/>
                <w:sz w:val="18"/>
                <w:szCs w:val="18"/>
                <w:color w:val="auto"/>
              </w:rPr>
              <w:t>34,632</w:t>
            </w:r>
          </w:p>
        </w:tc>
        <w:tc>
          <w:tcPr>
            <w:tcW w:w="2760" w:type="dxa"/>
            <w:vAlign w:val="bottom"/>
          </w:tcPr>
          <w:p>
            <w:pPr>
              <w:spacing w:after="0"/>
              <w:rPr>
                <w:sz w:val="21"/>
                <w:szCs w:val="21"/>
                <w:color w:val="auto"/>
              </w:rPr>
            </w:pPr>
          </w:p>
        </w:tc>
      </w:tr>
      <w:tr>
        <w:trPr>
          <w:trHeight w:val="221"/>
        </w:trPr>
        <w:tc>
          <w:tcPr>
            <w:tcW w:w="5420" w:type="dxa"/>
            <w:vAlign w:val="bottom"/>
            <w:gridSpan w:val="2"/>
          </w:tcPr>
          <w:p>
            <w:pPr>
              <w:ind w:left="140"/>
              <w:spacing w:after="0"/>
              <w:rPr>
                <w:sz w:val="20"/>
                <w:szCs w:val="20"/>
                <w:color w:val="auto"/>
              </w:rPr>
            </w:pPr>
            <w:r>
              <w:rPr>
                <w:rFonts w:ascii="Verdana" w:cs="Verdana" w:eastAsia="Verdana" w:hAnsi="Verdana"/>
                <w:sz w:val="18"/>
                <w:szCs w:val="18"/>
                <w:color w:val="auto"/>
              </w:rPr>
              <w:t>Amortization of goodwill and other intangibles</w:t>
            </w:r>
          </w:p>
        </w:tc>
        <w:tc>
          <w:tcPr>
            <w:tcW w:w="440" w:type="dxa"/>
            <w:vAlign w:val="bottom"/>
            <w:gridSpan w:val="4"/>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Verdana" w:cs="Verdana" w:eastAsia="Verdana" w:hAnsi="Verdana"/>
                <w:sz w:val="18"/>
                <w:szCs w:val="18"/>
                <w:color w:val="auto"/>
              </w:rPr>
              <w:t>152</w:t>
            </w:r>
          </w:p>
        </w:tc>
        <w:tc>
          <w:tcPr>
            <w:tcW w:w="520" w:type="dxa"/>
            <w:vAlign w:val="bottom"/>
          </w:tcPr>
          <w:p>
            <w:pPr>
              <w:spacing w:after="0"/>
              <w:rPr>
                <w:sz w:val="19"/>
                <w:szCs w:val="19"/>
                <w:color w:val="auto"/>
              </w:rPr>
            </w:pPr>
          </w:p>
        </w:tc>
        <w:tc>
          <w:tcPr>
            <w:tcW w:w="620" w:type="dxa"/>
            <w:vAlign w:val="bottom"/>
            <w:gridSpan w:val="2"/>
          </w:tcPr>
          <w:p>
            <w:pPr>
              <w:spacing w:after="0"/>
              <w:rPr>
                <w:sz w:val="19"/>
                <w:szCs w:val="19"/>
                <w:color w:val="auto"/>
              </w:rPr>
            </w:pPr>
          </w:p>
        </w:tc>
        <w:tc>
          <w:tcPr>
            <w:tcW w:w="700" w:type="dxa"/>
            <w:vAlign w:val="bottom"/>
            <w:tcBorders>
              <w:bottom w:val="single" w:sz="8" w:color="auto"/>
            </w:tcBorders>
            <w:gridSpan w:val="5"/>
          </w:tcPr>
          <w:p>
            <w:pPr>
              <w:jc w:val="right"/>
              <w:ind w:right="20"/>
              <w:spacing w:after="0"/>
              <w:rPr>
                <w:sz w:val="20"/>
                <w:szCs w:val="20"/>
                <w:color w:val="auto"/>
              </w:rPr>
            </w:pPr>
            <w:r>
              <w:rPr>
                <w:rFonts w:ascii="Verdana" w:cs="Verdana" w:eastAsia="Verdana" w:hAnsi="Verdana"/>
                <w:sz w:val="18"/>
                <w:szCs w:val="18"/>
                <w:color w:val="auto"/>
              </w:rPr>
              <w:t>17,192</w:t>
            </w:r>
          </w:p>
        </w:tc>
        <w:tc>
          <w:tcPr>
            <w:tcW w:w="42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223"/>
        </w:trPr>
        <w:tc>
          <w:tcPr>
            <w:tcW w:w="5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740" w:type="dxa"/>
            <w:vAlign w:val="bottom"/>
            <w:tcBorders>
              <w:bottom w:val="single" w:sz="8" w:color="auto"/>
            </w:tcBorders>
            <w:gridSpan w:val="4"/>
          </w:tcPr>
          <w:p>
            <w:pPr>
              <w:jc w:val="right"/>
              <w:spacing w:after="0"/>
              <w:rPr>
                <w:sz w:val="20"/>
                <w:szCs w:val="20"/>
                <w:color w:val="auto"/>
              </w:rPr>
            </w:pPr>
            <w:r>
              <w:rPr>
                <w:rFonts w:ascii="Verdana" w:cs="Verdana" w:eastAsia="Verdana" w:hAnsi="Verdana"/>
                <w:sz w:val="18"/>
                <w:szCs w:val="18"/>
                <w:color w:val="auto"/>
                <w:w w:val="95"/>
              </w:rPr>
              <w:t>551,430</w:t>
            </w:r>
          </w:p>
        </w:tc>
        <w:tc>
          <w:tcPr>
            <w:tcW w:w="520" w:type="dxa"/>
            <w:vAlign w:val="bottom"/>
          </w:tcPr>
          <w:p>
            <w:pPr>
              <w:spacing w:after="0"/>
              <w:rPr>
                <w:sz w:val="19"/>
                <w:szCs w:val="19"/>
                <w:color w:val="auto"/>
              </w:rPr>
            </w:pPr>
          </w:p>
        </w:tc>
        <w:tc>
          <w:tcPr>
            <w:tcW w:w="620" w:type="dxa"/>
            <w:vAlign w:val="bottom"/>
            <w:gridSpan w:val="2"/>
          </w:tcPr>
          <w:p>
            <w:pPr>
              <w:spacing w:after="0"/>
              <w:rPr>
                <w:sz w:val="19"/>
                <w:szCs w:val="19"/>
                <w:color w:val="auto"/>
              </w:rPr>
            </w:pPr>
          </w:p>
        </w:tc>
        <w:tc>
          <w:tcPr>
            <w:tcW w:w="680" w:type="dxa"/>
            <w:vAlign w:val="bottom"/>
            <w:tcBorders>
              <w:bottom w:val="single" w:sz="8" w:color="auto"/>
            </w:tcBorders>
            <w:gridSpan w:val="4"/>
          </w:tcPr>
          <w:p>
            <w:pPr>
              <w:jc w:val="right"/>
              <w:spacing w:after="0"/>
              <w:rPr>
                <w:sz w:val="20"/>
                <w:szCs w:val="20"/>
                <w:color w:val="auto"/>
              </w:rPr>
            </w:pPr>
            <w:r>
              <w:rPr>
                <w:rFonts w:ascii="Verdana" w:cs="Verdana" w:eastAsia="Verdana" w:hAnsi="Verdana"/>
                <w:sz w:val="18"/>
                <w:szCs w:val="18"/>
                <w:color w:val="auto"/>
                <w:w w:val="87"/>
              </w:rPr>
              <w:t>543,155</w:t>
            </w:r>
          </w:p>
        </w:tc>
        <w:tc>
          <w:tcPr>
            <w:tcW w:w="440" w:type="dxa"/>
            <w:vAlign w:val="bottom"/>
            <w:gridSpan w:val="2"/>
          </w:tcPr>
          <w:p>
            <w:pPr>
              <w:spacing w:after="0"/>
              <w:rPr>
                <w:sz w:val="19"/>
                <w:szCs w:val="19"/>
                <w:color w:val="auto"/>
              </w:rPr>
            </w:pPr>
          </w:p>
        </w:tc>
        <w:tc>
          <w:tcPr>
            <w:tcW w:w="2760" w:type="dxa"/>
            <w:vAlign w:val="bottom"/>
          </w:tcPr>
          <w:p>
            <w:pPr>
              <w:spacing w:after="0"/>
              <w:rPr>
                <w:sz w:val="19"/>
                <w:szCs w:val="19"/>
                <w:color w:val="auto"/>
              </w:rPr>
            </w:pPr>
          </w:p>
        </w:tc>
      </w:tr>
      <w:tr>
        <w:trPr>
          <w:trHeight w:val="489"/>
        </w:trPr>
        <w:tc>
          <w:tcPr>
            <w:tcW w:w="5420" w:type="dxa"/>
            <w:vAlign w:val="bottom"/>
            <w:gridSpan w:val="2"/>
          </w:tcPr>
          <w:p>
            <w:pPr>
              <w:spacing w:after="0"/>
              <w:rPr>
                <w:sz w:val="20"/>
                <w:szCs w:val="20"/>
                <w:color w:val="auto"/>
              </w:rPr>
            </w:pPr>
            <w:r>
              <w:rPr>
                <w:rFonts w:ascii="Verdana" w:cs="Verdana" w:eastAsia="Verdana" w:hAnsi="Verdana"/>
                <w:sz w:val="18"/>
                <w:szCs w:val="18"/>
                <w:color w:val="auto"/>
              </w:rPr>
              <w:t>Income from operations</w:t>
            </w:r>
          </w:p>
        </w:tc>
        <w:tc>
          <w:tcPr>
            <w:tcW w:w="980" w:type="dxa"/>
            <w:vAlign w:val="bottom"/>
            <w:gridSpan w:val="6"/>
          </w:tcPr>
          <w:p>
            <w:pPr>
              <w:jc w:val="right"/>
              <w:spacing w:after="0"/>
              <w:rPr>
                <w:sz w:val="20"/>
                <w:szCs w:val="20"/>
                <w:color w:val="auto"/>
              </w:rPr>
            </w:pPr>
            <w:r>
              <w:rPr>
                <w:rFonts w:ascii="Verdana" w:cs="Verdana" w:eastAsia="Verdana" w:hAnsi="Verdana"/>
                <w:sz w:val="18"/>
                <w:szCs w:val="18"/>
                <w:color w:val="auto"/>
              </w:rPr>
              <w:t>48,892</w:t>
            </w:r>
          </w:p>
        </w:tc>
        <w:tc>
          <w:tcPr>
            <w:tcW w:w="520" w:type="dxa"/>
            <w:vAlign w:val="bottom"/>
          </w:tcPr>
          <w:p>
            <w:pPr>
              <w:spacing w:after="0"/>
              <w:rPr>
                <w:sz w:val="24"/>
                <w:szCs w:val="24"/>
                <w:color w:val="auto"/>
              </w:rPr>
            </w:pPr>
          </w:p>
        </w:tc>
        <w:tc>
          <w:tcPr>
            <w:tcW w:w="1740" w:type="dxa"/>
            <w:vAlign w:val="bottom"/>
            <w:gridSpan w:val="8"/>
          </w:tcPr>
          <w:p>
            <w:pPr>
              <w:jc w:val="right"/>
              <w:ind w:right="440"/>
              <w:spacing w:after="0"/>
              <w:rPr>
                <w:sz w:val="20"/>
                <w:szCs w:val="20"/>
                <w:color w:val="auto"/>
              </w:rPr>
            </w:pPr>
            <w:r>
              <w:rPr>
                <w:rFonts w:ascii="Verdana" w:cs="Verdana" w:eastAsia="Verdana" w:hAnsi="Verdana"/>
                <w:sz w:val="18"/>
                <w:szCs w:val="18"/>
                <w:color w:val="auto"/>
              </w:rPr>
              <w:t>43,244</w:t>
            </w:r>
          </w:p>
        </w:tc>
        <w:tc>
          <w:tcPr>
            <w:tcW w:w="2760" w:type="dxa"/>
            <w:vAlign w:val="bottom"/>
          </w:tcPr>
          <w:p>
            <w:pPr>
              <w:spacing w:after="0"/>
              <w:rPr>
                <w:sz w:val="24"/>
                <w:szCs w:val="24"/>
                <w:color w:val="auto"/>
              </w:rPr>
            </w:pPr>
          </w:p>
        </w:tc>
      </w:tr>
      <w:tr>
        <w:trPr>
          <w:trHeight w:val="486"/>
        </w:trPr>
        <w:tc>
          <w:tcPr>
            <w:tcW w:w="5420" w:type="dxa"/>
            <w:vAlign w:val="bottom"/>
            <w:gridSpan w:val="2"/>
          </w:tcPr>
          <w:p>
            <w:pPr>
              <w:spacing w:after="0"/>
              <w:rPr>
                <w:sz w:val="20"/>
                <w:szCs w:val="20"/>
                <w:color w:val="auto"/>
              </w:rPr>
            </w:pPr>
            <w:r>
              <w:rPr>
                <w:rFonts w:ascii="Verdana" w:cs="Verdana" w:eastAsia="Verdana" w:hAnsi="Verdana"/>
                <w:sz w:val="18"/>
                <w:szCs w:val="18"/>
                <w:color w:val="auto"/>
              </w:rPr>
              <w:t>Other income (expense)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43"/>
        </w:trPr>
        <w:tc>
          <w:tcPr>
            <w:tcW w:w="5420" w:type="dxa"/>
            <w:vAlign w:val="bottom"/>
            <w:gridSpan w:val="2"/>
          </w:tcPr>
          <w:p>
            <w:pPr>
              <w:ind w:left="140"/>
              <w:spacing w:after="0"/>
              <w:rPr>
                <w:sz w:val="20"/>
                <w:szCs w:val="20"/>
                <w:color w:val="auto"/>
              </w:rPr>
            </w:pPr>
            <w:r>
              <w:rPr>
                <w:rFonts w:ascii="Verdana" w:cs="Verdana" w:eastAsia="Verdana" w:hAnsi="Verdana"/>
                <w:sz w:val="18"/>
                <w:szCs w:val="18"/>
                <w:color w:val="auto"/>
              </w:rPr>
              <w:t>Equity in losses of affiliates</w:t>
            </w:r>
          </w:p>
        </w:tc>
        <w:tc>
          <w:tcPr>
            <w:tcW w:w="1500" w:type="dxa"/>
            <w:vAlign w:val="bottom"/>
            <w:gridSpan w:val="7"/>
          </w:tcPr>
          <w:p>
            <w:pPr>
              <w:jc w:val="right"/>
              <w:ind w:right="440"/>
              <w:spacing w:after="0"/>
              <w:rPr>
                <w:sz w:val="20"/>
                <w:szCs w:val="20"/>
                <w:color w:val="auto"/>
              </w:rPr>
            </w:pPr>
            <w:r>
              <w:rPr>
                <w:rFonts w:ascii="Verdana" w:cs="Verdana" w:eastAsia="Verdana" w:hAnsi="Verdana"/>
                <w:sz w:val="18"/>
                <w:szCs w:val="18"/>
                <w:color w:val="auto"/>
              </w:rPr>
              <w:t>(6,506)</w:t>
            </w:r>
          </w:p>
        </w:tc>
        <w:tc>
          <w:tcPr>
            <w:tcW w:w="1740" w:type="dxa"/>
            <w:vAlign w:val="bottom"/>
            <w:gridSpan w:val="8"/>
          </w:tcPr>
          <w:p>
            <w:pPr>
              <w:jc w:val="right"/>
              <w:ind w:right="360"/>
              <w:spacing w:after="0"/>
              <w:rPr>
                <w:sz w:val="20"/>
                <w:szCs w:val="20"/>
                <w:color w:val="auto"/>
              </w:rPr>
            </w:pPr>
            <w:r>
              <w:rPr>
                <w:rFonts w:ascii="Verdana" w:cs="Verdana" w:eastAsia="Verdana" w:hAnsi="Verdana"/>
                <w:sz w:val="18"/>
                <w:szCs w:val="18"/>
                <w:color w:val="auto"/>
              </w:rPr>
              <w:t>(12,461)</w:t>
            </w:r>
          </w:p>
        </w:tc>
        <w:tc>
          <w:tcPr>
            <w:tcW w:w="2760" w:type="dxa"/>
            <w:vAlign w:val="bottom"/>
          </w:tcPr>
          <w:p>
            <w:pPr>
              <w:spacing w:after="0"/>
              <w:rPr>
                <w:sz w:val="21"/>
                <w:szCs w:val="21"/>
                <w:color w:val="auto"/>
              </w:rPr>
            </w:pPr>
          </w:p>
        </w:tc>
      </w:tr>
      <w:tr>
        <w:trPr>
          <w:trHeight w:val="243"/>
        </w:trPr>
        <w:tc>
          <w:tcPr>
            <w:tcW w:w="5420" w:type="dxa"/>
            <w:vAlign w:val="bottom"/>
            <w:gridSpan w:val="2"/>
          </w:tcPr>
          <w:p>
            <w:pPr>
              <w:ind w:left="140"/>
              <w:spacing w:after="0"/>
              <w:rPr>
                <w:sz w:val="20"/>
                <w:szCs w:val="20"/>
                <w:color w:val="auto"/>
              </w:rPr>
            </w:pPr>
            <w:r>
              <w:rPr>
                <w:rFonts w:ascii="Verdana" w:cs="Verdana" w:eastAsia="Verdana" w:hAnsi="Verdana"/>
                <w:sz w:val="18"/>
                <w:szCs w:val="18"/>
                <w:color w:val="auto"/>
              </w:rPr>
              <w:t>Interest income</w:t>
            </w:r>
          </w:p>
        </w:tc>
        <w:tc>
          <w:tcPr>
            <w:tcW w:w="980" w:type="dxa"/>
            <w:vAlign w:val="bottom"/>
            <w:gridSpan w:val="6"/>
          </w:tcPr>
          <w:p>
            <w:pPr>
              <w:jc w:val="right"/>
              <w:spacing w:after="0"/>
              <w:rPr>
                <w:sz w:val="20"/>
                <w:szCs w:val="20"/>
                <w:color w:val="auto"/>
              </w:rPr>
            </w:pPr>
            <w:r>
              <w:rPr>
                <w:rFonts w:ascii="Verdana" w:cs="Verdana" w:eastAsia="Verdana" w:hAnsi="Verdana"/>
                <w:sz w:val="18"/>
                <w:szCs w:val="18"/>
                <w:color w:val="auto"/>
              </w:rPr>
              <w:t>133</w:t>
            </w:r>
          </w:p>
        </w:tc>
        <w:tc>
          <w:tcPr>
            <w:tcW w:w="520" w:type="dxa"/>
            <w:vAlign w:val="bottom"/>
          </w:tcPr>
          <w:p>
            <w:pPr>
              <w:spacing w:after="0"/>
              <w:rPr>
                <w:sz w:val="21"/>
                <w:szCs w:val="21"/>
                <w:color w:val="auto"/>
              </w:rPr>
            </w:pPr>
          </w:p>
        </w:tc>
        <w:tc>
          <w:tcPr>
            <w:tcW w:w="1280" w:type="dxa"/>
            <w:vAlign w:val="bottom"/>
            <w:gridSpan w:val="5"/>
          </w:tcPr>
          <w:p>
            <w:pPr>
              <w:jc w:val="right"/>
              <w:spacing w:after="0"/>
              <w:rPr>
                <w:sz w:val="20"/>
                <w:szCs w:val="20"/>
                <w:color w:val="auto"/>
              </w:rPr>
            </w:pPr>
            <w:r>
              <w:rPr>
                <w:rFonts w:ascii="Verdana" w:cs="Verdana" w:eastAsia="Verdana" w:hAnsi="Verdana"/>
                <w:sz w:val="18"/>
                <w:szCs w:val="18"/>
                <w:color w:val="auto"/>
              </w:rPr>
              <w:t>325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760" w:type="dxa"/>
            <w:vAlign w:val="bottom"/>
          </w:tcPr>
          <w:p>
            <w:pPr>
              <w:spacing w:after="0"/>
              <w:rPr>
                <w:sz w:val="21"/>
                <w:szCs w:val="21"/>
                <w:color w:val="auto"/>
              </w:rPr>
            </w:pPr>
          </w:p>
        </w:tc>
      </w:tr>
      <w:tr>
        <w:trPr>
          <w:trHeight w:val="243"/>
        </w:trPr>
        <w:tc>
          <w:tcPr>
            <w:tcW w:w="5420" w:type="dxa"/>
            <w:vAlign w:val="bottom"/>
            <w:gridSpan w:val="2"/>
          </w:tcPr>
          <w:p>
            <w:pPr>
              <w:ind w:left="140"/>
              <w:spacing w:after="0"/>
              <w:rPr>
                <w:sz w:val="20"/>
                <w:szCs w:val="20"/>
                <w:color w:val="auto"/>
              </w:rPr>
            </w:pPr>
            <w:r>
              <w:rPr>
                <w:rFonts w:ascii="Verdana" w:cs="Verdana" w:eastAsia="Verdana" w:hAnsi="Verdana"/>
                <w:sz w:val="18"/>
                <w:szCs w:val="18"/>
                <w:color w:val="auto"/>
              </w:rPr>
              <w:t>Interest expense</w:t>
            </w:r>
          </w:p>
        </w:tc>
        <w:tc>
          <w:tcPr>
            <w:tcW w:w="1500" w:type="dxa"/>
            <w:vAlign w:val="bottom"/>
            <w:gridSpan w:val="7"/>
          </w:tcPr>
          <w:p>
            <w:pPr>
              <w:jc w:val="right"/>
              <w:ind w:right="440"/>
              <w:spacing w:after="0"/>
              <w:rPr>
                <w:sz w:val="20"/>
                <w:szCs w:val="20"/>
                <w:color w:val="auto"/>
              </w:rPr>
            </w:pPr>
            <w:r>
              <w:rPr>
                <w:rFonts w:ascii="Verdana" w:cs="Verdana" w:eastAsia="Verdana" w:hAnsi="Verdana"/>
                <w:sz w:val="18"/>
                <w:szCs w:val="18"/>
                <w:color w:val="auto"/>
              </w:rPr>
              <w:t>(8,867)</w:t>
            </w:r>
          </w:p>
        </w:tc>
        <w:tc>
          <w:tcPr>
            <w:tcW w:w="1740" w:type="dxa"/>
            <w:vAlign w:val="bottom"/>
            <w:gridSpan w:val="8"/>
          </w:tcPr>
          <w:p>
            <w:pPr>
              <w:jc w:val="right"/>
              <w:ind w:right="380"/>
              <w:spacing w:after="0"/>
              <w:rPr>
                <w:sz w:val="20"/>
                <w:szCs w:val="20"/>
                <w:color w:val="auto"/>
              </w:rPr>
            </w:pPr>
            <w:r>
              <w:rPr>
                <w:rFonts w:ascii="Verdana" w:cs="Verdana" w:eastAsia="Verdana" w:hAnsi="Verdana"/>
                <w:sz w:val="18"/>
                <w:szCs w:val="18"/>
                <w:color w:val="auto"/>
              </w:rPr>
              <w:t>(14,624)</w:t>
            </w:r>
          </w:p>
        </w:tc>
        <w:tc>
          <w:tcPr>
            <w:tcW w:w="2760" w:type="dxa"/>
            <w:vAlign w:val="bottom"/>
          </w:tcPr>
          <w:p>
            <w:pPr>
              <w:spacing w:after="0"/>
              <w:rPr>
                <w:sz w:val="21"/>
                <w:szCs w:val="21"/>
                <w:color w:val="auto"/>
              </w:rPr>
            </w:pPr>
          </w:p>
        </w:tc>
      </w:tr>
      <w:tr>
        <w:trPr>
          <w:trHeight w:val="221"/>
        </w:trPr>
        <w:tc>
          <w:tcPr>
            <w:tcW w:w="5420" w:type="dxa"/>
            <w:vAlign w:val="bottom"/>
            <w:gridSpan w:val="2"/>
          </w:tcPr>
          <w:p>
            <w:pPr>
              <w:ind w:left="140"/>
              <w:spacing w:after="0"/>
              <w:rPr>
                <w:sz w:val="20"/>
                <w:szCs w:val="20"/>
                <w:color w:val="auto"/>
              </w:rPr>
            </w:pPr>
            <w:r>
              <w:rPr>
                <w:rFonts w:ascii="Verdana" w:cs="Verdana" w:eastAsia="Verdana" w:hAnsi="Verdana"/>
                <w:sz w:val="18"/>
                <w:szCs w:val="18"/>
                <w:color w:val="auto"/>
              </w:rPr>
              <w:t>Other, net</w:t>
            </w:r>
          </w:p>
        </w:tc>
        <w:tc>
          <w:tcPr>
            <w:tcW w:w="440" w:type="dxa"/>
            <w:vAlign w:val="bottom"/>
            <w:gridSpan w:val="4"/>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Verdana" w:cs="Verdana" w:eastAsia="Verdana" w:hAnsi="Verdana"/>
                <w:sz w:val="18"/>
                <w:szCs w:val="18"/>
                <w:color w:val="auto"/>
                <w:w w:val="99"/>
              </w:rPr>
              <w:t>6,454</w:t>
            </w:r>
          </w:p>
        </w:tc>
        <w:tc>
          <w:tcPr>
            <w:tcW w:w="520" w:type="dxa"/>
            <w:vAlign w:val="bottom"/>
          </w:tcPr>
          <w:p>
            <w:pPr>
              <w:spacing w:after="0"/>
              <w:rPr>
                <w:sz w:val="19"/>
                <w:szCs w:val="19"/>
                <w:color w:val="auto"/>
              </w:rPr>
            </w:pPr>
          </w:p>
        </w:tc>
        <w:tc>
          <w:tcPr>
            <w:tcW w:w="1280" w:type="dxa"/>
            <w:vAlign w:val="bottom"/>
            <w:gridSpan w:val="5"/>
          </w:tcPr>
          <w:p>
            <w:pPr>
              <w:jc w:val="right"/>
              <w:spacing w:after="0"/>
              <w:rPr>
                <w:sz w:val="20"/>
                <w:szCs w:val="20"/>
                <w:color w:val="auto"/>
              </w:rPr>
            </w:pPr>
            <w:r>
              <w:rPr>
                <w:rFonts w:ascii="Verdana" w:cs="Verdana" w:eastAsia="Verdana" w:hAnsi="Verdana"/>
                <w:sz w:val="18"/>
                <w:szCs w:val="18"/>
                <w:color w:val="auto"/>
              </w:rPr>
              <w:t>308,769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489"/>
        </w:trPr>
        <w:tc>
          <w:tcPr>
            <w:tcW w:w="5420" w:type="dxa"/>
            <w:vAlign w:val="bottom"/>
            <w:gridSpan w:val="2"/>
          </w:tcPr>
          <w:p>
            <w:pPr>
              <w:spacing w:after="0"/>
              <w:rPr>
                <w:sz w:val="20"/>
                <w:szCs w:val="20"/>
                <w:color w:val="auto"/>
              </w:rPr>
            </w:pPr>
            <w:r>
              <w:rPr>
                <w:rFonts w:ascii="Verdana" w:cs="Verdana" w:eastAsia="Verdana" w:hAnsi="Verdana"/>
                <w:sz w:val="18"/>
                <w:szCs w:val="18"/>
                <w:color w:val="auto"/>
              </w:rPr>
              <w:t>Income before income taxes</w:t>
            </w:r>
          </w:p>
        </w:tc>
        <w:tc>
          <w:tcPr>
            <w:tcW w:w="440" w:type="dxa"/>
            <w:vAlign w:val="bottom"/>
            <w:gridSpan w:val="4"/>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Verdana" w:cs="Verdana" w:eastAsia="Verdana" w:hAnsi="Verdana"/>
                <w:sz w:val="18"/>
                <w:szCs w:val="18"/>
                <w:color w:val="auto"/>
                <w:w w:val="81"/>
              </w:rPr>
              <w:t>40,106</w:t>
            </w:r>
          </w:p>
        </w:tc>
        <w:tc>
          <w:tcPr>
            <w:tcW w:w="520" w:type="dxa"/>
            <w:vAlign w:val="bottom"/>
          </w:tcPr>
          <w:p>
            <w:pPr>
              <w:spacing w:after="0"/>
              <w:rPr>
                <w:sz w:val="24"/>
                <w:szCs w:val="24"/>
                <w:color w:val="auto"/>
              </w:rPr>
            </w:pPr>
          </w:p>
        </w:tc>
        <w:tc>
          <w:tcPr>
            <w:tcW w:w="1280" w:type="dxa"/>
            <w:vAlign w:val="bottom"/>
            <w:gridSpan w:val="5"/>
          </w:tcPr>
          <w:p>
            <w:pPr>
              <w:jc w:val="right"/>
              <w:spacing w:after="0"/>
              <w:rPr>
                <w:sz w:val="20"/>
                <w:szCs w:val="20"/>
                <w:color w:val="auto"/>
              </w:rPr>
            </w:pPr>
            <w:r>
              <w:rPr>
                <w:rFonts w:ascii="Verdana" w:cs="Verdana" w:eastAsia="Verdana" w:hAnsi="Verdana"/>
                <w:sz w:val="18"/>
                <w:szCs w:val="18"/>
                <w:color w:val="auto"/>
              </w:rPr>
              <w:t>325,253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464"/>
        </w:trPr>
        <w:tc>
          <w:tcPr>
            <w:tcW w:w="5420" w:type="dxa"/>
            <w:vAlign w:val="bottom"/>
            <w:gridSpan w:val="2"/>
          </w:tcPr>
          <w:p>
            <w:pPr>
              <w:spacing w:after="0"/>
              <w:rPr>
                <w:sz w:val="20"/>
                <w:szCs w:val="20"/>
                <w:color w:val="auto"/>
              </w:rPr>
            </w:pPr>
            <w:r>
              <w:rPr>
                <w:rFonts w:ascii="Verdana" w:cs="Verdana" w:eastAsia="Verdana" w:hAnsi="Verdana"/>
                <w:sz w:val="18"/>
                <w:szCs w:val="18"/>
                <w:color w:val="auto"/>
              </w:rPr>
              <w:t>Provision for income taxes</w:t>
            </w:r>
          </w:p>
        </w:tc>
        <w:tc>
          <w:tcPr>
            <w:tcW w:w="300" w:type="dxa"/>
            <w:vAlign w:val="bottom"/>
            <w:gridSpan w:val="3"/>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Verdana" w:cs="Verdana" w:eastAsia="Verdana" w:hAnsi="Verdana"/>
                <w:sz w:val="18"/>
                <w:szCs w:val="18"/>
                <w:color w:val="auto"/>
              </w:rPr>
              <w:t>16,400</w:t>
            </w:r>
          </w:p>
        </w:tc>
        <w:tc>
          <w:tcPr>
            <w:tcW w:w="520" w:type="dxa"/>
            <w:vAlign w:val="bottom"/>
          </w:tcPr>
          <w:p>
            <w:pPr>
              <w:spacing w:after="0"/>
              <w:rPr>
                <w:sz w:val="24"/>
                <w:szCs w:val="24"/>
                <w:color w:val="auto"/>
              </w:rPr>
            </w:pPr>
          </w:p>
        </w:tc>
        <w:tc>
          <w:tcPr>
            <w:tcW w:w="1280" w:type="dxa"/>
            <w:vAlign w:val="bottom"/>
            <w:gridSpan w:val="5"/>
          </w:tcPr>
          <w:p>
            <w:pPr>
              <w:jc w:val="right"/>
              <w:spacing w:after="0"/>
              <w:rPr>
                <w:sz w:val="20"/>
                <w:szCs w:val="20"/>
                <w:color w:val="auto"/>
              </w:rPr>
            </w:pPr>
            <w:r>
              <w:rPr>
                <w:rFonts w:ascii="Verdana" w:cs="Verdana" w:eastAsia="Verdana" w:hAnsi="Verdana"/>
                <w:sz w:val="18"/>
                <w:szCs w:val="18"/>
                <w:color w:val="auto"/>
              </w:rPr>
              <w:t>126,200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0"/>
        </w:trPr>
        <w:tc>
          <w:tcPr>
            <w:tcW w:w="54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right w:val="single" w:sz="8" w:color="auto"/>
            </w:tcBorders>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489"/>
        </w:trPr>
        <w:tc>
          <w:tcPr>
            <w:tcW w:w="5420" w:type="dxa"/>
            <w:vAlign w:val="bottom"/>
            <w:gridSpan w:val="2"/>
          </w:tcPr>
          <w:p>
            <w:pPr>
              <w:spacing w:after="0"/>
              <w:rPr>
                <w:sz w:val="20"/>
                <w:szCs w:val="20"/>
                <w:color w:val="auto"/>
              </w:rPr>
            </w:pPr>
            <w:r>
              <w:rPr>
                <w:rFonts w:ascii="Verdana" w:cs="Verdana" w:eastAsia="Verdana" w:hAnsi="Verdana"/>
                <w:sz w:val="18"/>
                <w:szCs w:val="18"/>
                <w:color w:val="auto"/>
              </w:rPr>
              <w:t>Net income</w:t>
            </w:r>
          </w:p>
        </w:tc>
        <w:tc>
          <w:tcPr>
            <w:tcW w:w="300" w:type="dxa"/>
            <w:vAlign w:val="bottom"/>
            <w:gridSpan w:val="3"/>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Verdana" w:cs="Verdana" w:eastAsia="Verdana" w:hAnsi="Verdana"/>
                <w:sz w:val="18"/>
                <w:szCs w:val="18"/>
                <w:color w:val="auto"/>
              </w:rPr>
              <w:t>23,706</w:t>
            </w:r>
          </w:p>
        </w:tc>
        <w:tc>
          <w:tcPr>
            <w:tcW w:w="520" w:type="dxa"/>
            <w:vAlign w:val="bottom"/>
          </w:tcPr>
          <w:p>
            <w:pPr>
              <w:spacing w:after="0"/>
              <w:rPr>
                <w:sz w:val="24"/>
                <w:szCs w:val="24"/>
                <w:color w:val="auto"/>
              </w:rPr>
            </w:pPr>
          </w:p>
        </w:tc>
        <w:tc>
          <w:tcPr>
            <w:tcW w:w="1280" w:type="dxa"/>
            <w:vAlign w:val="bottom"/>
            <w:gridSpan w:val="5"/>
          </w:tcPr>
          <w:p>
            <w:pPr>
              <w:jc w:val="right"/>
              <w:spacing w:after="0"/>
              <w:rPr>
                <w:sz w:val="20"/>
                <w:szCs w:val="20"/>
                <w:color w:val="auto"/>
              </w:rPr>
            </w:pPr>
            <w:r>
              <w:rPr>
                <w:rFonts w:ascii="Verdana" w:cs="Verdana" w:eastAsia="Verdana" w:hAnsi="Verdana"/>
                <w:sz w:val="18"/>
                <w:szCs w:val="18"/>
                <w:color w:val="auto"/>
              </w:rPr>
              <w:t>199,053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464"/>
        </w:trPr>
        <w:tc>
          <w:tcPr>
            <w:tcW w:w="5420" w:type="dxa"/>
            <w:vAlign w:val="bottom"/>
            <w:gridSpan w:val="2"/>
          </w:tcPr>
          <w:p>
            <w:pPr>
              <w:spacing w:after="0"/>
              <w:rPr>
                <w:sz w:val="20"/>
                <w:szCs w:val="20"/>
                <w:color w:val="auto"/>
              </w:rPr>
            </w:pPr>
            <w:r>
              <w:rPr>
                <w:rFonts w:ascii="Verdana" w:cs="Verdana" w:eastAsia="Verdana" w:hAnsi="Verdana"/>
                <w:sz w:val="18"/>
                <w:szCs w:val="18"/>
                <w:color w:val="auto"/>
              </w:rPr>
              <w:t>Redeemable preferred stock dividends</w:t>
            </w:r>
          </w:p>
        </w:tc>
        <w:tc>
          <w:tcPr>
            <w:tcW w:w="440" w:type="dxa"/>
            <w:vAlign w:val="bottom"/>
            <w:gridSpan w:val="4"/>
          </w:tcPr>
          <w:p>
            <w:pPr>
              <w:spacing w:after="0"/>
              <w:rPr>
                <w:sz w:val="24"/>
                <w:szCs w:val="24"/>
                <w:color w:val="auto"/>
              </w:rPr>
            </w:pPr>
          </w:p>
        </w:tc>
        <w:tc>
          <w:tcPr>
            <w:tcW w:w="1060" w:type="dxa"/>
            <w:vAlign w:val="bottom"/>
            <w:gridSpan w:val="3"/>
          </w:tcPr>
          <w:p>
            <w:pPr>
              <w:jc w:val="right"/>
              <w:ind w:right="440"/>
              <w:spacing w:after="0"/>
              <w:rPr>
                <w:sz w:val="20"/>
                <w:szCs w:val="20"/>
                <w:color w:val="auto"/>
              </w:rPr>
            </w:pPr>
            <w:r>
              <w:rPr>
                <w:rFonts w:ascii="Verdana" w:cs="Verdana" w:eastAsia="Verdana" w:hAnsi="Verdana"/>
                <w:sz w:val="18"/>
                <w:szCs w:val="18"/>
                <w:color w:val="auto"/>
              </w:rPr>
              <w:t>(525)</w:t>
            </w:r>
          </w:p>
        </w:tc>
        <w:tc>
          <w:tcPr>
            <w:tcW w:w="1740" w:type="dxa"/>
            <w:vAlign w:val="bottom"/>
            <w:gridSpan w:val="8"/>
          </w:tcPr>
          <w:p>
            <w:pPr>
              <w:jc w:val="right"/>
              <w:ind w:right="380"/>
              <w:spacing w:after="0"/>
              <w:rPr>
                <w:sz w:val="20"/>
                <w:szCs w:val="20"/>
                <w:color w:val="auto"/>
              </w:rPr>
            </w:pPr>
            <w:r>
              <w:rPr>
                <w:rFonts w:ascii="Verdana" w:cs="Verdana" w:eastAsia="Verdana" w:hAnsi="Verdana"/>
                <w:sz w:val="18"/>
                <w:szCs w:val="18"/>
                <w:color w:val="auto"/>
              </w:rPr>
              <w:t>(526)</w:t>
            </w:r>
          </w:p>
        </w:tc>
        <w:tc>
          <w:tcPr>
            <w:tcW w:w="2760" w:type="dxa"/>
            <w:vAlign w:val="bottom"/>
          </w:tcPr>
          <w:p>
            <w:pPr>
              <w:spacing w:after="0"/>
              <w:rPr>
                <w:sz w:val="24"/>
                <w:szCs w:val="24"/>
                <w:color w:val="auto"/>
              </w:rPr>
            </w:pPr>
          </w:p>
        </w:tc>
      </w:tr>
      <w:tr>
        <w:trPr>
          <w:trHeight w:val="20"/>
        </w:trPr>
        <w:tc>
          <w:tcPr>
            <w:tcW w:w="54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489"/>
        </w:trPr>
        <w:tc>
          <w:tcPr>
            <w:tcW w:w="5420" w:type="dxa"/>
            <w:vAlign w:val="bottom"/>
            <w:gridSpan w:val="2"/>
          </w:tcPr>
          <w:p>
            <w:pPr>
              <w:spacing w:after="0"/>
              <w:rPr>
                <w:sz w:val="20"/>
                <w:szCs w:val="20"/>
                <w:color w:val="auto"/>
              </w:rPr>
            </w:pPr>
            <w:r>
              <w:rPr>
                <w:rFonts w:ascii="Verdana" w:cs="Verdana" w:eastAsia="Verdana" w:hAnsi="Verdana"/>
                <w:sz w:val="18"/>
                <w:szCs w:val="18"/>
                <w:color w:val="auto"/>
              </w:rPr>
              <w:t>Net income available for common shares</w:t>
            </w:r>
          </w:p>
        </w:tc>
        <w:tc>
          <w:tcPr>
            <w:tcW w:w="980" w:type="dxa"/>
            <w:vAlign w:val="bottom"/>
            <w:gridSpan w:val="6"/>
          </w:tcPr>
          <w:p>
            <w:pPr>
              <w:jc w:val="right"/>
              <w:spacing w:after="0"/>
              <w:rPr>
                <w:sz w:val="20"/>
                <w:szCs w:val="20"/>
                <w:color w:val="auto"/>
              </w:rPr>
            </w:pPr>
            <w:r>
              <w:rPr>
                <w:rFonts w:ascii="Verdana" w:cs="Verdana" w:eastAsia="Verdana" w:hAnsi="Verdana"/>
                <w:sz w:val="18"/>
                <w:szCs w:val="18"/>
                <w:color w:val="auto"/>
              </w:rPr>
              <w:t>$23,181</w:t>
            </w:r>
          </w:p>
        </w:tc>
        <w:tc>
          <w:tcPr>
            <w:tcW w:w="520" w:type="dxa"/>
            <w:vAlign w:val="bottom"/>
          </w:tcPr>
          <w:p>
            <w:pPr>
              <w:spacing w:after="0"/>
              <w:rPr>
                <w:sz w:val="24"/>
                <w:szCs w:val="24"/>
                <w:color w:val="auto"/>
              </w:rPr>
            </w:pPr>
          </w:p>
        </w:tc>
        <w:tc>
          <w:tcPr>
            <w:tcW w:w="1280" w:type="dxa"/>
            <w:vAlign w:val="bottom"/>
            <w:gridSpan w:val="5"/>
          </w:tcPr>
          <w:p>
            <w:pPr>
              <w:jc w:val="right"/>
              <w:spacing w:after="0"/>
              <w:rPr>
                <w:sz w:val="20"/>
                <w:szCs w:val="20"/>
                <w:color w:val="auto"/>
              </w:rPr>
            </w:pPr>
            <w:r>
              <w:rPr>
                <w:rFonts w:ascii="Verdana" w:cs="Verdana" w:eastAsia="Verdana" w:hAnsi="Verdana"/>
                <w:sz w:val="18"/>
                <w:szCs w:val="18"/>
                <w:color w:val="auto"/>
              </w:rPr>
              <w:t>$198,527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44"/>
        </w:trPr>
        <w:tc>
          <w:tcPr>
            <w:tcW w:w="542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460" w:type="dxa"/>
            <w:vAlign w:val="bottom"/>
            <w:tcBorders>
              <w:bottom w:val="single" w:sz="8" w:color="808080"/>
            </w:tcBorders>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760" w:type="dxa"/>
            <w:vAlign w:val="bottom"/>
          </w:tcPr>
          <w:p>
            <w:pPr>
              <w:spacing w:after="0"/>
              <w:rPr>
                <w:sz w:val="21"/>
                <w:szCs w:val="21"/>
                <w:color w:val="auto"/>
              </w:rPr>
            </w:pPr>
          </w:p>
        </w:tc>
      </w:tr>
      <w:tr>
        <w:trPr>
          <w:trHeight w:val="559"/>
        </w:trPr>
        <w:tc>
          <w:tcPr>
            <w:tcW w:w="5420" w:type="dxa"/>
            <w:vAlign w:val="bottom"/>
            <w:gridSpan w:val="2"/>
          </w:tcPr>
          <w:p>
            <w:pPr>
              <w:spacing w:after="0"/>
              <w:rPr>
                <w:sz w:val="20"/>
                <w:szCs w:val="20"/>
                <w:color w:val="auto"/>
              </w:rPr>
            </w:pPr>
            <w:r>
              <w:rPr>
                <w:rFonts w:ascii="Verdana" w:cs="Verdana" w:eastAsia="Verdana" w:hAnsi="Verdana"/>
                <w:sz w:val="18"/>
                <w:szCs w:val="18"/>
                <w:color w:val="auto"/>
              </w:rPr>
              <w:t>Basic earnings per common share</w:t>
            </w:r>
          </w:p>
        </w:tc>
        <w:tc>
          <w:tcPr>
            <w:tcW w:w="980" w:type="dxa"/>
            <w:vAlign w:val="bottom"/>
            <w:gridSpan w:val="6"/>
          </w:tcPr>
          <w:p>
            <w:pPr>
              <w:jc w:val="right"/>
              <w:spacing w:after="0"/>
              <w:rPr>
                <w:sz w:val="20"/>
                <w:szCs w:val="20"/>
                <w:color w:val="auto"/>
              </w:rPr>
            </w:pPr>
            <w:r>
              <w:rPr>
                <w:rFonts w:ascii="Verdana" w:cs="Verdana" w:eastAsia="Verdana" w:hAnsi="Verdana"/>
                <w:sz w:val="18"/>
                <w:szCs w:val="18"/>
                <w:color w:val="auto"/>
              </w:rPr>
              <w:t>$ 2.44</w:t>
            </w:r>
          </w:p>
        </w:tc>
        <w:tc>
          <w:tcPr>
            <w:tcW w:w="520" w:type="dxa"/>
            <w:vAlign w:val="bottom"/>
          </w:tcPr>
          <w:p>
            <w:pPr>
              <w:spacing w:after="0"/>
              <w:rPr>
                <w:sz w:val="24"/>
                <w:szCs w:val="24"/>
                <w:color w:val="auto"/>
              </w:rPr>
            </w:pPr>
          </w:p>
        </w:tc>
        <w:tc>
          <w:tcPr>
            <w:tcW w:w="1280" w:type="dxa"/>
            <w:vAlign w:val="bottom"/>
            <w:gridSpan w:val="5"/>
          </w:tcPr>
          <w:p>
            <w:pPr>
              <w:jc w:val="right"/>
              <w:spacing w:after="0"/>
              <w:rPr>
                <w:sz w:val="20"/>
                <w:szCs w:val="20"/>
                <w:color w:val="auto"/>
              </w:rPr>
            </w:pPr>
            <w:r>
              <w:rPr>
                <w:rFonts w:ascii="Verdana" w:cs="Verdana" w:eastAsia="Verdana" w:hAnsi="Verdana"/>
                <w:sz w:val="18"/>
                <w:szCs w:val="18"/>
                <w:color w:val="auto"/>
              </w:rPr>
              <w:t>$ 20.94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44"/>
        </w:trPr>
        <w:tc>
          <w:tcPr>
            <w:tcW w:w="542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460" w:type="dxa"/>
            <w:vAlign w:val="bottom"/>
            <w:tcBorders>
              <w:bottom w:val="single" w:sz="8" w:color="808080"/>
            </w:tcBorders>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760" w:type="dxa"/>
            <w:vAlign w:val="bottom"/>
          </w:tcPr>
          <w:p>
            <w:pPr>
              <w:spacing w:after="0"/>
              <w:rPr>
                <w:sz w:val="21"/>
                <w:szCs w:val="21"/>
                <w:color w:val="auto"/>
              </w:rPr>
            </w:pPr>
          </w:p>
        </w:tc>
      </w:tr>
      <w:tr>
        <w:trPr>
          <w:trHeight w:val="559"/>
        </w:trPr>
        <w:tc>
          <w:tcPr>
            <w:tcW w:w="5420" w:type="dxa"/>
            <w:vAlign w:val="bottom"/>
            <w:gridSpan w:val="2"/>
          </w:tcPr>
          <w:p>
            <w:pPr>
              <w:spacing w:after="0"/>
              <w:rPr>
                <w:sz w:val="20"/>
                <w:szCs w:val="20"/>
                <w:color w:val="auto"/>
              </w:rPr>
            </w:pPr>
            <w:r>
              <w:rPr>
                <w:rFonts w:ascii="Verdana" w:cs="Verdana" w:eastAsia="Verdana" w:hAnsi="Verdana"/>
                <w:sz w:val="18"/>
                <w:szCs w:val="18"/>
                <w:color w:val="auto"/>
              </w:rPr>
              <w:t>Diluted earnings per common share</w:t>
            </w:r>
          </w:p>
        </w:tc>
        <w:tc>
          <w:tcPr>
            <w:tcW w:w="980" w:type="dxa"/>
            <w:vAlign w:val="bottom"/>
            <w:gridSpan w:val="6"/>
          </w:tcPr>
          <w:p>
            <w:pPr>
              <w:jc w:val="right"/>
              <w:spacing w:after="0"/>
              <w:rPr>
                <w:sz w:val="20"/>
                <w:szCs w:val="20"/>
                <w:color w:val="auto"/>
              </w:rPr>
            </w:pPr>
            <w:r>
              <w:rPr>
                <w:rFonts w:ascii="Verdana" w:cs="Verdana" w:eastAsia="Verdana" w:hAnsi="Verdana"/>
                <w:sz w:val="18"/>
                <w:szCs w:val="18"/>
                <w:color w:val="auto"/>
              </w:rPr>
              <w:t>$ 2.44</w:t>
            </w:r>
          </w:p>
        </w:tc>
        <w:tc>
          <w:tcPr>
            <w:tcW w:w="520" w:type="dxa"/>
            <w:vAlign w:val="bottom"/>
          </w:tcPr>
          <w:p>
            <w:pPr>
              <w:spacing w:after="0"/>
              <w:rPr>
                <w:sz w:val="24"/>
                <w:szCs w:val="24"/>
                <w:color w:val="auto"/>
              </w:rPr>
            </w:pPr>
          </w:p>
        </w:tc>
        <w:tc>
          <w:tcPr>
            <w:tcW w:w="1280" w:type="dxa"/>
            <w:vAlign w:val="bottom"/>
            <w:gridSpan w:val="5"/>
          </w:tcPr>
          <w:p>
            <w:pPr>
              <w:jc w:val="right"/>
              <w:spacing w:after="0"/>
              <w:rPr>
                <w:sz w:val="20"/>
                <w:szCs w:val="20"/>
                <w:color w:val="auto"/>
              </w:rPr>
            </w:pPr>
            <w:r>
              <w:rPr>
                <w:rFonts w:ascii="Verdana" w:cs="Verdana" w:eastAsia="Verdana" w:hAnsi="Verdana"/>
                <w:sz w:val="18"/>
                <w:szCs w:val="18"/>
                <w:color w:val="auto"/>
              </w:rPr>
              <w:t>$ 20.90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44"/>
        </w:trPr>
        <w:tc>
          <w:tcPr>
            <w:tcW w:w="542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460" w:type="dxa"/>
            <w:vAlign w:val="bottom"/>
            <w:tcBorders>
              <w:bottom w:val="single" w:sz="8" w:color="808080"/>
            </w:tcBorders>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760" w:type="dxa"/>
            <w:vAlign w:val="bottom"/>
          </w:tcPr>
          <w:p>
            <w:pPr>
              <w:spacing w:after="0"/>
              <w:rPr>
                <w:sz w:val="21"/>
                <w:szCs w:val="21"/>
                <w:color w:val="auto"/>
              </w:rPr>
            </w:pPr>
          </w:p>
        </w:tc>
      </w:tr>
      <w:tr>
        <w:trPr>
          <w:trHeight w:val="559"/>
        </w:trPr>
        <w:tc>
          <w:tcPr>
            <w:tcW w:w="5420" w:type="dxa"/>
            <w:vAlign w:val="bottom"/>
            <w:gridSpan w:val="2"/>
          </w:tcPr>
          <w:p>
            <w:pPr>
              <w:spacing w:after="0"/>
              <w:rPr>
                <w:sz w:val="20"/>
                <w:szCs w:val="20"/>
                <w:color w:val="auto"/>
              </w:rPr>
            </w:pPr>
            <w:r>
              <w:rPr>
                <w:rFonts w:ascii="Verdana" w:cs="Verdana" w:eastAsia="Verdana" w:hAnsi="Verdana"/>
                <w:sz w:val="18"/>
                <w:szCs w:val="18"/>
                <w:color w:val="auto"/>
              </w:rPr>
              <w:t>Dividends declared per common share</w:t>
            </w:r>
          </w:p>
        </w:tc>
        <w:tc>
          <w:tcPr>
            <w:tcW w:w="980" w:type="dxa"/>
            <w:vAlign w:val="bottom"/>
            <w:gridSpan w:val="6"/>
          </w:tcPr>
          <w:p>
            <w:pPr>
              <w:jc w:val="right"/>
              <w:spacing w:after="0"/>
              <w:rPr>
                <w:sz w:val="20"/>
                <w:szCs w:val="20"/>
                <w:color w:val="auto"/>
              </w:rPr>
            </w:pPr>
            <w:r>
              <w:rPr>
                <w:rFonts w:ascii="Verdana" w:cs="Verdana" w:eastAsia="Verdana" w:hAnsi="Verdana"/>
                <w:sz w:val="18"/>
                <w:szCs w:val="18"/>
                <w:color w:val="auto"/>
              </w:rPr>
              <w:t>$2.80</w:t>
            </w:r>
          </w:p>
        </w:tc>
        <w:tc>
          <w:tcPr>
            <w:tcW w:w="520" w:type="dxa"/>
            <w:vAlign w:val="bottom"/>
          </w:tcPr>
          <w:p>
            <w:pPr>
              <w:spacing w:after="0"/>
              <w:rPr>
                <w:sz w:val="24"/>
                <w:szCs w:val="24"/>
                <w:color w:val="auto"/>
              </w:rPr>
            </w:pPr>
          </w:p>
        </w:tc>
        <w:tc>
          <w:tcPr>
            <w:tcW w:w="1280" w:type="dxa"/>
            <w:vAlign w:val="bottom"/>
            <w:gridSpan w:val="5"/>
          </w:tcPr>
          <w:p>
            <w:pPr>
              <w:jc w:val="right"/>
              <w:spacing w:after="0"/>
              <w:rPr>
                <w:sz w:val="20"/>
                <w:szCs w:val="20"/>
                <w:color w:val="auto"/>
              </w:rPr>
            </w:pPr>
            <w:r>
              <w:rPr>
                <w:rFonts w:ascii="Verdana" w:cs="Verdana" w:eastAsia="Verdana" w:hAnsi="Verdana"/>
                <w:sz w:val="18"/>
                <w:szCs w:val="18"/>
                <w:color w:val="auto"/>
              </w:rPr>
              <w:t>$ 2.80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44"/>
        </w:trPr>
        <w:tc>
          <w:tcPr>
            <w:tcW w:w="542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460" w:type="dxa"/>
            <w:vAlign w:val="bottom"/>
            <w:tcBorders>
              <w:bottom w:val="single" w:sz="8" w:color="808080"/>
            </w:tcBorders>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760" w:type="dxa"/>
            <w:vAlign w:val="bottom"/>
          </w:tcPr>
          <w:p>
            <w:pPr>
              <w:spacing w:after="0"/>
              <w:rPr>
                <w:sz w:val="21"/>
                <w:szCs w:val="21"/>
                <w:color w:val="auto"/>
              </w:rPr>
            </w:pPr>
          </w:p>
        </w:tc>
      </w:tr>
      <w:tr>
        <w:trPr>
          <w:trHeight w:val="559"/>
        </w:trPr>
        <w:tc>
          <w:tcPr>
            <w:tcW w:w="5420" w:type="dxa"/>
            <w:vAlign w:val="bottom"/>
            <w:gridSpan w:val="2"/>
          </w:tcPr>
          <w:p>
            <w:pPr>
              <w:spacing w:after="0"/>
              <w:rPr>
                <w:sz w:val="20"/>
                <w:szCs w:val="20"/>
                <w:color w:val="auto"/>
              </w:rPr>
            </w:pPr>
            <w:r>
              <w:rPr>
                <w:rFonts w:ascii="Verdana" w:cs="Verdana" w:eastAsia="Verdana" w:hAnsi="Verdana"/>
                <w:sz w:val="18"/>
                <w:szCs w:val="18"/>
                <w:color w:val="auto"/>
              </w:rPr>
              <w:t>Basic average number of common shares outstanding</w:t>
            </w:r>
          </w:p>
        </w:tc>
        <w:tc>
          <w:tcPr>
            <w:tcW w:w="980" w:type="dxa"/>
            <w:vAlign w:val="bottom"/>
            <w:gridSpan w:val="6"/>
          </w:tcPr>
          <w:p>
            <w:pPr>
              <w:jc w:val="right"/>
              <w:spacing w:after="0"/>
              <w:rPr>
                <w:sz w:val="20"/>
                <w:szCs w:val="20"/>
                <w:color w:val="auto"/>
              </w:rPr>
            </w:pPr>
            <w:r>
              <w:rPr>
                <w:rFonts w:ascii="Verdana" w:cs="Verdana" w:eastAsia="Verdana" w:hAnsi="Verdana"/>
                <w:sz w:val="18"/>
                <w:szCs w:val="18"/>
                <w:color w:val="auto"/>
              </w:rPr>
              <w:t>9,498</w:t>
            </w:r>
          </w:p>
        </w:tc>
        <w:tc>
          <w:tcPr>
            <w:tcW w:w="520" w:type="dxa"/>
            <w:vAlign w:val="bottom"/>
          </w:tcPr>
          <w:p>
            <w:pPr>
              <w:spacing w:after="0"/>
              <w:rPr>
                <w:sz w:val="24"/>
                <w:szCs w:val="24"/>
                <w:color w:val="auto"/>
              </w:rPr>
            </w:pPr>
          </w:p>
        </w:tc>
        <w:tc>
          <w:tcPr>
            <w:tcW w:w="1280" w:type="dxa"/>
            <w:vAlign w:val="bottom"/>
            <w:gridSpan w:val="5"/>
          </w:tcPr>
          <w:p>
            <w:pPr>
              <w:jc w:val="right"/>
              <w:spacing w:after="0"/>
              <w:rPr>
                <w:sz w:val="20"/>
                <w:szCs w:val="20"/>
                <w:color w:val="auto"/>
              </w:rPr>
            </w:pPr>
            <w:r>
              <w:rPr>
                <w:rFonts w:ascii="Verdana" w:cs="Verdana" w:eastAsia="Verdana" w:hAnsi="Verdana"/>
                <w:sz w:val="18"/>
                <w:szCs w:val="18"/>
                <w:color w:val="auto"/>
              </w:rPr>
              <w:t>9,479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486"/>
        </w:trPr>
        <w:tc>
          <w:tcPr>
            <w:tcW w:w="5420" w:type="dxa"/>
            <w:vAlign w:val="bottom"/>
            <w:gridSpan w:val="2"/>
          </w:tcPr>
          <w:p>
            <w:pPr>
              <w:spacing w:after="0"/>
              <w:rPr>
                <w:sz w:val="20"/>
                <w:szCs w:val="20"/>
                <w:color w:val="auto"/>
              </w:rPr>
            </w:pPr>
            <w:r>
              <w:rPr>
                <w:rFonts w:ascii="Verdana" w:cs="Verdana" w:eastAsia="Verdana" w:hAnsi="Verdana"/>
                <w:sz w:val="18"/>
                <w:szCs w:val="18"/>
                <w:color w:val="auto"/>
              </w:rPr>
              <w:t>Diluted average number of common shares outstanding</w:t>
            </w:r>
          </w:p>
        </w:tc>
        <w:tc>
          <w:tcPr>
            <w:tcW w:w="980" w:type="dxa"/>
            <w:vAlign w:val="bottom"/>
            <w:gridSpan w:val="6"/>
          </w:tcPr>
          <w:p>
            <w:pPr>
              <w:jc w:val="right"/>
              <w:spacing w:after="0"/>
              <w:rPr>
                <w:sz w:val="20"/>
                <w:szCs w:val="20"/>
                <w:color w:val="auto"/>
              </w:rPr>
            </w:pPr>
            <w:r>
              <w:rPr>
                <w:rFonts w:ascii="Verdana" w:cs="Verdana" w:eastAsia="Verdana" w:hAnsi="Verdana"/>
                <w:sz w:val="18"/>
                <w:szCs w:val="18"/>
                <w:color w:val="auto"/>
              </w:rPr>
              <w:t>9,512</w:t>
            </w:r>
          </w:p>
        </w:tc>
        <w:tc>
          <w:tcPr>
            <w:tcW w:w="520" w:type="dxa"/>
            <w:vAlign w:val="bottom"/>
          </w:tcPr>
          <w:p>
            <w:pPr>
              <w:spacing w:after="0"/>
              <w:rPr>
                <w:sz w:val="24"/>
                <w:szCs w:val="24"/>
                <w:color w:val="auto"/>
              </w:rPr>
            </w:pPr>
          </w:p>
        </w:tc>
        <w:tc>
          <w:tcPr>
            <w:tcW w:w="1280" w:type="dxa"/>
            <w:vAlign w:val="bottom"/>
            <w:gridSpan w:val="5"/>
          </w:tcPr>
          <w:p>
            <w:pPr>
              <w:jc w:val="right"/>
              <w:spacing w:after="0"/>
              <w:rPr>
                <w:sz w:val="20"/>
                <w:szCs w:val="20"/>
                <w:color w:val="auto"/>
              </w:rPr>
            </w:pPr>
            <w:r>
              <w:rPr>
                <w:rFonts w:ascii="Verdana" w:cs="Verdana" w:eastAsia="Verdana" w:hAnsi="Verdana"/>
                <w:sz w:val="18"/>
                <w:szCs w:val="18"/>
                <w:color w:val="auto"/>
              </w:rPr>
              <w:t>9,499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5480685</wp:posOffset>
            </wp:positionH>
            <wp:positionV relativeFrom="paragraph">
              <wp:posOffset>-7573010</wp:posOffset>
            </wp:positionV>
            <wp:extent cx="3429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-2262505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-2262505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-2262505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-2262505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-1739265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-1739265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-1739265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-1739265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-1216025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-1216025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-1216025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-1216025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-693420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-693420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-693420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-693420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2" w:right="239" w:bottom="40" w:gutter="0" w:footer="0" w:header="0"/>
        </w:sectPr>
      </w:pPr>
    </w:p>
    <w:p>
      <w:pPr>
        <w:spacing w:after="0" w:line="200" w:lineRule="exact"/>
        <w:rPr>
          <w:sz w:val="20"/>
          <w:szCs w:val="20"/>
          <w:color w:val="auto"/>
        </w:rPr>
      </w:pPr>
    </w:p>
    <w:p>
      <w:pPr>
        <w:spacing w:after="0" w:line="311" w:lineRule="exact"/>
        <w:rPr>
          <w:sz w:val="20"/>
          <w:szCs w:val="20"/>
          <w:color w:val="auto"/>
        </w:rPr>
      </w:pPr>
    </w:p>
    <w:p>
      <w:pPr>
        <w:ind w:left="11180"/>
        <w:spacing w:after="0"/>
        <w:rPr>
          <w:sz w:val="20"/>
          <w:szCs w:val="20"/>
          <w:color w:val="auto"/>
        </w:rPr>
      </w:pPr>
      <w:r>
        <w:rPr>
          <w:rFonts w:ascii="Verdana" w:cs="Verdana" w:eastAsia="Verdana" w:hAnsi="Verdana"/>
          <w:sz w:val="18"/>
          <w:szCs w:val="18"/>
          <w:color w:val="auto"/>
        </w:rPr>
        <w:t>4.</w:t>
      </w:r>
    </w:p>
    <w:p>
      <w:pPr>
        <w:sectPr>
          <w:pgSz w:w="11900" w:h="16838" w:orient="portrait"/>
          <w:cols w:equalWidth="0" w:num="1">
            <w:col w:w="11420"/>
          </w:cols>
          <w:pgMar w:left="240" w:top="132" w:right="239" w:bottom="40" w:gutter="0" w:footer="0" w:header="0"/>
          <w:type w:val="continuous"/>
        </w:sectPr>
      </w:pPr>
    </w:p>
    <w:bookmarkStart w:id="2" w:name="page3"/>
    <w:bookmarkEnd w:id="2"/>
    <w:p>
      <w:pPr>
        <w:spacing w:after="0"/>
        <w:rPr>
          <w:sz w:val="20"/>
          <w:szCs w:val="20"/>
          <w:color w:val="auto"/>
        </w:rPr>
      </w:pPr>
      <w:r>
        <w:rPr>
          <w:rFonts w:ascii="Verdana" w:cs="Verdana" w:eastAsia="Verdana" w:hAnsi="Verdana"/>
          <w:sz w:val="18"/>
          <w:szCs w:val="18"/>
          <w:color w:val="auto"/>
        </w:rPr>
        <w:t>The Washington Post Company</w:t>
      </w:r>
    </w:p>
    <w:p>
      <w:pPr>
        <w:spacing w:after="0" w:line="237" w:lineRule="auto"/>
        <w:rPr>
          <w:sz w:val="20"/>
          <w:szCs w:val="20"/>
          <w:color w:val="auto"/>
        </w:rPr>
      </w:pPr>
      <w:r>
        <w:rPr>
          <w:rFonts w:ascii="Verdana" w:cs="Verdana" w:eastAsia="Verdana" w:hAnsi="Verdana"/>
          <w:sz w:val="18"/>
          <w:szCs w:val="18"/>
          <w:color w:val="auto"/>
        </w:rPr>
        <w:t>Condensed Consolidated Statements of Comprehensive Income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00" w:type="dxa"/>
            <w:vAlign w:val="bottom"/>
            <w:gridSpan w:val="11"/>
          </w:tcPr>
          <w:p>
            <w:pPr>
              <w:jc w:val="right"/>
              <w:ind w:right="840"/>
              <w:spacing w:after="0"/>
              <w:rPr>
                <w:sz w:val="20"/>
                <w:szCs w:val="20"/>
                <w:color w:val="auto"/>
              </w:rPr>
            </w:pPr>
            <w:r>
              <w:rPr>
                <w:rFonts w:ascii="Verdana" w:cs="Verdana" w:eastAsia="Verdana" w:hAnsi="Verdana"/>
                <w:sz w:val="18"/>
                <w:szCs w:val="18"/>
                <w:color w:val="auto"/>
              </w:rPr>
              <w:t>Thirteen Weeks Ended</w:t>
            </w:r>
          </w:p>
        </w:tc>
        <w:tc>
          <w:tcPr>
            <w:tcW w:w="0" w:type="dxa"/>
            <w:vAlign w:val="bottom"/>
          </w:tcPr>
          <w:p>
            <w:pPr>
              <w:spacing w:after="0"/>
              <w:rPr>
                <w:sz w:val="1"/>
                <w:szCs w:val="1"/>
                <w:color w:val="auto"/>
              </w:rPr>
            </w:pPr>
          </w:p>
        </w:tc>
      </w:tr>
      <w:tr>
        <w:trPr>
          <w:trHeight w:val="113"/>
        </w:trPr>
        <w:tc>
          <w:tcPr>
            <w:tcW w:w="504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5040" w:type="dxa"/>
            <w:vAlign w:val="bottom"/>
          </w:tcPr>
          <w:p>
            <w:pPr>
              <w:spacing w:after="0"/>
              <w:rPr>
                <w:sz w:val="24"/>
                <w:szCs w:val="24"/>
                <w:color w:val="auto"/>
              </w:rPr>
            </w:pPr>
          </w:p>
        </w:tc>
        <w:tc>
          <w:tcPr>
            <w:tcW w:w="1860" w:type="dxa"/>
            <w:vAlign w:val="bottom"/>
            <w:gridSpan w:val="9"/>
          </w:tcPr>
          <w:p>
            <w:pPr>
              <w:jc w:val="right"/>
              <w:ind w:right="480"/>
              <w:spacing w:after="0"/>
              <w:rPr>
                <w:sz w:val="20"/>
                <w:szCs w:val="20"/>
                <w:color w:val="auto"/>
              </w:rPr>
            </w:pPr>
            <w:r>
              <w:rPr>
                <w:rFonts w:ascii="Verdana" w:cs="Verdana" w:eastAsia="Verdana" w:hAnsi="Verdana"/>
                <w:sz w:val="18"/>
                <w:szCs w:val="18"/>
                <w:color w:val="auto"/>
              </w:rPr>
              <w:t>March 31,</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3"/>
          </w:tcPr>
          <w:p>
            <w:pPr>
              <w:jc w:val="right"/>
              <w:ind w:right="480"/>
              <w:spacing w:after="0"/>
              <w:rPr>
                <w:sz w:val="20"/>
                <w:szCs w:val="20"/>
                <w:color w:val="auto"/>
              </w:rPr>
            </w:pPr>
            <w:r>
              <w:rPr>
                <w:rFonts w:ascii="Verdana" w:cs="Verdana" w:eastAsia="Verdana" w:hAnsi="Verdana"/>
                <w:sz w:val="18"/>
                <w:szCs w:val="18"/>
                <w:color w:val="auto"/>
              </w:rPr>
              <w:t>April 1,</w:t>
            </w:r>
          </w:p>
        </w:tc>
        <w:tc>
          <w:tcPr>
            <w:tcW w:w="0" w:type="dxa"/>
            <w:vAlign w:val="bottom"/>
          </w:tcPr>
          <w:p>
            <w:pPr>
              <w:spacing w:after="0"/>
              <w:rPr>
                <w:sz w:val="1"/>
                <w:szCs w:val="1"/>
                <w:color w:val="auto"/>
              </w:rPr>
            </w:pPr>
          </w:p>
        </w:tc>
      </w:tr>
      <w:tr>
        <w:trPr>
          <w:trHeight w:val="194"/>
        </w:trPr>
        <w:tc>
          <w:tcPr>
            <w:tcW w:w="5040" w:type="dxa"/>
            <w:vAlign w:val="bottom"/>
            <w:vMerge w:val="restart"/>
          </w:tcPr>
          <w:p>
            <w:pPr>
              <w:spacing w:after="0"/>
              <w:rPr>
                <w:sz w:val="20"/>
                <w:szCs w:val="20"/>
                <w:color w:val="auto"/>
              </w:rPr>
            </w:pPr>
            <w:r>
              <w:rPr>
                <w:rFonts w:ascii="Verdana" w:cs="Verdana" w:eastAsia="Verdana" w:hAnsi="Verdana"/>
                <w:sz w:val="18"/>
                <w:szCs w:val="18"/>
                <w:color w:val="auto"/>
              </w:rPr>
              <w:t>(In thousands)</w:t>
            </w:r>
          </w:p>
        </w:tc>
        <w:tc>
          <w:tcPr>
            <w:tcW w:w="1360" w:type="dxa"/>
            <w:vAlign w:val="bottom"/>
            <w:gridSpan w:val="7"/>
          </w:tcPr>
          <w:p>
            <w:pPr>
              <w:jc w:val="right"/>
              <w:spacing w:after="0" w:line="194" w:lineRule="exact"/>
              <w:rPr>
                <w:sz w:val="20"/>
                <w:szCs w:val="20"/>
                <w:color w:val="auto"/>
              </w:rPr>
            </w:pPr>
            <w:r>
              <w:rPr>
                <w:rFonts w:ascii="Verdana" w:cs="Verdana" w:eastAsia="Verdana" w:hAnsi="Verdana"/>
                <w:sz w:val="18"/>
                <w:szCs w:val="18"/>
                <w:color w:val="auto"/>
              </w:rPr>
              <w:t>2002</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gridSpan w:val="6"/>
          </w:tcPr>
          <w:p>
            <w:pPr>
              <w:jc w:val="right"/>
              <w:spacing w:after="0" w:line="194" w:lineRule="exact"/>
              <w:rPr>
                <w:sz w:val="20"/>
                <w:szCs w:val="20"/>
                <w:color w:val="auto"/>
              </w:rPr>
            </w:pPr>
            <w:r>
              <w:rPr>
                <w:rFonts w:ascii="Verdana" w:cs="Verdana" w:eastAsia="Verdana" w:hAnsi="Verdana"/>
                <w:sz w:val="18"/>
                <w:szCs w:val="18"/>
                <w:color w:val="auto"/>
              </w:rPr>
              <w:t>2001</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504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4"/>
        </w:trPr>
        <w:tc>
          <w:tcPr>
            <w:tcW w:w="5040" w:type="dxa"/>
            <w:vAlign w:val="bottom"/>
          </w:tcPr>
          <w:p>
            <w:pPr>
              <w:spacing w:after="0"/>
              <w:rPr>
                <w:sz w:val="20"/>
                <w:szCs w:val="20"/>
                <w:color w:val="auto"/>
              </w:rPr>
            </w:pPr>
            <w:r>
              <w:rPr>
                <w:rFonts w:ascii="Verdana" w:cs="Verdana" w:eastAsia="Verdana" w:hAnsi="Verdana"/>
                <w:sz w:val="18"/>
                <w:szCs w:val="18"/>
                <w:color w:val="auto"/>
              </w:rPr>
              <w:t>Net income</w:t>
            </w:r>
          </w:p>
        </w:tc>
        <w:tc>
          <w:tcPr>
            <w:tcW w:w="1380" w:type="dxa"/>
            <w:vAlign w:val="bottom"/>
            <w:gridSpan w:val="8"/>
          </w:tcPr>
          <w:p>
            <w:pPr>
              <w:jc w:val="right"/>
              <w:spacing w:after="0"/>
              <w:rPr>
                <w:sz w:val="20"/>
                <w:szCs w:val="20"/>
                <w:color w:val="auto"/>
              </w:rPr>
            </w:pPr>
            <w:r>
              <w:rPr>
                <w:rFonts w:ascii="Verdana" w:cs="Verdana" w:eastAsia="Verdana" w:hAnsi="Verdana"/>
                <w:sz w:val="18"/>
                <w:szCs w:val="18"/>
                <w:color w:val="auto"/>
              </w:rPr>
              <w:t>$ 23,706</w:t>
            </w:r>
          </w:p>
        </w:tc>
        <w:tc>
          <w:tcPr>
            <w:tcW w:w="480" w:type="dxa"/>
            <w:vAlign w:val="bottom"/>
          </w:tcPr>
          <w:p>
            <w:pPr>
              <w:spacing w:after="0"/>
              <w:rPr>
                <w:sz w:val="24"/>
                <w:szCs w:val="24"/>
                <w:color w:val="auto"/>
              </w:rPr>
            </w:pPr>
          </w:p>
        </w:tc>
        <w:tc>
          <w:tcPr>
            <w:tcW w:w="1300" w:type="dxa"/>
            <w:vAlign w:val="bottom"/>
            <w:gridSpan w:val="6"/>
          </w:tcPr>
          <w:p>
            <w:pPr>
              <w:jc w:val="right"/>
              <w:spacing w:after="0"/>
              <w:rPr>
                <w:sz w:val="20"/>
                <w:szCs w:val="20"/>
                <w:color w:val="auto"/>
              </w:rPr>
            </w:pPr>
            <w:r>
              <w:rPr>
                <w:rFonts w:ascii="Verdana" w:cs="Verdana" w:eastAsia="Verdana" w:hAnsi="Verdana"/>
                <w:sz w:val="18"/>
                <w:szCs w:val="18"/>
                <w:color w:val="auto"/>
              </w:rPr>
              <w:t>$ 199,053</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040" w:type="dxa"/>
            <w:vAlign w:val="bottom"/>
          </w:tcPr>
          <w:p>
            <w:pPr>
              <w:spacing w:after="0"/>
              <w:rPr>
                <w:sz w:val="20"/>
                <w:szCs w:val="20"/>
                <w:color w:val="auto"/>
              </w:rPr>
            </w:pPr>
            <w:r>
              <w:rPr>
                <w:rFonts w:ascii="Verdana" w:cs="Verdana" w:eastAsia="Verdana" w:hAnsi="Verdana"/>
                <w:sz w:val="18"/>
                <w:szCs w:val="18"/>
                <w:color w:val="auto"/>
              </w:rPr>
              <w:t>Other comprehensive income (loss)</w:t>
            </w: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40"/>
              <w:spacing w:after="0"/>
              <w:rPr>
                <w:sz w:val="20"/>
                <w:szCs w:val="20"/>
                <w:color w:val="auto"/>
              </w:rPr>
            </w:pPr>
            <w:r>
              <w:rPr>
                <w:rFonts w:ascii="Verdana" w:cs="Verdana" w:eastAsia="Verdana" w:hAnsi="Verdana"/>
                <w:sz w:val="18"/>
                <w:szCs w:val="18"/>
                <w:color w:val="auto"/>
              </w:rPr>
              <w:t>Foreign currency translation adjustment</w:t>
            </w:r>
          </w:p>
        </w:tc>
        <w:tc>
          <w:tcPr>
            <w:tcW w:w="1360" w:type="dxa"/>
            <w:vAlign w:val="bottom"/>
            <w:gridSpan w:val="7"/>
          </w:tcPr>
          <w:p>
            <w:pPr>
              <w:jc w:val="right"/>
              <w:spacing w:after="0"/>
              <w:rPr>
                <w:sz w:val="20"/>
                <w:szCs w:val="20"/>
                <w:color w:val="auto"/>
              </w:rPr>
            </w:pPr>
            <w:r>
              <w:rPr>
                <w:rFonts w:ascii="Verdana" w:cs="Verdana" w:eastAsia="Verdana" w:hAnsi="Verdana"/>
                <w:sz w:val="18"/>
                <w:szCs w:val="18"/>
                <w:color w:val="auto"/>
              </w:rPr>
              <w:t>99</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80" w:type="dxa"/>
            <w:vAlign w:val="bottom"/>
            <w:gridSpan w:val="7"/>
          </w:tcPr>
          <w:p>
            <w:pPr>
              <w:jc w:val="right"/>
              <w:ind w:right="400"/>
              <w:spacing w:after="0"/>
              <w:rPr>
                <w:sz w:val="20"/>
                <w:szCs w:val="20"/>
                <w:color w:val="auto"/>
              </w:rPr>
            </w:pPr>
            <w:r>
              <w:rPr>
                <w:rFonts w:ascii="Verdana" w:cs="Verdana" w:eastAsia="Verdana" w:hAnsi="Verdana"/>
                <w:sz w:val="18"/>
                <w:szCs w:val="18"/>
                <w:color w:val="auto"/>
              </w:rPr>
              <w:t>(4,269)</w:t>
            </w:r>
          </w:p>
        </w:tc>
        <w:tc>
          <w:tcPr>
            <w:tcW w:w="0" w:type="dxa"/>
            <w:vAlign w:val="bottom"/>
          </w:tcPr>
          <w:p>
            <w:pPr>
              <w:spacing w:after="0"/>
              <w:rPr>
                <w:sz w:val="1"/>
                <w:szCs w:val="1"/>
                <w:color w:val="auto"/>
              </w:rPr>
            </w:pPr>
          </w:p>
        </w:tc>
      </w:tr>
      <w:tr>
        <w:trPr>
          <w:trHeight w:val="243"/>
        </w:trPr>
        <w:tc>
          <w:tcPr>
            <w:tcW w:w="5040" w:type="dxa"/>
            <w:vAlign w:val="bottom"/>
          </w:tcPr>
          <w:p>
            <w:pPr>
              <w:ind w:left="140"/>
              <w:spacing w:after="0"/>
              <w:rPr>
                <w:sz w:val="20"/>
                <w:szCs w:val="20"/>
                <w:color w:val="auto"/>
              </w:rPr>
            </w:pPr>
            <w:r>
              <w:rPr>
                <w:rFonts w:ascii="Verdana" w:cs="Verdana" w:eastAsia="Verdana" w:hAnsi="Verdana"/>
                <w:sz w:val="18"/>
                <w:szCs w:val="18"/>
                <w:color w:val="auto"/>
              </w:rPr>
              <w:t>Change in unrealized gain on available-for-sale</w:t>
            </w: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60"/>
              <w:spacing w:after="0"/>
              <w:rPr>
                <w:sz w:val="20"/>
                <w:szCs w:val="20"/>
                <w:color w:val="auto"/>
              </w:rPr>
            </w:pPr>
            <w:r>
              <w:rPr>
                <w:rFonts w:ascii="Verdana" w:cs="Verdana" w:eastAsia="Verdana" w:hAnsi="Verdana"/>
                <w:sz w:val="18"/>
                <w:szCs w:val="18"/>
                <w:color w:val="auto"/>
              </w:rPr>
              <w:t>securities</w:t>
            </w:r>
          </w:p>
        </w:tc>
        <w:tc>
          <w:tcPr>
            <w:tcW w:w="1860" w:type="dxa"/>
            <w:vAlign w:val="bottom"/>
            <w:gridSpan w:val="9"/>
          </w:tcPr>
          <w:p>
            <w:pPr>
              <w:jc w:val="right"/>
              <w:ind w:right="420"/>
              <w:spacing w:after="0"/>
              <w:rPr>
                <w:sz w:val="20"/>
                <w:szCs w:val="20"/>
                <w:color w:val="auto"/>
              </w:rPr>
            </w:pPr>
            <w:r>
              <w:rPr>
                <w:rFonts w:ascii="Verdana" w:cs="Verdana" w:eastAsia="Verdana" w:hAnsi="Verdana"/>
                <w:sz w:val="18"/>
                <w:szCs w:val="18"/>
                <w:color w:val="auto"/>
              </w:rPr>
              <w:t>(2,381)</w:t>
            </w:r>
          </w:p>
        </w:tc>
        <w:tc>
          <w:tcPr>
            <w:tcW w:w="1780" w:type="dxa"/>
            <w:vAlign w:val="bottom"/>
            <w:gridSpan w:val="7"/>
          </w:tcPr>
          <w:p>
            <w:pPr>
              <w:jc w:val="right"/>
              <w:ind w:right="400"/>
              <w:spacing w:after="0"/>
              <w:rPr>
                <w:sz w:val="20"/>
                <w:szCs w:val="20"/>
                <w:color w:val="auto"/>
              </w:rPr>
            </w:pPr>
            <w:r>
              <w:rPr>
                <w:rFonts w:ascii="Verdana" w:cs="Verdana" w:eastAsia="Verdana" w:hAnsi="Verdana"/>
                <w:sz w:val="18"/>
                <w:szCs w:val="18"/>
                <w:color w:val="auto"/>
              </w:rPr>
              <w:t>(15,575)</w:t>
            </w:r>
          </w:p>
        </w:tc>
        <w:tc>
          <w:tcPr>
            <w:tcW w:w="0" w:type="dxa"/>
            <w:vAlign w:val="bottom"/>
          </w:tcPr>
          <w:p>
            <w:pPr>
              <w:spacing w:after="0"/>
              <w:rPr>
                <w:sz w:val="1"/>
                <w:szCs w:val="1"/>
                <w:color w:val="auto"/>
              </w:rPr>
            </w:pPr>
          </w:p>
        </w:tc>
      </w:tr>
      <w:tr>
        <w:trPr>
          <w:trHeight w:val="243"/>
        </w:trPr>
        <w:tc>
          <w:tcPr>
            <w:tcW w:w="5040" w:type="dxa"/>
            <w:vAlign w:val="bottom"/>
          </w:tcPr>
          <w:p>
            <w:pPr>
              <w:ind w:left="140"/>
              <w:spacing w:after="0"/>
              <w:rPr>
                <w:sz w:val="20"/>
                <w:szCs w:val="20"/>
                <w:color w:val="auto"/>
              </w:rPr>
            </w:pPr>
            <w:r>
              <w:rPr>
                <w:rFonts w:ascii="Verdana" w:cs="Verdana" w:eastAsia="Verdana" w:hAnsi="Verdana"/>
                <w:sz w:val="18"/>
                <w:szCs w:val="18"/>
                <w:color w:val="auto"/>
              </w:rPr>
              <w:t>Less: reclassification adjustment for realized (gains)</w:t>
            </w: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5040" w:type="dxa"/>
            <w:vAlign w:val="bottom"/>
          </w:tcPr>
          <w:p>
            <w:pPr>
              <w:ind w:left="260"/>
              <w:spacing w:after="0"/>
              <w:rPr>
                <w:sz w:val="20"/>
                <w:szCs w:val="20"/>
                <w:color w:val="auto"/>
              </w:rPr>
            </w:pPr>
            <w:r>
              <w:rPr>
                <w:rFonts w:ascii="Verdana" w:cs="Verdana" w:eastAsia="Verdana" w:hAnsi="Verdana"/>
                <w:sz w:val="18"/>
                <w:szCs w:val="18"/>
                <w:color w:val="auto"/>
              </w:rPr>
              <w:t>losses included in net income</w:t>
            </w:r>
          </w:p>
        </w:tc>
        <w:tc>
          <w:tcPr>
            <w:tcW w:w="540" w:type="dxa"/>
            <w:vAlign w:val="bottom"/>
            <w:gridSpan w:val="2"/>
          </w:tcPr>
          <w:p>
            <w:pPr>
              <w:spacing w:after="0"/>
              <w:rPr>
                <w:sz w:val="19"/>
                <w:szCs w:val="19"/>
                <w:color w:val="auto"/>
              </w:rPr>
            </w:pPr>
          </w:p>
        </w:tc>
        <w:tc>
          <w:tcPr>
            <w:tcW w:w="1320" w:type="dxa"/>
            <w:vAlign w:val="bottom"/>
            <w:gridSpan w:val="7"/>
          </w:tcPr>
          <w:p>
            <w:pPr>
              <w:jc w:val="right"/>
              <w:ind w:right="420"/>
              <w:spacing w:after="0"/>
              <w:rPr>
                <w:sz w:val="20"/>
                <w:szCs w:val="20"/>
                <w:color w:val="auto"/>
              </w:rPr>
            </w:pPr>
            <w:r>
              <w:rPr>
                <w:rFonts w:ascii="Verdana" w:cs="Verdana" w:eastAsia="Verdana" w:hAnsi="Verdana"/>
                <w:sz w:val="18"/>
                <w:szCs w:val="18"/>
                <w:color w:val="auto"/>
              </w:rPr>
              <w:t>(11,209)</w:t>
            </w:r>
          </w:p>
        </w:tc>
        <w:tc>
          <w:tcPr>
            <w:tcW w:w="1300" w:type="dxa"/>
            <w:vAlign w:val="bottom"/>
            <w:gridSpan w:val="6"/>
          </w:tcPr>
          <w:p>
            <w:pPr>
              <w:jc w:val="right"/>
              <w:spacing w:after="0"/>
              <w:rPr>
                <w:sz w:val="20"/>
                <w:szCs w:val="20"/>
                <w:color w:val="auto"/>
              </w:rPr>
            </w:pPr>
            <w:r>
              <w:rPr>
                <w:rFonts w:ascii="Verdana" w:cs="Verdana" w:eastAsia="Verdana" w:hAnsi="Verdana"/>
                <w:sz w:val="18"/>
                <w:szCs w:val="18"/>
                <w:color w:val="auto"/>
              </w:rPr>
              <w:t>3,000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040" w:type="dxa"/>
            <w:vAlign w:val="bottom"/>
          </w:tcPr>
          <w:p>
            <w:pPr>
              <w:spacing w:after="0"/>
              <w:rPr>
                <w:sz w:val="21"/>
                <w:szCs w:val="21"/>
                <w:color w:val="auto"/>
              </w:rPr>
            </w:pPr>
          </w:p>
        </w:tc>
        <w:tc>
          <w:tcPr>
            <w:tcW w:w="540" w:type="dxa"/>
            <w:vAlign w:val="bottom"/>
            <w:gridSpan w:val="2"/>
          </w:tcPr>
          <w:p>
            <w:pPr>
              <w:spacing w:after="0"/>
              <w:rPr>
                <w:sz w:val="21"/>
                <w:szCs w:val="21"/>
                <w:color w:val="auto"/>
              </w:rPr>
            </w:pPr>
          </w:p>
        </w:tc>
        <w:tc>
          <w:tcPr>
            <w:tcW w:w="1320" w:type="dxa"/>
            <w:vAlign w:val="bottom"/>
            <w:gridSpan w:val="7"/>
          </w:tcPr>
          <w:p>
            <w:pPr>
              <w:jc w:val="right"/>
              <w:ind w:right="420"/>
              <w:spacing w:after="0"/>
              <w:rPr>
                <w:sz w:val="20"/>
                <w:szCs w:val="20"/>
                <w:color w:val="auto"/>
              </w:rPr>
            </w:pPr>
            <w:r>
              <w:rPr>
                <w:rFonts w:ascii="Verdana" w:cs="Verdana" w:eastAsia="Verdana" w:hAnsi="Verdana"/>
                <w:sz w:val="18"/>
                <w:szCs w:val="18"/>
                <w:color w:val="auto"/>
              </w:rPr>
              <w:t>(13,491)</w:t>
            </w:r>
          </w:p>
        </w:tc>
        <w:tc>
          <w:tcPr>
            <w:tcW w:w="1780" w:type="dxa"/>
            <w:vAlign w:val="bottom"/>
            <w:gridSpan w:val="7"/>
          </w:tcPr>
          <w:p>
            <w:pPr>
              <w:jc w:val="right"/>
              <w:ind w:right="400"/>
              <w:spacing w:after="0"/>
              <w:rPr>
                <w:sz w:val="20"/>
                <w:szCs w:val="20"/>
                <w:color w:val="auto"/>
              </w:rPr>
            </w:pPr>
            <w:r>
              <w:rPr>
                <w:rFonts w:ascii="Verdana" w:cs="Verdana" w:eastAsia="Verdana" w:hAnsi="Verdana"/>
                <w:sz w:val="18"/>
                <w:szCs w:val="18"/>
                <w:color w:val="auto"/>
              </w:rPr>
              <w:t>(16,844)</w:t>
            </w:r>
          </w:p>
        </w:tc>
        <w:tc>
          <w:tcPr>
            <w:tcW w:w="0" w:type="dxa"/>
            <w:vAlign w:val="bottom"/>
          </w:tcPr>
          <w:p>
            <w:pPr>
              <w:spacing w:after="0"/>
              <w:rPr>
                <w:sz w:val="1"/>
                <w:szCs w:val="1"/>
                <w:color w:val="auto"/>
              </w:rPr>
            </w:pPr>
          </w:p>
        </w:tc>
      </w:tr>
      <w:tr>
        <w:trPr>
          <w:trHeight w:val="243"/>
        </w:trPr>
        <w:tc>
          <w:tcPr>
            <w:tcW w:w="5040" w:type="dxa"/>
            <w:vAlign w:val="bottom"/>
          </w:tcPr>
          <w:p>
            <w:pPr>
              <w:ind w:left="140"/>
              <w:spacing w:after="0"/>
              <w:rPr>
                <w:sz w:val="20"/>
                <w:szCs w:val="20"/>
                <w:color w:val="auto"/>
              </w:rPr>
            </w:pPr>
            <w:r>
              <w:rPr>
                <w:rFonts w:ascii="Verdana" w:cs="Verdana" w:eastAsia="Verdana" w:hAnsi="Verdana"/>
                <w:sz w:val="18"/>
                <w:szCs w:val="18"/>
                <w:color w:val="auto"/>
              </w:rPr>
              <w:t>Income tax benefit related to other</w:t>
            </w: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5040" w:type="dxa"/>
            <w:vAlign w:val="bottom"/>
          </w:tcPr>
          <w:p>
            <w:pPr>
              <w:ind w:left="260"/>
              <w:spacing w:after="0"/>
              <w:rPr>
                <w:sz w:val="20"/>
                <w:szCs w:val="20"/>
                <w:color w:val="auto"/>
              </w:rPr>
            </w:pPr>
            <w:r>
              <w:rPr>
                <w:rFonts w:ascii="Verdana" w:cs="Verdana" w:eastAsia="Verdana" w:hAnsi="Verdana"/>
                <w:sz w:val="18"/>
                <w:szCs w:val="18"/>
                <w:color w:val="auto"/>
              </w:rPr>
              <w:t>comprehensive income</w:t>
            </w:r>
          </w:p>
        </w:tc>
        <w:tc>
          <w:tcPr>
            <w:tcW w:w="740" w:type="dxa"/>
            <w:vAlign w:val="bottom"/>
            <w:gridSpan w:val="5"/>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Verdana" w:cs="Verdana" w:eastAsia="Verdana" w:hAnsi="Verdana"/>
                <w:sz w:val="18"/>
                <w:szCs w:val="18"/>
                <w:color w:val="auto"/>
              </w:rPr>
              <w:t>5,265</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gridSpan w:val="4"/>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Verdana" w:cs="Verdana" w:eastAsia="Verdana" w:hAnsi="Verdana"/>
                <w:sz w:val="18"/>
                <w:szCs w:val="18"/>
                <w:color w:val="auto"/>
              </w:rPr>
              <w:t>4,840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720" w:type="dxa"/>
            <w:vAlign w:val="bottom"/>
            <w:gridSpan w:val="4"/>
          </w:tcPr>
          <w:p>
            <w:pPr>
              <w:spacing w:after="0"/>
              <w:rPr>
                <w:sz w:val="19"/>
                <w:szCs w:val="19"/>
                <w:color w:val="auto"/>
              </w:rPr>
            </w:pPr>
          </w:p>
        </w:tc>
        <w:tc>
          <w:tcPr>
            <w:tcW w:w="1140" w:type="dxa"/>
            <w:vAlign w:val="bottom"/>
            <w:gridSpan w:val="5"/>
          </w:tcPr>
          <w:p>
            <w:pPr>
              <w:jc w:val="right"/>
              <w:ind w:right="420"/>
              <w:spacing w:after="0"/>
              <w:rPr>
                <w:sz w:val="20"/>
                <w:szCs w:val="20"/>
                <w:color w:val="auto"/>
              </w:rPr>
            </w:pPr>
            <w:r>
              <w:rPr>
                <w:rFonts w:ascii="Verdana" w:cs="Verdana" w:eastAsia="Verdana" w:hAnsi="Verdana"/>
                <w:sz w:val="18"/>
                <w:szCs w:val="18"/>
                <w:color w:val="auto"/>
              </w:rPr>
              <w:t>(8,226)</w:t>
            </w:r>
          </w:p>
        </w:tc>
        <w:tc>
          <w:tcPr>
            <w:tcW w:w="1780" w:type="dxa"/>
            <w:vAlign w:val="bottom"/>
            <w:gridSpan w:val="7"/>
          </w:tcPr>
          <w:p>
            <w:pPr>
              <w:jc w:val="right"/>
              <w:ind w:right="400"/>
              <w:spacing w:after="0"/>
              <w:rPr>
                <w:sz w:val="20"/>
                <w:szCs w:val="20"/>
                <w:color w:val="auto"/>
              </w:rPr>
            </w:pPr>
            <w:r>
              <w:rPr>
                <w:rFonts w:ascii="Verdana" w:cs="Verdana" w:eastAsia="Verdana" w:hAnsi="Verdana"/>
                <w:sz w:val="18"/>
                <w:szCs w:val="18"/>
                <w:color w:val="auto"/>
              </w:rPr>
              <w:t>(12,004)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040" w:type="dxa"/>
            <w:vAlign w:val="bottom"/>
          </w:tcPr>
          <w:p>
            <w:pPr>
              <w:spacing w:after="0"/>
              <w:rPr>
                <w:sz w:val="20"/>
                <w:szCs w:val="20"/>
                <w:color w:val="auto"/>
              </w:rPr>
            </w:pPr>
            <w:r>
              <w:rPr>
                <w:rFonts w:ascii="Verdana" w:cs="Verdana" w:eastAsia="Verdana" w:hAnsi="Verdana"/>
                <w:sz w:val="18"/>
                <w:szCs w:val="18"/>
                <w:color w:val="auto"/>
              </w:rPr>
              <w:t>Comprehensive income</w:t>
            </w:r>
          </w:p>
        </w:tc>
        <w:tc>
          <w:tcPr>
            <w:tcW w:w="1380" w:type="dxa"/>
            <w:vAlign w:val="bottom"/>
            <w:gridSpan w:val="8"/>
          </w:tcPr>
          <w:p>
            <w:pPr>
              <w:jc w:val="right"/>
              <w:spacing w:after="0"/>
              <w:rPr>
                <w:sz w:val="20"/>
                <w:szCs w:val="20"/>
                <w:color w:val="auto"/>
              </w:rPr>
            </w:pPr>
            <w:r>
              <w:rPr>
                <w:rFonts w:ascii="Verdana" w:cs="Verdana" w:eastAsia="Verdana" w:hAnsi="Verdana"/>
                <w:sz w:val="18"/>
                <w:szCs w:val="18"/>
                <w:color w:val="auto"/>
              </w:rPr>
              <w:t>$ 15,480</w:t>
            </w:r>
          </w:p>
        </w:tc>
        <w:tc>
          <w:tcPr>
            <w:tcW w:w="480" w:type="dxa"/>
            <w:vAlign w:val="bottom"/>
          </w:tcPr>
          <w:p>
            <w:pPr>
              <w:spacing w:after="0"/>
              <w:rPr>
                <w:sz w:val="21"/>
                <w:szCs w:val="21"/>
                <w:color w:val="auto"/>
              </w:rPr>
            </w:pPr>
          </w:p>
        </w:tc>
        <w:tc>
          <w:tcPr>
            <w:tcW w:w="1300" w:type="dxa"/>
            <w:vAlign w:val="bottom"/>
            <w:gridSpan w:val="6"/>
          </w:tcPr>
          <w:p>
            <w:pPr>
              <w:jc w:val="right"/>
              <w:spacing w:after="0"/>
              <w:rPr>
                <w:sz w:val="20"/>
                <w:szCs w:val="20"/>
                <w:color w:val="auto"/>
              </w:rPr>
            </w:pPr>
            <w:r>
              <w:rPr>
                <w:rFonts w:ascii="Verdana" w:cs="Verdana" w:eastAsia="Verdana" w:hAnsi="Verdana"/>
                <w:sz w:val="18"/>
                <w:szCs w:val="18"/>
                <w:color w:val="auto"/>
              </w:rPr>
              <w:t>$ 187,049</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44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440" w:type="dxa"/>
            <w:vAlign w:val="bottom"/>
            <w:tcBorders>
              <w:bottom w:val="single" w:sz="8" w:color="808080"/>
            </w:tcBorders>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5489575</wp:posOffset>
            </wp:positionH>
            <wp:positionV relativeFrom="paragraph">
              <wp:posOffset>-2612390</wp:posOffset>
            </wp:positionV>
            <wp:extent cx="3429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435610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Verdana" w:cs="Verdana" w:eastAsia="Verdana" w:hAnsi="Verdana"/>
          <w:sz w:val="18"/>
          <w:szCs w:val="18"/>
          <w:color w:val="auto"/>
        </w:rPr>
        <w:t>5.</w:t>
      </w:r>
    </w:p>
    <w:p>
      <w:pPr>
        <w:spacing w:after="0" w:line="213" w:lineRule="exact"/>
        <w:rPr>
          <w:sz w:val="20"/>
          <w:szCs w:val="20"/>
          <w:color w:val="auto"/>
        </w:rPr>
      </w:pPr>
    </w:p>
    <w:p>
      <w:pPr>
        <w:spacing w:after="0"/>
        <w:rPr>
          <w:sz w:val="20"/>
          <w:szCs w:val="20"/>
          <w:color w:val="auto"/>
        </w:rPr>
      </w:pPr>
      <w:r>
        <w:rPr>
          <w:rFonts w:ascii="Verdana" w:cs="Verdana" w:eastAsia="Verdana" w:hAnsi="Verdana"/>
          <w:sz w:val="18"/>
          <w:szCs w:val="18"/>
          <w:color w:val="auto"/>
        </w:rPr>
        <w:t>The Washington Post Company</w:t>
      </w:r>
    </w:p>
    <w:p>
      <w:pPr>
        <w:spacing w:after="0" w:line="237" w:lineRule="auto"/>
        <w:rPr>
          <w:sz w:val="20"/>
          <w:szCs w:val="20"/>
          <w:color w:val="auto"/>
        </w:rPr>
      </w:pPr>
      <w:r>
        <w:rPr>
          <w:rFonts w:ascii="Verdana" w:cs="Verdana" w:eastAsia="Verdana" w:hAnsi="Verdana"/>
          <w:sz w:val="18"/>
          <w:szCs w:val="18"/>
          <w:color w:val="auto"/>
        </w:rPr>
        <w:t>Condensed 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560" w:type="dxa"/>
            <w:vAlign w:val="bottom"/>
          </w:tcPr>
          <w:p>
            <w:pPr>
              <w:spacing w:after="0"/>
              <w:rPr>
                <w:sz w:val="20"/>
                <w:szCs w:val="20"/>
                <w:color w:val="auto"/>
              </w:rPr>
            </w:pPr>
            <w:r>
              <w:rPr>
                <w:rFonts w:ascii="Verdana" w:cs="Verdana" w:eastAsia="Verdana" w:hAnsi="Verdana"/>
                <w:sz w:val="18"/>
                <w:szCs w:val="18"/>
                <w:color w:val="auto"/>
              </w:rPr>
              <w:t>(In thousands)</w:t>
            </w:r>
          </w:p>
        </w:tc>
        <w:tc>
          <w:tcPr>
            <w:tcW w:w="2180" w:type="dxa"/>
            <w:vAlign w:val="bottom"/>
            <w:gridSpan w:val="7"/>
          </w:tcPr>
          <w:p>
            <w:pPr>
              <w:jc w:val="right"/>
              <w:ind w:right="300"/>
              <w:spacing w:after="0"/>
              <w:rPr>
                <w:sz w:val="20"/>
                <w:szCs w:val="20"/>
                <w:color w:val="auto"/>
              </w:rPr>
            </w:pPr>
            <w:r>
              <w:rPr>
                <w:rFonts w:ascii="Verdana" w:cs="Verdana" w:eastAsia="Verdana" w:hAnsi="Verdana"/>
                <w:sz w:val="18"/>
                <w:szCs w:val="18"/>
                <w:color w:val="auto"/>
              </w:rPr>
              <w:t>March 31,2002</w:t>
            </w:r>
          </w:p>
        </w:tc>
        <w:tc>
          <w:tcPr>
            <w:tcW w:w="1560" w:type="dxa"/>
            <w:vAlign w:val="bottom"/>
            <w:gridSpan w:val="5"/>
          </w:tcPr>
          <w:p>
            <w:pPr>
              <w:jc w:val="right"/>
              <w:ind w:right="80"/>
              <w:spacing w:after="0"/>
              <w:rPr>
                <w:sz w:val="20"/>
                <w:szCs w:val="20"/>
                <w:color w:val="auto"/>
              </w:rPr>
            </w:pPr>
            <w:r>
              <w:rPr>
                <w:rFonts w:ascii="Verdana" w:cs="Verdana" w:eastAsia="Verdana" w:hAnsi="Verdana"/>
                <w:sz w:val="18"/>
                <w:szCs w:val="18"/>
                <w:color w:val="auto"/>
              </w:rPr>
              <w:t>December 30,</w:t>
            </w:r>
          </w:p>
        </w:tc>
        <w:tc>
          <w:tcPr>
            <w:tcW w:w="0" w:type="dxa"/>
            <w:vAlign w:val="bottom"/>
          </w:tcPr>
          <w:p>
            <w:pPr>
              <w:spacing w:after="0"/>
              <w:rPr>
                <w:sz w:val="1"/>
                <w:szCs w:val="1"/>
                <w:color w:val="auto"/>
              </w:rPr>
            </w:pPr>
          </w:p>
        </w:tc>
      </w:tr>
      <w:tr>
        <w:trPr>
          <w:trHeight w:val="221"/>
        </w:trPr>
        <w:tc>
          <w:tcPr>
            <w:tcW w:w="4560" w:type="dxa"/>
            <w:vAlign w:val="bottom"/>
          </w:tcPr>
          <w:p>
            <w:pPr>
              <w:spacing w:after="0"/>
              <w:rPr>
                <w:sz w:val="19"/>
                <w:szCs w:val="19"/>
                <w:color w:val="auto"/>
              </w:rPr>
            </w:pPr>
          </w:p>
        </w:tc>
        <w:tc>
          <w:tcPr>
            <w:tcW w:w="2180" w:type="dxa"/>
            <w:vAlign w:val="bottom"/>
            <w:gridSpan w:val="7"/>
          </w:tcPr>
          <w:p>
            <w:pPr>
              <w:jc w:val="right"/>
              <w:ind w:right="300"/>
              <w:spacing w:after="0"/>
              <w:rPr>
                <w:sz w:val="20"/>
                <w:szCs w:val="20"/>
                <w:color w:val="auto"/>
              </w:rPr>
            </w:pPr>
            <w:r>
              <w:rPr>
                <w:rFonts w:ascii="Verdana" w:cs="Verdana" w:eastAsia="Verdana" w:hAnsi="Verdana"/>
                <w:sz w:val="18"/>
                <w:szCs w:val="18"/>
                <w:color w:val="auto"/>
              </w:rPr>
              <w:t>(unaudited)</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Verdana" w:cs="Verdana" w:eastAsia="Verdana" w:hAnsi="Verdana"/>
                <w:sz w:val="18"/>
                <w:szCs w:val="18"/>
                <w:color w:val="auto"/>
              </w:rPr>
              <w:t>2001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560" w:type="dxa"/>
            <w:vAlign w:val="bottom"/>
          </w:tcPr>
          <w:p>
            <w:pPr>
              <w:spacing w:after="0"/>
              <w:rPr>
                <w:sz w:val="20"/>
                <w:szCs w:val="20"/>
                <w:color w:val="auto"/>
              </w:rPr>
            </w:pPr>
            <w:r>
              <w:rPr>
                <w:rFonts w:ascii="Verdana" w:cs="Verdana" w:eastAsia="Verdana" w:hAnsi="Verdana"/>
                <w:sz w:val="18"/>
                <w:szCs w:val="18"/>
                <w:color w:val="auto"/>
              </w:rPr>
              <w:t>Assets</w:t>
            </w:r>
          </w:p>
        </w:tc>
        <w:tc>
          <w:tcPr>
            <w:tcW w:w="84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560" w:type="dxa"/>
            <w:vAlign w:val="bottom"/>
          </w:tcPr>
          <w:p>
            <w:pPr>
              <w:spacing w:after="0"/>
              <w:rPr>
                <w:sz w:val="20"/>
                <w:szCs w:val="20"/>
                <w:color w:val="auto"/>
              </w:rPr>
            </w:pPr>
            <w:r>
              <w:rPr>
                <w:rFonts w:ascii="Verdana" w:cs="Verdana" w:eastAsia="Verdana" w:hAnsi="Verdana"/>
                <w:sz w:val="18"/>
                <w:szCs w:val="18"/>
                <w:color w:val="auto"/>
              </w:rPr>
              <w:t>Current assets</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140"/>
              <w:spacing w:after="0"/>
              <w:rPr>
                <w:sz w:val="20"/>
                <w:szCs w:val="20"/>
                <w:color w:val="auto"/>
              </w:rPr>
            </w:pPr>
            <w:r>
              <w:rPr>
                <w:rFonts w:ascii="Verdana" w:cs="Verdana" w:eastAsia="Verdana" w:hAnsi="Verdana"/>
                <w:sz w:val="18"/>
                <w:szCs w:val="18"/>
                <w:color w:val="auto"/>
              </w:rPr>
              <w:t>Cash and cash equivalents</w:t>
            </w:r>
          </w:p>
        </w:tc>
        <w:tc>
          <w:tcPr>
            <w:tcW w:w="1880" w:type="dxa"/>
            <w:vAlign w:val="bottom"/>
            <w:gridSpan w:val="6"/>
          </w:tcPr>
          <w:p>
            <w:pPr>
              <w:jc w:val="right"/>
              <w:spacing w:after="0"/>
              <w:rPr>
                <w:sz w:val="20"/>
                <w:szCs w:val="20"/>
                <w:color w:val="auto"/>
              </w:rPr>
            </w:pPr>
            <w:r>
              <w:rPr>
                <w:rFonts w:ascii="Verdana" w:cs="Verdana" w:eastAsia="Verdana" w:hAnsi="Verdana"/>
                <w:sz w:val="18"/>
                <w:szCs w:val="18"/>
                <w:color w:val="auto"/>
              </w:rPr>
              <w:t>$ 25,523</w:t>
            </w:r>
          </w:p>
        </w:tc>
        <w:tc>
          <w:tcPr>
            <w:tcW w:w="30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Verdana" w:cs="Verdana" w:eastAsia="Verdana" w:hAnsi="Verdana"/>
                <w:sz w:val="18"/>
                <w:szCs w:val="18"/>
                <w:color w:val="auto"/>
              </w:rPr>
              <w:t>$</w:t>
            </w:r>
          </w:p>
        </w:tc>
        <w:tc>
          <w:tcPr>
            <w:tcW w:w="740" w:type="dxa"/>
            <w:vAlign w:val="bottom"/>
            <w:gridSpan w:val="2"/>
          </w:tcPr>
          <w:p>
            <w:pPr>
              <w:jc w:val="right"/>
              <w:spacing w:after="0"/>
              <w:rPr>
                <w:sz w:val="20"/>
                <w:szCs w:val="20"/>
                <w:color w:val="auto"/>
              </w:rPr>
            </w:pPr>
            <w:r>
              <w:rPr>
                <w:rFonts w:ascii="Verdana" w:cs="Verdana" w:eastAsia="Verdana" w:hAnsi="Verdana"/>
                <w:sz w:val="18"/>
                <w:szCs w:val="18"/>
                <w:color w:val="auto"/>
              </w:rPr>
              <w:t>31,480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140"/>
              <w:spacing w:after="0"/>
              <w:rPr>
                <w:sz w:val="20"/>
                <w:szCs w:val="20"/>
                <w:color w:val="auto"/>
              </w:rPr>
            </w:pPr>
            <w:r>
              <w:rPr>
                <w:rFonts w:ascii="Verdana" w:cs="Verdana" w:eastAsia="Verdana" w:hAnsi="Verdana"/>
                <w:sz w:val="18"/>
                <w:szCs w:val="18"/>
                <w:color w:val="auto"/>
              </w:rPr>
              <w:t>Investments in marketable equity securities</w:t>
            </w:r>
          </w:p>
        </w:tc>
        <w:tc>
          <w:tcPr>
            <w:tcW w:w="1880" w:type="dxa"/>
            <w:vAlign w:val="bottom"/>
            <w:gridSpan w:val="6"/>
          </w:tcPr>
          <w:p>
            <w:pPr>
              <w:jc w:val="right"/>
              <w:spacing w:after="0"/>
              <w:rPr>
                <w:sz w:val="20"/>
                <w:szCs w:val="20"/>
                <w:color w:val="auto"/>
              </w:rPr>
            </w:pPr>
            <w:r>
              <w:rPr>
                <w:rFonts w:ascii="Verdana" w:cs="Verdana" w:eastAsia="Verdana" w:hAnsi="Verdana"/>
                <w:sz w:val="18"/>
                <w:szCs w:val="18"/>
                <w:color w:val="auto"/>
              </w:rPr>
              <w:t>2,723</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Verdana" w:cs="Verdana" w:eastAsia="Verdana" w:hAnsi="Verdana"/>
                <w:sz w:val="18"/>
                <w:szCs w:val="18"/>
                <w:color w:val="auto"/>
              </w:rPr>
              <w:t>16,366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140"/>
              <w:spacing w:after="0"/>
              <w:rPr>
                <w:sz w:val="20"/>
                <w:szCs w:val="20"/>
                <w:color w:val="auto"/>
              </w:rPr>
            </w:pPr>
            <w:r>
              <w:rPr>
                <w:rFonts w:ascii="Verdana" w:cs="Verdana" w:eastAsia="Verdana" w:hAnsi="Verdana"/>
                <w:sz w:val="18"/>
                <w:szCs w:val="18"/>
                <w:color w:val="auto"/>
              </w:rPr>
              <w:t>Accounts receivable, net</w:t>
            </w:r>
          </w:p>
        </w:tc>
        <w:tc>
          <w:tcPr>
            <w:tcW w:w="1880" w:type="dxa"/>
            <w:vAlign w:val="bottom"/>
            <w:gridSpan w:val="6"/>
          </w:tcPr>
          <w:p>
            <w:pPr>
              <w:jc w:val="right"/>
              <w:spacing w:after="0"/>
              <w:rPr>
                <w:sz w:val="20"/>
                <w:szCs w:val="20"/>
                <w:color w:val="auto"/>
              </w:rPr>
            </w:pPr>
            <w:r>
              <w:rPr>
                <w:rFonts w:ascii="Verdana" w:cs="Verdana" w:eastAsia="Verdana" w:hAnsi="Verdana"/>
                <w:sz w:val="18"/>
                <w:szCs w:val="18"/>
                <w:color w:val="auto"/>
              </w:rPr>
              <w:t>246,970</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Verdana" w:cs="Verdana" w:eastAsia="Verdana" w:hAnsi="Verdana"/>
                <w:sz w:val="18"/>
                <w:szCs w:val="18"/>
                <w:color w:val="auto"/>
                <w:w w:val="95"/>
              </w:rPr>
              <w:t>279,328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140"/>
              <w:spacing w:after="0"/>
              <w:rPr>
                <w:sz w:val="20"/>
                <w:szCs w:val="20"/>
                <w:color w:val="auto"/>
              </w:rPr>
            </w:pPr>
            <w:r>
              <w:rPr>
                <w:rFonts w:ascii="Verdana" w:cs="Verdana" w:eastAsia="Verdana" w:hAnsi="Verdana"/>
                <w:sz w:val="18"/>
                <w:szCs w:val="18"/>
                <w:color w:val="auto"/>
              </w:rPr>
              <w:t>Federal and state income taxes receivable</w:t>
            </w:r>
          </w:p>
        </w:tc>
        <w:tc>
          <w:tcPr>
            <w:tcW w:w="1880" w:type="dxa"/>
            <w:vAlign w:val="bottom"/>
            <w:gridSpan w:val="6"/>
          </w:tcPr>
          <w:p>
            <w:pPr>
              <w:jc w:val="right"/>
              <w:spacing w:after="0"/>
              <w:rPr>
                <w:sz w:val="20"/>
                <w:szCs w:val="20"/>
                <w:color w:val="auto"/>
              </w:rPr>
            </w:pPr>
            <w:r>
              <w:rPr>
                <w:rFonts w:ascii="Verdana" w:cs="Verdana" w:eastAsia="Verdana" w:hAnsi="Verdana"/>
                <w:sz w:val="18"/>
                <w:szCs w:val="18"/>
                <w:color w:val="auto"/>
              </w:rPr>
              <w:t>-</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Verdana" w:cs="Verdana" w:eastAsia="Verdana" w:hAnsi="Verdana"/>
                <w:sz w:val="18"/>
                <w:szCs w:val="18"/>
                <w:color w:val="auto"/>
              </w:rPr>
              <w:t>10,253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140"/>
              <w:spacing w:after="0"/>
              <w:rPr>
                <w:sz w:val="20"/>
                <w:szCs w:val="20"/>
                <w:color w:val="auto"/>
              </w:rPr>
            </w:pPr>
            <w:r>
              <w:rPr>
                <w:rFonts w:ascii="Verdana" w:cs="Verdana" w:eastAsia="Verdana" w:hAnsi="Verdana"/>
                <w:sz w:val="18"/>
                <w:szCs w:val="18"/>
                <w:color w:val="auto"/>
              </w:rPr>
              <w:t>Inventories</w:t>
            </w:r>
          </w:p>
        </w:tc>
        <w:tc>
          <w:tcPr>
            <w:tcW w:w="1880" w:type="dxa"/>
            <w:vAlign w:val="bottom"/>
            <w:gridSpan w:val="6"/>
          </w:tcPr>
          <w:p>
            <w:pPr>
              <w:jc w:val="right"/>
              <w:spacing w:after="0"/>
              <w:rPr>
                <w:sz w:val="20"/>
                <w:szCs w:val="20"/>
                <w:color w:val="auto"/>
              </w:rPr>
            </w:pPr>
            <w:r>
              <w:rPr>
                <w:rFonts w:ascii="Verdana" w:cs="Verdana" w:eastAsia="Verdana" w:hAnsi="Verdana"/>
                <w:sz w:val="18"/>
                <w:szCs w:val="18"/>
                <w:color w:val="auto"/>
              </w:rPr>
              <w:t>21,106</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Verdana" w:cs="Verdana" w:eastAsia="Verdana" w:hAnsi="Verdana"/>
                <w:sz w:val="18"/>
                <w:szCs w:val="18"/>
                <w:color w:val="auto"/>
              </w:rPr>
              <w:t>19,042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4560" w:type="dxa"/>
            <w:vAlign w:val="bottom"/>
          </w:tcPr>
          <w:p>
            <w:pPr>
              <w:ind w:left="140"/>
              <w:spacing w:after="0"/>
              <w:rPr>
                <w:sz w:val="20"/>
                <w:szCs w:val="20"/>
                <w:color w:val="auto"/>
              </w:rPr>
            </w:pPr>
            <w:r>
              <w:rPr>
                <w:rFonts w:ascii="Verdana" w:cs="Verdana" w:eastAsia="Verdana" w:hAnsi="Verdana"/>
                <w:sz w:val="18"/>
                <w:szCs w:val="18"/>
                <w:color w:val="auto"/>
              </w:rPr>
              <w:t>Other current assets</w:t>
            </w:r>
          </w:p>
        </w:tc>
        <w:tc>
          <w:tcPr>
            <w:tcW w:w="1140" w:type="dxa"/>
            <w:vAlign w:val="bottom"/>
            <w:gridSpan w:val="5"/>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36,748</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Verdana" w:cs="Verdana" w:eastAsia="Verdana" w:hAnsi="Verdana"/>
                <w:sz w:val="18"/>
                <w:szCs w:val="18"/>
                <w:color w:val="auto"/>
              </w:rPr>
              <w:t>40,388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560" w:type="dxa"/>
            <w:vAlign w:val="bottom"/>
          </w:tcPr>
          <w:p>
            <w:pPr>
              <w:spacing w:after="0"/>
              <w:rPr>
                <w:sz w:val="21"/>
                <w:szCs w:val="21"/>
                <w:color w:val="auto"/>
              </w:rPr>
            </w:pPr>
          </w:p>
        </w:tc>
        <w:tc>
          <w:tcPr>
            <w:tcW w:w="1880" w:type="dxa"/>
            <w:vAlign w:val="bottom"/>
            <w:gridSpan w:val="6"/>
          </w:tcPr>
          <w:p>
            <w:pPr>
              <w:jc w:val="right"/>
              <w:spacing w:after="0"/>
              <w:rPr>
                <w:sz w:val="20"/>
                <w:szCs w:val="20"/>
                <w:color w:val="auto"/>
              </w:rPr>
            </w:pPr>
            <w:r>
              <w:rPr>
                <w:rFonts w:ascii="Verdana" w:cs="Verdana" w:eastAsia="Verdana" w:hAnsi="Verdana"/>
                <w:sz w:val="18"/>
                <w:szCs w:val="18"/>
                <w:color w:val="auto"/>
              </w:rPr>
              <w:t>333,070</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Verdana" w:cs="Verdana" w:eastAsia="Verdana" w:hAnsi="Verdana"/>
                <w:sz w:val="18"/>
                <w:szCs w:val="18"/>
                <w:color w:val="auto"/>
                <w:w w:val="95"/>
              </w:rPr>
              <w:t>396,857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560" w:type="dxa"/>
            <w:vAlign w:val="bottom"/>
          </w:tcPr>
          <w:p>
            <w:pPr>
              <w:spacing w:after="0"/>
              <w:rPr>
                <w:sz w:val="20"/>
                <w:szCs w:val="20"/>
                <w:color w:val="auto"/>
              </w:rPr>
            </w:pPr>
            <w:r>
              <w:rPr>
                <w:rFonts w:ascii="Verdana" w:cs="Verdana" w:eastAsia="Verdana" w:hAnsi="Verdana"/>
                <w:sz w:val="18"/>
                <w:szCs w:val="18"/>
                <w:color w:val="auto"/>
              </w:rPr>
              <w:t>Property, plant and equipment</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140"/>
              <w:spacing w:after="0"/>
              <w:rPr>
                <w:sz w:val="20"/>
                <w:szCs w:val="20"/>
                <w:color w:val="auto"/>
              </w:rPr>
            </w:pPr>
            <w:r>
              <w:rPr>
                <w:rFonts w:ascii="Verdana" w:cs="Verdana" w:eastAsia="Verdana" w:hAnsi="Verdana"/>
                <w:sz w:val="18"/>
                <w:szCs w:val="18"/>
                <w:color w:val="auto"/>
              </w:rPr>
              <w:t>Buildings</w:t>
            </w:r>
          </w:p>
        </w:tc>
        <w:tc>
          <w:tcPr>
            <w:tcW w:w="1880" w:type="dxa"/>
            <w:vAlign w:val="bottom"/>
            <w:gridSpan w:val="6"/>
          </w:tcPr>
          <w:p>
            <w:pPr>
              <w:jc w:val="right"/>
              <w:spacing w:after="0"/>
              <w:rPr>
                <w:sz w:val="20"/>
                <w:szCs w:val="20"/>
                <w:color w:val="auto"/>
              </w:rPr>
            </w:pPr>
            <w:r>
              <w:rPr>
                <w:rFonts w:ascii="Verdana" w:cs="Verdana" w:eastAsia="Verdana" w:hAnsi="Verdana"/>
                <w:sz w:val="18"/>
                <w:szCs w:val="18"/>
                <w:color w:val="auto"/>
              </w:rPr>
              <w:t>268,294</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Verdana" w:cs="Verdana" w:eastAsia="Verdana" w:hAnsi="Verdana"/>
                <w:sz w:val="18"/>
                <w:szCs w:val="18"/>
                <w:color w:val="auto"/>
                <w:w w:val="95"/>
              </w:rPr>
              <w:t>267,658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140"/>
              <w:spacing w:after="0"/>
              <w:rPr>
                <w:sz w:val="20"/>
                <w:szCs w:val="20"/>
                <w:color w:val="auto"/>
              </w:rPr>
            </w:pPr>
            <w:r>
              <w:rPr>
                <w:rFonts w:ascii="Verdana" w:cs="Verdana" w:eastAsia="Verdana" w:hAnsi="Verdana"/>
                <w:sz w:val="18"/>
                <w:szCs w:val="18"/>
                <w:color w:val="auto"/>
              </w:rPr>
              <w:t>Machinery, equipment and fixtures</w:t>
            </w:r>
          </w:p>
        </w:tc>
        <w:tc>
          <w:tcPr>
            <w:tcW w:w="1880" w:type="dxa"/>
            <w:vAlign w:val="bottom"/>
            <w:gridSpan w:val="6"/>
          </w:tcPr>
          <w:p>
            <w:pPr>
              <w:jc w:val="right"/>
              <w:spacing w:after="0"/>
              <w:rPr>
                <w:sz w:val="20"/>
                <w:szCs w:val="20"/>
                <w:color w:val="auto"/>
              </w:rPr>
            </w:pPr>
            <w:r>
              <w:rPr>
                <w:rFonts w:ascii="Verdana" w:cs="Verdana" w:eastAsia="Verdana" w:hAnsi="Verdana"/>
                <w:sz w:val="18"/>
                <w:szCs w:val="18"/>
                <w:color w:val="auto"/>
              </w:rPr>
              <w:t>1,507,767</w:t>
            </w:r>
          </w:p>
        </w:tc>
        <w:tc>
          <w:tcPr>
            <w:tcW w:w="300" w:type="dxa"/>
            <w:vAlign w:val="bottom"/>
          </w:tcPr>
          <w:p>
            <w:pPr>
              <w:spacing w:after="0"/>
              <w:rPr>
                <w:sz w:val="21"/>
                <w:szCs w:val="21"/>
                <w:color w:val="auto"/>
              </w:rPr>
            </w:pPr>
          </w:p>
        </w:tc>
        <w:tc>
          <w:tcPr>
            <w:tcW w:w="1480" w:type="dxa"/>
            <w:vAlign w:val="bottom"/>
            <w:gridSpan w:val="4"/>
          </w:tcPr>
          <w:p>
            <w:pPr>
              <w:jc w:val="right"/>
              <w:spacing w:after="0"/>
              <w:rPr>
                <w:sz w:val="20"/>
                <w:szCs w:val="20"/>
                <w:color w:val="auto"/>
              </w:rPr>
            </w:pPr>
            <w:r>
              <w:rPr>
                <w:rFonts w:ascii="Verdana" w:cs="Verdana" w:eastAsia="Verdana" w:hAnsi="Verdana"/>
                <w:sz w:val="18"/>
                <w:szCs w:val="18"/>
                <w:color w:val="auto"/>
              </w:rPr>
              <w:t>1,422,228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4560" w:type="dxa"/>
            <w:vAlign w:val="bottom"/>
          </w:tcPr>
          <w:p>
            <w:pPr>
              <w:ind w:left="140"/>
              <w:spacing w:after="0"/>
              <w:rPr>
                <w:sz w:val="20"/>
                <w:szCs w:val="20"/>
                <w:color w:val="auto"/>
              </w:rPr>
            </w:pPr>
            <w:r>
              <w:rPr>
                <w:rFonts w:ascii="Verdana" w:cs="Verdana" w:eastAsia="Verdana" w:hAnsi="Verdana"/>
                <w:sz w:val="18"/>
                <w:szCs w:val="18"/>
                <w:color w:val="auto"/>
              </w:rPr>
              <w:t>Leasehold improvements</w:t>
            </w:r>
          </w:p>
        </w:tc>
        <w:tc>
          <w:tcPr>
            <w:tcW w:w="1060" w:type="dxa"/>
            <w:vAlign w:val="bottom"/>
            <w:gridSpan w:val="4"/>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Verdana" w:cs="Verdana" w:eastAsia="Verdana" w:hAnsi="Verdana"/>
                <w:sz w:val="18"/>
                <w:szCs w:val="18"/>
                <w:color w:val="auto"/>
              </w:rPr>
              <w:t>80,267</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Verdana" w:cs="Verdana" w:eastAsia="Verdana" w:hAnsi="Verdana"/>
                <w:sz w:val="18"/>
                <w:szCs w:val="18"/>
                <w:color w:val="auto"/>
              </w:rPr>
              <w:t>79,108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560" w:type="dxa"/>
            <w:vAlign w:val="bottom"/>
          </w:tcPr>
          <w:p>
            <w:pPr>
              <w:spacing w:after="0"/>
              <w:rPr>
                <w:sz w:val="21"/>
                <w:szCs w:val="21"/>
                <w:color w:val="auto"/>
              </w:rPr>
            </w:pPr>
          </w:p>
        </w:tc>
        <w:tc>
          <w:tcPr>
            <w:tcW w:w="1880" w:type="dxa"/>
            <w:vAlign w:val="bottom"/>
            <w:gridSpan w:val="6"/>
          </w:tcPr>
          <w:p>
            <w:pPr>
              <w:jc w:val="right"/>
              <w:spacing w:after="0"/>
              <w:rPr>
                <w:sz w:val="20"/>
                <w:szCs w:val="20"/>
                <w:color w:val="auto"/>
              </w:rPr>
            </w:pPr>
            <w:r>
              <w:rPr>
                <w:rFonts w:ascii="Verdana" w:cs="Verdana" w:eastAsia="Verdana" w:hAnsi="Verdana"/>
                <w:sz w:val="18"/>
                <w:szCs w:val="18"/>
                <w:color w:val="auto"/>
              </w:rPr>
              <w:t>1,856,328</w:t>
            </w:r>
          </w:p>
        </w:tc>
        <w:tc>
          <w:tcPr>
            <w:tcW w:w="300" w:type="dxa"/>
            <w:vAlign w:val="bottom"/>
          </w:tcPr>
          <w:p>
            <w:pPr>
              <w:spacing w:after="0"/>
              <w:rPr>
                <w:sz w:val="21"/>
                <w:szCs w:val="21"/>
                <w:color w:val="auto"/>
              </w:rPr>
            </w:pPr>
          </w:p>
        </w:tc>
        <w:tc>
          <w:tcPr>
            <w:tcW w:w="1480" w:type="dxa"/>
            <w:vAlign w:val="bottom"/>
            <w:gridSpan w:val="4"/>
          </w:tcPr>
          <w:p>
            <w:pPr>
              <w:jc w:val="right"/>
              <w:spacing w:after="0"/>
              <w:rPr>
                <w:sz w:val="20"/>
                <w:szCs w:val="20"/>
                <w:color w:val="auto"/>
              </w:rPr>
            </w:pPr>
            <w:r>
              <w:rPr>
                <w:rFonts w:ascii="Verdana" w:cs="Verdana" w:eastAsia="Verdana" w:hAnsi="Verdana"/>
                <w:sz w:val="18"/>
                <w:szCs w:val="18"/>
                <w:color w:val="auto"/>
              </w:rPr>
              <w:t>1,768,994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4560" w:type="dxa"/>
            <w:vAlign w:val="bottom"/>
          </w:tcPr>
          <w:p>
            <w:pPr>
              <w:ind w:left="140"/>
              <w:spacing w:after="0"/>
              <w:rPr>
                <w:sz w:val="20"/>
                <w:szCs w:val="20"/>
                <w:color w:val="auto"/>
              </w:rPr>
            </w:pPr>
            <w:r>
              <w:rPr>
                <w:rFonts w:ascii="Verdana" w:cs="Verdana" w:eastAsia="Verdana" w:hAnsi="Verdana"/>
                <w:sz w:val="18"/>
                <w:szCs w:val="18"/>
                <w:color w:val="auto"/>
              </w:rPr>
              <w:t>Less accumulated depreciation</w:t>
            </w:r>
          </w:p>
        </w:tc>
        <w:tc>
          <w:tcPr>
            <w:tcW w:w="1000" w:type="dxa"/>
            <w:vAlign w:val="bottom"/>
            <w:gridSpan w:val="3"/>
          </w:tcPr>
          <w:p>
            <w:pPr>
              <w:spacing w:after="0"/>
              <w:rPr>
                <w:sz w:val="19"/>
                <w:szCs w:val="19"/>
                <w:color w:val="auto"/>
              </w:rPr>
            </w:pPr>
          </w:p>
        </w:tc>
        <w:tc>
          <w:tcPr>
            <w:tcW w:w="1180" w:type="dxa"/>
            <w:vAlign w:val="bottom"/>
            <w:gridSpan w:val="4"/>
          </w:tcPr>
          <w:p>
            <w:pPr>
              <w:jc w:val="right"/>
              <w:ind w:right="220"/>
              <w:spacing w:after="0"/>
              <w:rPr>
                <w:sz w:val="20"/>
                <w:szCs w:val="20"/>
                <w:color w:val="auto"/>
              </w:rPr>
            </w:pPr>
            <w:r>
              <w:rPr>
                <w:rFonts w:ascii="Verdana" w:cs="Verdana" w:eastAsia="Verdana" w:hAnsi="Verdana"/>
                <w:sz w:val="18"/>
                <w:szCs w:val="18"/>
                <w:color w:val="auto"/>
              </w:rPr>
              <w:t>(852,490)</w:t>
            </w:r>
          </w:p>
        </w:tc>
        <w:tc>
          <w:tcPr>
            <w:tcW w:w="1560" w:type="dxa"/>
            <w:vAlign w:val="bottom"/>
            <w:gridSpan w:val="5"/>
          </w:tcPr>
          <w:p>
            <w:pPr>
              <w:jc w:val="right"/>
              <w:spacing w:after="0"/>
              <w:rPr>
                <w:sz w:val="20"/>
                <w:szCs w:val="20"/>
                <w:color w:val="auto"/>
              </w:rPr>
            </w:pPr>
            <w:r>
              <w:rPr>
                <w:rFonts w:ascii="Verdana" w:cs="Verdana" w:eastAsia="Verdana" w:hAnsi="Verdana"/>
                <w:sz w:val="18"/>
                <w:szCs w:val="18"/>
                <w:color w:val="auto"/>
              </w:rPr>
              <w:t>(794,596)</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560" w:type="dxa"/>
            <w:vAlign w:val="bottom"/>
          </w:tcPr>
          <w:p>
            <w:pPr>
              <w:spacing w:after="0"/>
              <w:rPr>
                <w:sz w:val="19"/>
                <w:szCs w:val="19"/>
                <w:color w:val="auto"/>
              </w:rPr>
            </w:pPr>
          </w:p>
        </w:tc>
        <w:tc>
          <w:tcPr>
            <w:tcW w:w="1880" w:type="dxa"/>
            <w:vAlign w:val="bottom"/>
            <w:gridSpan w:val="6"/>
          </w:tcPr>
          <w:p>
            <w:pPr>
              <w:jc w:val="right"/>
              <w:spacing w:after="0"/>
              <w:rPr>
                <w:sz w:val="20"/>
                <w:szCs w:val="20"/>
                <w:color w:val="auto"/>
              </w:rPr>
            </w:pPr>
            <w:r>
              <w:rPr>
                <w:rFonts w:ascii="Verdana" w:cs="Verdana" w:eastAsia="Verdana" w:hAnsi="Verdana"/>
                <w:sz w:val="18"/>
                <w:szCs w:val="18"/>
                <w:color w:val="auto"/>
              </w:rPr>
              <w:t>1,003,838</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Verdana" w:cs="Verdana" w:eastAsia="Verdana" w:hAnsi="Verdana"/>
                <w:sz w:val="18"/>
                <w:szCs w:val="18"/>
                <w:color w:val="auto"/>
                <w:w w:val="95"/>
              </w:rPr>
              <w:t>974,398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140"/>
              <w:spacing w:after="0"/>
              <w:rPr>
                <w:sz w:val="20"/>
                <w:szCs w:val="20"/>
                <w:color w:val="auto"/>
              </w:rPr>
            </w:pPr>
            <w:r>
              <w:rPr>
                <w:rFonts w:ascii="Verdana" w:cs="Verdana" w:eastAsia="Verdana" w:hAnsi="Verdana"/>
                <w:sz w:val="18"/>
                <w:szCs w:val="18"/>
                <w:color w:val="auto"/>
              </w:rPr>
              <w:t>Land</w:t>
            </w:r>
          </w:p>
        </w:tc>
        <w:tc>
          <w:tcPr>
            <w:tcW w:w="1880" w:type="dxa"/>
            <w:vAlign w:val="bottom"/>
            <w:gridSpan w:val="6"/>
          </w:tcPr>
          <w:p>
            <w:pPr>
              <w:jc w:val="right"/>
              <w:spacing w:after="0"/>
              <w:rPr>
                <w:sz w:val="20"/>
                <w:szCs w:val="20"/>
                <w:color w:val="auto"/>
              </w:rPr>
            </w:pPr>
            <w:r>
              <w:rPr>
                <w:rFonts w:ascii="Verdana" w:cs="Verdana" w:eastAsia="Verdana" w:hAnsi="Verdana"/>
                <w:sz w:val="18"/>
                <w:szCs w:val="18"/>
                <w:color w:val="auto"/>
              </w:rPr>
              <w:t>34,733</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Verdana" w:cs="Verdana" w:eastAsia="Verdana" w:hAnsi="Verdana"/>
                <w:sz w:val="18"/>
                <w:szCs w:val="18"/>
                <w:color w:val="auto"/>
              </w:rPr>
              <w:t>34,733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4560" w:type="dxa"/>
            <w:vAlign w:val="bottom"/>
          </w:tcPr>
          <w:p>
            <w:pPr>
              <w:ind w:left="140"/>
              <w:spacing w:after="0"/>
              <w:rPr>
                <w:sz w:val="20"/>
                <w:szCs w:val="20"/>
                <w:color w:val="auto"/>
              </w:rPr>
            </w:pPr>
            <w:r>
              <w:rPr>
                <w:rFonts w:ascii="Verdana" w:cs="Verdana" w:eastAsia="Verdana" w:hAnsi="Verdana"/>
                <w:sz w:val="18"/>
                <w:szCs w:val="18"/>
                <w:color w:val="auto"/>
              </w:rPr>
              <w:t>Construction in progress</w:t>
            </w:r>
          </w:p>
        </w:tc>
        <w:tc>
          <w:tcPr>
            <w:tcW w:w="1140" w:type="dxa"/>
            <w:vAlign w:val="bottom"/>
            <w:gridSpan w:val="5"/>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74,385</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Verdana" w:cs="Verdana" w:eastAsia="Verdana" w:hAnsi="Verdana"/>
                <w:sz w:val="18"/>
                <w:szCs w:val="18"/>
                <w:color w:val="auto"/>
              </w:rPr>
              <w:t>89,080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560" w:type="dxa"/>
            <w:vAlign w:val="bottom"/>
          </w:tcPr>
          <w:p>
            <w:pPr>
              <w:spacing w:after="0"/>
              <w:rPr>
                <w:sz w:val="21"/>
                <w:szCs w:val="21"/>
                <w:color w:val="auto"/>
              </w:rPr>
            </w:pPr>
          </w:p>
        </w:tc>
        <w:tc>
          <w:tcPr>
            <w:tcW w:w="1880" w:type="dxa"/>
            <w:vAlign w:val="bottom"/>
            <w:gridSpan w:val="6"/>
          </w:tcPr>
          <w:p>
            <w:pPr>
              <w:jc w:val="right"/>
              <w:spacing w:after="0"/>
              <w:rPr>
                <w:sz w:val="20"/>
                <w:szCs w:val="20"/>
                <w:color w:val="auto"/>
              </w:rPr>
            </w:pPr>
            <w:r>
              <w:rPr>
                <w:rFonts w:ascii="Verdana" w:cs="Verdana" w:eastAsia="Verdana" w:hAnsi="Verdana"/>
                <w:sz w:val="18"/>
                <w:szCs w:val="18"/>
                <w:color w:val="auto"/>
              </w:rPr>
              <w:t>1,112,956</w:t>
            </w:r>
          </w:p>
        </w:tc>
        <w:tc>
          <w:tcPr>
            <w:tcW w:w="300" w:type="dxa"/>
            <w:vAlign w:val="bottom"/>
          </w:tcPr>
          <w:p>
            <w:pPr>
              <w:spacing w:after="0"/>
              <w:rPr>
                <w:sz w:val="21"/>
                <w:szCs w:val="21"/>
                <w:color w:val="auto"/>
              </w:rPr>
            </w:pPr>
          </w:p>
        </w:tc>
        <w:tc>
          <w:tcPr>
            <w:tcW w:w="1480" w:type="dxa"/>
            <w:vAlign w:val="bottom"/>
            <w:gridSpan w:val="4"/>
          </w:tcPr>
          <w:p>
            <w:pPr>
              <w:jc w:val="right"/>
              <w:spacing w:after="0"/>
              <w:rPr>
                <w:sz w:val="20"/>
                <w:szCs w:val="20"/>
                <w:color w:val="auto"/>
              </w:rPr>
            </w:pPr>
            <w:r>
              <w:rPr>
                <w:rFonts w:ascii="Verdana" w:cs="Verdana" w:eastAsia="Verdana" w:hAnsi="Verdana"/>
                <w:sz w:val="18"/>
                <w:szCs w:val="18"/>
                <w:color w:val="auto"/>
              </w:rPr>
              <w:t>1,098,211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560" w:type="dxa"/>
            <w:vAlign w:val="bottom"/>
          </w:tcPr>
          <w:p>
            <w:pPr>
              <w:spacing w:after="0"/>
              <w:rPr>
                <w:sz w:val="20"/>
                <w:szCs w:val="20"/>
                <w:color w:val="auto"/>
              </w:rPr>
            </w:pPr>
            <w:r>
              <w:rPr>
                <w:rFonts w:ascii="Verdana" w:cs="Verdana" w:eastAsia="Verdana" w:hAnsi="Verdana"/>
                <w:sz w:val="18"/>
                <w:szCs w:val="18"/>
                <w:color w:val="auto"/>
              </w:rPr>
              <w:t>Investments in marketable equity securities</w:t>
            </w:r>
          </w:p>
        </w:tc>
        <w:tc>
          <w:tcPr>
            <w:tcW w:w="1880" w:type="dxa"/>
            <w:vAlign w:val="bottom"/>
            <w:gridSpan w:val="6"/>
          </w:tcPr>
          <w:p>
            <w:pPr>
              <w:jc w:val="right"/>
              <w:spacing w:after="0"/>
              <w:rPr>
                <w:sz w:val="20"/>
                <w:szCs w:val="20"/>
                <w:color w:val="auto"/>
              </w:rPr>
            </w:pPr>
            <w:r>
              <w:rPr>
                <w:rFonts w:ascii="Verdana" w:cs="Verdana" w:eastAsia="Verdana" w:hAnsi="Verdana"/>
                <w:sz w:val="18"/>
                <w:szCs w:val="18"/>
                <w:color w:val="auto"/>
              </w:rPr>
              <w:t>210,600</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Verdana" w:cs="Verdana" w:eastAsia="Verdana" w:hAnsi="Verdana"/>
                <w:sz w:val="18"/>
                <w:szCs w:val="18"/>
                <w:color w:val="auto"/>
                <w:w w:val="95"/>
              </w:rPr>
              <w:t>219,039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Verdana" w:cs="Verdana" w:eastAsia="Verdana" w:hAnsi="Verdana"/>
                <w:sz w:val="18"/>
                <w:szCs w:val="18"/>
                <w:color w:val="auto"/>
              </w:rPr>
              <w:t>Investments in affiliates</w:t>
            </w:r>
          </w:p>
        </w:tc>
        <w:tc>
          <w:tcPr>
            <w:tcW w:w="1880" w:type="dxa"/>
            <w:vAlign w:val="bottom"/>
            <w:gridSpan w:val="6"/>
          </w:tcPr>
          <w:p>
            <w:pPr>
              <w:jc w:val="right"/>
              <w:spacing w:after="0"/>
              <w:rPr>
                <w:sz w:val="20"/>
                <w:szCs w:val="20"/>
                <w:color w:val="auto"/>
              </w:rPr>
            </w:pPr>
            <w:r>
              <w:rPr>
                <w:rFonts w:ascii="Verdana" w:cs="Verdana" w:eastAsia="Verdana" w:hAnsi="Verdana"/>
                <w:sz w:val="18"/>
                <w:szCs w:val="18"/>
                <w:color w:val="auto"/>
              </w:rPr>
              <w:t>82,125</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Verdana" w:cs="Verdana" w:eastAsia="Verdana" w:hAnsi="Verdana"/>
                <w:sz w:val="18"/>
                <w:szCs w:val="18"/>
                <w:color w:val="auto"/>
              </w:rPr>
              <w:t>80,936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Verdana" w:cs="Verdana" w:eastAsia="Verdana" w:hAnsi="Verdana"/>
                <w:sz w:val="18"/>
                <w:szCs w:val="18"/>
                <w:color w:val="auto"/>
              </w:rPr>
              <w:t>Goodwill, net</w:t>
            </w:r>
          </w:p>
        </w:tc>
        <w:tc>
          <w:tcPr>
            <w:tcW w:w="1880" w:type="dxa"/>
            <w:vAlign w:val="bottom"/>
            <w:gridSpan w:val="6"/>
          </w:tcPr>
          <w:p>
            <w:pPr>
              <w:jc w:val="right"/>
              <w:spacing w:after="0"/>
              <w:rPr>
                <w:sz w:val="20"/>
                <w:szCs w:val="20"/>
                <w:color w:val="auto"/>
              </w:rPr>
            </w:pPr>
            <w:r>
              <w:rPr>
                <w:rFonts w:ascii="Verdana" w:cs="Verdana" w:eastAsia="Verdana" w:hAnsi="Verdana"/>
                <w:sz w:val="18"/>
                <w:szCs w:val="18"/>
                <w:color w:val="auto"/>
              </w:rPr>
              <w:t>777,424</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Verdana" w:cs="Verdana" w:eastAsia="Verdana" w:hAnsi="Verdana"/>
                <w:sz w:val="18"/>
                <w:szCs w:val="18"/>
                <w:color w:val="auto"/>
                <w:w w:val="95"/>
              </w:rPr>
              <w:t>754,554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Verdana" w:cs="Verdana" w:eastAsia="Verdana" w:hAnsi="Verdana"/>
                <w:sz w:val="18"/>
                <w:szCs w:val="18"/>
                <w:color w:val="auto"/>
              </w:rPr>
              <w:t>Indefinite lived intangible assets, net</w:t>
            </w:r>
          </w:p>
        </w:tc>
        <w:tc>
          <w:tcPr>
            <w:tcW w:w="1880" w:type="dxa"/>
            <w:vAlign w:val="bottom"/>
            <w:gridSpan w:val="6"/>
          </w:tcPr>
          <w:p>
            <w:pPr>
              <w:jc w:val="right"/>
              <w:spacing w:after="0"/>
              <w:rPr>
                <w:sz w:val="20"/>
                <w:szCs w:val="20"/>
                <w:color w:val="auto"/>
              </w:rPr>
            </w:pPr>
            <w:r>
              <w:rPr>
                <w:rFonts w:ascii="Verdana" w:cs="Verdana" w:eastAsia="Verdana" w:hAnsi="Verdana"/>
                <w:sz w:val="18"/>
                <w:szCs w:val="18"/>
                <w:color w:val="auto"/>
              </w:rPr>
              <w:t>453,306</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Verdana" w:cs="Verdana" w:eastAsia="Verdana" w:hAnsi="Verdana"/>
                <w:sz w:val="18"/>
                <w:szCs w:val="18"/>
                <w:color w:val="auto"/>
                <w:w w:val="95"/>
              </w:rPr>
              <w:t>450,759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Verdana" w:cs="Verdana" w:eastAsia="Verdana" w:hAnsi="Verdana"/>
                <w:sz w:val="18"/>
                <w:szCs w:val="18"/>
                <w:color w:val="auto"/>
              </w:rPr>
              <w:t>Other intangible assets, net</w:t>
            </w:r>
          </w:p>
        </w:tc>
        <w:tc>
          <w:tcPr>
            <w:tcW w:w="1880" w:type="dxa"/>
            <w:vAlign w:val="bottom"/>
            <w:gridSpan w:val="6"/>
          </w:tcPr>
          <w:p>
            <w:pPr>
              <w:jc w:val="right"/>
              <w:spacing w:after="0"/>
              <w:rPr>
                <w:sz w:val="20"/>
                <w:szCs w:val="20"/>
                <w:color w:val="auto"/>
              </w:rPr>
            </w:pPr>
            <w:r>
              <w:rPr>
                <w:rFonts w:ascii="Verdana" w:cs="Verdana" w:eastAsia="Verdana" w:hAnsi="Verdana"/>
                <w:sz w:val="18"/>
                <w:szCs w:val="18"/>
                <w:color w:val="auto"/>
              </w:rPr>
              <w:t>2,226</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Verdana" w:cs="Verdana" w:eastAsia="Verdana" w:hAnsi="Verdana"/>
                <w:sz w:val="18"/>
                <w:szCs w:val="18"/>
                <w:color w:val="auto"/>
              </w:rPr>
              <w:t>1,448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Verdana" w:cs="Verdana" w:eastAsia="Verdana" w:hAnsi="Verdana"/>
                <w:sz w:val="18"/>
                <w:szCs w:val="18"/>
                <w:color w:val="auto"/>
              </w:rPr>
              <w:t>Prepaid pension cost</w:t>
            </w:r>
          </w:p>
        </w:tc>
        <w:tc>
          <w:tcPr>
            <w:tcW w:w="1880" w:type="dxa"/>
            <w:vAlign w:val="bottom"/>
            <w:gridSpan w:val="6"/>
          </w:tcPr>
          <w:p>
            <w:pPr>
              <w:jc w:val="right"/>
              <w:spacing w:after="0"/>
              <w:rPr>
                <w:sz w:val="20"/>
                <w:szCs w:val="20"/>
                <w:color w:val="auto"/>
              </w:rPr>
            </w:pPr>
            <w:r>
              <w:rPr>
                <w:rFonts w:ascii="Verdana" w:cs="Verdana" w:eastAsia="Verdana" w:hAnsi="Verdana"/>
                <w:sz w:val="18"/>
                <w:szCs w:val="18"/>
                <w:color w:val="auto"/>
              </w:rPr>
              <w:t>453,456</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Verdana" w:cs="Verdana" w:eastAsia="Verdana" w:hAnsi="Verdana"/>
                <w:sz w:val="18"/>
                <w:szCs w:val="18"/>
                <w:color w:val="auto"/>
                <w:w w:val="95"/>
              </w:rPr>
              <w:t>447,688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4560" w:type="dxa"/>
            <w:vAlign w:val="bottom"/>
          </w:tcPr>
          <w:p>
            <w:pPr>
              <w:spacing w:after="0"/>
              <w:rPr>
                <w:sz w:val="20"/>
                <w:szCs w:val="20"/>
                <w:color w:val="auto"/>
              </w:rPr>
            </w:pPr>
            <w:r>
              <w:rPr>
                <w:rFonts w:ascii="Verdana" w:cs="Verdana" w:eastAsia="Verdana" w:hAnsi="Verdana"/>
                <w:sz w:val="18"/>
                <w:szCs w:val="18"/>
                <w:color w:val="auto"/>
              </w:rPr>
              <w:t>Deferred charges and other assets</w:t>
            </w:r>
          </w:p>
        </w:tc>
        <w:tc>
          <w:tcPr>
            <w:tcW w:w="1060" w:type="dxa"/>
            <w:vAlign w:val="bottom"/>
            <w:gridSpan w:val="4"/>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Verdana" w:cs="Verdana" w:eastAsia="Verdana" w:hAnsi="Verdana"/>
                <w:sz w:val="18"/>
                <w:szCs w:val="18"/>
                <w:color w:val="auto"/>
              </w:rPr>
              <w:t>83,178</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Verdana" w:cs="Verdana" w:eastAsia="Verdana" w:hAnsi="Verdana"/>
                <w:sz w:val="18"/>
                <w:szCs w:val="18"/>
                <w:color w:val="auto"/>
                <w:w w:val="95"/>
              </w:rPr>
              <w:t>109,606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560" w:type="dxa"/>
            <w:vAlign w:val="bottom"/>
          </w:tcPr>
          <w:p>
            <w:pPr>
              <w:spacing w:after="0"/>
              <w:rPr>
                <w:sz w:val="21"/>
                <w:szCs w:val="21"/>
                <w:color w:val="auto"/>
              </w:rPr>
            </w:pPr>
          </w:p>
        </w:tc>
        <w:tc>
          <w:tcPr>
            <w:tcW w:w="1880" w:type="dxa"/>
            <w:vAlign w:val="bottom"/>
            <w:gridSpan w:val="6"/>
          </w:tcPr>
          <w:p>
            <w:pPr>
              <w:jc w:val="right"/>
              <w:spacing w:after="0"/>
              <w:rPr>
                <w:sz w:val="20"/>
                <w:szCs w:val="20"/>
                <w:color w:val="auto"/>
              </w:rPr>
            </w:pPr>
            <w:r>
              <w:rPr>
                <w:rFonts w:ascii="Verdana" w:cs="Verdana" w:eastAsia="Verdana" w:hAnsi="Verdana"/>
                <w:sz w:val="18"/>
                <w:szCs w:val="18"/>
                <w:color w:val="auto"/>
              </w:rPr>
              <w:t>$3,508,341</w:t>
            </w:r>
          </w:p>
        </w:tc>
        <w:tc>
          <w:tcPr>
            <w:tcW w:w="300" w:type="dxa"/>
            <w:vAlign w:val="bottom"/>
          </w:tcPr>
          <w:p>
            <w:pPr>
              <w:spacing w:after="0"/>
              <w:rPr>
                <w:sz w:val="21"/>
                <w:szCs w:val="21"/>
                <w:color w:val="auto"/>
              </w:rPr>
            </w:pPr>
          </w:p>
        </w:tc>
        <w:tc>
          <w:tcPr>
            <w:tcW w:w="1480" w:type="dxa"/>
            <w:vAlign w:val="bottom"/>
            <w:gridSpan w:val="4"/>
          </w:tcPr>
          <w:p>
            <w:pPr>
              <w:jc w:val="right"/>
              <w:spacing w:after="0"/>
              <w:rPr>
                <w:sz w:val="20"/>
                <w:szCs w:val="20"/>
                <w:color w:val="auto"/>
              </w:rPr>
            </w:pPr>
            <w:r>
              <w:rPr>
                <w:rFonts w:ascii="Verdana" w:cs="Verdana" w:eastAsia="Verdana" w:hAnsi="Verdana"/>
                <w:sz w:val="18"/>
                <w:szCs w:val="18"/>
                <w:color w:val="auto"/>
              </w:rPr>
              <w:t>$3,559,098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60" w:type="dxa"/>
            <w:vAlign w:val="bottom"/>
            <w:vMerge w:val="restart"/>
          </w:tcPr>
          <w:p>
            <w:pPr>
              <w:spacing w:after="0"/>
              <w:rPr>
                <w:sz w:val="20"/>
                <w:szCs w:val="20"/>
                <w:color w:val="auto"/>
              </w:rPr>
            </w:pPr>
            <w:r>
              <w:rPr>
                <w:rFonts w:ascii="Verdana" w:cs="Verdana" w:eastAsia="Verdana" w:hAnsi="Verdana"/>
                <w:sz w:val="18"/>
                <w:szCs w:val="18"/>
                <w:color w:val="auto"/>
              </w:rPr>
              <w:t>Liabilities and Shareholders' Equity</w:t>
            </w: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700" w:type="dxa"/>
            <w:vAlign w:val="bottom"/>
            <w:tcBorders>
              <w:bottom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9"/>
        </w:trPr>
        <w:tc>
          <w:tcPr>
            <w:tcW w:w="45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560" w:type="dxa"/>
            <w:vAlign w:val="bottom"/>
          </w:tcPr>
          <w:p>
            <w:pPr>
              <w:spacing w:after="0"/>
              <w:rPr>
                <w:sz w:val="20"/>
                <w:szCs w:val="20"/>
                <w:color w:val="auto"/>
              </w:rPr>
            </w:pPr>
            <w:r>
              <w:rPr>
                <w:rFonts w:ascii="Verdana" w:cs="Verdana" w:eastAsia="Verdana" w:hAnsi="Verdana"/>
                <w:sz w:val="18"/>
                <w:szCs w:val="18"/>
                <w:color w:val="auto"/>
              </w:rPr>
              <w:t>Current liabilities</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140"/>
              <w:spacing w:after="0"/>
              <w:rPr>
                <w:sz w:val="20"/>
                <w:szCs w:val="20"/>
                <w:color w:val="auto"/>
              </w:rPr>
            </w:pPr>
            <w:r>
              <w:rPr>
                <w:rFonts w:ascii="Verdana" w:cs="Verdana" w:eastAsia="Verdana" w:hAnsi="Verdana"/>
                <w:sz w:val="18"/>
                <w:szCs w:val="18"/>
                <w:color w:val="auto"/>
              </w:rPr>
              <w:t>Accounts payable and accrued liabilities</w:t>
            </w:r>
          </w:p>
        </w:tc>
        <w:tc>
          <w:tcPr>
            <w:tcW w:w="1880" w:type="dxa"/>
            <w:vAlign w:val="bottom"/>
            <w:gridSpan w:val="6"/>
          </w:tcPr>
          <w:p>
            <w:pPr>
              <w:jc w:val="right"/>
              <w:spacing w:after="0"/>
              <w:rPr>
                <w:sz w:val="20"/>
                <w:szCs w:val="20"/>
                <w:color w:val="auto"/>
              </w:rPr>
            </w:pPr>
            <w:r>
              <w:rPr>
                <w:rFonts w:ascii="Verdana" w:cs="Verdana" w:eastAsia="Verdana" w:hAnsi="Verdana"/>
                <w:sz w:val="18"/>
                <w:szCs w:val="18"/>
                <w:color w:val="auto"/>
              </w:rPr>
              <w:t>$ 318,377</w:t>
            </w:r>
          </w:p>
        </w:tc>
        <w:tc>
          <w:tcPr>
            <w:tcW w:w="30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w:t>
            </w:r>
          </w:p>
        </w:tc>
        <w:tc>
          <w:tcPr>
            <w:tcW w:w="740" w:type="dxa"/>
            <w:vAlign w:val="bottom"/>
            <w:gridSpan w:val="2"/>
          </w:tcPr>
          <w:p>
            <w:pPr>
              <w:jc w:val="right"/>
              <w:spacing w:after="0"/>
              <w:rPr>
                <w:sz w:val="20"/>
                <w:szCs w:val="20"/>
                <w:color w:val="auto"/>
              </w:rPr>
            </w:pPr>
            <w:r>
              <w:rPr>
                <w:rFonts w:ascii="Verdana" w:cs="Verdana" w:eastAsia="Verdana" w:hAnsi="Verdana"/>
                <w:sz w:val="18"/>
                <w:szCs w:val="18"/>
                <w:color w:val="auto"/>
                <w:w w:val="95"/>
              </w:rPr>
              <w:t>298,565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140"/>
              <w:spacing w:after="0"/>
              <w:rPr>
                <w:sz w:val="20"/>
                <w:szCs w:val="20"/>
                <w:color w:val="auto"/>
              </w:rPr>
            </w:pPr>
            <w:r>
              <w:rPr>
                <w:rFonts w:ascii="Verdana" w:cs="Verdana" w:eastAsia="Verdana" w:hAnsi="Verdana"/>
                <w:sz w:val="18"/>
                <w:szCs w:val="18"/>
                <w:color w:val="auto"/>
              </w:rPr>
              <w:t>Deferred subscription revenue</w:t>
            </w:r>
          </w:p>
        </w:tc>
        <w:tc>
          <w:tcPr>
            <w:tcW w:w="1880" w:type="dxa"/>
            <w:vAlign w:val="bottom"/>
            <w:gridSpan w:val="6"/>
          </w:tcPr>
          <w:p>
            <w:pPr>
              <w:jc w:val="right"/>
              <w:spacing w:after="0"/>
              <w:rPr>
                <w:sz w:val="20"/>
                <w:szCs w:val="20"/>
                <w:color w:val="auto"/>
              </w:rPr>
            </w:pPr>
            <w:r>
              <w:rPr>
                <w:rFonts w:ascii="Verdana" w:cs="Verdana" w:eastAsia="Verdana" w:hAnsi="Verdana"/>
                <w:sz w:val="18"/>
                <w:szCs w:val="18"/>
                <w:color w:val="auto"/>
              </w:rPr>
              <w:t>83,649</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Verdana" w:cs="Verdana" w:eastAsia="Verdana" w:hAnsi="Verdana"/>
                <w:sz w:val="18"/>
                <w:szCs w:val="18"/>
                <w:color w:val="auto"/>
              </w:rPr>
              <w:t>85,525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-1002030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-1002030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-1002030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-1002030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360"/>
          </w:cols>
          <w:pgMar w:left="240" w:top="132" w:right="29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9"/>
        </w:trPr>
        <w:tc>
          <w:tcPr>
            <w:tcW w:w="5120" w:type="dxa"/>
            <w:vAlign w:val="bottom"/>
          </w:tcPr>
          <w:p>
            <w:pPr>
              <w:ind w:left="140"/>
              <w:spacing w:after="0"/>
              <w:rPr>
                <w:sz w:val="20"/>
                <w:szCs w:val="20"/>
                <w:color w:val="auto"/>
              </w:rPr>
            </w:pPr>
            <w:r>
              <w:rPr>
                <w:rFonts w:ascii="Verdana" w:cs="Verdana" w:eastAsia="Verdana" w:hAnsi="Verdana"/>
                <w:sz w:val="18"/>
                <w:szCs w:val="18"/>
                <w:color w:val="auto"/>
              </w:rPr>
              <w:t>Dividends declared</w:t>
            </w:r>
          </w:p>
        </w:tc>
        <w:tc>
          <w:tcPr>
            <w:tcW w:w="1320" w:type="dxa"/>
            <w:vAlign w:val="bottom"/>
            <w:gridSpan w:val="6"/>
          </w:tcPr>
          <w:p>
            <w:pPr>
              <w:jc w:val="right"/>
              <w:spacing w:after="0"/>
              <w:rPr>
                <w:sz w:val="20"/>
                <w:szCs w:val="20"/>
                <w:color w:val="auto"/>
              </w:rPr>
            </w:pPr>
            <w:r>
              <w:rPr>
                <w:rFonts w:ascii="Verdana" w:cs="Verdana" w:eastAsia="Verdana" w:hAnsi="Verdana"/>
                <w:sz w:val="18"/>
                <w:szCs w:val="18"/>
                <w:color w:val="auto"/>
              </w:rPr>
              <w:t>13,550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3"/>
          </w:tcPr>
          <w:p>
            <w:pPr>
              <w:jc w:val="right"/>
              <w:ind w:right="80"/>
              <w:spacing w:after="0"/>
              <w:rPr>
                <w:sz w:val="20"/>
                <w:szCs w:val="20"/>
                <w:color w:val="auto"/>
              </w:rPr>
            </w:pPr>
            <w:r>
              <w:rPr>
                <w:rFonts w:ascii="Verdana" w:cs="Verdana" w:eastAsia="Verdana" w:hAnsi="Verdana"/>
                <w:sz w:val="18"/>
                <w:szCs w:val="18"/>
                <w:color w:val="auto"/>
              </w:rPr>
              <w:t>–</w:t>
            </w:r>
          </w:p>
        </w:tc>
      </w:tr>
      <w:tr>
        <w:trPr>
          <w:trHeight w:val="243"/>
        </w:trPr>
        <w:tc>
          <w:tcPr>
            <w:tcW w:w="5120" w:type="dxa"/>
            <w:vAlign w:val="bottom"/>
          </w:tcPr>
          <w:p>
            <w:pPr>
              <w:ind w:left="140"/>
              <w:spacing w:after="0"/>
              <w:rPr>
                <w:sz w:val="20"/>
                <w:szCs w:val="20"/>
                <w:color w:val="auto"/>
              </w:rPr>
            </w:pPr>
            <w:r>
              <w:rPr>
                <w:rFonts w:ascii="Verdana" w:cs="Verdana" w:eastAsia="Verdana" w:hAnsi="Verdana"/>
                <w:sz w:val="18"/>
                <w:szCs w:val="18"/>
                <w:color w:val="auto"/>
              </w:rPr>
              <w:t>Federal and state income taxes payable</w:t>
            </w:r>
          </w:p>
        </w:tc>
        <w:tc>
          <w:tcPr>
            <w:tcW w:w="1320" w:type="dxa"/>
            <w:vAlign w:val="bottom"/>
            <w:gridSpan w:val="6"/>
          </w:tcPr>
          <w:p>
            <w:pPr>
              <w:jc w:val="right"/>
              <w:spacing w:after="0"/>
              <w:rPr>
                <w:sz w:val="20"/>
                <w:szCs w:val="20"/>
                <w:color w:val="auto"/>
              </w:rPr>
            </w:pPr>
            <w:r>
              <w:rPr>
                <w:rFonts w:ascii="Verdana" w:cs="Verdana" w:eastAsia="Verdana" w:hAnsi="Verdana"/>
                <w:sz w:val="18"/>
                <w:szCs w:val="18"/>
                <w:color w:val="auto"/>
              </w:rPr>
              <w:t>578</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gridSpan w:val="3"/>
          </w:tcPr>
          <w:p>
            <w:pPr>
              <w:jc w:val="right"/>
              <w:ind w:right="80"/>
              <w:spacing w:after="0"/>
              <w:rPr>
                <w:sz w:val="20"/>
                <w:szCs w:val="20"/>
                <w:color w:val="auto"/>
              </w:rPr>
            </w:pPr>
            <w:r>
              <w:rPr>
                <w:rFonts w:ascii="Verdana" w:cs="Verdana" w:eastAsia="Verdana" w:hAnsi="Verdana"/>
                <w:sz w:val="18"/>
                <w:szCs w:val="18"/>
                <w:color w:val="auto"/>
              </w:rPr>
              <w:t>–</w:t>
            </w:r>
          </w:p>
        </w:tc>
      </w:tr>
      <w:tr>
        <w:trPr>
          <w:trHeight w:val="221"/>
        </w:trPr>
        <w:tc>
          <w:tcPr>
            <w:tcW w:w="5120" w:type="dxa"/>
            <w:vAlign w:val="bottom"/>
          </w:tcPr>
          <w:p>
            <w:pPr>
              <w:ind w:left="140"/>
              <w:spacing w:after="0"/>
              <w:rPr>
                <w:sz w:val="20"/>
                <w:szCs w:val="20"/>
                <w:color w:val="auto"/>
              </w:rPr>
            </w:pPr>
            <w:r>
              <w:rPr>
                <w:rFonts w:ascii="Verdana" w:cs="Verdana" w:eastAsia="Verdana" w:hAnsi="Verdana"/>
                <w:sz w:val="18"/>
                <w:szCs w:val="18"/>
                <w:color w:val="auto"/>
              </w:rPr>
              <w:t>Short-term borrowings</w:t>
            </w:r>
          </w:p>
        </w:tc>
        <w:tc>
          <w:tcPr>
            <w:tcW w:w="460" w:type="dxa"/>
            <w:vAlign w:val="bottom"/>
            <w:gridSpan w:val="3"/>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8"/>
                <w:szCs w:val="18"/>
                <w:color w:val="auto"/>
              </w:rPr>
              <w:t>464,811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gridSpan w:val="5"/>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Verdana" w:cs="Verdana" w:eastAsia="Verdana" w:hAnsi="Verdana"/>
                <w:sz w:val="18"/>
                <w:szCs w:val="18"/>
                <w:color w:val="auto"/>
              </w:rPr>
              <w:t>50,000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6"/>
        </w:trPr>
        <w:tc>
          <w:tcPr>
            <w:tcW w:w="5120" w:type="dxa"/>
            <w:vAlign w:val="bottom"/>
          </w:tcPr>
          <w:p>
            <w:pPr>
              <w:spacing w:after="0"/>
              <w:rPr>
                <w:sz w:val="21"/>
                <w:szCs w:val="21"/>
                <w:color w:val="auto"/>
              </w:rPr>
            </w:pPr>
          </w:p>
        </w:tc>
        <w:tc>
          <w:tcPr>
            <w:tcW w:w="1320" w:type="dxa"/>
            <w:vAlign w:val="bottom"/>
            <w:gridSpan w:val="6"/>
          </w:tcPr>
          <w:p>
            <w:pPr>
              <w:jc w:val="right"/>
              <w:spacing w:after="0"/>
              <w:rPr>
                <w:sz w:val="20"/>
                <w:szCs w:val="20"/>
                <w:color w:val="auto"/>
              </w:rPr>
            </w:pPr>
            <w:r>
              <w:rPr>
                <w:rFonts w:ascii="Verdana" w:cs="Verdana" w:eastAsia="Verdana" w:hAnsi="Verdana"/>
                <w:sz w:val="18"/>
                <w:szCs w:val="18"/>
                <w:color w:val="auto"/>
              </w:rPr>
              <w:t>880,965</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gridSpan w:val="8"/>
          </w:tcPr>
          <w:p>
            <w:pPr>
              <w:jc w:val="right"/>
              <w:ind w:right="20"/>
              <w:spacing w:after="0"/>
              <w:rPr>
                <w:sz w:val="20"/>
                <w:szCs w:val="20"/>
                <w:color w:val="auto"/>
              </w:rPr>
            </w:pPr>
            <w:r>
              <w:rPr>
                <w:rFonts w:ascii="Verdana" w:cs="Verdana" w:eastAsia="Verdana" w:hAnsi="Verdana"/>
                <w:sz w:val="18"/>
                <w:szCs w:val="18"/>
                <w:color w:val="auto"/>
              </w:rPr>
              <w:t>434,090</w:t>
            </w:r>
          </w:p>
        </w:tc>
        <w:tc>
          <w:tcPr>
            <w:tcW w:w="60" w:type="dxa"/>
            <w:vAlign w:val="bottom"/>
          </w:tcPr>
          <w:p>
            <w:pPr>
              <w:spacing w:after="0"/>
              <w:rPr>
                <w:sz w:val="21"/>
                <w:szCs w:val="21"/>
                <w:color w:val="auto"/>
              </w:rPr>
            </w:pPr>
          </w:p>
        </w:tc>
      </w:tr>
      <w:tr>
        <w:trPr>
          <w:trHeight w:val="486"/>
        </w:trPr>
        <w:tc>
          <w:tcPr>
            <w:tcW w:w="5120" w:type="dxa"/>
            <w:vAlign w:val="bottom"/>
          </w:tcPr>
          <w:p>
            <w:pPr>
              <w:spacing w:after="0"/>
              <w:rPr>
                <w:sz w:val="20"/>
                <w:szCs w:val="20"/>
                <w:color w:val="auto"/>
              </w:rPr>
            </w:pPr>
            <w:r>
              <w:rPr>
                <w:rFonts w:ascii="Verdana" w:cs="Verdana" w:eastAsia="Verdana" w:hAnsi="Verdana"/>
                <w:sz w:val="18"/>
                <w:szCs w:val="18"/>
                <w:color w:val="auto"/>
              </w:rPr>
              <w:t>Postretirement benefits other than pensions</w:t>
            </w:r>
          </w:p>
        </w:tc>
        <w:tc>
          <w:tcPr>
            <w:tcW w:w="1320" w:type="dxa"/>
            <w:vAlign w:val="bottom"/>
            <w:gridSpan w:val="6"/>
          </w:tcPr>
          <w:p>
            <w:pPr>
              <w:jc w:val="right"/>
              <w:spacing w:after="0"/>
              <w:rPr>
                <w:sz w:val="20"/>
                <w:szCs w:val="20"/>
                <w:color w:val="auto"/>
              </w:rPr>
            </w:pPr>
            <w:r>
              <w:rPr>
                <w:rFonts w:ascii="Verdana" w:cs="Verdana" w:eastAsia="Verdana" w:hAnsi="Verdana"/>
                <w:sz w:val="18"/>
                <w:szCs w:val="18"/>
                <w:color w:val="auto"/>
              </w:rPr>
              <w:t>131,862</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gridSpan w:val="8"/>
          </w:tcPr>
          <w:p>
            <w:pPr>
              <w:jc w:val="right"/>
              <w:ind w:right="20"/>
              <w:spacing w:after="0"/>
              <w:rPr>
                <w:sz w:val="20"/>
                <w:szCs w:val="20"/>
                <w:color w:val="auto"/>
              </w:rPr>
            </w:pPr>
            <w:r>
              <w:rPr>
                <w:rFonts w:ascii="Verdana" w:cs="Verdana" w:eastAsia="Verdana" w:hAnsi="Verdana"/>
                <w:sz w:val="18"/>
                <w:szCs w:val="18"/>
                <w:color w:val="auto"/>
              </w:rPr>
              <w:t>130,824</w:t>
            </w:r>
          </w:p>
        </w:tc>
        <w:tc>
          <w:tcPr>
            <w:tcW w:w="60" w:type="dxa"/>
            <w:vAlign w:val="bottom"/>
          </w:tcPr>
          <w:p>
            <w:pPr>
              <w:spacing w:after="0"/>
              <w:rPr>
                <w:sz w:val="24"/>
                <w:szCs w:val="24"/>
                <w:color w:val="auto"/>
              </w:rPr>
            </w:pPr>
          </w:p>
        </w:tc>
      </w:tr>
      <w:tr>
        <w:trPr>
          <w:trHeight w:val="243"/>
        </w:trPr>
        <w:tc>
          <w:tcPr>
            <w:tcW w:w="5120" w:type="dxa"/>
            <w:vAlign w:val="bottom"/>
          </w:tcPr>
          <w:p>
            <w:pPr>
              <w:spacing w:after="0"/>
              <w:rPr>
                <w:sz w:val="20"/>
                <w:szCs w:val="20"/>
                <w:color w:val="auto"/>
              </w:rPr>
            </w:pPr>
            <w:r>
              <w:rPr>
                <w:rFonts w:ascii="Verdana" w:cs="Verdana" w:eastAsia="Verdana" w:hAnsi="Verdana"/>
                <w:sz w:val="18"/>
                <w:szCs w:val="18"/>
                <w:color w:val="auto"/>
              </w:rPr>
              <w:t>Other liabilities</w:t>
            </w:r>
          </w:p>
        </w:tc>
        <w:tc>
          <w:tcPr>
            <w:tcW w:w="1320" w:type="dxa"/>
            <w:vAlign w:val="bottom"/>
            <w:gridSpan w:val="6"/>
          </w:tcPr>
          <w:p>
            <w:pPr>
              <w:jc w:val="right"/>
              <w:spacing w:after="0"/>
              <w:rPr>
                <w:sz w:val="20"/>
                <w:szCs w:val="20"/>
                <w:color w:val="auto"/>
              </w:rPr>
            </w:pPr>
            <w:r>
              <w:rPr>
                <w:rFonts w:ascii="Verdana" w:cs="Verdana" w:eastAsia="Verdana" w:hAnsi="Verdana"/>
                <w:sz w:val="18"/>
                <w:szCs w:val="18"/>
                <w:color w:val="auto"/>
              </w:rPr>
              <w:t>184,356</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gridSpan w:val="8"/>
          </w:tcPr>
          <w:p>
            <w:pPr>
              <w:jc w:val="right"/>
              <w:ind w:right="20"/>
              <w:spacing w:after="0"/>
              <w:rPr>
                <w:sz w:val="20"/>
                <w:szCs w:val="20"/>
                <w:color w:val="auto"/>
              </w:rPr>
            </w:pPr>
            <w:r>
              <w:rPr>
                <w:rFonts w:ascii="Verdana" w:cs="Verdana" w:eastAsia="Verdana" w:hAnsi="Verdana"/>
                <w:sz w:val="18"/>
                <w:szCs w:val="18"/>
                <w:color w:val="auto"/>
              </w:rPr>
              <w:t>192,540</w:t>
            </w:r>
          </w:p>
        </w:tc>
        <w:tc>
          <w:tcPr>
            <w:tcW w:w="60" w:type="dxa"/>
            <w:vAlign w:val="bottom"/>
          </w:tcPr>
          <w:p>
            <w:pPr>
              <w:spacing w:after="0"/>
              <w:rPr>
                <w:sz w:val="21"/>
                <w:szCs w:val="21"/>
                <w:color w:val="auto"/>
              </w:rPr>
            </w:pPr>
          </w:p>
        </w:tc>
      </w:tr>
      <w:tr>
        <w:trPr>
          <w:trHeight w:val="243"/>
        </w:trPr>
        <w:tc>
          <w:tcPr>
            <w:tcW w:w="5120" w:type="dxa"/>
            <w:vAlign w:val="bottom"/>
          </w:tcPr>
          <w:p>
            <w:pPr>
              <w:spacing w:after="0"/>
              <w:rPr>
                <w:sz w:val="20"/>
                <w:szCs w:val="20"/>
                <w:color w:val="auto"/>
              </w:rPr>
            </w:pPr>
            <w:r>
              <w:rPr>
                <w:rFonts w:ascii="Verdana" w:cs="Verdana" w:eastAsia="Verdana" w:hAnsi="Verdana"/>
                <w:sz w:val="18"/>
                <w:szCs w:val="18"/>
                <w:color w:val="auto"/>
              </w:rPr>
              <w:t>Deferred income taxes</w:t>
            </w:r>
          </w:p>
        </w:tc>
        <w:tc>
          <w:tcPr>
            <w:tcW w:w="1320" w:type="dxa"/>
            <w:vAlign w:val="bottom"/>
            <w:gridSpan w:val="6"/>
          </w:tcPr>
          <w:p>
            <w:pPr>
              <w:jc w:val="right"/>
              <w:spacing w:after="0"/>
              <w:rPr>
                <w:sz w:val="20"/>
                <w:szCs w:val="20"/>
                <w:color w:val="auto"/>
              </w:rPr>
            </w:pPr>
            <w:r>
              <w:rPr>
                <w:rFonts w:ascii="Verdana" w:cs="Verdana" w:eastAsia="Verdana" w:hAnsi="Verdana"/>
                <w:sz w:val="18"/>
                <w:szCs w:val="18"/>
                <w:color w:val="auto"/>
              </w:rPr>
              <w:t>219,669</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gridSpan w:val="8"/>
          </w:tcPr>
          <w:p>
            <w:pPr>
              <w:jc w:val="right"/>
              <w:ind w:right="20"/>
              <w:spacing w:after="0"/>
              <w:rPr>
                <w:sz w:val="20"/>
                <w:szCs w:val="20"/>
                <w:color w:val="auto"/>
              </w:rPr>
            </w:pPr>
            <w:r>
              <w:rPr>
                <w:rFonts w:ascii="Verdana" w:cs="Verdana" w:eastAsia="Verdana" w:hAnsi="Verdana"/>
                <w:sz w:val="18"/>
                <w:szCs w:val="18"/>
                <w:color w:val="auto"/>
              </w:rPr>
              <w:t>221,949</w:t>
            </w:r>
          </w:p>
        </w:tc>
        <w:tc>
          <w:tcPr>
            <w:tcW w:w="60" w:type="dxa"/>
            <w:vAlign w:val="bottom"/>
          </w:tcPr>
          <w:p>
            <w:pPr>
              <w:spacing w:after="0"/>
              <w:rPr>
                <w:sz w:val="21"/>
                <w:szCs w:val="21"/>
                <w:color w:val="auto"/>
              </w:rPr>
            </w:pPr>
          </w:p>
        </w:tc>
      </w:tr>
      <w:tr>
        <w:trPr>
          <w:trHeight w:val="221"/>
        </w:trPr>
        <w:tc>
          <w:tcPr>
            <w:tcW w:w="5120" w:type="dxa"/>
            <w:vAlign w:val="bottom"/>
          </w:tcPr>
          <w:p>
            <w:pPr>
              <w:spacing w:after="0"/>
              <w:rPr>
                <w:sz w:val="20"/>
                <w:szCs w:val="20"/>
                <w:color w:val="auto"/>
              </w:rPr>
            </w:pPr>
            <w:r>
              <w:rPr>
                <w:rFonts w:ascii="Verdana" w:cs="Verdana" w:eastAsia="Verdana" w:hAnsi="Verdana"/>
                <w:sz w:val="18"/>
                <w:szCs w:val="18"/>
                <w:color w:val="auto"/>
              </w:rPr>
              <w:t>Long-term debt</w:t>
            </w:r>
          </w:p>
        </w:tc>
        <w:tc>
          <w:tcPr>
            <w:tcW w:w="460" w:type="dxa"/>
            <w:vAlign w:val="bottom"/>
            <w:gridSpan w:val="3"/>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8"/>
                <w:szCs w:val="18"/>
                <w:color w:val="auto"/>
              </w:rPr>
              <w:t>403,628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gridSpan w:val="3"/>
          </w:tcPr>
          <w:p>
            <w:pPr>
              <w:spacing w:after="0"/>
              <w:rPr>
                <w:sz w:val="19"/>
                <w:szCs w:val="19"/>
                <w:color w:val="auto"/>
              </w:rPr>
            </w:pPr>
          </w:p>
        </w:tc>
        <w:tc>
          <w:tcPr>
            <w:tcW w:w="860" w:type="dxa"/>
            <w:vAlign w:val="bottom"/>
            <w:tcBorders>
              <w:bottom w:val="single" w:sz="8" w:color="auto"/>
            </w:tcBorders>
            <w:gridSpan w:val="4"/>
          </w:tcPr>
          <w:p>
            <w:pPr>
              <w:jc w:val="right"/>
              <w:spacing w:after="0"/>
              <w:rPr>
                <w:sz w:val="20"/>
                <w:szCs w:val="20"/>
                <w:color w:val="auto"/>
              </w:rPr>
            </w:pPr>
            <w:r>
              <w:rPr>
                <w:rFonts w:ascii="Verdana" w:cs="Verdana" w:eastAsia="Verdana" w:hAnsi="Verdana"/>
                <w:sz w:val="18"/>
                <w:szCs w:val="18"/>
                <w:color w:val="auto"/>
              </w:rPr>
              <w:t>883,078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512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Verdana" w:cs="Verdana" w:eastAsia="Verdana" w:hAnsi="Verdana"/>
                <w:sz w:val="18"/>
                <w:szCs w:val="18"/>
                <w:color w:val="auto"/>
                <w:w w:val="94"/>
              </w:rPr>
              <w:t>1,820,480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gridSpan w:val="8"/>
          </w:tcPr>
          <w:p>
            <w:pPr>
              <w:jc w:val="right"/>
              <w:ind w:right="20"/>
              <w:spacing w:after="0"/>
              <w:rPr>
                <w:sz w:val="20"/>
                <w:szCs w:val="20"/>
                <w:color w:val="auto"/>
              </w:rPr>
            </w:pPr>
            <w:r>
              <w:rPr>
                <w:rFonts w:ascii="Verdana" w:cs="Verdana" w:eastAsia="Verdana" w:hAnsi="Verdana"/>
                <w:sz w:val="18"/>
                <w:szCs w:val="18"/>
                <w:color w:val="auto"/>
              </w:rPr>
              <w:t>1,862,481</w:t>
            </w:r>
          </w:p>
        </w:tc>
        <w:tc>
          <w:tcPr>
            <w:tcW w:w="60" w:type="dxa"/>
            <w:vAlign w:val="bottom"/>
          </w:tcPr>
          <w:p>
            <w:pPr>
              <w:spacing w:after="0"/>
              <w:rPr>
                <w:sz w:val="19"/>
                <w:szCs w:val="19"/>
                <w:color w:val="auto"/>
              </w:rPr>
            </w:pPr>
          </w:p>
        </w:tc>
      </w:tr>
      <w:tr>
        <w:trPr>
          <w:trHeight w:val="466"/>
        </w:trPr>
        <w:tc>
          <w:tcPr>
            <w:tcW w:w="5120" w:type="dxa"/>
            <w:vAlign w:val="bottom"/>
          </w:tcPr>
          <w:p>
            <w:pPr>
              <w:spacing w:after="0"/>
              <w:rPr>
                <w:sz w:val="20"/>
                <w:szCs w:val="20"/>
                <w:color w:val="auto"/>
              </w:rPr>
            </w:pPr>
            <w:r>
              <w:rPr>
                <w:rFonts w:ascii="Verdana" w:cs="Verdana" w:eastAsia="Verdana" w:hAnsi="Verdana"/>
                <w:sz w:val="18"/>
                <w:szCs w:val="18"/>
                <w:color w:val="auto"/>
              </w:rPr>
              <w:t>Redeemable preferred stock</w:t>
            </w:r>
          </w:p>
        </w:tc>
        <w:tc>
          <w:tcPr>
            <w:tcW w:w="420" w:type="dxa"/>
            <w:vAlign w:val="bottom"/>
            <w:gridSpan w:val="2"/>
          </w:tcPr>
          <w:p>
            <w:pPr>
              <w:spacing w:after="0"/>
              <w:rPr>
                <w:sz w:val="24"/>
                <w:szCs w:val="24"/>
                <w:color w:val="auto"/>
              </w:rPr>
            </w:pPr>
          </w:p>
        </w:tc>
        <w:tc>
          <w:tcPr>
            <w:tcW w:w="80" w:type="dxa"/>
            <w:vAlign w:val="bottom"/>
            <w:tcBorders>
              <w:top w:val="single" w:sz="8" w:color="auto"/>
            </w:tcBorders>
            <w:gridSpan w:val="2"/>
          </w:tcPr>
          <w:p>
            <w:pPr>
              <w:spacing w:after="0"/>
              <w:rPr>
                <w:sz w:val="24"/>
                <w:szCs w:val="24"/>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Verdana" w:cs="Verdana" w:eastAsia="Verdana" w:hAnsi="Verdana"/>
                <w:sz w:val="18"/>
                <w:szCs w:val="18"/>
                <w:color w:val="auto"/>
              </w:rPr>
              <w:t>13,132</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c>
          <w:tcPr>
            <w:tcW w:w="100" w:type="dxa"/>
            <w:vAlign w:val="bottom"/>
            <w:tcBorders>
              <w:top w:val="single" w:sz="8" w:color="auto"/>
            </w:tcBorders>
            <w:gridSpan w:val="2"/>
          </w:tcPr>
          <w:p>
            <w:pPr>
              <w:spacing w:after="0"/>
              <w:rPr>
                <w:sz w:val="24"/>
                <w:szCs w:val="24"/>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Verdana" w:cs="Verdana" w:eastAsia="Verdana" w:hAnsi="Verdana"/>
                <w:sz w:val="18"/>
                <w:szCs w:val="18"/>
                <w:color w:val="auto"/>
              </w:rPr>
              <w:t>13,132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66"/>
        </w:trPr>
        <w:tc>
          <w:tcPr>
            <w:tcW w:w="5120" w:type="dxa"/>
            <w:vAlign w:val="bottom"/>
          </w:tcPr>
          <w:p>
            <w:pPr>
              <w:spacing w:after="0"/>
              <w:rPr>
                <w:sz w:val="20"/>
                <w:szCs w:val="20"/>
                <w:color w:val="auto"/>
              </w:rPr>
            </w:pPr>
            <w:r>
              <w:rPr>
                <w:rFonts w:ascii="Verdana" w:cs="Verdana" w:eastAsia="Verdana" w:hAnsi="Verdana"/>
                <w:sz w:val="18"/>
                <w:szCs w:val="18"/>
                <w:color w:val="auto"/>
              </w:rPr>
              <w:t>Preferred stock</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3"/>
          </w:tcPr>
          <w:p>
            <w:pPr>
              <w:jc w:val="right"/>
              <w:ind w:right="420"/>
              <w:spacing w:after="0"/>
              <w:rPr>
                <w:sz w:val="20"/>
                <w:szCs w:val="20"/>
                <w:color w:val="auto"/>
              </w:rPr>
            </w:pPr>
            <w:r>
              <w:rPr>
                <w:rFonts w:ascii="Verdana" w:cs="Verdana" w:eastAsia="Verdana" w:hAnsi="Verdana"/>
                <w:sz w:val="18"/>
                <w:szCs w:val="18"/>
                <w:color w:val="auto"/>
              </w:rPr>
              <w:t>—</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3"/>
          </w:tcPr>
          <w:p>
            <w:pPr>
              <w:jc w:val="right"/>
              <w:ind w:right="80"/>
              <w:spacing w:after="0"/>
              <w:rPr>
                <w:sz w:val="20"/>
                <w:szCs w:val="20"/>
                <w:color w:val="auto"/>
              </w:rPr>
            </w:pPr>
            <w:r>
              <w:rPr>
                <w:rFonts w:ascii="Verdana" w:cs="Verdana" w:eastAsia="Verdana" w:hAnsi="Verdana"/>
                <w:sz w:val="18"/>
                <w:szCs w:val="18"/>
                <w:color w:val="auto"/>
              </w:rPr>
              <w:t>—</w:t>
            </w:r>
          </w:p>
        </w:tc>
      </w:tr>
      <w:tr>
        <w:trPr>
          <w:trHeight w:val="246"/>
        </w:trPr>
        <w:tc>
          <w:tcPr>
            <w:tcW w:w="5120" w:type="dxa"/>
            <w:vAlign w:val="bottom"/>
          </w:tcPr>
          <w:p>
            <w:pPr>
              <w:spacing w:after="0"/>
              <w:rPr>
                <w:sz w:val="20"/>
                <w:szCs w:val="20"/>
                <w:color w:val="auto"/>
              </w:rPr>
            </w:pPr>
            <w:r>
              <w:rPr>
                <w:rFonts w:ascii="Verdana" w:cs="Verdana" w:eastAsia="Verdana" w:hAnsi="Verdana"/>
                <w:sz w:val="18"/>
                <w:szCs w:val="18"/>
                <w:color w:val="auto"/>
              </w:rPr>
              <w:t>Common shareholders' equity</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120" w:type="dxa"/>
            <w:vAlign w:val="bottom"/>
          </w:tcPr>
          <w:p>
            <w:pPr>
              <w:ind w:left="140"/>
              <w:spacing w:after="0"/>
              <w:rPr>
                <w:sz w:val="20"/>
                <w:szCs w:val="20"/>
                <w:color w:val="auto"/>
              </w:rPr>
            </w:pPr>
            <w:r>
              <w:rPr>
                <w:rFonts w:ascii="Verdana" w:cs="Verdana" w:eastAsia="Verdana" w:hAnsi="Verdana"/>
                <w:sz w:val="18"/>
                <w:szCs w:val="18"/>
                <w:color w:val="auto"/>
              </w:rPr>
              <w:t>Common stock</w:t>
            </w:r>
          </w:p>
        </w:tc>
        <w:tc>
          <w:tcPr>
            <w:tcW w:w="1320" w:type="dxa"/>
            <w:vAlign w:val="bottom"/>
            <w:gridSpan w:val="6"/>
          </w:tcPr>
          <w:p>
            <w:pPr>
              <w:jc w:val="right"/>
              <w:spacing w:after="0"/>
              <w:rPr>
                <w:sz w:val="20"/>
                <w:szCs w:val="20"/>
                <w:color w:val="auto"/>
              </w:rPr>
            </w:pPr>
            <w:r>
              <w:rPr>
                <w:rFonts w:ascii="Verdana" w:cs="Verdana" w:eastAsia="Verdana" w:hAnsi="Verdana"/>
                <w:sz w:val="18"/>
                <w:szCs w:val="18"/>
                <w:color w:val="auto"/>
              </w:rPr>
              <w:t>20,000</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gridSpan w:val="8"/>
          </w:tcPr>
          <w:p>
            <w:pPr>
              <w:jc w:val="right"/>
              <w:ind w:right="20"/>
              <w:spacing w:after="0"/>
              <w:rPr>
                <w:sz w:val="20"/>
                <w:szCs w:val="20"/>
                <w:color w:val="auto"/>
              </w:rPr>
            </w:pPr>
            <w:r>
              <w:rPr>
                <w:rFonts w:ascii="Verdana" w:cs="Verdana" w:eastAsia="Verdana" w:hAnsi="Verdana"/>
                <w:sz w:val="18"/>
                <w:szCs w:val="18"/>
                <w:color w:val="auto"/>
              </w:rPr>
              <w:t>20,000</w:t>
            </w:r>
          </w:p>
        </w:tc>
        <w:tc>
          <w:tcPr>
            <w:tcW w:w="60" w:type="dxa"/>
            <w:vAlign w:val="bottom"/>
          </w:tcPr>
          <w:p>
            <w:pPr>
              <w:spacing w:after="0"/>
              <w:rPr>
                <w:sz w:val="21"/>
                <w:szCs w:val="21"/>
                <w:color w:val="auto"/>
              </w:rPr>
            </w:pPr>
          </w:p>
        </w:tc>
      </w:tr>
      <w:tr>
        <w:trPr>
          <w:trHeight w:val="243"/>
        </w:trPr>
        <w:tc>
          <w:tcPr>
            <w:tcW w:w="5120" w:type="dxa"/>
            <w:vAlign w:val="bottom"/>
          </w:tcPr>
          <w:p>
            <w:pPr>
              <w:ind w:left="140"/>
              <w:spacing w:after="0"/>
              <w:rPr>
                <w:sz w:val="20"/>
                <w:szCs w:val="20"/>
                <w:color w:val="auto"/>
              </w:rPr>
            </w:pPr>
            <w:r>
              <w:rPr>
                <w:rFonts w:ascii="Verdana" w:cs="Verdana" w:eastAsia="Verdana" w:hAnsi="Verdana"/>
                <w:sz w:val="18"/>
                <w:szCs w:val="18"/>
                <w:color w:val="auto"/>
              </w:rPr>
              <w:t>Capital in excess of par value</w:t>
            </w:r>
          </w:p>
        </w:tc>
        <w:tc>
          <w:tcPr>
            <w:tcW w:w="1320" w:type="dxa"/>
            <w:vAlign w:val="bottom"/>
            <w:gridSpan w:val="6"/>
          </w:tcPr>
          <w:p>
            <w:pPr>
              <w:jc w:val="right"/>
              <w:spacing w:after="0"/>
              <w:rPr>
                <w:sz w:val="20"/>
                <w:szCs w:val="20"/>
                <w:color w:val="auto"/>
              </w:rPr>
            </w:pPr>
            <w:r>
              <w:rPr>
                <w:rFonts w:ascii="Verdana" w:cs="Verdana" w:eastAsia="Verdana" w:hAnsi="Verdana"/>
                <w:sz w:val="18"/>
                <w:szCs w:val="18"/>
                <w:color w:val="auto"/>
              </w:rPr>
              <w:t>144,701</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gridSpan w:val="8"/>
          </w:tcPr>
          <w:p>
            <w:pPr>
              <w:jc w:val="right"/>
              <w:ind w:right="20"/>
              <w:spacing w:after="0"/>
              <w:rPr>
                <w:sz w:val="20"/>
                <w:szCs w:val="20"/>
                <w:color w:val="auto"/>
              </w:rPr>
            </w:pPr>
            <w:r>
              <w:rPr>
                <w:rFonts w:ascii="Verdana" w:cs="Verdana" w:eastAsia="Verdana" w:hAnsi="Verdana"/>
                <w:sz w:val="18"/>
                <w:szCs w:val="18"/>
                <w:color w:val="auto"/>
              </w:rPr>
              <w:t>142,814</w:t>
            </w:r>
          </w:p>
        </w:tc>
        <w:tc>
          <w:tcPr>
            <w:tcW w:w="60" w:type="dxa"/>
            <w:vAlign w:val="bottom"/>
          </w:tcPr>
          <w:p>
            <w:pPr>
              <w:spacing w:after="0"/>
              <w:rPr>
                <w:sz w:val="21"/>
                <w:szCs w:val="21"/>
                <w:color w:val="auto"/>
              </w:rPr>
            </w:pPr>
          </w:p>
        </w:tc>
      </w:tr>
      <w:tr>
        <w:trPr>
          <w:trHeight w:val="243"/>
        </w:trPr>
        <w:tc>
          <w:tcPr>
            <w:tcW w:w="5120" w:type="dxa"/>
            <w:vAlign w:val="bottom"/>
          </w:tcPr>
          <w:p>
            <w:pPr>
              <w:ind w:left="140"/>
              <w:spacing w:after="0"/>
              <w:rPr>
                <w:sz w:val="20"/>
                <w:szCs w:val="20"/>
                <w:color w:val="auto"/>
              </w:rPr>
            </w:pPr>
            <w:r>
              <w:rPr>
                <w:rFonts w:ascii="Verdana" w:cs="Verdana" w:eastAsia="Verdana" w:hAnsi="Verdana"/>
                <w:sz w:val="18"/>
                <w:szCs w:val="18"/>
                <w:color w:val="auto"/>
              </w:rPr>
              <w:t>Retained earnings</w:t>
            </w:r>
          </w:p>
        </w:tc>
        <w:tc>
          <w:tcPr>
            <w:tcW w:w="1320" w:type="dxa"/>
            <w:vAlign w:val="bottom"/>
            <w:gridSpan w:val="6"/>
          </w:tcPr>
          <w:p>
            <w:pPr>
              <w:jc w:val="right"/>
              <w:spacing w:after="0"/>
              <w:rPr>
                <w:sz w:val="20"/>
                <w:szCs w:val="20"/>
                <w:color w:val="auto"/>
              </w:rPr>
            </w:pPr>
            <w:r>
              <w:rPr>
                <w:rFonts w:ascii="Verdana" w:cs="Verdana" w:eastAsia="Verdana" w:hAnsi="Verdana"/>
                <w:sz w:val="18"/>
                <w:szCs w:val="18"/>
                <w:color w:val="auto"/>
              </w:rPr>
              <w:t>3,026,192</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gridSpan w:val="8"/>
          </w:tcPr>
          <w:p>
            <w:pPr>
              <w:jc w:val="right"/>
              <w:ind w:right="20"/>
              <w:spacing w:after="0"/>
              <w:rPr>
                <w:sz w:val="20"/>
                <w:szCs w:val="20"/>
                <w:color w:val="auto"/>
              </w:rPr>
            </w:pPr>
            <w:r>
              <w:rPr>
                <w:rFonts w:ascii="Verdana" w:cs="Verdana" w:eastAsia="Verdana" w:hAnsi="Verdana"/>
                <w:sz w:val="18"/>
                <w:szCs w:val="18"/>
                <w:color w:val="auto"/>
              </w:rPr>
              <w:t>3,029,595</w:t>
            </w:r>
          </w:p>
        </w:tc>
        <w:tc>
          <w:tcPr>
            <w:tcW w:w="60" w:type="dxa"/>
            <w:vAlign w:val="bottom"/>
          </w:tcPr>
          <w:p>
            <w:pPr>
              <w:spacing w:after="0"/>
              <w:rPr>
                <w:sz w:val="21"/>
                <w:szCs w:val="21"/>
                <w:color w:val="auto"/>
              </w:rPr>
            </w:pPr>
          </w:p>
        </w:tc>
      </w:tr>
      <w:tr>
        <w:trPr>
          <w:trHeight w:val="243"/>
        </w:trPr>
        <w:tc>
          <w:tcPr>
            <w:tcW w:w="5120" w:type="dxa"/>
            <w:vAlign w:val="bottom"/>
          </w:tcPr>
          <w:p>
            <w:pPr>
              <w:ind w:left="140"/>
              <w:spacing w:after="0"/>
              <w:rPr>
                <w:sz w:val="20"/>
                <w:szCs w:val="20"/>
                <w:color w:val="auto"/>
              </w:rPr>
            </w:pPr>
            <w:r>
              <w:rPr>
                <w:rFonts w:ascii="Verdana" w:cs="Verdana" w:eastAsia="Verdana" w:hAnsi="Verdana"/>
                <w:sz w:val="18"/>
                <w:szCs w:val="18"/>
                <w:color w:val="auto"/>
              </w:rPr>
              <w:t>Accumulated other comprehensive income (loss)</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120" w:type="dxa"/>
            <w:vAlign w:val="bottom"/>
          </w:tcPr>
          <w:p>
            <w:pPr>
              <w:ind w:left="260"/>
              <w:spacing w:after="0"/>
              <w:rPr>
                <w:sz w:val="20"/>
                <w:szCs w:val="20"/>
                <w:color w:val="auto"/>
              </w:rPr>
            </w:pPr>
            <w:r>
              <w:rPr>
                <w:rFonts w:ascii="Verdana" w:cs="Verdana" w:eastAsia="Verdana" w:hAnsi="Verdana"/>
                <w:sz w:val="18"/>
                <w:szCs w:val="18"/>
                <w:color w:val="auto"/>
              </w:rPr>
              <w:t>Cumulative foreign currency translation adjustment</w:t>
            </w:r>
          </w:p>
        </w:tc>
        <w:tc>
          <w:tcPr>
            <w:tcW w:w="1740" w:type="dxa"/>
            <w:vAlign w:val="bottom"/>
            <w:gridSpan w:val="8"/>
          </w:tcPr>
          <w:p>
            <w:pPr>
              <w:jc w:val="right"/>
              <w:ind w:right="340"/>
              <w:spacing w:after="0"/>
              <w:rPr>
                <w:sz w:val="20"/>
                <w:szCs w:val="20"/>
                <w:color w:val="auto"/>
              </w:rPr>
            </w:pPr>
            <w:r>
              <w:rPr>
                <w:rFonts w:ascii="Verdana" w:cs="Verdana" w:eastAsia="Verdana" w:hAnsi="Verdana"/>
                <w:sz w:val="18"/>
                <w:szCs w:val="18"/>
                <w:color w:val="auto"/>
              </w:rPr>
              <w:t>(9,578)</w:t>
            </w:r>
          </w:p>
        </w:tc>
        <w:tc>
          <w:tcPr>
            <w:tcW w:w="1440" w:type="dxa"/>
            <w:vAlign w:val="bottom"/>
            <w:gridSpan w:val="9"/>
          </w:tcPr>
          <w:p>
            <w:pPr>
              <w:jc w:val="right"/>
              <w:spacing w:after="0"/>
              <w:rPr>
                <w:sz w:val="20"/>
                <w:szCs w:val="20"/>
                <w:color w:val="auto"/>
              </w:rPr>
            </w:pPr>
            <w:r>
              <w:rPr>
                <w:rFonts w:ascii="Verdana" w:cs="Verdana" w:eastAsia="Verdana" w:hAnsi="Verdana"/>
                <w:sz w:val="18"/>
                <w:szCs w:val="18"/>
                <w:color w:val="auto"/>
              </w:rPr>
              <w:t>(9,678)</w:t>
            </w:r>
          </w:p>
        </w:tc>
      </w:tr>
      <w:tr>
        <w:trPr>
          <w:trHeight w:val="216"/>
        </w:trPr>
        <w:tc>
          <w:tcPr>
            <w:tcW w:w="5120" w:type="dxa"/>
            <w:vAlign w:val="bottom"/>
          </w:tcPr>
          <w:p>
            <w:pPr>
              <w:ind w:left="260"/>
              <w:spacing w:after="0" w:line="217" w:lineRule="exact"/>
              <w:rPr>
                <w:sz w:val="20"/>
                <w:szCs w:val="20"/>
                <w:color w:val="auto"/>
              </w:rPr>
            </w:pPr>
            <w:r>
              <w:rPr>
                <w:rFonts w:ascii="Verdana" w:cs="Verdana" w:eastAsia="Verdana" w:hAnsi="Verdana"/>
                <w:sz w:val="18"/>
                <w:szCs w:val="18"/>
                <w:color w:val="auto"/>
              </w:rPr>
              <w:t>Unrealized gain on available-for-sale securities</w:t>
            </w:r>
          </w:p>
        </w:tc>
        <w:tc>
          <w:tcPr>
            <w:tcW w:w="1320" w:type="dxa"/>
            <w:vAlign w:val="bottom"/>
            <w:gridSpan w:val="6"/>
          </w:tcPr>
          <w:p>
            <w:pPr>
              <w:jc w:val="right"/>
              <w:spacing w:after="0" w:line="217" w:lineRule="exact"/>
              <w:rPr>
                <w:sz w:val="20"/>
                <w:szCs w:val="20"/>
                <w:color w:val="auto"/>
              </w:rPr>
            </w:pPr>
            <w:r>
              <w:rPr>
                <w:rFonts w:ascii="Verdana" w:cs="Verdana" w:eastAsia="Verdana" w:hAnsi="Verdana"/>
                <w:sz w:val="18"/>
                <w:szCs w:val="18"/>
                <w:color w:val="auto"/>
              </w:rPr>
              <w:t>15,956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8"/>
          </w:tcPr>
          <w:p>
            <w:pPr>
              <w:jc w:val="right"/>
              <w:ind w:right="20"/>
              <w:spacing w:after="0" w:line="217" w:lineRule="exact"/>
              <w:rPr>
                <w:sz w:val="20"/>
                <w:szCs w:val="20"/>
                <w:color w:val="auto"/>
              </w:rPr>
            </w:pPr>
            <w:r>
              <w:rPr>
                <w:rFonts w:ascii="Verdana" w:cs="Verdana" w:eastAsia="Verdana" w:hAnsi="Verdana"/>
                <w:sz w:val="18"/>
                <w:szCs w:val="18"/>
                <w:color w:val="auto"/>
              </w:rPr>
              <w:t>24,281</w:t>
            </w:r>
          </w:p>
        </w:tc>
        <w:tc>
          <w:tcPr>
            <w:tcW w:w="60" w:type="dxa"/>
            <w:vAlign w:val="bottom"/>
          </w:tcPr>
          <w:p>
            <w:pPr>
              <w:spacing w:after="0"/>
              <w:rPr>
                <w:sz w:val="18"/>
                <w:szCs w:val="18"/>
                <w:color w:val="auto"/>
              </w:rPr>
            </w:pPr>
          </w:p>
        </w:tc>
      </w:tr>
      <w:tr>
        <w:trPr>
          <w:trHeight w:val="221"/>
        </w:trPr>
        <w:tc>
          <w:tcPr>
            <w:tcW w:w="5120" w:type="dxa"/>
            <w:vAlign w:val="bottom"/>
          </w:tcPr>
          <w:p>
            <w:pPr>
              <w:ind w:left="140"/>
              <w:spacing w:after="0"/>
              <w:rPr>
                <w:sz w:val="20"/>
                <w:szCs w:val="20"/>
                <w:color w:val="auto"/>
              </w:rPr>
            </w:pPr>
            <w:r>
              <w:rPr>
                <w:rFonts w:ascii="Verdana" w:cs="Verdana" w:eastAsia="Verdana" w:hAnsi="Verdana"/>
                <w:sz w:val="18"/>
                <w:szCs w:val="18"/>
                <w:color w:val="auto"/>
              </w:rPr>
              <w:t>Cost of Class B common stock held in treasury</w:t>
            </w:r>
          </w:p>
        </w:tc>
        <w:tc>
          <w:tcPr>
            <w:tcW w:w="1740" w:type="dxa"/>
            <w:vAlign w:val="bottom"/>
            <w:gridSpan w:val="8"/>
          </w:tcPr>
          <w:p>
            <w:pPr>
              <w:jc w:val="right"/>
              <w:ind w:right="340"/>
              <w:spacing w:after="0"/>
              <w:rPr>
                <w:sz w:val="20"/>
                <w:szCs w:val="20"/>
                <w:color w:val="auto"/>
              </w:rPr>
            </w:pPr>
            <w:r>
              <w:rPr>
                <w:rFonts w:ascii="Verdana" w:cs="Verdana" w:eastAsia="Verdana" w:hAnsi="Verdana"/>
                <w:sz w:val="18"/>
                <w:szCs w:val="18"/>
                <w:color w:val="auto"/>
              </w:rPr>
              <w:t>(1,522,542)</w:t>
            </w:r>
          </w:p>
        </w:tc>
        <w:tc>
          <w:tcPr>
            <w:tcW w:w="1440" w:type="dxa"/>
            <w:vAlign w:val="bottom"/>
            <w:gridSpan w:val="9"/>
          </w:tcPr>
          <w:p>
            <w:pPr>
              <w:jc w:val="right"/>
              <w:spacing w:after="0"/>
              <w:rPr>
                <w:sz w:val="20"/>
                <w:szCs w:val="20"/>
                <w:color w:val="auto"/>
              </w:rPr>
            </w:pPr>
            <w:r>
              <w:rPr>
                <w:rFonts w:ascii="Verdana" w:cs="Verdana" w:eastAsia="Verdana" w:hAnsi="Verdana"/>
                <w:sz w:val="18"/>
                <w:szCs w:val="18"/>
                <w:color w:val="auto"/>
              </w:rPr>
              <w:t>(1,523,527)</w:t>
            </w:r>
          </w:p>
        </w:tc>
      </w:tr>
      <w:tr>
        <w:trPr>
          <w:trHeight w:val="20"/>
        </w:trPr>
        <w:tc>
          <w:tcPr>
            <w:tcW w:w="5120" w:type="dxa"/>
            <w:vAlign w:val="bottom"/>
          </w:tcPr>
          <w:p>
            <w:pPr>
              <w:spacing w:after="0" w:line="20" w:lineRule="exact"/>
              <w:rPr>
                <w:sz w:val="1"/>
                <w:szCs w:val="1"/>
                <w:color w:val="auto"/>
              </w:rPr>
            </w:pPr>
          </w:p>
        </w:tc>
        <w:tc>
          <w:tcPr>
            <w:tcW w:w="420" w:type="dxa"/>
            <w:vAlign w:val="bottom"/>
            <w:tcBorders>
              <w:right w:val="single" w:sz="8" w:color="auto"/>
            </w:tcBorders>
            <w:gridSpan w:val="2"/>
          </w:tcPr>
          <w:p>
            <w:pPr>
              <w:spacing w:after="0" w:line="20" w:lineRule="exact"/>
              <w:rPr>
                <w:sz w:val="1"/>
                <w:szCs w:val="1"/>
                <w:color w:val="auto"/>
              </w:rPr>
            </w:pPr>
          </w:p>
        </w:tc>
        <w:tc>
          <w:tcPr>
            <w:tcW w:w="90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gridSpan w:val="5"/>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12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900" w:type="dxa"/>
            <w:vAlign w:val="bottom"/>
            <w:gridSpan w:val="4"/>
          </w:tcPr>
          <w:p>
            <w:pPr>
              <w:jc w:val="right"/>
              <w:spacing w:after="0" w:line="196" w:lineRule="exact"/>
              <w:rPr>
                <w:sz w:val="20"/>
                <w:szCs w:val="20"/>
                <w:color w:val="auto"/>
              </w:rPr>
            </w:pPr>
            <w:r>
              <w:rPr>
                <w:rFonts w:ascii="Verdana" w:cs="Verdana" w:eastAsia="Verdana" w:hAnsi="Verdana"/>
                <w:sz w:val="18"/>
                <w:szCs w:val="18"/>
                <w:color w:val="auto"/>
                <w:w w:val="94"/>
              </w:rPr>
              <w:t>1,674,729</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gridSpan w:val="8"/>
          </w:tcPr>
          <w:p>
            <w:pPr>
              <w:jc w:val="right"/>
              <w:ind w:right="20"/>
              <w:spacing w:after="0" w:line="196" w:lineRule="exact"/>
              <w:rPr>
                <w:sz w:val="20"/>
                <w:szCs w:val="20"/>
                <w:color w:val="auto"/>
              </w:rPr>
            </w:pPr>
            <w:r>
              <w:rPr>
                <w:rFonts w:ascii="Verdana" w:cs="Verdana" w:eastAsia="Verdana" w:hAnsi="Verdana"/>
                <w:sz w:val="18"/>
                <w:szCs w:val="18"/>
                <w:color w:val="auto"/>
              </w:rPr>
              <w:t>1,683,485</w:t>
            </w:r>
          </w:p>
        </w:tc>
        <w:tc>
          <w:tcPr>
            <w:tcW w:w="60" w:type="dxa"/>
            <w:vAlign w:val="bottom"/>
          </w:tcPr>
          <w:p>
            <w:pPr>
              <w:spacing w:after="0"/>
              <w:rPr>
                <w:sz w:val="17"/>
                <w:szCs w:val="17"/>
                <w:color w:val="auto"/>
              </w:rPr>
            </w:pPr>
          </w:p>
        </w:tc>
      </w:tr>
      <w:tr>
        <w:trPr>
          <w:trHeight w:val="20"/>
        </w:trPr>
        <w:tc>
          <w:tcPr>
            <w:tcW w:w="5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gridSpan w:val="5"/>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6"/>
        </w:trPr>
        <w:tc>
          <w:tcPr>
            <w:tcW w:w="5120" w:type="dxa"/>
            <w:vAlign w:val="bottom"/>
          </w:tcPr>
          <w:p>
            <w:pPr>
              <w:spacing w:after="0"/>
              <w:rPr>
                <w:sz w:val="21"/>
                <w:szCs w:val="21"/>
                <w:color w:val="auto"/>
              </w:rPr>
            </w:pPr>
          </w:p>
        </w:tc>
        <w:tc>
          <w:tcPr>
            <w:tcW w:w="1320" w:type="dxa"/>
            <w:vAlign w:val="bottom"/>
            <w:gridSpan w:val="6"/>
          </w:tcPr>
          <w:p>
            <w:pPr>
              <w:jc w:val="right"/>
              <w:spacing w:after="0"/>
              <w:rPr>
                <w:sz w:val="20"/>
                <w:szCs w:val="20"/>
                <w:color w:val="auto"/>
              </w:rPr>
            </w:pPr>
            <w:r>
              <w:rPr>
                <w:rFonts w:ascii="Verdana" w:cs="Verdana" w:eastAsia="Verdana" w:hAnsi="Verdana"/>
                <w:sz w:val="18"/>
                <w:szCs w:val="18"/>
                <w:color w:val="auto"/>
              </w:rPr>
              <w:t>$3,508,341</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gridSpan w:val="8"/>
          </w:tcPr>
          <w:p>
            <w:pPr>
              <w:jc w:val="right"/>
              <w:ind w:right="20"/>
              <w:spacing w:after="0"/>
              <w:rPr>
                <w:sz w:val="20"/>
                <w:szCs w:val="20"/>
                <w:color w:val="auto"/>
              </w:rPr>
            </w:pPr>
            <w:r>
              <w:rPr>
                <w:rFonts w:ascii="Verdana" w:cs="Verdana" w:eastAsia="Verdana" w:hAnsi="Verdana"/>
                <w:sz w:val="18"/>
                <w:szCs w:val="18"/>
                <w:color w:val="auto"/>
              </w:rPr>
              <w:t>$3,559,098</w:t>
            </w:r>
          </w:p>
        </w:tc>
        <w:tc>
          <w:tcPr>
            <w:tcW w:w="60" w:type="dxa"/>
            <w:vAlign w:val="bottom"/>
          </w:tcPr>
          <w:p>
            <w:pPr>
              <w:spacing w:after="0"/>
              <w:rPr>
                <w:sz w:val="21"/>
                <w:szCs w:val="21"/>
                <w:color w:val="auto"/>
              </w:rPr>
            </w:pPr>
          </w:p>
        </w:tc>
      </w:tr>
      <w:tr>
        <w:trPr>
          <w:trHeight w:val="244"/>
        </w:trPr>
        <w:tc>
          <w:tcPr>
            <w:tcW w:w="5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6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Verdana" w:cs="Verdana" w:eastAsia="Verdana" w:hAnsi="Verdana"/>
          <w:sz w:val="18"/>
          <w:szCs w:val="18"/>
          <w:color w:val="auto"/>
        </w:rPr>
        <w:t>6.</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Verdana" w:cs="Verdana" w:eastAsia="Verdana" w:hAnsi="Verdana"/>
          <w:sz w:val="18"/>
          <w:szCs w:val="18"/>
          <w:color w:val="auto"/>
        </w:rPr>
        <w:t>The Washington Post Company</w:t>
      </w:r>
    </w:p>
    <w:p>
      <w:pPr>
        <w:spacing w:after="0" w:line="237" w:lineRule="auto"/>
        <w:rPr>
          <w:sz w:val="20"/>
          <w:szCs w:val="20"/>
          <w:color w:val="auto"/>
        </w:rPr>
      </w:pPr>
      <w:r>
        <w:rPr>
          <w:rFonts w:ascii="Verdana" w:cs="Verdana" w:eastAsia="Verdana" w:hAnsi="Verdana"/>
          <w:sz w:val="18"/>
          <w:szCs w:val="18"/>
          <w:color w:val="auto"/>
        </w:rPr>
        <w:t>Condensed Consolidated Statements of Cash Flows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gridSpan w:val="8"/>
          </w:tcPr>
          <w:p>
            <w:pPr>
              <w:jc w:val="right"/>
              <w:ind w:right="820"/>
              <w:spacing w:after="0"/>
              <w:rPr>
                <w:sz w:val="20"/>
                <w:szCs w:val="20"/>
                <w:color w:val="auto"/>
              </w:rPr>
            </w:pPr>
            <w:r>
              <w:rPr>
                <w:rFonts w:ascii="Verdana" w:cs="Verdana" w:eastAsia="Verdana" w:hAnsi="Verdana"/>
                <w:sz w:val="18"/>
                <w:szCs w:val="18"/>
                <w:color w:val="auto"/>
                <w:w w:val="96"/>
              </w:rPr>
              <w:t>Thirteen Weeks Ended</w:t>
            </w:r>
          </w:p>
        </w:tc>
      </w:tr>
      <w:tr>
        <w:trPr>
          <w:trHeight w:val="113"/>
        </w:trPr>
        <w:tc>
          <w:tcPr>
            <w:tcW w:w="508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r>
      <w:tr>
        <w:trPr>
          <w:trHeight w:val="313"/>
        </w:trPr>
        <w:tc>
          <w:tcPr>
            <w:tcW w:w="5080" w:type="dxa"/>
            <w:vAlign w:val="bottom"/>
          </w:tcPr>
          <w:p>
            <w:pPr>
              <w:spacing w:after="0"/>
              <w:rPr>
                <w:sz w:val="24"/>
                <w:szCs w:val="24"/>
                <w:color w:val="auto"/>
              </w:rPr>
            </w:pPr>
          </w:p>
        </w:tc>
        <w:tc>
          <w:tcPr>
            <w:tcW w:w="1880" w:type="dxa"/>
            <w:vAlign w:val="bottom"/>
            <w:gridSpan w:val="5"/>
          </w:tcPr>
          <w:p>
            <w:pPr>
              <w:jc w:val="right"/>
              <w:ind w:right="500"/>
              <w:spacing w:after="0"/>
              <w:rPr>
                <w:sz w:val="20"/>
                <w:szCs w:val="20"/>
                <w:color w:val="auto"/>
              </w:rPr>
            </w:pPr>
            <w:r>
              <w:rPr>
                <w:rFonts w:ascii="Verdana" w:cs="Verdana" w:eastAsia="Verdana" w:hAnsi="Verdana"/>
                <w:sz w:val="18"/>
                <w:szCs w:val="18"/>
                <w:color w:val="auto"/>
              </w:rPr>
              <w:t>March 31,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4"/>
          </w:tcPr>
          <w:p>
            <w:pPr>
              <w:jc w:val="right"/>
              <w:ind w:right="460"/>
              <w:spacing w:after="0"/>
              <w:rPr>
                <w:sz w:val="20"/>
                <w:szCs w:val="20"/>
                <w:color w:val="auto"/>
              </w:rPr>
            </w:pPr>
            <w:r>
              <w:rPr>
                <w:rFonts w:ascii="Verdana" w:cs="Verdana" w:eastAsia="Verdana" w:hAnsi="Verdana"/>
                <w:sz w:val="18"/>
                <w:szCs w:val="18"/>
                <w:color w:val="auto"/>
                <w:w w:val="97"/>
              </w:rPr>
              <w:t>April 1,</w:t>
            </w:r>
          </w:p>
        </w:tc>
      </w:tr>
      <w:tr>
        <w:trPr>
          <w:trHeight w:val="221"/>
        </w:trPr>
        <w:tc>
          <w:tcPr>
            <w:tcW w:w="5080" w:type="dxa"/>
            <w:vAlign w:val="bottom"/>
          </w:tcPr>
          <w:p>
            <w:pPr>
              <w:spacing w:after="0"/>
              <w:rPr>
                <w:sz w:val="20"/>
                <w:szCs w:val="20"/>
                <w:color w:val="auto"/>
              </w:rPr>
            </w:pPr>
            <w:r>
              <w:rPr>
                <w:rFonts w:ascii="Verdana" w:cs="Verdana" w:eastAsia="Verdana" w:hAnsi="Verdana"/>
                <w:sz w:val="18"/>
                <w:szCs w:val="18"/>
                <w:color w:val="auto"/>
              </w:rPr>
              <w:t>(In thousands)</w:t>
            </w:r>
          </w:p>
        </w:tc>
        <w:tc>
          <w:tcPr>
            <w:tcW w:w="1880" w:type="dxa"/>
            <w:vAlign w:val="bottom"/>
            <w:gridSpan w:val="5"/>
          </w:tcPr>
          <w:p>
            <w:pPr>
              <w:jc w:val="right"/>
              <w:ind w:right="500"/>
              <w:spacing w:after="0"/>
              <w:rPr>
                <w:sz w:val="20"/>
                <w:szCs w:val="20"/>
                <w:color w:val="auto"/>
              </w:rPr>
            </w:pPr>
            <w:r>
              <w:rPr>
                <w:rFonts w:ascii="Verdana" w:cs="Verdana" w:eastAsia="Verdana" w:hAnsi="Verdana"/>
                <w:sz w:val="18"/>
                <w:szCs w:val="18"/>
                <w:color w:val="auto"/>
              </w:rPr>
              <w:t>2002</w:t>
            </w:r>
          </w:p>
        </w:tc>
        <w:tc>
          <w:tcPr>
            <w:tcW w:w="1740" w:type="dxa"/>
            <w:vAlign w:val="bottom"/>
            <w:gridSpan w:val="6"/>
          </w:tcPr>
          <w:p>
            <w:pPr>
              <w:jc w:val="right"/>
              <w:ind w:right="460"/>
              <w:spacing w:after="0"/>
              <w:rPr>
                <w:sz w:val="20"/>
                <w:szCs w:val="20"/>
                <w:color w:val="auto"/>
              </w:rPr>
            </w:pPr>
            <w:r>
              <w:rPr>
                <w:rFonts w:ascii="Verdana" w:cs="Verdana" w:eastAsia="Verdana" w:hAnsi="Verdana"/>
                <w:sz w:val="18"/>
                <w:szCs w:val="18"/>
                <w:color w:val="auto"/>
              </w:rPr>
              <w:t>2001</w:t>
            </w:r>
          </w:p>
        </w:tc>
      </w:tr>
      <w:tr>
        <w:trPr>
          <w:trHeight w:val="489"/>
        </w:trPr>
        <w:tc>
          <w:tcPr>
            <w:tcW w:w="5080" w:type="dxa"/>
            <w:vAlign w:val="bottom"/>
          </w:tcPr>
          <w:p>
            <w:pPr>
              <w:spacing w:after="0"/>
              <w:rPr>
                <w:sz w:val="20"/>
                <w:szCs w:val="20"/>
                <w:color w:val="auto"/>
              </w:rPr>
            </w:pPr>
            <w:r>
              <w:rPr>
                <w:rFonts w:ascii="Verdana" w:cs="Verdana" w:eastAsia="Verdana" w:hAnsi="Verdana"/>
                <w:sz w:val="18"/>
                <w:szCs w:val="18"/>
                <w:color w:val="auto"/>
              </w:rPr>
              <w:t>Cash flows from operating activities: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r>
      <w:tr>
        <w:trPr>
          <w:trHeight w:val="243"/>
        </w:trPr>
        <w:tc>
          <w:tcPr>
            <w:tcW w:w="5080" w:type="dxa"/>
            <w:vAlign w:val="bottom"/>
          </w:tcPr>
          <w:p>
            <w:pPr>
              <w:ind w:left="140"/>
              <w:spacing w:after="0"/>
              <w:rPr>
                <w:sz w:val="20"/>
                <w:szCs w:val="20"/>
                <w:color w:val="auto"/>
              </w:rPr>
            </w:pPr>
            <w:r>
              <w:rPr>
                <w:rFonts w:ascii="Verdana" w:cs="Verdana" w:eastAsia="Verdana" w:hAnsi="Verdana"/>
                <w:sz w:val="18"/>
                <w:szCs w:val="18"/>
                <w:color w:val="auto"/>
              </w:rPr>
              <w:t>Net income</w:t>
            </w:r>
          </w:p>
        </w:tc>
        <w:tc>
          <w:tcPr>
            <w:tcW w:w="1380" w:type="dxa"/>
            <w:vAlign w:val="bottom"/>
            <w:gridSpan w:val="4"/>
          </w:tcPr>
          <w:p>
            <w:pPr>
              <w:jc w:val="right"/>
              <w:spacing w:after="0"/>
              <w:rPr>
                <w:sz w:val="20"/>
                <w:szCs w:val="20"/>
                <w:color w:val="auto"/>
              </w:rPr>
            </w:pPr>
            <w:r>
              <w:rPr>
                <w:rFonts w:ascii="Verdana" w:cs="Verdana" w:eastAsia="Verdana" w:hAnsi="Verdana"/>
                <w:sz w:val="18"/>
                <w:szCs w:val="18"/>
                <w:color w:val="auto"/>
              </w:rPr>
              <w:t>$ 23,706</w:t>
            </w:r>
          </w:p>
        </w:tc>
        <w:tc>
          <w:tcPr>
            <w:tcW w:w="500" w:type="dxa"/>
            <w:vAlign w:val="bottom"/>
          </w:tcPr>
          <w:p>
            <w:pPr>
              <w:spacing w:after="0"/>
              <w:rPr>
                <w:sz w:val="21"/>
                <w:szCs w:val="21"/>
                <w:color w:val="auto"/>
              </w:rPr>
            </w:pPr>
          </w:p>
        </w:tc>
        <w:tc>
          <w:tcPr>
            <w:tcW w:w="1280" w:type="dxa"/>
            <w:vAlign w:val="bottom"/>
            <w:gridSpan w:val="5"/>
          </w:tcPr>
          <w:p>
            <w:pPr>
              <w:jc w:val="right"/>
              <w:ind w:right="20"/>
              <w:spacing w:after="0"/>
              <w:rPr>
                <w:sz w:val="20"/>
                <w:szCs w:val="20"/>
                <w:color w:val="auto"/>
              </w:rPr>
            </w:pPr>
            <w:r>
              <w:rPr>
                <w:rFonts w:ascii="Verdana" w:cs="Verdana" w:eastAsia="Verdana" w:hAnsi="Verdana"/>
                <w:sz w:val="18"/>
                <w:szCs w:val="18"/>
                <w:color w:val="auto"/>
              </w:rPr>
              <w:t>$199,053</w:t>
            </w:r>
          </w:p>
        </w:tc>
        <w:tc>
          <w:tcPr>
            <w:tcW w:w="460" w:type="dxa"/>
            <w:vAlign w:val="bottom"/>
          </w:tcPr>
          <w:p>
            <w:pPr>
              <w:spacing w:after="0"/>
              <w:rPr>
                <w:sz w:val="21"/>
                <w:szCs w:val="21"/>
                <w:color w:val="auto"/>
              </w:rPr>
            </w:pPr>
          </w:p>
        </w:tc>
      </w:tr>
      <w:tr>
        <w:trPr>
          <w:trHeight w:val="243"/>
        </w:trPr>
        <w:tc>
          <w:tcPr>
            <w:tcW w:w="5080" w:type="dxa"/>
            <w:vAlign w:val="bottom"/>
          </w:tcPr>
          <w:p>
            <w:pPr>
              <w:ind w:left="140"/>
              <w:spacing w:after="0"/>
              <w:rPr>
                <w:sz w:val="20"/>
                <w:szCs w:val="20"/>
                <w:color w:val="auto"/>
              </w:rPr>
            </w:pPr>
            <w:r>
              <w:rPr>
                <w:rFonts w:ascii="Verdana" w:cs="Verdana" w:eastAsia="Verdana" w:hAnsi="Verdana"/>
                <w:sz w:val="18"/>
                <w:szCs w:val="18"/>
                <w:color w:val="auto"/>
              </w:rPr>
              <w:t>Adjustments to reconcile net income to net cash</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43"/>
        </w:trPr>
        <w:tc>
          <w:tcPr>
            <w:tcW w:w="5080" w:type="dxa"/>
            <w:vAlign w:val="bottom"/>
          </w:tcPr>
          <w:p>
            <w:pPr>
              <w:ind w:left="260"/>
              <w:spacing w:after="0"/>
              <w:rPr>
                <w:sz w:val="20"/>
                <w:szCs w:val="20"/>
                <w:color w:val="auto"/>
              </w:rPr>
            </w:pPr>
            <w:r>
              <w:rPr>
                <w:rFonts w:ascii="Verdana" w:cs="Verdana" w:eastAsia="Verdana" w:hAnsi="Verdana"/>
                <w:sz w:val="18"/>
                <w:szCs w:val="18"/>
                <w:color w:val="auto"/>
              </w:rPr>
              <w:t>provided by operating activities:</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43"/>
        </w:trPr>
        <w:tc>
          <w:tcPr>
            <w:tcW w:w="5080" w:type="dxa"/>
            <w:vAlign w:val="bottom"/>
          </w:tcPr>
          <w:p>
            <w:pPr>
              <w:ind w:left="380"/>
              <w:spacing w:after="0"/>
              <w:rPr>
                <w:sz w:val="20"/>
                <w:szCs w:val="20"/>
                <w:color w:val="auto"/>
              </w:rPr>
            </w:pPr>
            <w:r>
              <w:rPr>
                <w:rFonts w:ascii="Verdana" w:cs="Verdana" w:eastAsia="Verdana" w:hAnsi="Verdana"/>
                <w:sz w:val="18"/>
                <w:szCs w:val="18"/>
                <w:color w:val="auto"/>
              </w:rPr>
              <w:t>Depreciation of property, plant and equipment</w:t>
            </w:r>
          </w:p>
        </w:tc>
        <w:tc>
          <w:tcPr>
            <w:tcW w:w="1380" w:type="dxa"/>
            <w:vAlign w:val="bottom"/>
            <w:gridSpan w:val="4"/>
          </w:tcPr>
          <w:p>
            <w:pPr>
              <w:jc w:val="right"/>
              <w:spacing w:after="0"/>
              <w:rPr>
                <w:sz w:val="20"/>
                <w:szCs w:val="20"/>
                <w:color w:val="auto"/>
              </w:rPr>
            </w:pPr>
            <w:r>
              <w:rPr>
                <w:rFonts w:ascii="Verdana" w:cs="Verdana" w:eastAsia="Verdana" w:hAnsi="Verdana"/>
                <w:sz w:val="18"/>
                <w:szCs w:val="18"/>
                <w:color w:val="auto"/>
              </w:rPr>
              <w:t>41,173</w:t>
            </w:r>
          </w:p>
        </w:tc>
        <w:tc>
          <w:tcPr>
            <w:tcW w:w="500" w:type="dxa"/>
            <w:vAlign w:val="bottom"/>
          </w:tcPr>
          <w:p>
            <w:pPr>
              <w:spacing w:after="0"/>
              <w:rPr>
                <w:sz w:val="21"/>
                <w:szCs w:val="21"/>
                <w:color w:val="auto"/>
              </w:rPr>
            </w:pPr>
          </w:p>
        </w:tc>
        <w:tc>
          <w:tcPr>
            <w:tcW w:w="1280" w:type="dxa"/>
            <w:vAlign w:val="bottom"/>
            <w:gridSpan w:val="5"/>
          </w:tcPr>
          <w:p>
            <w:pPr>
              <w:jc w:val="right"/>
              <w:ind w:right="20"/>
              <w:spacing w:after="0"/>
              <w:rPr>
                <w:sz w:val="20"/>
                <w:szCs w:val="20"/>
                <w:color w:val="auto"/>
              </w:rPr>
            </w:pPr>
            <w:r>
              <w:rPr>
                <w:rFonts w:ascii="Verdana" w:cs="Verdana" w:eastAsia="Verdana" w:hAnsi="Verdana"/>
                <w:sz w:val="18"/>
                <w:szCs w:val="18"/>
                <w:color w:val="auto"/>
              </w:rPr>
              <w:t>34,632</w:t>
            </w:r>
          </w:p>
        </w:tc>
        <w:tc>
          <w:tcPr>
            <w:tcW w:w="460" w:type="dxa"/>
            <w:vAlign w:val="bottom"/>
          </w:tcPr>
          <w:p>
            <w:pPr>
              <w:spacing w:after="0"/>
              <w:rPr>
                <w:sz w:val="21"/>
                <w:szCs w:val="21"/>
                <w:color w:val="auto"/>
              </w:rPr>
            </w:pPr>
          </w:p>
        </w:tc>
      </w:tr>
      <w:tr>
        <w:trPr>
          <w:trHeight w:val="243"/>
        </w:trPr>
        <w:tc>
          <w:tcPr>
            <w:tcW w:w="5080" w:type="dxa"/>
            <w:vAlign w:val="bottom"/>
          </w:tcPr>
          <w:p>
            <w:pPr>
              <w:ind w:left="380"/>
              <w:spacing w:after="0"/>
              <w:rPr>
                <w:sz w:val="20"/>
                <w:szCs w:val="20"/>
                <w:color w:val="auto"/>
              </w:rPr>
            </w:pPr>
            <w:r>
              <w:rPr>
                <w:rFonts w:ascii="Verdana" w:cs="Verdana" w:eastAsia="Verdana" w:hAnsi="Verdana"/>
                <w:sz w:val="18"/>
                <w:szCs w:val="18"/>
                <w:color w:val="auto"/>
              </w:rPr>
              <w:t>Amortization of goodwill and other intangibles</w:t>
            </w:r>
          </w:p>
        </w:tc>
        <w:tc>
          <w:tcPr>
            <w:tcW w:w="1380" w:type="dxa"/>
            <w:vAlign w:val="bottom"/>
            <w:gridSpan w:val="4"/>
          </w:tcPr>
          <w:p>
            <w:pPr>
              <w:jc w:val="right"/>
              <w:spacing w:after="0"/>
              <w:rPr>
                <w:sz w:val="20"/>
                <w:szCs w:val="20"/>
                <w:color w:val="auto"/>
              </w:rPr>
            </w:pPr>
            <w:r>
              <w:rPr>
                <w:rFonts w:ascii="Verdana" w:cs="Verdana" w:eastAsia="Verdana" w:hAnsi="Verdana"/>
                <w:sz w:val="18"/>
                <w:szCs w:val="18"/>
                <w:color w:val="auto"/>
              </w:rPr>
              <w:t>152</w:t>
            </w:r>
          </w:p>
        </w:tc>
        <w:tc>
          <w:tcPr>
            <w:tcW w:w="500" w:type="dxa"/>
            <w:vAlign w:val="bottom"/>
          </w:tcPr>
          <w:p>
            <w:pPr>
              <w:spacing w:after="0"/>
              <w:rPr>
                <w:sz w:val="21"/>
                <w:szCs w:val="21"/>
                <w:color w:val="auto"/>
              </w:rPr>
            </w:pPr>
          </w:p>
        </w:tc>
        <w:tc>
          <w:tcPr>
            <w:tcW w:w="1280" w:type="dxa"/>
            <w:vAlign w:val="bottom"/>
            <w:gridSpan w:val="5"/>
          </w:tcPr>
          <w:p>
            <w:pPr>
              <w:jc w:val="right"/>
              <w:ind w:right="20"/>
              <w:spacing w:after="0"/>
              <w:rPr>
                <w:sz w:val="20"/>
                <w:szCs w:val="20"/>
                <w:color w:val="auto"/>
              </w:rPr>
            </w:pPr>
            <w:r>
              <w:rPr>
                <w:rFonts w:ascii="Verdana" w:cs="Verdana" w:eastAsia="Verdana" w:hAnsi="Verdana"/>
                <w:sz w:val="18"/>
                <w:szCs w:val="18"/>
                <w:color w:val="auto"/>
              </w:rPr>
              <w:t>17,192</w:t>
            </w:r>
          </w:p>
        </w:tc>
        <w:tc>
          <w:tcPr>
            <w:tcW w:w="460" w:type="dxa"/>
            <w:vAlign w:val="bottom"/>
          </w:tcPr>
          <w:p>
            <w:pPr>
              <w:spacing w:after="0"/>
              <w:rPr>
                <w:sz w:val="21"/>
                <w:szCs w:val="21"/>
                <w:color w:val="auto"/>
              </w:rPr>
            </w:pPr>
          </w:p>
        </w:tc>
      </w:tr>
      <w:tr>
        <w:trPr>
          <w:trHeight w:val="243"/>
        </w:trPr>
        <w:tc>
          <w:tcPr>
            <w:tcW w:w="5080" w:type="dxa"/>
            <w:vAlign w:val="bottom"/>
          </w:tcPr>
          <w:p>
            <w:pPr>
              <w:ind w:left="380"/>
              <w:spacing w:after="0"/>
              <w:rPr>
                <w:sz w:val="20"/>
                <w:szCs w:val="20"/>
                <w:color w:val="auto"/>
              </w:rPr>
            </w:pPr>
            <w:r>
              <w:rPr>
                <w:rFonts w:ascii="Verdana" w:cs="Verdana" w:eastAsia="Verdana" w:hAnsi="Verdana"/>
                <w:sz w:val="18"/>
                <w:szCs w:val="18"/>
                <w:color w:val="auto"/>
              </w:rPr>
              <w:t>Net pension benefit</w:t>
            </w:r>
          </w:p>
        </w:tc>
        <w:tc>
          <w:tcPr>
            <w:tcW w:w="1880" w:type="dxa"/>
            <w:vAlign w:val="bottom"/>
            <w:gridSpan w:val="5"/>
          </w:tcPr>
          <w:p>
            <w:pPr>
              <w:jc w:val="right"/>
              <w:ind w:right="440"/>
              <w:spacing w:after="0"/>
              <w:rPr>
                <w:sz w:val="20"/>
                <w:szCs w:val="20"/>
                <w:color w:val="auto"/>
              </w:rPr>
            </w:pPr>
            <w:r>
              <w:rPr>
                <w:rFonts w:ascii="Verdana" w:cs="Verdana" w:eastAsia="Verdana" w:hAnsi="Verdana"/>
                <w:sz w:val="18"/>
                <w:szCs w:val="18"/>
                <w:color w:val="auto"/>
              </w:rPr>
              <w:t>(16,082)</w:t>
            </w:r>
          </w:p>
        </w:tc>
        <w:tc>
          <w:tcPr>
            <w:tcW w:w="1740" w:type="dxa"/>
            <w:vAlign w:val="bottom"/>
            <w:gridSpan w:val="6"/>
          </w:tcPr>
          <w:p>
            <w:pPr>
              <w:jc w:val="right"/>
              <w:ind w:right="400"/>
              <w:spacing w:after="0"/>
              <w:rPr>
                <w:sz w:val="20"/>
                <w:szCs w:val="20"/>
                <w:color w:val="auto"/>
              </w:rPr>
            </w:pPr>
            <w:r>
              <w:rPr>
                <w:rFonts w:ascii="Verdana" w:cs="Verdana" w:eastAsia="Verdana" w:hAnsi="Verdana"/>
                <w:sz w:val="18"/>
                <w:szCs w:val="18"/>
                <w:color w:val="auto"/>
              </w:rPr>
              <w:t>(19,878)</w:t>
            </w:r>
          </w:p>
        </w:tc>
      </w:tr>
      <w:tr>
        <w:trPr>
          <w:trHeight w:val="216"/>
        </w:trPr>
        <w:tc>
          <w:tcPr>
            <w:tcW w:w="5080" w:type="dxa"/>
            <w:vAlign w:val="bottom"/>
          </w:tcPr>
          <w:p>
            <w:pPr>
              <w:ind w:left="380"/>
              <w:spacing w:after="0" w:line="217" w:lineRule="exact"/>
              <w:rPr>
                <w:sz w:val="20"/>
                <w:szCs w:val="20"/>
                <w:color w:val="auto"/>
              </w:rPr>
            </w:pPr>
            <w:r>
              <w:rPr>
                <w:rFonts w:ascii="Verdana" w:cs="Verdana" w:eastAsia="Verdana" w:hAnsi="Verdana"/>
                <w:sz w:val="18"/>
                <w:szCs w:val="18"/>
                <w:color w:val="auto"/>
              </w:rPr>
              <w:t>Early retirement program expense</w:t>
            </w:r>
          </w:p>
        </w:tc>
        <w:tc>
          <w:tcPr>
            <w:tcW w:w="1380" w:type="dxa"/>
            <w:vAlign w:val="bottom"/>
            <w:gridSpan w:val="4"/>
          </w:tcPr>
          <w:p>
            <w:pPr>
              <w:jc w:val="right"/>
              <w:spacing w:after="0" w:line="217" w:lineRule="exact"/>
              <w:rPr>
                <w:sz w:val="20"/>
                <w:szCs w:val="20"/>
                <w:color w:val="auto"/>
              </w:rPr>
            </w:pPr>
            <w:r>
              <w:rPr>
                <w:rFonts w:ascii="Verdana" w:cs="Verdana" w:eastAsia="Verdana" w:hAnsi="Verdana"/>
                <w:sz w:val="18"/>
                <w:szCs w:val="18"/>
                <w:color w:val="auto"/>
              </w:rPr>
              <w:t>10,313</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80"/>
              <w:spacing w:after="0" w:line="217" w:lineRule="exact"/>
              <w:rPr>
                <w:sz w:val="20"/>
                <w:szCs w:val="20"/>
                <w:color w:val="auto"/>
              </w:rPr>
            </w:pPr>
            <w:r>
              <w:rPr>
                <w:rFonts w:ascii="Verdana" w:cs="Verdana" w:eastAsia="Verdana" w:hAnsi="Verdana"/>
                <w:sz w:val="18"/>
                <w:szCs w:val="18"/>
                <w:color w:val="auto"/>
              </w:rPr>
              <w:t>—</w:t>
            </w:r>
          </w:p>
        </w:tc>
      </w:tr>
      <w:tr>
        <w:trPr>
          <w:trHeight w:val="243"/>
        </w:trPr>
        <w:tc>
          <w:tcPr>
            <w:tcW w:w="5080" w:type="dxa"/>
            <w:vAlign w:val="bottom"/>
          </w:tcPr>
          <w:p>
            <w:pPr>
              <w:ind w:left="380"/>
              <w:spacing w:after="0"/>
              <w:rPr>
                <w:sz w:val="20"/>
                <w:szCs w:val="20"/>
                <w:color w:val="auto"/>
              </w:rPr>
            </w:pPr>
            <w:r>
              <w:rPr>
                <w:rFonts w:ascii="Verdana" w:cs="Verdana" w:eastAsia="Verdana" w:hAnsi="Verdana"/>
                <w:sz w:val="18"/>
                <w:szCs w:val="18"/>
                <w:color w:val="auto"/>
              </w:rPr>
              <w:t>Gain from disposition of businesses</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500"/>
              <w:spacing w:after="0"/>
              <w:rPr>
                <w:sz w:val="20"/>
                <w:szCs w:val="20"/>
                <w:color w:val="auto"/>
              </w:rPr>
            </w:pPr>
            <w:r>
              <w:rPr>
                <w:rFonts w:ascii="Verdana" w:cs="Verdana" w:eastAsia="Verdana" w:hAnsi="Verdana"/>
                <w:sz w:val="18"/>
                <w:szCs w:val="18"/>
                <w:color w:val="auto"/>
              </w:rPr>
              <w:t>—</w:t>
            </w:r>
          </w:p>
        </w:tc>
        <w:tc>
          <w:tcPr>
            <w:tcW w:w="1740" w:type="dxa"/>
            <w:vAlign w:val="bottom"/>
            <w:gridSpan w:val="6"/>
          </w:tcPr>
          <w:p>
            <w:pPr>
              <w:jc w:val="right"/>
              <w:ind w:right="400"/>
              <w:spacing w:after="0"/>
              <w:rPr>
                <w:sz w:val="20"/>
                <w:szCs w:val="20"/>
                <w:color w:val="auto"/>
              </w:rPr>
            </w:pPr>
            <w:r>
              <w:rPr>
                <w:rFonts w:ascii="Verdana" w:cs="Verdana" w:eastAsia="Verdana" w:hAnsi="Verdana"/>
                <w:sz w:val="18"/>
                <w:szCs w:val="18"/>
                <w:color w:val="auto"/>
              </w:rPr>
              <w:t>(321,091)</w:t>
            </w:r>
          </w:p>
        </w:tc>
      </w:tr>
      <w:tr>
        <w:trPr>
          <w:trHeight w:val="243"/>
        </w:trPr>
        <w:tc>
          <w:tcPr>
            <w:tcW w:w="5080" w:type="dxa"/>
            <w:vAlign w:val="bottom"/>
          </w:tcPr>
          <w:p>
            <w:pPr>
              <w:ind w:left="380"/>
              <w:spacing w:after="0"/>
              <w:rPr>
                <w:sz w:val="20"/>
                <w:szCs w:val="20"/>
                <w:color w:val="auto"/>
              </w:rPr>
            </w:pPr>
            <w:r>
              <w:rPr>
                <w:rFonts w:ascii="Verdana" w:cs="Verdana" w:eastAsia="Verdana" w:hAnsi="Verdana"/>
                <w:sz w:val="18"/>
                <w:szCs w:val="18"/>
                <w:color w:val="auto"/>
              </w:rPr>
              <w:t>Gain on sale of marketable securities</w:t>
            </w:r>
          </w:p>
        </w:tc>
        <w:tc>
          <w:tcPr>
            <w:tcW w:w="1880" w:type="dxa"/>
            <w:vAlign w:val="bottom"/>
            <w:gridSpan w:val="5"/>
          </w:tcPr>
          <w:p>
            <w:pPr>
              <w:jc w:val="right"/>
              <w:ind w:right="440"/>
              <w:spacing w:after="0"/>
              <w:rPr>
                <w:sz w:val="20"/>
                <w:szCs w:val="20"/>
                <w:color w:val="auto"/>
              </w:rPr>
            </w:pPr>
            <w:r>
              <w:rPr>
                <w:rFonts w:ascii="Verdana" w:cs="Verdana" w:eastAsia="Verdana" w:hAnsi="Verdana"/>
                <w:sz w:val="18"/>
                <w:szCs w:val="18"/>
                <w:color w:val="auto"/>
              </w:rPr>
              <w:t>(13,209)</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3"/>
          </w:tcPr>
          <w:p>
            <w:pPr>
              <w:jc w:val="right"/>
              <w:ind w:right="480"/>
              <w:spacing w:after="0"/>
              <w:rPr>
                <w:sz w:val="20"/>
                <w:szCs w:val="20"/>
                <w:color w:val="auto"/>
              </w:rPr>
            </w:pPr>
            <w:r>
              <w:rPr>
                <w:rFonts w:ascii="Verdana" w:cs="Verdana" w:eastAsia="Verdana" w:hAnsi="Verdana"/>
                <w:sz w:val="18"/>
                <w:szCs w:val="18"/>
                <w:color w:val="auto"/>
              </w:rPr>
              <w:t>—</w:t>
            </w:r>
          </w:p>
        </w:tc>
      </w:tr>
      <w:tr>
        <w:trPr>
          <w:trHeight w:val="243"/>
        </w:trPr>
        <w:tc>
          <w:tcPr>
            <w:tcW w:w="5080" w:type="dxa"/>
            <w:vAlign w:val="bottom"/>
          </w:tcPr>
          <w:p>
            <w:pPr>
              <w:ind w:left="380"/>
              <w:spacing w:after="0"/>
              <w:rPr>
                <w:sz w:val="20"/>
                <w:szCs w:val="20"/>
                <w:color w:val="auto"/>
              </w:rPr>
            </w:pPr>
            <w:r>
              <w:rPr>
                <w:rFonts w:ascii="Verdana" w:cs="Verdana" w:eastAsia="Verdana" w:hAnsi="Verdana"/>
                <w:sz w:val="18"/>
                <w:szCs w:val="18"/>
                <w:color w:val="auto"/>
              </w:rPr>
              <w:t>Cost method and other investment write-downs</w:t>
            </w:r>
          </w:p>
        </w:tc>
        <w:tc>
          <w:tcPr>
            <w:tcW w:w="1380" w:type="dxa"/>
            <w:vAlign w:val="bottom"/>
            <w:gridSpan w:val="4"/>
          </w:tcPr>
          <w:p>
            <w:pPr>
              <w:jc w:val="right"/>
              <w:spacing w:after="0"/>
              <w:rPr>
                <w:sz w:val="20"/>
                <w:szCs w:val="20"/>
                <w:color w:val="auto"/>
              </w:rPr>
            </w:pPr>
            <w:r>
              <w:rPr>
                <w:rFonts w:ascii="Verdana" w:cs="Verdana" w:eastAsia="Verdana" w:hAnsi="Verdana"/>
                <w:sz w:val="18"/>
                <w:szCs w:val="18"/>
                <w:color w:val="auto"/>
              </w:rPr>
              <w:t>10,050</w:t>
            </w:r>
          </w:p>
        </w:tc>
        <w:tc>
          <w:tcPr>
            <w:tcW w:w="500" w:type="dxa"/>
            <w:vAlign w:val="bottom"/>
          </w:tcPr>
          <w:p>
            <w:pPr>
              <w:spacing w:after="0"/>
              <w:rPr>
                <w:sz w:val="21"/>
                <w:szCs w:val="21"/>
                <w:color w:val="auto"/>
              </w:rPr>
            </w:pPr>
          </w:p>
        </w:tc>
        <w:tc>
          <w:tcPr>
            <w:tcW w:w="1280" w:type="dxa"/>
            <w:vAlign w:val="bottom"/>
            <w:gridSpan w:val="5"/>
          </w:tcPr>
          <w:p>
            <w:pPr>
              <w:jc w:val="right"/>
              <w:ind w:right="20"/>
              <w:spacing w:after="0"/>
              <w:rPr>
                <w:sz w:val="20"/>
                <w:szCs w:val="20"/>
                <w:color w:val="auto"/>
              </w:rPr>
            </w:pPr>
            <w:r>
              <w:rPr>
                <w:rFonts w:ascii="Verdana" w:cs="Verdana" w:eastAsia="Verdana" w:hAnsi="Verdana"/>
                <w:sz w:val="18"/>
                <w:szCs w:val="18"/>
                <w:color w:val="auto"/>
              </w:rPr>
              <w:t>11,800</w:t>
            </w:r>
          </w:p>
        </w:tc>
        <w:tc>
          <w:tcPr>
            <w:tcW w:w="460" w:type="dxa"/>
            <w:vAlign w:val="bottom"/>
          </w:tcPr>
          <w:p>
            <w:pPr>
              <w:spacing w:after="0"/>
              <w:rPr>
                <w:sz w:val="21"/>
                <w:szCs w:val="21"/>
                <w:color w:val="auto"/>
              </w:rPr>
            </w:pPr>
          </w:p>
        </w:tc>
      </w:tr>
      <w:tr>
        <w:trPr>
          <w:trHeight w:val="243"/>
        </w:trPr>
        <w:tc>
          <w:tcPr>
            <w:tcW w:w="5080" w:type="dxa"/>
            <w:vAlign w:val="bottom"/>
          </w:tcPr>
          <w:p>
            <w:pPr>
              <w:ind w:left="380"/>
              <w:spacing w:after="0"/>
              <w:rPr>
                <w:sz w:val="20"/>
                <w:szCs w:val="20"/>
                <w:color w:val="auto"/>
              </w:rPr>
            </w:pPr>
            <w:r>
              <w:rPr>
                <w:rFonts w:ascii="Verdana" w:cs="Verdana" w:eastAsia="Verdana" w:hAnsi="Verdana"/>
                <w:sz w:val="18"/>
                <w:szCs w:val="18"/>
                <w:color w:val="auto"/>
              </w:rPr>
              <w:t>Equity in losses of affiliates, net of</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43"/>
        </w:trPr>
        <w:tc>
          <w:tcPr>
            <w:tcW w:w="5080" w:type="dxa"/>
            <w:vAlign w:val="bottom"/>
          </w:tcPr>
          <w:p>
            <w:pPr>
              <w:ind w:left="500"/>
              <w:spacing w:after="0"/>
              <w:rPr>
                <w:sz w:val="20"/>
                <w:szCs w:val="20"/>
                <w:color w:val="auto"/>
              </w:rPr>
            </w:pPr>
            <w:r>
              <w:rPr>
                <w:rFonts w:ascii="Verdana" w:cs="Verdana" w:eastAsia="Verdana" w:hAnsi="Verdana"/>
                <w:sz w:val="18"/>
                <w:szCs w:val="18"/>
                <w:color w:val="auto"/>
              </w:rPr>
              <w:t>distributions</w:t>
            </w:r>
          </w:p>
        </w:tc>
        <w:tc>
          <w:tcPr>
            <w:tcW w:w="1380" w:type="dxa"/>
            <w:vAlign w:val="bottom"/>
            <w:gridSpan w:val="4"/>
          </w:tcPr>
          <w:p>
            <w:pPr>
              <w:jc w:val="right"/>
              <w:spacing w:after="0"/>
              <w:rPr>
                <w:sz w:val="20"/>
                <w:szCs w:val="20"/>
                <w:color w:val="auto"/>
              </w:rPr>
            </w:pPr>
            <w:r>
              <w:rPr>
                <w:rFonts w:ascii="Verdana" w:cs="Verdana" w:eastAsia="Verdana" w:hAnsi="Verdana"/>
                <w:sz w:val="18"/>
                <w:szCs w:val="18"/>
                <w:color w:val="auto"/>
              </w:rPr>
              <w:t>6,506</w:t>
            </w:r>
          </w:p>
        </w:tc>
        <w:tc>
          <w:tcPr>
            <w:tcW w:w="500" w:type="dxa"/>
            <w:vAlign w:val="bottom"/>
          </w:tcPr>
          <w:p>
            <w:pPr>
              <w:spacing w:after="0"/>
              <w:rPr>
                <w:sz w:val="21"/>
                <w:szCs w:val="21"/>
                <w:color w:val="auto"/>
              </w:rPr>
            </w:pPr>
          </w:p>
        </w:tc>
        <w:tc>
          <w:tcPr>
            <w:tcW w:w="1280" w:type="dxa"/>
            <w:vAlign w:val="bottom"/>
            <w:gridSpan w:val="5"/>
          </w:tcPr>
          <w:p>
            <w:pPr>
              <w:jc w:val="right"/>
              <w:ind w:right="20"/>
              <w:spacing w:after="0"/>
              <w:rPr>
                <w:sz w:val="20"/>
                <w:szCs w:val="20"/>
                <w:color w:val="auto"/>
              </w:rPr>
            </w:pPr>
            <w:r>
              <w:rPr>
                <w:rFonts w:ascii="Verdana" w:cs="Verdana" w:eastAsia="Verdana" w:hAnsi="Verdana"/>
                <w:sz w:val="18"/>
                <w:szCs w:val="18"/>
                <w:color w:val="auto"/>
              </w:rPr>
              <w:t>12,461</w:t>
            </w:r>
          </w:p>
        </w:tc>
        <w:tc>
          <w:tcPr>
            <w:tcW w:w="460" w:type="dxa"/>
            <w:vAlign w:val="bottom"/>
          </w:tcPr>
          <w:p>
            <w:pPr>
              <w:spacing w:after="0"/>
              <w:rPr>
                <w:sz w:val="21"/>
                <w:szCs w:val="21"/>
                <w:color w:val="auto"/>
              </w:rPr>
            </w:pPr>
          </w:p>
        </w:tc>
      </w:tr>
      <w:tr>
        <w:trPr>
          <w:trHeight w:val="243"/>
        </w:trPr>
        <w:tc>
          <w:tcPr>
            <w:tcW w:w="5080" w:type="dxa"/>
            <w:vAlign w:val="bottom"/>
          </w:tcPr>
          <w:p>
            <w:pPr>
              <w:ind w:left="380"/>
              <w:spacing w:after="0"/>
              <w:rPr>
                <w:sz w:val="20"/>
                <w:szCs w:val="20"/>
                <w:color w:val="auto"/>
              </w:rPr>
            </w:pPr>
            <w:r>
              <w:rPr>
                <w:rFonts w:ascii="Verdana" w:cs="Verdana" w:eastAsia="Verdana" w:hAnsi="Verdana"/>
                <w:sz w:val="18"/>
                <w:szCs w:val="18"/>
                <w:color w:val="auto"/>
              </w:rPr>
              <w:t>Provision for deferred income taxes</w:t>
            </w:r>
          </w:p>
        </w:tc>
        <w:tc>
          <w:tcPr>
            <w:tcW w:w="1380" w:type="dxa"/>
            <w:vAlign w:val="bottom"/>
            <w:gridSpan w:val="4"/>
          </w:tcPr>
          <w:p>
            <w:pPr>
              <w:jc w:val="right"/>
              <w:spacing w:after="0"/>
              <w:rPr>
                <w:sz w:val="20"/>
                <w:szCs w:val="20"/>
                <w:color w:val="auto"/>
              </w:rPr>
            </w:pPr>
            <w:r>
              <w:rPr>
                <w:rFonts w:ascii="Verdana" w:cs="Verdana" w:eastAsia="Verdana" w:hAnsi="Verdana"/>
                <w:sz w:val="18"/>
                <w:szCs w:val="18"/>
                <w:color w:val="auto"/>
              </w:rPr>
              <w:t>2,986</w:t>
            </w:r>
          </w:p>
        </w:tc>
        <w:tc>
          <w:tcPr>
            <w:tcW w:w="500" w:type="dxa"/>
            <w:vAlign w:val="bottom"/>
          </w:tcPr>
          <w:p>
            <w:pPr>
              <w:spacing w:after="0"/>
              <w:rPr>
                <w:sz w:val="21"/>
                <w:szCs w:val="21"/>
                <w:color w:val="auto"/>
              </w:rPr>
            </w:pPr>
          </w:p>
        </w:tc>
        <w:tc>
          <w:tcPr>
            <w:tcW w:w="1280" w:type="dxa"/>
            <w:vAlign w:val="bottom"/>
            <w:gridSpan w:val="5"/>
          </w:tcPr>
          <w:p>
            <w:pPr>
              <w:jc w:val="right"/>
              <w:ind w:right="20"/>
              <w:spacing w:after="0"/>
              <w:rPr>
                <w:sz w:val="20"/>
                <w:szCs w:val="20"/>
                <w:color w:val="auto"/>
              </w:rPr>
            </w:pPr>
            <w:r>
              <w:rPr>
                <w:rFonts w:ascii="Verdana" w:cs="Verdana" w:eastAsia="Verdana" w:hAnsi="Verdana"/>
                <w:sz w:val="18"/>
                <w:szCs w:val="18"/>
                <w:color w:val="auto"/>
              </w:rPr>
              <w:t>99,785</w:t>
            </w:r>
          </w:p>
        </w:tc>
        <w:tc>
          <w:tcPr>
            <w:tcW w:w="460" w:type="dxa"/>
            <w:vAlign w:val="bottom"/>
          </w:tcPr>
          <w:p>
            <w:pPr>
              <w:spacing w:after="0"/>
              <w:rPr>
                <w:sz w:val="21"/>
                <w:szCs w:val="21"/>
                <w:color w:val="auto"/>
              </w:rPr>
            </w:pPr>
          </w:p>
        </w:tc>
      </w:tr>
      <w:tr>
        <w:trPr>
          <w:trHeight w:val="243"/>
        </w:trPr>
        <w:tc>
          <w:tcPr>
            <w:tcW w:w="5080" w:type="dxa"/>
            <w:vAlign w:val="bottom"/>
          </w:tcPr>
          <w:p>
            <w:pPr>
              <w:ind w:left="200"/>
              <w:spacing w:after="0"/>
              <w:rPr>
                <w:sz w:val="20"/>
                <w:szCs w:val="20"/>
                <w:color w:val="auto"/>
              </w:rPr>
            </w:pPr>
            <w:r>
              <w:rPr>
                <w:rFonts w:ascii="Verdana" w:cs="Verdana" w:eastAsia="Verdana" w:hAnsi="Verdana"/>
                <w:sz w:val="18"/>
                <w:szCs w:val="18"/>
                <w:color w:val="auto"/>
              </w:rPr>
              <w:t>Change in assets and liabilities:</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43"/>
        </w:trPr>
        <w:tc>
          <w:tcPr>
            <w:tcW w:w="5080" w:type="dxa"/>
            <w:vAlign w:val="bottom"/>
          </w:tcPr>
          <w:p>
            <w:pPr>
              <w:ind w:left="500"/>
              <w:spacing w:after="0"/>
              <w:rPr>
                <w:sz w:val="20"/>
                <w:szCs w:val="20"/>
                <w:color w:val="auto"/>
              </w:rPr>
            </w:pPr>
            <w:r>
              <w:rPr>
                <w:rFonts w:ascii="Verdana" w:cs="Verdana" w:eastAsia="Verdana" w:hAnsi="Verdana"/>
                <w:sz w:val="18"/>
                <w:szCs w:val="18"/>
                <w:color w:val="auto"/>
              </w:rPr>
              <w:t>Decrease in accounts receivable, net</w:t>
            </w:r>
          </w:p>
        </w:tc>
        <w:tc>
          <w:tcPr>
            <w:tcW w:w="1380" w:type="dxa"/>
            <w:vAlign w:val="bottom"/>
            <w:gridSpan w:val="4"/>
          </w:tcPr>
          <w:p>
            <w:pPr>
              <w:jc w:val="right"/>
              <w:spacing w:after="0"/>
              <w:rPr>
                <w:sz w:val="20"/>
                <w:szCs w:val="20"/>
                <w:color w:val="auto"/>
              </w:rPr>
            </w:pPr>
            <w:r>
              <w:rPr>
                <w:rFonts w:ascii="Verdana" w:cs="Verdana" w:eastAsia="Verdana" w:hAnsi="Verdana"/>
                <w:sz w:val="18"/>
                <w:szCs w:val="18"/>
                <w:color w:val="auto"/>
              </w:rPr>
              <w:t>33,342</w:t>
            </w:r>
          </w:p>
        </w:tc>
        <w:tc>
          <w:tcPr>
            <w:tcW w:w="500" w:type="dxa"/>
            <w:vAlign w:val="bottom"/>
          </w:tcPr>
          <w:p>
            <w:pPr>
              <w:spacing w:after="0"/>
              <w:rPr>
                <w:sz w:val="21"/>
                <w:szCs w:val="21"/>
                <w:color w:val="auto"/>
              </w:rPr>
            </w:pPr>
          </w:p>
        </w:tc>
        <w:tc>
          <w:tcPr>
            <w:tcW w:w="1280" w:type="dxa"/>
            <w:vAlign w:val="bottom"/>
            <w:gridSpan w:val="5"/>
          </w:tcPr>
          <w:p>
            <w:pPr>
              <w:jc w:val="right"/>
              <w:ind w:right="20"/>
              <w:spacing w:after="0"/>
              <w:rPr>
                <w:sz w:val="20"/>
                <w:szCs w:val="20"/>
                <w:color w:val="auto"/>
              </w:rPr>
            </w:pPr>
            <w:r>
              <w:rPr>
                <w:rFonts w:ascii="Verdana" w:cs="Verdana" w:eastAsia="Verdana" w:hAnsi="Verdana"/>
                <w:sz w:val="18"/>
                <w:szCs w:val="18"/>
                <w:color w:val="auto"/>
              </w:rPr>
              <w:t>28,000</w:t>
            </w:r>
          </w:p>
        </w:tc>
        <w:tc>
          <w:tcPr>
            <w:tcW w:w="460" w:type="dxa"/>
            <w:vAlign w:val="bottom"/>
          </w:tcPr>
          <w:p>
            <w:pPr>
              <w:spacing w:after="0"/>
              <w:rPr>
                <w:sz w:val="21"/>
                <w:szCs w:val="21"/>
                <w:color w:val="auto"/>
              </w:rPr>
            </w:pPr>
          </w:p>
        </w:tc>
      </w:tr>
      <w:tr>
        <w:trPr>
          <w:trHeight w:val="243"/>
        </w:trPr>
        <w:tc>
          <w:tcPr>
            <w:tcW w:w="5080" w:type="dxa"/>
            <w:vAlign w:val="bottom"/>
          </w:tcPr>
          <w:p>
            <w:pPr>
              <w:ind w:left="500"/>
              <w:spacing w:after="0"/>
              <w:rPr>
                <w:sz w:val="20"/>
                <w:szCs w:val="20"/>
                <w:color w:val="auto"/>
              </w:rPr>
            </w:pPr>
            <w:r>
              <w:rPr>
                <w:rFonts w:ascii="Verdana" w:cs="Verdana" w:eastAsia="Verdana" w:hAnsi="Verdana"/>
                <w:sz w:val="18"/>
                <w:szCs w:val="18"/>
                <w:color w:val="auto"/>
              </w:rPr>
              <w:t>Increase in inventories</w:t>
            </w:r>
          </w:p>
        </w:tc>
        <w:tc>
          <w:tcPr>
            <w:tcW w:w="1880" w:type="dxa"/>
            <w:vAlign w:val="bottom"/>
            <w:gridSpan w:val="5"/>
          </w:tcPr>
          <w:p>
            <w:pPr>
              <w:jc w:val="right"/>
              <w:ind w:right="440"/>
              <w:spacing w:after="0"/>
              <w:rPr>
                <w:sz w:val="20"/>
                <w:szCs w:val="20"/>
                <w:color w:val="auto"/>
              </w:rPr>
            </w:pPr>
            <w:r>
              <w:rPr>
                <w:rFonts w:ascii="Verdana" w:cs="Verdana" w:eastAsia="Verdana" w:hAnsi="Verdana"/>
                <w:sz w:val="18"/>
                <w:szCs w:val="18"/>
                <w:color w:val="auto"/>
              </w:rPr>
              <w:t>(2,064)</w:t>
            </w:r>
          </w:p>
        </w:tc>
        <w:tc>
          <w:tcPr>
            <w:tcW w:w="1740" w:type="dxa"/>
            <w:vAlign w:val="bottom"/>
            <w:gridSpan w:val="6"/>
          </w:tcPr>
          <w:p>
            <w:pPr>
              <w:jc w:val="right"/>
              <w:ind w:right="400"/>
              <w:spacing w:after="0"/>
              <w:rPr>
                <w:sz w:val="20"/>
                <w:szCs w:val="20"/>
                <w:color w:val="auto"/>
              </w:rPr>
            </w:pPr>
            <w:r>
              <w:rPr>
                <w:rFonts w:ascii="Verdana" w:cs="Verdana" w:eastAsia="Verdana" w:hAnsi="Verdana"/>
                <w:sz w:val="18"/>
                <w:szCs w:val="18"/>
                <w:color w:val="auto"/>
              </w:rPr>
              <w:t>(12,630)</w:t>
            </w:r>
          </w:p>
        </w:tc>
      </w:tr>
      <w:tr>
        <w:trPr>
          <w:trHeight w:val="216"/>
        </w:trPr>
        <w:tc>
          <w:tcPr>
            <w:tcW w:w="5080" w:type="dxa"/>
            <w:vAlign w:val="bottom"/>
          </w:tcPr>
          <w:p>
            <w:pPr>
              <w:ind w:left="500"/>
              <w:spacing w:after="0" w:line="217" w:lineRule="exact"/>
              <w:rPr>
                <w:sz w:val="20"/>
                <w:szCs w:val="20"/>
                <w:color w:val="auto"/>
              </w:rPr>
            </w:pPr>
            <w:r>
              <w:rPr>
                <w:rFonts w:ascii="Verdana" w:cs="Verdana" w:eastAsia="Verdana" w:hAnsi="Verdana"/>
                <w:sz w:val="18"/>
                <w:szCs w:val="18"/>
                <w:color w:val="auto"/>
              </w:rPr>
              <w:t>Increase (decrease) in accounts payable and</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43"/>
        </w:trPr>
        <w:tc>
          <w:tcPr>
            <w:tcW w:w="5080" w:type="dxa"/>
            <w:vAlign w:val="bottom"/>
          </w:tcPr>
          <w:p>
            <w:pPr>
              <w:ind w:left="740"/>
              <w:spacing w:after="0"/>
              <w:rPr>
                <w:sz w:val="20"/>
                <w:szCs w:val="20"/>
                <w:color w:val="auto"/>
              </w:rPr>
            </w:pPr>
            <w:r>
              <w:rPr>
                <w:rFonts w:ascii="Verdana" w:cs="Verdana" w:eastAsia="Verdana" w:hAnsi="Verdana"/>
                <w:sz w:val="18"/>
                <w:szCs w:val="18"/>
                <w:color w:val="auto"/>
              </w:rPr>
              <w:t>accrued liabilities</w:t>
            </w:r>
          </w:p>
        </w:tc>
        <w:tc>
          <w:tcPr>
            <w:tcW w:w="1380" w:type="dxa"/>
            <w:vAlign w:val="bottom"/>
            <w:gridSpan w:val="4"/>
          </w:tcPr>
          <w:p>
            <w:pPr>
              <w:jc w:val="right"/>
              <w:spacing w:after="0"/>
              <w:rPr>
                <w:sz w:val="20"/>
                <w:szCs w:val="20"/>
                <w:color w:val="auto"/>
              </w:rPr>
            </w:pPr>
            <w:r>
              <w:rPr>
                <w:rFonts w:ascii="Verdana" w:cs="Verdana" w:eastAsia="Verdana" w:hAnsi="Verdana"/>
                <w:sz w:val="18"/>
                <w:szCs w:val="18"/>
                <w:color w:val="auto"/>
              </w:rPr>
              <w:t>15,766</w:t>
            </w:r>
          </w:p>
        </w:tc>
        <w:tc>
          <w:tcPr>
            <w:tcW w:w="500" w:type="dxa"/>
            <w:vAlign w:val="bottom"/>
          </w:tcPr>
          <w:p>
            <w:pPr>
              <w:spacing w:after="0"/>
              <w:rPr>
                <w:sz w:val="21"/>
                <w:szCs w:val="21"/>
                <w:color w:val="auto"/>
              </w:rPr>
            </w:pPr>
          </w:p>
        </w:tc>
        <w:tc>
          <w:tcPr>
            <w:tcW w:w="1740" w:type="dxa"/>
            <w:vAlign w:val="bottom"/>
            <w:gridSpan w:val="6"/>
          </w:tcPr>
          <w:p>
            <w:pPr>
              <w:jc w:val="right"/>
              <w:ind w:right="400"/>
              <w:spacing w:after="0"/>
              <w:rPr>
                <w:sz w:val="20"/>
                <w:szCs w:val="20"/>
                <w:color w:val="auto"/>
              </w:rPr>
            </w:pPr>
            <w:r>
              <w:rPr>
                <w:rFonts w:ascii="Verdana" w:cs="Verdana" w:eastAsia="Verdana" w:hAnsi="Verdana"/>
                <w:sz w:val="18"/>
                <w:szCs w:val="18"/>
                <w:color w:val="auto"/>
              </w:rPr>
              <w:t>(13,968)</w:t>
            </w:r>
          </w:p>
        </w:tc>
      </w:tr>
      <w:tr>
        <w:trPr>
          <w:trHeight w:val="243"/>
        </w:trPr>
        <w:tc>
          <w:tcPr>
            <w:tcW w:w="5080" w:type="dxa"/>
            <w:vAlign w:val="bottom"/>
          </w:tcPr>
          <w:p>
            <w:pPr>
              <w:ind w:left="500"/>
              <w:spacing w:after="0"/>
              <w:rPr>
                <w:sz w:val="20"/>
                <w:szCs w:val="20"/>
                <w:color w:val="auto"/>
              </w:rPr>
            </w:pPr>
            <w:r>
              <w:rPr>
                <w:rFonts w:ascii="Verdana" w:cs="Verdana" w:eastAsia="Verdana" w:hAnsi="Verdana"/>
                <w:sz w:val="18"/>
                <w:szCs w:val="18"/>
                <w:color w:val="auto"/>
              </w:rPr>
              <w:t>Decrease in deferred subscription</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43"/>
        </w:trPr>
        <w:tc>
          <w:tcPr>
            <w:tcW w:w="5080" w:type="dxa"/>
            <w:vAlign w:val="bottom"/>
          </w:tcPr>
          <w:p>
            <w:pPr>
              <w:ind w:left="620"/>
              <w:spacing w:after="0"/>
              <w:rPr>
                <w:sz w:val="20"/>
                <w:szCs w:val="20"/>
                <w:color w:val="auto"/>
              </w:rPr>
            </w:pPr>
            <w:r>
              <w:rPr>
                <w:rFonts w:ascii="Verdana" w:cs="Verdana" w:eastAsia="Verdana" w:hAnsi="Verdana"/>
                <w:sz w:val="18"/>
                <w:szCs w:val="18"/>
                <w:color w:val="auto"/>
              </w:rPr>
              <w:t>revenue</w:t>
            </w:r>
          </w:p>
        </w:tc>
        <w:tc>
          <w:tcPr>
            <w:tcW w:w="1880" w:type="dxa"/>
            <w:vAlign w:val="bottom"/>
            <w:gridSpan w:val="5"/>
          </w:tcPr>
          <w:p>
            <w:pPr>
              <w:jc w:val="right"/>
              <w:ind w:right="440"/>
              <w:spacing w:after="0"/>
              <w:rPr>
                <w:sz w:val="20"/>
                <w:szCs w:val="20"/>
                <w:color w:val="auto"/>
              </w:rPr>
            </w:pPr>
            <w:r>
              <w:rPr>
                <w:rFonts w:ascii="Verdana" w:cs="Verdana" w:eastAsia="Verdana" w:hAnsi="Verdana"/>
                <w:sz w:val="18"/>
                <w:szCs w:val="18"/>
                <w:color w:val="auto"/>
              </w:rPr>
              <w:t>(1,876)</w:t>
            </w:r>
          </w:p>
        </w:tc>
        <w:tc>
          <w:tcPr>
            <w:tcW w:w="1740" w:type="dxa"/>
            <w:vAlign w:val="bottom"/>
            <w:gridSpan w:val="6"/>
          </w:tcPr>
          <w:p>
            <w:pPr>
              <w:jc w:val="right"/>
              <w:ind w:right="400"/>
              <w:spacing w:after="0"/>
              <w:rPr>
                <w:sz w:val="20"/>
                <w:szCs w:val="20"/>
                <w:color w:val="auto"/>
              </w:rPr>
            </w:pPr>
            <w:r>
              <w:rPr>
                <w:rFonts w:ascii="Verdana" w:cs="Verdana" w:eastAsia="Verdana" w:hAnsi="Verdana"/>
                <w:sz w:val="18"/>
                <w:szCs w:val="18"/>
                <w:color w:val="auto"/>
              </w:rPr>
              <w:t>(2,648)</w:t>
            </w:r>
          </w:p>
        </w:tc>
      </w:tr>
      <w:tr>
        <w:trPr>
          <w:trHeight w:val="216"/>
        </w:trPr>
        <w:tc>
          <w:tcPr>
            <w:tcW w:w="5080" w:type="dxa"/>
            <w:vAlign w:val="bottom"/>
          </w:tcPr>
          <w:p>
            <w:pPr>
              <w:ind w:left="500"/>
              <w:spacing w:after="0" w:line="217" w:lineRule="exact"/>
              <w:rPr>
                <w:sz w:val="20"/>
                <w:szCs w:val="20"/>
                <w:color w:val="auto"/>
              </w:rPr>
            </w:pPr>
            <w:r>
              <w:rPr>
                <w:rFonts w:ascii="Verdana" w:cs="Verdana" w:eastAsia="Verdana" w:hAnsi="Verdana"/>
                <w:sz w:val="18"/>
                <w:szCs w:val="18"/>
                <w:color w:val="auto"/>
              </w:rPr>
              <w:t>Decrease in income taxes receivable</w:t>
            </w:r>
          </w:p>
        </w:tc>
        <w:tc>
          <w:tcPr>
            <w:tcW w:w="1380" w:type="dxa"/>
            <w:vAlign w:val="bottom"/>
            <w:gridSpan w:val="4"/>
          </w:tcPr>
          <w:p>
            <w:pPr>
              <w:jc w:val="right"/>
              <w:spacing w:after="0" w:line="217" w:lineRule="exact"/>
              <w:rPr>
                <w:sz w:val="20"/>
                <w:szCs w:val="20"/>
                <w:color w:val="auto"/>
              </w:rPr>
            </w:pPr>
            <w:r>
              <w:rPr>
                <w:rFonts w:ascii="Verdana" w:cs="Verdana" w:eastAsia="Verdana" w:hAnsi="Verdana"/>
                <w:sz w:val="18"/>
                <w:szCs w:val="18"/>
                <w:color w:val="auto"/>
              </w:rPr>
              <w:t>10,253</w:t>
            </w:r>
          </w:p>
        </w:tc>
        <w:tc>
          <w:tcPr>
            <w:tcW w:w="500" w:type="dxa"/>
            <w:vAlign w:val="bottom"/>
          </w:tcPr>
          <w:p>
            <w:pPr>
              <w:spacing w:after="0"/>
              <w:rPr>
                <w:sz w:val="18"/>
                <w:szCs w:val="18"/>
                <w:color w:val="auto"/>
              </w:rPr>
            </w:pPr>
          </w:p>
        </w:tc>
        <w:tc>
          <w:tcPr>
            <w:tcW w:w="1280" w:type="dxa"/>
            <w:vAlign w:val="bottom"/>
            <w:gridSpan w:val="5"/>
          </w:tcPr>
          <w:p>
            <w:pPr>
              <w:jc w:val="right"/>
              <w:ind w:right="20"/>
              <w:spacing w:after="0" w:line="217" w:lineRule="exact"/>
              <w:rPr>
                <w:sz w:val="20"/>
                <w:szCs w:val="20"/>
                <w:color w:val="auto"/>
              </w:rPr>
            </w:pPr>
            <w:r>
              <w:rPr>
                <w:rFonts w:ascii="Verdana" w:cs="Verdana" w:eastAsia="Verdana" w:hAnsi="Verdana"/>
                <w:sz w:val="18"/>
                <w:szCs w:val="18"/>
                <w:color w:val="auto"/>
              </w:rPr>
              <w:t>12,370</w:t>
            </w:r>
          </w:p>
        </w:tc>
        <w:tc>
          <w:tcPr>
            <w:tcW w:w="460" w:type="dxa"/>
            <w:vAlign w:val="bottom"/>
          </w:tcPr>
          <w:p>
            <w:pPr>
              <w:spacing w:after="0"/>
              <w:rPr>
                <w:sz w:val="18"/>
                <w:szCs w:val="18"/>
                <w:color w:val="auto"/>
              </w:rPr>
            </w:pPr>
          </w:p>
        </w:tc>
      </w:tr>
      <w:tr>
        <w:trPr>
          <w:trHeight w:val="243"/>
        </w:trPr>
        <w:tc>
          <w:tcPr>
            <w:tcW w:w="5080" w:type="dxa"/>
            <w:vAlign w:val="bottom"/>
          </w:tcPr>
          <w:p>
            <w:pPr>
              <w:ind w:left="500"/>
              <w:spacing w:after="0"/>
              <w:rPr>
                <w:sz w:val="20"/>
                <w:szCs w:val="20"/>
                <w:color w:val="auto"/>
              </w:rPr>
            </w:pPr>
            <w:r>
              <w:rPr>
                <w:rFonts w:ascii="Verdana" w:cs="Verdana" w:eastAsia="Verdana" w:hAnsi="Verdana"/>
                <w:sz w:val="18"/>
                <w:szCs w:val="18"/>
                <w:color w:val="auto"/>
              </w:rPr>
              <w:t>Increase in income taxes payable</w:t>
            </w:r>
          </w:p>
        </w:tc>
        <w:tc>
          <w:tcPr>
            <w:tcW w:w="1380" w:type="dxa"/>
            <w:vAlign w:val="bottom"/>
            <w:gridSpan w:val="4"/>
          </w:tcPr>
          <w:p>
            <w:pPr>
              <w:jc w:val="right"/>
              <w:spacing w:after="0"/>
              <w:rPr>
                <w:sz w:val="20"/>
                <w:szCs w:val="20"/>
                <w:color w:val="auto"/>
              </w:rPr>
            </w:pPr>
            <w:r>
              <w:rPr>
                <w:rFonts w:ascii="Verdana" w:cs="Verdana" w:eastAsia="Verdana" w:hAnsi="Verdana"/>
                <w:sz w:val="18"/>
                <w:szCs w:val="18"/>
                <w:color w:val="auto"/>
              </w:rPr>
              <w:t>578</w:t>
            </w:r>
          </w:p>
        </w:tc>
        <w:tc>
          <w:tcPr>
            <w:tcW w:w="500" w:type="dxa"/>
            <w:vAlign w:val="bottom"/>
          </w:tcPr>
          <w:p>
            <w:pPr>
              <w:spacing w:after="0"/>
              <w:rPr>
                <w:sz w:val="21"/>
                <w:szCs w:val="21"/>
                <w:color w:val="auto"/>
              </w:rPr>
            </w:pPr>
          </w:p>
        </w:tc>
        <w:tc>
          <w:tcPr>
            <w:tcW w:w="1280" w:type="dxa"/>
            <w:vAlign w:val="bottom"/>
            <w:gridSpan w:val="5"/>
          </w:tcPr>
          <w:p>
            <w:pPr>
              <w:jc w:val="right"/>
              <w:ind w:right="20"/>
              <w:spacing w:after="0"/>
              <w:rPr>
                <w:sz w:val="20"/>
                <w:szCs w:val="20"/>
                <w:color w:val="auto"/>
              </w:rPr>
            </w:pPr>
            <w:r>
              <w:rPr>
                <w:rFonts w:ascii="Verdana" w:cs="Verdana" w:eastAsia="Verdana" w:hAnsi="Verdana"/>
                <w:sz w:val="18"/>
                <w:szCs w:val="18"/>
                <w:color w:val="auto"/>
              </w:rPr>
              <w:t>8,672</w:t>
            </w:r>
          </w:p>
        </w:tc>
        <w:tc>
          <w:tcPr>
            <w:tcW w:w="460" w:type="dxa"/>
            <w:vAlign w:val="bottom"/>
          </w:tcPr>
          <w:p>
            <w:pPr>
              <w:spacing w:after="0"/>
              <w:rPr>
                <w:sz w:val="21"/>
                <w:szCs w:val="21"/>
                <w:color w:val="auto"/>
              </w:rPr>
            </w:pPr>
          </w:p>
        </w:tc>
      </w:tr>
      <w:tr>
        <w:trPr>
          <w:trHeight w:val="243"/>
        </w:trPr>
        <w:tc>
          <w:tcPr>
            <w:tcW w:w="5080" w:type="dxa"/>
            <w:vAlign w:val="bottom"/>
          </w:tcPr>
          <w:p>
            <w:pPr>
              <w:ind w:left="500"/>
              <w:spacing w:after="0"/>
              <w:rPr>
                <w:sz w:val="20"/>
                <w:szCs w:val="20"/>
                <w:color w:val="auto"/>
              </w:rPr>
            </w:pPr>
            <w:r>
              <w:rPr>
                <w:rFonts w:ascii="Verdana" w:cs="Verdana" w:eastAsia="Verdana" w:hAnsi="Verdana"/>
                <w:sz w:val="18"/>
                <w:szCs w:val="18"/>
                <w:color w:val="auto"/>
              </w:rPr>
              <w:t>(Increase) decrease in other assets and</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43"/>
        </w:trPr>
        <w:tc>
          <w:tcPr>
            <w:tcW w:w="5080" w:type="dxa"/>
            <w:vAlign w:val="bottom"/>
          </w:tcPr>
          <w:p>
            <w:pPr>
              <w:ind w:left="620"/>
              <w:spacing w:after="0"/>
              <w:rPr>
                <w:sz w:val="20"/>
                <w:szCs w:val="20"/>
                <w:color w:val="auto"/>
              </w:rPr>
            </w:pPr>
            <w:r>
              <w:rPr>
                <w:rFonts w:ascii="Verdana" w:cs="Verdana" w:eastAsia="Verdana" w:hAnsi="Verdana"/>
                <w:sz w:val="18"/>
                <w:szCs w:val="18"/>
                <w:color w:val="auto"/>
              </w:rPr>
              <w:t>other liabilities, net</w:t>
            </w:r>
          </w:p>
        </w:tc>
        <w:tc>
          <w:tcPr>
            <w:tcW w:w="1880" w:type="dxa"/>
            <w:vAlign w:val="bottom"/>
            <w:gridSpan w:val="5"/>
          </w:tcPr>
          <w:p>
            <w:pPr>
              <w:jc w:val="right"/>
              <w:ind w:right="440"/>
              <w:spacing w:after="0"/>
              <w:rPr>
                <w:sz w:val="20"/>
                <w:szCs w:val="20"/>
                <w:color w:val="auto"/>
              </w:rPr>
            </w:pPr>
            <w:r>
              <w:rPr>
                <w:rFonts w:ascii="Verdana" w:cs="Verdana" w:eastAsia="Verdana" w:hAnsi="Verdana"/>
                <w:sz w:val="18"/>
                <w:szCs w:val="18"/>
                <w:color w:val="auto"/>
              </w:rPr>
              <w:t>(5,561)</w:t>
            </w:r>
          </w:p>
        </w:tc>
        <w:tc>
          <w:tcPr>
            <w:tcW w:w="1280" w:type="dxa"/>
            <w:vAlign w:val="bottom"/>
            <w:gridSpan w:val="5"/>
          </w:tcPr>
          <w:p>
            <w:pPr>
              <w:jc w:val="right"/>
              <w:ind w:right="20"/>
              <w:spacing w:after="0"/>
              <w:rPr>
                <w:sz w:val="20"/>
                <w:szCs w:val="20"/>
                <w:color w:val="auto"/>
              </w:rPr>
            </w:pPr>
            <w:r>
              <w:rPr>
                <w:rFonts w:ascii="Verdana" w:cs="Verdana" w:eastAsia="Verdana" w:hAnsi="Verdana"/>
                <w:sz w:val="18"/>
                <w:szCs w:val="18"/>
                <w:color w:val="auto"/>
              </w:rPr>
              <w:t>15,025</w:t>
            </w:r>
          </w:p>
        </w:tc>
        <w:tc>
          <w:tcPr>
            <w:tcW w:w="460" w:type="dxa"/>
            <w:vAlign w:val="bottom"/>
          </w:tcPr>
          <w:p>
            <w:pPr>
              <w:spacing w:after="0"/>
              <w:rPr>
                <w:sz w:val="21"/>
                <w:szCs w:val="21"/>
                <w:color w:val="auto"/>
              </w:rPr>
            </w:pPr>
          </w:p>
        </w:tc>
      </w:tr>
      <w:tr>
        <w:trPr>
          <w:trHeight w:val="221"/>
        </w:trPr>
        <w:tc>
          <w:tcPr>
            <w:tcW w:w="5080" w:type="dxa"/>
            <w:vAlign w:val="bottom"/>
          </w:tcPr>
          <w:p>
            <w:pPr>
              <w:ind w:left="500"/>
              <w:spacing w:after="0"/>
              <w:rPr>
                <w:sz w:val="20"/>
                <w:szCs w:val="20"/>
                <w:color w:val="auto"/>
              </w:rPr>
            </w:pPr>
            <w:r>
              <w:rPr>
                <w:rFonts w:ascii="Verdana" w:cs="Verdana" w:eastAsia="Verdana" w:hAnsi="Verdana"/>
                <w:sz w:val="18"/>
                <w:szCs w:val="18"/>
                <w:color w:val="auto"/>
              </w:rPr>
              <w:t>Other</w:t>
            </w:r>
          </w:p>
        </w:tc>
        <w:tc>
          <w:tcPr>
            <w:tcW w:w="720" w:type="dxa"/>
            <w:vAlign w:val="bottom"/>
            <w:gridSpan w:val="2"/>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Verdana" w:cs="Verdana" w:eastAsia="Verdana" w:hAnsi="Verdana"/>
                <w:sz w:val="18"/>
                <w:szCs w:val="18"/>
                <w:color w:val="auto"/>
              </w:rPr>
              <w:t>136</w:t>
            </w:r>
          </w:p>
        </w:tc>
        <w:tc>
          <w:tcPr>
            <w:tcW w:w="500" w:type="dxa"/>
            <w:vAlign w:val="bottom"/>
          </w:tcPr>
          <w:p>
            <w:pPr>
              <w:spacing w:after="0"/>
              <w:rPr>
                <w:sz w:val="19"/>
                <w:szCs w:val="19"/>
                <w:color w:val="auto"/>
              </w:rPr>
            </w:pPr>
          </w:p>
        </w:tc>
        <w:tc>
          <w:tcPr>
            <w:tcW w:w="620" w:type="dxa"/>
            <w:vAlign w:val="bottom"/>
            <w:gridSpan w:val="2"/>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Verdana" w:cs="Verdana" w:eastAsia="Verdana" w:hAnsi="Verdana"/>
                <w:sz w:val="18"/>
                <w:szCs w:val="18"/>
                <w:color w:val="auto"/>
              </w:rPr>
              <w:t>208</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66"/>
        </w:trPr>
        <w:tc>
          <w:tcPr>
            <w:tcW w:w="5080" w:type="dxa"/>
            <w:vAlign w:val="bottom"/>
          </w:tcPr>
          <w:p>
            <w:pPr>
              <w:ind w:left="260"/>
              <w:spacing w:after="0"/>
              <w:rPr>
                <w:sz w:val="20"/>
                <w:szCs w:val="20"/>
                <w:color w:val="auto"/>
              </w:rPr>
            </w:pPr>
            <w:r>
              <w:rPr>
                <w:rFonts w:ascii="Verdana" w:cs="Verdana" w:eastAsia="Verdana" w:hAnsi="Verdana"/>
                <w:sz w:val="18"/>
                <w:szCs w:val="18"/>
                <w:color w:val="auto"/>
              </w:rPr>
              <w:t>Net cash provided by operating activities</w:t>
            </w:r>
          </w:p>
        </w:tc>
        <w:tc>
          <w:tcPr>
            <w:tcW w:w="1380" w:type="dxa"/>
            <w:vAlign w:val="bottom"/>
            <w:gridSpan w:val="4"/>
          </w:tcPr>
          <w:p>
            <w:pPr>
              <w:jc w:val="right"/>
              <w:spacing w:after="0"/>
              <w:rPr>
                <w:sz w:val="20"/>
                <w:szCs w:val="20"/>
                <w:color w:val="auto"/>
              </w:rPr>
            </w:pPr>
            <w:r>
              <w:rPr>
                <w:rFonts w:ascii="Verdana" w:cs="Verdana" w:eastAsia="Verdana" w:hAnsi="Verdana"/>
                <w:sz w:val="18"/>
                <w:szCs w:val="18"/>
                <w:color w:val="auto"/>
              </w:rPr>
              <w:t>116,169</w:t>
            </w:r>
          </w:p>
        </w:tc>
        <w:tc>
          <w:tcPr>
            <w:tcW w:w="500" w:type="dxa"/>
            <w:vAlign w:val="bottom"/>
          </w:tcPr>
          <w:p>
            <w:pPr>
              <w:spacing w:after="0"/>
              <w:rPr>
                <w:sz w:val="24"/>
                <w:szCs w:val="24"/>
                <w:color w:val="auto"/>
              </w:rPr>
            </w:pPr>
          </w:p>
        </w:tc>
        <w:tc>
          <w:tcPr>
            <w:tcW w:w="1280" w:type="dxa"/>
            <w:vAlign w:val="bottom"/>
            <w:gridSpan w:val="5"/>
          </w:tcPr>
          <w:p>
            <w:pPr>
              <w:jc w:val="right"/>
              <w:ind w:right="20"/>
              <w:spacing w:after="0"/>
              <w:rPr>
                <w:sz w:val="20"/>
                <w:szCs w:val="20"/>
                <w:color w:val="auto"/>
              </w:rPr>
            </w:pPr>
            <w:r>
              <w:rPr>
                <w:rFonts w:ascii="Verdana" w:cs="Verdana" w:eastAsia="Verdana" w:hAnsi="Verdana"/>
                <w:sz w:val="18"/>
                <w:szCs w:val="18"/>
                <w:color w:val="auto"/>
              </w:rPr>
              <w:t>68,983</w:t>
            </w:r>
          </w:p>
        </w:tc>
        <w:tc>
          <w:tcPr>
            <w:tcW w:w="460" w:type="dxa"/>
            <w:vAlign w:val="bottom"/>
          </w:tcPr>
          <w:p>
            <w:pPr>
              <w:spacing w:after="0"/>
              <w:rPr>
                <w:sz w:val="24"/>
                <w:szCs w:val="24"/>
                <w:color w:val="auto"/>
              </w:rPr>
            </w:pPr>
          </w:p>
        </w:tc>
      </w:tr>
      <w:tr>
        <w:trPr>
          <w:trHeight w:val="489"/>
        </w:trPr>
        <w:tc>
          <w:tcPr>
            <w:tcW w:w="5080" w:type="dxa"/>
            <w:vAlign w:val="bottom"/>
          </w:tcPr>
          <w:p>
            <w:pPr>
              <w:spacing w:after="0"/>
              <w:rPr>
                <w:sz w:val="20"/>
                <w:szCs w:val="20"/>
                <w:color w:val="auto"/>
              </w:rPr>
            </w:pPr>
            <w:r>
              <w:rPr>
                <w:rFonts w:ascii="Verdana" w:cs="Verdana" w:eastAsia="Verdana" w:hAnsi="Verdana"/>
                <w:sz w:val="18"/>
                <w:szCs w:val="18"/>
                <w:color w:val="auto"/>
              </w:rPr>
              <w:t>Cash flows from investing activities:</w:t>
            </w:r>
          </w:p>
        </w:tc>
        <w:tc>
          <w:tcPr>
            <w:tcW w:w="5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43"/>
        </w:trPr>
        <w:tc>
          <w:tcPr>
            <w:tcW w:w="5080" w:type="dxa"/>
            <w:vAlign w:val="bottom"/>
          </w:tcPr>
          <w:p>
            <w:pPr>
              <w:ind w:left="140"/>
              <w:spacing w:after="0"/>
              <w:rPr>
                <w:sz w:val="20"/>
                <w:szCs w:val="20"/>
                <w:color w:val="auto"/>
              </w:rPr>
            </w:pPr>
            <w:r>
              <w:rPr>
                <w:rFonts w:ascii="Verdana" w:cs="Verdana" w:eastAsia="Verdana" w:hAnsi="Verdana"/>
                <w:sz w:val="18"/>
                <w:szCs w:val="18"/>
                <w:color w:val="auto"/>
              </w:rPr>
              <w:t>Purchases of property, plant and equipment</w:t>
            </w:r>
          </w:p>
        </w:tc>
        <w:tc>
          <w:tcPr>
            <w:tcW w:w="1880" w:type="dxa"/>
            <w:vAlign w:val="bottom"/>
            <w:gridSpan w:val="5"/>
          </w:tcPr>
          <w:p>
            <w:pPr>
              <w:jc w:val="right"/>
              <w:ind w:right="440"/>
              <w:spacing w:after="0"/>
              <w:rPr>
                <w:sz w:val="20"/>
                <w:szCs w:val="20"/>
                <w:color w:val="auto"/>
              </w:rPr>
            </w:pPr>
            <w:r>
              <w:rPr>
                <w:rFonts w:ascii="Verdana" w:cs="Verdana" w:eastAsia="Verdana" w:hAnsi="Verdana"/>
                <w:sz w:val="18"/>
                <w:szCs w:val="18"/>
                <w:color w:val="auto"/>
              </w:rPr>
              <w:t>(37,310)</w:t>
            </w:r>
          </w:p>
        </w:tc>
        <w:tc>
          <w:tcPr>
            <w:tcW w:w="1740" w:type="dxa"/>
            <w:vAlign w:val="bottom"/>
            <w:gridSpan w:val="6"/>
          </w:tcPr>
          <w:p>
            <w:pPr>
              <w:jc w:val="right"/>
              <w:ind w:right="400"/>
              <w:spacing w:after="0"/>
              <w:rPr>
                <w:sz w:val="20"/>
                <w:szCs w:val="20"/>
                <w:color w:val="auto"/>
              </w:rPr>
            </w:pPr>
            <w:r>
              <w:rPr>
                <w:rFonts w:ascii="Verdana" w:cs="Verdana" w:eastAsia="Verdana" w:hAnsi="Verdana"/>
                <w:sz w:val="18"/>
                <w:szCs w:val="18"/>
                <w:color w:val="auto"/>
              </w:rPr>
              <w:t>(49,073)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5497830</wp:posOffset>
            </wp:positionH>
            <wp:positionV relativeFrom="paragraph">
              <wp:posOffset>-5266055</wp:posOffset>
            </wp:positionV>
            <wp:extent cx="3429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9" w:orient="portrait"/>
          <w:cols w:equalWidth="0" w:num="1">
            <w:col w:w="11360"/>
          </w:cols>
          <w:pgMar w:left="240" w:top="132" w:right="29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9"/>
        </w:trPr>
        <w:tc>
          <w:tcPr>
            <w:tcW w:w="5600" w:type="dxa"/>
            <w:vAlign w:val="bottom"/>
          </w:tcPr>
          <w:p>
            <w:pPr>
              <w:ind w:left="140"/>
              <w:spacing w:after="0"/>
              <w:rPr>
                <w:sz w:val="20"/>
                <w:szCs w:val="20"/>
                <w:color w:val="auto"/>
              </w:rPr>
            </w:pPr>
            <w:r>
              <w:rPr>
                <w:rFonts w:ascii="Verdana" w:cs="Verdana" w:eastAsia="Verdana" w:hAnsi="Verdana"/>
                <w:sz w:val="18"/>
                <w:szCs w:val="18"/>
                <w:color w:val="auto"/>
              </w:rPr>
              <w:t>Investments in certain businesses</w:t>
            </w:r>
          </w:p>
        </w:tc>
        <w:tc>
          <w:tcPr>
            <w:tcW w:w="1780" w:type="dxa"/>
            <w:vAlign w:val="bottom"/>
            <w:gridSpan w:val="8"/>
          </w:tcPr>
          <w:p>
            <w:pPr>
              <w:jc w:val="right"/>
              <w:ind w:right="860"/>
              <w:spacing w:after="0"/>
              <w:rPr>
                <w:sz w:val="20"/>
                <w:szCs w:val="20"/>
                <w:color w:val="auto"/>
              </w:rPr>
            </w:pPr>
            <w:r>
              <w:rPr>
                <w:rFonts w:ascii="Verdana" w:cs="Verdana" w:eastAsia="Verdana" w:hAnsi="Verdana"/>
                <w:sz w:val="18"/>
                <w:szCs w:val="18"/>
                <w:color w:val="auto"/>
              </w:rPr>
              <w:t>(16,907)</w:t>
            </w:r>
          </w:p>
        </w:tc>
        <w:tc>
          <w:tcPr>
            <w:tcW w:w="920" w:type="dxa"/>
            <w:vAlign w:val="bottom"/>
            <w:gridSpan w:val="6"/>
          </w:tcPr>
          <w:p>
            <w:pPr>
              <w:jc w:val="right"/>
              <w:spacing w:after="0"/>
              <w:rPr>
                <w:sz w:val="20"/>
                <w:szCs w:val="20"/>
                <w:color w:val="auto"/>
              </w:rPr>
            </w:pPr>
            <w:r>
              <w:rPr>
                <w:rFonts w:ascii="Verdana" w:cs="Verdana" w:eastAsia="Verdana" w:hAnsi="Verdana"/>
                <w:sz w:val="18"/>
                <w:szCs w:val="18"/>
                <w:color w:val="auto"/>
              </w:rPr>
              <w:t>(95,023)</w:t>
            </w:r>
          </w:p>
        </w:tc>
      </w:tr>
      <w:tr>
        <w:trPr>
          <w:trHeight w:val="216"/>
        </w:trPr>
        <w:tc>
          <w:tcPr>
            <w:tcW w:w="5600" w:type="dxa"/>
            <w:vAlign w:val="bottom"/>
          </w:tcPr>
          <w:p>
            <w:pPr>
              <w:ind w:left="140"/>
              <w:spacing w:after="0" w:line="217" w:lineRule="exact"/>
              <w:rPr>
                <w:sz w:val="20"/>
                <w:szCs w:val="20"/>
                <w:color w:val="auto"/>
              </w:rPr>
            </w:pPr>
            <w:r>
              <w:rPr>
                <w:rFonts w:ascii="Verdana" w:cs="Verdana" w:eastAsia="Verdana" w:hAnsi="Verdana"/>
                <w:sz w:val="18"/>
                <w:szCs w:val="18"/>
                <w:color w:val="auto"/>
              </w:rPr>
              <w:t>Proceeds from the sale of business</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3"/>
          </w:tcPr>
          <w:p>
            <w:pPr>
              <w:jc w:val="right"/>
              <w:ind w:right="920"/>
              <w:spacing w:after="0" w:line="217" w:lineRule="exact"/>
              <w:rPr>
                <w:sz w:val="20"/>
                <w:szCs w:val="20"/>
                <w:color w:val="auto"/>
              </w:rPr>
            </w:pPr>
            <w:r>
              <w:rPr>
                <w:rFonts w:ascii="Verdana" w:cs="Verdana" w:eastAsia="Verdana" w:hAnsi="Verdana"/>
                <w:sz w:val="18"/>
                <w:szCs w:val="18"/>
                <w:color w:val="auto"/>
              </w:rPr>
              <w:t>—</w:t>
            </w:r>
          </w:p>
        </w:tc>
        <w:tc>
          <w:tcPr>
            <w:tcW w:w="860" w:type="dxa"/>
            <w:vAlign w:val="bottom"/>
            <w:gridSpan w:val="5"/>
          </w:tcPr>
          <w:p>
            <w:pPr>
              <w:jc w:val="right"/>
              <w:spacing w:after="0" w:line="217" w:lineRule="exact"/>
              <w:rPr>
                <w:sz w:val="20"/>
                <w:szCs w:val="20"/>
                <w:color w:val="auto"/>
              </w:rPr>
            </w:pPr>
            <w:r>
              <w:rPr>
                <w:rFonts w:ascii="Verdana" w:cs="Verdana" w:eastAsia="Verdana" w:hAnsi="Verdana"/>
                <w:sz w:val="18"/>
                <w:szCs w:val="18"/>
                <w:color w:val="auto"/>
              </w:rPr>
              <w:t>61,921</w:t>
            </w:r>
          </w:p>
        </w:tc>
        <w:tc>
          <w:tcPr>
            <w:tcW w:w="60" w:type="dxa"/>
            <w:vAlign w:val="bottom"/>
          </w:tcPr>
          <w:p>
            <w:pPr>
              <w:spacing w:after="0"/>
              <w:rPr>
                <w:sz w:val="18"/>
                <w:szCs w:val="18"/>
                <w:color w:val="auto"/>
              </w:rPr>
            </w:pPr>
          </w:p>
        </w:tc>
      </w:tr>
      <w:tr>
        <w:trPr>
          <w:trHeight w:val="243"/>
        </w:trPr>
        <w:tc>
          <w:tcPr>
            <w:tcW w:w="5600" w:type="dxa"/>
            <w:vAlign w:val="bottom"/>
          </w:tcPr>
          <w:p>
            <w:pPr>
              <w:ind w:left="140"/>
              <w:spacing w:after="0"/>
              <w:rPr>
                <w:sz w:val="20"/>
                <w:szCs w:val="20"/>
                <w:color w:val="auto"/>
              </w:rPr>
            </w:pPr>
            <w:r>
              <w:rPr>
                <w:rFonts w:ascii="Verdana" w:cs="Verdana" w:eastAsia="Verdana" w:hAnsi="Verdana"/>
                <w:sz w:val="18"/>
                <w:szCs w:val="18"/>
                <w:color w:val="auto"/>
              </w:rPr>
              <w:t>Proceeds from sale of marketable securities</w:t>
            </w:r>
          </w:p>
        </w:tc>
        <w:tc>
          <w:tcPr>
            <w:tcW w:w="860" w:type="dxa"/>
            <w:vAlign w:val="bottom"/>
            <w:gridSpan w:val="6"/>
          </w:tcPr>
          <w:p>
            <w:pPr>
              <w:jc w:val="right"/>
              <w:spacing w:after="0"/>
              <w:rPr>
                <w:sz w:val="20"/>
                <w:szCs w:val="20"/>
                <w:color w:val="auto"/>
              </w:rPr>
            </w:pPr>
            <w:r>
              <w:rPr>
                <w:rFonts w:ascii="Verdana" w:cs="Verdana" w:eastAsia="Verdana" w:hAnsi="Verdana"/>
                <w:sz w:val="18"/>
                <w:szCs w:val="18"/>
                <w:color w:val="auto"/>
              </w:rPr>
              <w:t>19,701</w:t>
            </w: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Verdana" w:cs="Verdana" w:eastAsia="Verdana" w:hAnsi="Verdana"/>
                <w:sz w:val="18"/>
                <w:szCs w:val="18"/>
                <w:color w:val="auto"/>
              </w:rPr>
              <w:t>—</w:t>
            </w:r>
          </w:p>
        </w:tc>
      </w:tr>
      <w:tr>
        <w:trPr>
          <w:trHeight w:val="243"/>
        </w:trPr>
        <w:tc>
          <w:tcPr>
            <w:tcW w:w="5600" w:type="dxa"/>
            <w:vAlign w:val="bottom"/>
          </w:tcPr>
          <w:p>
            <w:pPr>
              <w:ind w:left="140"/>
              <w:spacing w:after="0"/>
              <w:rPr>
                <w:sz w:val="20"/>
                <w:szCs w:val="20"/>
                <w:color w:val="auto"/>
              </w:rPr>
            </w:pPr>
            <w:r>
              <w:rPr>
                <w:rFonts w:ascii="Verdana" w:cs="Verdana" w:eastAsia="Verdana" w:hAnsi="Verdana"/>
                <w:sz w:val="18"/>
                <w:szCs w:val="18"/>
                <w:color w:val="auto"/>
              </w:rPr>
              <w:t>Investment in affiliates</w:t>
            </w:r>
          </w:p>
        </w:tc>
        <w:tc>
          <w:tcPr>
            <w:tcW w:w="1780" w:type="dxa"/>
            <w:vAlign w:val="bottom"/>
            <w:gridSpan w:val="8"/>
          </w:tcPr>
          <w:p>
            <w:pPr>
              <w:jc w:val="right"/>
              <w:ind w:right="860"/>
              <w:spacing w:after="0"/>
              <w:rPr>
                <w:sz w:val="20"/>
                <w:szCs w:val="20"/>
                <w:color w:val="auto"/>
              </w:rPr>
            </w:pPr>
            <w:r>
              <w:rPr>
                <w:rFonts w:ascii="Verdana" w:cs="Verdana" w:eastAsia="Verdana" w:hAnsi="Verdana"/>
                <w:sz w:val="18"/>
                <w:szCs w:val="18"/>
                <w:color w:val="auto"/>
              </w:rPr>
              <w:t>(7,610)</w:t>
            </w:r>
          </w:p>
        </w:tc>
        <w:tc>
          <w:tcPr>
            <w:tcW w:w="920" w:type="dxa"/>
            <w:vAlign w:val="bottom"/>
            <w:gridSpan w:val="6"/>
          </w:tcPr>
          <w:p>
            <w:pPr>
              <w:jc w:val="right"/>
              <w:spacing w:after="0"/>
              <w:rPr>
                <w:sz w:val="20"/>
                <w:szCs w:val="20"/>
                <w:color w:val="auto"/>
              </w:rPr>
            </w:pPr>
            <w:r>
              <w:rPr>
                <w:rFonts w:ascii="Verdana" w:cs="Verdana" w:eastAsia="Verdana" w:hAnsi="Verdana"/>
                <w:sz w:val="18"/>
                <w:szCs w:val="18"/>
                <w:color w:val="auto"/>
              </w:rPr>
              <w:t>(6,240)</w:t>
            </w:r>
          </w:p>
        </w:tc>
      </w:tr>
      <w:tr>
        <w:trPr>
          <w:trHeight w:val="194"/>
        </w:trPr>
        <w:tc>
          <w:tcPr>
            <w:tcW w:w="5600" w:type="dxa"/>
            <w:vAlign w:val="bottom"/>
          </w:tcPr>
          <w:p>
            <w:pPr>
              <w:ind w:left="140"/>
              <w:spacing w:after="0" w:line="194" w:lineRule="exact"/>
              <w:rPr>
                <w:sz w:val="20"/>
                <w:szCs w:val="20"/>
                <w:color w:val="auto"/>
              </w:rPr>
            </w:pPr>
            <w:r>
              <w:rPr>
                <w:rFonts w:ascii="Verdana" w:cs="Verdana" w:eastAsia="Verdana" w:hAnsi="Verdana"/>
                <w:sz w:val="18"/>
                <w:szCs w:val="18"/>
                <w:color w:val="auto"/>
              </w:rPr>
              <w:t>Other</w:t>
            </w:r>
          </w:p>
        </w:tc>
        <w:tc>
          <w:tcPr>
            <w:tcW w:w="200" w:type="dxa"/>
            <w:vAlign w:val="bottom"/>
            <w:gridSpan w:val="4"/>
          </w:tcPr>
          <w:p>
            <w:pPr>
              <w:spacing w:after="0"/>
              <w:rPr>
                <w:sz w:val="16"/>
                <w:szCs w:val="16"/>
                <w:color w:val="auto"/>
              </w:rPr>
            </w:pPr>
          </w:p>
        </w:tc>
        <w:tc>
          <w:tcPr>
            <w:tcW w:w="660" w:type="dxa"/>
            <w:vAlign w:val="bottom"/>
            <w:tcBorders>
              <w:bottom w:val="single" w:sz="8" w:color="auto"/>
            </w:tcBorders>
            <w:gridSpan w:val="2"/>
          </w:tcPr>
          <w:p>
            <w:pPr>
              <w:jc w:val="right"/>
              <w:spacing w:after="0" w:line="194" w:lineRule="exact"/>
              <w:rPr>
                <w:sz w:val="20"/>
                <w:szCs w:val="20"/>
                <w:color w:val="auto"/>
              </w:rPr>
            </w:pPr>
            <w:r>
              <w:rPr>
                <w:rFonts w:ascii="Verdana" w:cs="Verdana" w:eastAsia="Verdana" w:hAnsi="Verdana"/>
                <w:sz w:val="18"/>
                <w:szCs w:val="18"/>
                <w:color w:val="auto"/>
              </w:rPr>
              <w:t>249</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gridSpan w:val="4"/>
          </w:tcPr>
          <w:p>
            <w:pPr>
              <w:spacing w:after="0"/>
              <w:rPr>
                <w:sz w:val="16"/>
                <w:szCs w:val="16"/>
                <w:color w:val="auto"/>
              </w:rPr>
            </w:pPr>
          </w:p>
        </w:tc>
        <w:tc>
          <w:tcPr>
            <w:tcW w:w="480" w:type="dxa"/>
            <w:vAlign w:val="bottom"/>
            <w:tcBorders>
              <w:bottom w:val="single" w:sz="8" w:color="auto"/>
            </w:tcBorders>
          </w:tcPr>
          <w:p>
            <w:pPr>
              <w:jc w:val="right"/>
              <w:spacing w:after="0" w:line="194" w:lineRule="exact"/>
              <w:rPr>
                <w:sz w:val="20"/>
                <w:szCs w:val="20"/>
                <w:color w:val="auto"/>
              </w:rPr>
            </w:pPr>
            <w:r>
              <w:rPr>
                <w:rFonts w:ascii="Verdana" w:cs="Verdana" w:eastAsia="Verdana" w:hAnsi="Verdana"/>
                <w:sz w:val="18"/>
                <w:szCs w:val="18"/>
                <w:color w:val="auto"/>
              </w:rPr>
              <w:t>340</w:t>
            </w:r>
          </w:p>
        </w:tc>
        <w:tc>
          <w:tcPr>
            <w:tcW w:w="60" w:type="dxa"/>
            <w:vAlign w:val="bottom"/>
          </w:tcPr>
          <w:p>
            <w:pPr>
              <w:spacing w:after="0"/>
              <w:rPr>
                <w:sz w:val="16"/>
                <w:szCs w:val="16"/>
                <w:color w:val="auto"/>
              </w:rPr>
            </w:pPr>
          </w:p>
        </w:tc>
      </w:tr>
      <w:tr>
        <w:trPr>
          <w:trHeight w:val="466"/>
        </w:trPr>
        <w:tc>
          <w:tcPr>
            <w:tcW w:w="5600" w:type="dxa"/>
            <w:vAlign w:val="bottom"/>
          </w:tcPr>
          <w:p>
            <w:pPr>
              <w:ind w:left="260"/>
              <w:spacing w:after="0"/>
              <w:rPr>
                <w:sz w:val="20"/>
                <w:szCs w:val="20"/>
                <w:color w:val="auto"/>
              </w:rPr>
            </w:pPr>
            <w:r>
              <w:rPr>
                <w:rFonts w:ascii="Verdana" w:cs="Verdana" w:eastAsia="Verdana" w:hAnsi="Verdana"/>
                <w:sz w:val="18"/>
                <w:szCs w:val="18"/>
                <w:color w:val="auto"/>
              </w:rPr>
              <w:t>Net cash used in investing activities</w:t>
            </w:r>
          </w:p>
        </w:tc>
        <w:tc>
          <w:tcPr>
            <w:tcW w:w="1780" w:type="dxa"/>
            <w:vAlign w:val="bottom"/>
            <w:gridSpan w:val="8"/>
          </w:tcPr>
          <w:p>
            <w:pPr>
              <w:jc w:val="right"/>
              <w:ind w:right="860"/>
              <w:spacing w:after="0"/>
              <w:rPr>
                <w:sz w:val="20"/>
                <w:szCs w:val="20"/>
                <w:color w:val="auto"/>
              </w:rPr>
            </w:pPr>
            <w:r>
              <w:rPr>
                <w:rFonts w:ascii="Verdana" w:cs="Verdana" w:eastAsia="Verdana" w:hAnsi="Verdana"/>
                <w:sz w:val="18"/>
                <w:szCs w:val="18"/>
                <w:color w:val="auto"/>
              </w:rPr>
              <w:t>(41,877)</w:t>
            </w:r>
          </w:p>
        </w:tc>
        <w:tc>
          <w:tcPr>
            <w:tcW w:w="920" w:type="dxa"/>
            <w:vAlign w:val="bottom"/>
            <w:gridSpan w:val="6"/>
          </w:tcPr>
          <w:p>
            <w:pPr>
              <w:jc w:val="right"/>
              <w:spacing w:after="0"/>
              <w:rPr>
                <w:sz w:val="20"/>
                <w:szCs w:val="20"/>
                <w:color w:val="auto"/>
              </w:rPr>
            </w:pPr>
            <w:r>
              <w:rPr>
                <w:rFonts w:ascii="Verdana" w:cs="Verdana" w:eastAsia="Verdana" w:hAnsi="Verdana"/>
                <w:sz w:val="18"/>
                <w:szCs w:val="18"/>
                <w:color w:val="auto"/>
              </w:rPr>
              <w:t>(88,075)</w:t>
            </w:r>
          </w:p>
        </w:tc>
      </w:tr>
      <w:tr>
        <w:trPr>
          <w:trHeight w:val="462"/>
        </w:trPr>
        <w:tc>
          <w:tcPr>
            <w:tcW w:w="5600" w:type="dxa"/>
            <w:vAlign w:val="bottom"/>
          </w:tcPr>
          <w:p>
            <w:pPr>
              <w:spacing w:after="0"/>
              <w:rPr>
                <w:sz w:val="20"/>
                <w:szCs w:val="20"/>
                <w:color w:val="auto"/>
              </w:rPr>
            </w:pPr>
            <w:r>
              <w:rPr>
                <w:rFonts w:ascii="Verdana" w:cs="Verdana" w:eastAsia="Verdana" w:hAnsi="Verdana"/>
                <w:sz w:val="18"/>
                <w:szCs w:val="18"/>
                <w:color w:val="auto"/>
              </w:rPr>
              <w:t>Cash flows from financing activities:</w:t>
            </w:r>
          </w:p>
        </w:tc>
        <w:tc>
          <w:tcPr>
            <w:tcW w:w="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5600" w:type="dxa"/>
            <w:vAlign w:val="bottom"/>
          </w:tcPr>
          <w:p>
            <w:pPr>
              <w:ind w:left="140"/>
              <w:spacing w:after="0"/>
              <w:rPr>
                <w:sz w:val="20"/>
                <w:szCs w:val="20"/>
                <w:color w:val="auto"/>
              </w:rPr>
            </w:pPr>
            <w:r>
              <w:rPr>
                <w:rFonts w:ascii="Verdana" w:cs="Verdana" w:eastAsia="Verdana" w:hAnsi="Verdana"/>
                <w:sz w:val="18"/>
                <w:szCs w:val="18"/>
                <w:color w:val="auto"/>
              </w:rPr>
              <w:t>Net (repayment) issuance of commercial paper</w:t>
            </w:r>
          </w:p>
        </w:tc>
        <w:tc>
          <w:tcPr>
            <w:tcW w:w="1780" w:type="dxa"/>
            <w:vAlign w:val="bottom"/>
            <w:gridSpan w:val="8"/>
          </w:tcPr>
          <w:p>
            <w:pPr>
              <w:jc w:val="right"/>
              <w:ind w:right="860"/>
              <w:spacing w:after="0"/>
              <w:rPr>
                <w:sz w:val="20"/>
                <w:szCs w:val="20"/>
                <w:color w:val="auto"/>
              </w:rPr>
            </w:pPr>
            <w:r>
              <w:rPr>
                <w:rFonts w:ascii="Verdana" w:cs="Verdana" w:eastAsia="Verdana" w:hAnsi="Verdana"/>
                <w:sz w:val="18"/>
                <w:szCs w:val="18"/>
                <w:color w:val="auto"/>
              </w:rPr>
              <w:t>(69,084)</w:t>
            </w:r>
          </w:p>
        </w:tc>
        <w:tc>
          <w:tcPr>
            <w:tcW w:w="860" w:type="dxa"/>
            <w:vAlign w:val="bottom"/>
            <w:gridSpan w:val="5"/>
          </w:tcPr>
          <w:p>
            <w:pPr>
              <w:jc w:val="right"/>
              <w:spacing w:after="0"/>
              <w:rPr>
                <w:sz w:val="20"/>
                <w:szCs w:val="20"/>
                <w:color w:val="auto"/>
              </w:rPr>
            </w:pPr>
            <w:r>
              <w:rPr>
                <w:rFonts w:ascii="Verdana" w:cs="Verdana" w:eastAsia="Verdana" w:hAnsi="Verdana"/>
                <w:sz w:val="18"/>
                <w:szCs w:val="18"/>
                <w:color w:val="auto"/>
              </w:rPr>
              <w:t>53,311</w:t>
            </w:r>
          </w:p>
        </w:tc>
        <w:tc>
          <w:tcPr>
            <w:tcW w:w="60" w:type="dxa"/>
            <w:vAlign w:val="bottom"/>
          </w:tcPr>
          <w:p>
            <w:pPr>
              <w:spacing w:after="0"/>
              <w:rPr>
                <w:sz w:val="21"/>
                <w:szCs w:val="21"/>
                <w:color w:val="auto"/>
              </w:rPr>
            </w:pPr>
          </w:p>
        </w:tc>
      </w:tr>
      <w:tr>
        <w:trPr>
          <w:trHeight w:val="243"/>
        </w:trPr>
        <w:tc>
          <w:tcPr>
            <w:tcW w:w="5600" w:type="dxa"/>
            <w:vAlign w:val="bottom"/>
          </w:tcPr>
          <w:p>
            <w:pPr>
              <w:ind w:left="140"/>
              <w:spacing w:after="0"/>
              <w:rPr>
                <w:sz w:val="20"/>
                <w:szCs w:val="20"/>
                <w:color w:val="auto"/>
              </w:rPr>
            </w:pPr>
            <w:r>
              <w:rPr>
                <w:rFonts w:ascii="Verdana" w:cs="Verdana" w:eastAsia="Verdana" w:hAnsi="Verdana"/>
                <w:sz w:val="18"/>
                <w:szCs w:val="18"/>
                <w:color w:val="auto"/>
              </w:rPr>
              <w:t>Dividends paid</w:t>
            </w:r>
          </w:p>
        </w:tc>
        <w:tc>
          <w:tcPr>
            <w:tcW w:w="1780" w:type="dxa"/>
            <w:vAlign w:val="bottom"/>
            <w:gridSpan w:val="8"/>
          </w:tcPr>
          <w:p>
            <w:pPr>
              <w:jc w:val="right"/>
              <w:ind w:right="860"/>
              <w:spacing w:after="0"/>
              <w:rPr>
                <w:sz w:val="20"/>
                <w:szCs w:val="20"/>
                <w:color w:val="auto"/>
              </w:rPr>
            </w:pPr>
            <w:r>
              <w:rPr>
                <w:rFonts w:ascii="Verdana" w:cs="Verdana" w:eastAsia="Verdana" w:hAnsi="Verdana"/>
                <w:sz w:val="18"/>
                <w:szCs w:val="18"/>
                <w:color w:val="auto"/>
              </w:rPr>
              <w:t>(13,559)</w:t>
            </w:r>
          </w:p>
        </w:tc>
        <w:tc>
          <w:tcPr>
            <w:tcW w:w="920" w:type="dxa"/>
            <w:vAlign w:val="bottom"/>
            <w:gridSpan w:val="6"/>
          </w:tcPr>
          <w:p>
            <w:pPr>
              <w:jc w:val="right"/>
              <w:spacing w:after="0"/>
              <w:rPr>
                <w:sz w:val="20"/>
                <w:szCs w:val="20"/>
                <w:color w:val="auto"/>
              </w:rPr>
            </w:pPr>
            <w:r>
              <w:rPr>
                <w:rFonts w:ascii="Verdana" w:cs="Verdana" w:eastAsia="Verdana" w:hAnsi="Verdana"/>
                <w:sz w:val="18"/>
                <w:szCs w:val="18"/>
                <w:color w:val="auto"/>
              </w:rPr>
              <w:t>(13,529)</w:t>
            </w:r>
          </w:p>
        </w:tc>
      </w:tr>
      <w:tr>
        <w:trPr>
          <w:trHeight w:val="194"/>
        </w:trPr>
        <w:tc>
          <w:tcPr>
            <w:tcW w:w="5600" w:type="dxa"/>
            <w:vAlign w:val="bottom"/>
          </w:tcPr>
          <w:p>
            <w:pPr>
              <w:ind w:left="140"/>
              <w:spacing w:after="0" w:line="194" w:lineRule="exact"/>
              <w:rPr>
                <w:sz w:val="20"/>
                <w:szCs w:val="20"/>
                <w:color w:val="auto"/>
              </w:rPr>
            </w:pPr>
            <w:r>
              <w:rPr>
                <w:rFonts w:ascii="Verdana" w:cs="Verdana" w:eastAsia="Verdana" w:hAnsi="Verdana"/>
                <w:sz w:val="18"/>
                <w:szCs w:val="18"/>
                <w:color w:val="auto"/>
              </w:rPr>
              <w:t>Proceeds from exercise of stock options</w:t>
            </w:r>
          </w:p>
        </w:tc>
        <w:tc>
          <w:tcPr>
            <w:tcW w:w="220" w:type="dxa"/>
            <w:vAlign w:val="bottom"/>
            <w:gridSpan w:val="5"/>
          </w:tcPr>
          <w:p>
            <w:pPr>
              <w:spacing w:after="0"/>
              <w:rPr>
                <w:sz w:val="16"/>
                <w:szCs w:val="16"/>
                <w:color w:val="auto"/>
              </w:rPr>
            </w:pPr>
          </w:p>
        </w:tc>
        <w:tc>
          <w:tcPr>
            <w:tcW w:w="640" w:type="dxa"/>
            <w:vAlign w:val="bottom"/>
            <w:tcBorders>
              <w:bottom w:val="single" w:sz="8" w:color="auto"/>
            </w:tcBorders>
          </w:tcPr>
          <w:p>
            <w:pPr>
              <w:jc w:val="right"/>
              <w:spacing w:after="0" w:line="194" w:lineRule="exact"/>
              <w:rPr>
                <w:sz w:val="20"/>
                <w:szCs w:val="20"/>
                <w:color w:val="auto"/>
              </w:rPr>
            </w:pPr>
            <w:r>
              <w:rPr>
                <w:rFonts w:ascii="Verdana" w:cs="Verdana" w:eastAsia="Verdana" w:hAnsi="Verdana"/>
                <w:sz w:val="18"/>
                <w:szCs w:val="18"/>
                <w:color w:val="auto"/>
              </w:rPr>
              <w:t>2,394</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gridSpan w:val="3"/>
          </w:tcPr>
          <w:p>
            <w:pPr>
              <w:spacing w:after="0"/>
              <w:rPr>
                <w:sz w:val="16"/>
                <w:szCs w:val="16"/>
                <w:color w:val="auto"/>
              </w:rPr>
            </w:pPr>
          </w:p>
        </w:tc>
        <w:tc>
          <w:tcPr>
            <w:tcW w:w="720" w:type="dxa"/>
            <w:vAlign w:val="bottom"/>
            <w:tcBorders>
              <w:bottom w:val="single" w:sz="8" w:color="auto"/>
            </w:tcBorders>
            <w:gridSpan w:val="2"/>
          </w:tcPr>
          <w:p>
            <w:pPr>
              <w:jc w:val="right"/>
              <w:spacing w:after="0" w:line="194" w:lineRule="exact"/>
              <w:rPr>
                <w:sz w:val="20"/>
                <w:szCs w:val="20"/>
                <w:color w:val="auto"/>
              </w:rPr>
            </w:pPr>
            <w:r>
              <w:rPr>
                <w:rFonts w:ascii="Verdana" w:cs="Verdana" w:eastAsia="Verdana" w:hAnsi="Verdana"/>
                <w:sz w:val="18"/>
                <w:szCs w:val="18"/>
                <w:color w:val="auto"/>
              </w:rPr>
              <w:t>1,884</w:t>
            </w:r>
          </w:p>
        </w:tc>
        <w:tc>
          <w:tcPr>
            <w:tcW w:w="60" w:type="dxa"/>
            <w:vAlign w:val="bottom"/>
          </w:tcPr>
          <w:p>
            <w:pPr>
              <w:spacing w:after="0"/>
              <w:rPr>
                <w:sz w:val="16"/>
                <w:szCs w:val="16"/>
                <w:color w:val="auto"/>
              </w:rPr>
            </w:pPr>
          </w:p>
        </w:tc>
      </w:tr>
      <w:tr>
        <w:trPr>
          <w:trHeight w:val="466"/>
        </w:trPr>
        <w:tc>
          <w:tcPr>
            <w:tcW w:w="5600" w:type="dxa"/>
            <w:vAlign w:val="bottom"/>
          </w:tcPr>
          <w:p>
            <w:pPr>
              <w:ind w:left="260"/>
              <w:spacing w:after="0"/>
              <w:rPr>
                <w:sz w:val="20"/>
                <w:szCs w:val="20"/>
                <w:color w:val="auto"/>
              </w:rPr>
            </w:pPr>
            <w:r>
              <w:rPr>
                <w:rFonts w:ascii="Verdana" w:cs="Verdana" w:eastAsia="Verdana" w:hAnsi="Verdana"/>
                <w:sz w:val="18"/>
                <w:szCs w:val="18"/>
                <w:color w:val="auto"/>
              </w:rPr>
              <w:t>Net cash (used in) provided by financing activities</w:t>
            </w:r>
          </w:p>
        </w:tc>
        <w:tc>
          <w:tcPr>
            <w:tcW w:w="1780" w:type="dxa"/>
            <w:vAlign w:val="bottom"/>
            <w:gridSpan w:val="8"/>
          </w:tcPr>
          <w:p>
            <w:pPr>
              <w:jc w:val="right"/>
              <w:ind w:right="860"/>
              <w:spacing w:after="0"/>
              <w:rPr>
                <w:sz w:val="20"/>
                <w:szCs w:val="20"/>
                <w:color w:val="auto"/>
              </w:rPr>
            </w:pPr>
            <w:r>
              <w:rPr>
                <w:rFonts w:ascii="Verdana" w:cs="Verdana" w:eastAsia="Verdana" w:hAnsi="Verdana"/>
                <w:sz w:val="18"/>
                <w:szCs w:val="18"/>
                <w:color w:val="auto"/>
              </w:rPr>
              <w:t>(80,249)</w:t>
            </w:r>
          </w:p>
        </w:tc>
        <w:tc>
          <w:tcPr>
            <w:tcW w:w="860" w:type="dxa"/>
            <w:vAlign w:val="bottom"/>
            <w:gridSpan w:val="5"/>
          </w:tcPr>
          <w:p>
            <w:pPr>
              <w:jc w:val="right"/>
              <w:spacing w:after="0"/>
              <w:rPr>
                <w:sz w:val="20"/>
                <w:szCs w:val="20"/>
                <w:color w:val="auto"/>
              </w:rPr>
            </w:pPr>
            <w:r>
              <w:rPr>
                <w:rFonts w:ascii="Verdana" w:cs="Verdana" w:eastAsia="Verdana" w:hAnsi="Verdana"/>
                <w:sz w:val="18"/>
                <w:szCs w:val="18"/>
                <w:color w:val="auto"/>
              </w:rPr>
              <w:t>41,666</w:t>
            </w:r>
          </w:p>
        </w:tc>
        <w:tc>
          <w:tcPr>
            <w:tcW w:w="60" w:type="dxa"/>
            <w:vAlign w:val="bottom"/>
          </w:tcPr>
          <w:p>
            <w:pPr>
              <w:spacing w:after="0"/>
              <w:rPr>
                <w:sz w:val="24"/>
                <w:szCs w:val="24"/>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9"/>
        </w:trPr>
        <w:tc>
          <w:tcPr>
            <w:tcW w:w="5600" w:type="dxa"/>
            <w:vAlign w:val="bottom"/>
          </w:tcPr>
          <w:p>
            <w:pPr>
              <w:spacing w:after="0"/>
              <w:rPr>
                <w:sz w:val="20"/>
                <w:szCs w:val="20"/>
                <w:color w:val="auto"/>
              </w:rPr>
            </w:pPr>
            <w:r>
              <w:rPr>
                <w:rFonts w:ascii="Verdana" w:cs="Verdana" w:eastAsia="Verdana" w:hAnsi="Verdana"/>
                <w:sz w:val="18"/>
                <w:szCs w:val="18"/>
                <w:color w:val="auto"/>
              </w:rPr>
              <w:t>Net (decrease) increase in cash and cash equivalents</w:t>
            </w:r>
          </w:p>
        </w:tc>
        <w:tc>
          <w:tcPr>
            <w:tcW w:w="160" w:type="dxa"/>
            <w:vAlign w:val="bottom"/>
            <w:gridSpan w:val="3"/>
          </w:tcPr>
          <w:p>
            <w:pPr>
              <w:spacing w:after="0"/>
              <w:rPr>
                <w:sz w:val="24"/>
                <w:szCs w:val="24"/>
                <w:color w:val="auto"/>
              </w:rPr>
            </w:pPr>
          </w:p>
        </w:tc>
        <w:tc>
          <w:tcPr>
            <w:tcW w:w="1620" w:type="dxa"/>
            <w:vAlign w:val="bottom"/>
            <w:gridSpan w:val="5"/>
          </w:tcPr>
          <w:p>
            <w:pPr>
              <w:jc w:val="right"/>
              <w:ind w:right="860"/>
              <w:spacing w:after="0"/>
              <w:rPr>
                <w:sz w:val="20"/>
                <w:szCs w:val="20"/>
                <w:color w:val="auto"/>
              </w:rPr>
            </w:pPr>
            <w:r>
              <w:rPr>
                <w:rFonts w:ascii="Verdana" w:cs="Verdana" w:eastAsia="Verdana" w:hAnsi="Verdana"/>
                <w:sz w:val="18"/>
                <w:szCs w:val="18"/>
                <w:color w:val="auto"/>
              </w:rPr>
              <w:t>(5,957)</w:t>
            </w:r>
          </w:p>
        </w:tc>
        <w:tc>
          <w:tcPr>
            <w:tcW w:w="860" w:type="dxa"/>
            <w:vAlign w:val="bottom"/>
            <w:gridSpan w:val="5"/>
          </w:tcPr>
          <w:p>
            <w:pPr>
              <w:jc w:val="right"/>
              <w:spacing w:after="0"/>
              <w:rPr>
                <w:sz w:val="20"/>
                <w:szCs w:val="20"/>
                <w:color w:val="auto"/>
              </w:rPr>
            </w:pPr>
            <w:r>
              <w:rPr>
                <w:rFonts w:ascii="Verdana" w:cs="Verdana" w:eastAsia="Verdana" w:hAnsi="Verdana"/>
                <w:sz w:val="18"/>
                <w:szCs w:val="18"/>
                <w:color w:val="auto"/>
              </w:rPr>
              <w:t>22,574</w:t>
            </w:r>
          </w:p>
        </w:tc>
        <w:tc>
          <w:tcPr>
            <w:tcW w:w="60" w:type="dxa"/>
            <w:vAlign w:val="bottom"/>
          </w:tcPr>
          <w:p>
            <w:pPr>
              <w:spacing w:after="0"/>
              <w:rPr>
                <w:sz w:val="24"/>
                <w:szCs w:val="24"/>
                <w:color w:val="auto"/>
              </w:rPr>
            </w:pPr>
          </w:p>
        </w:tc>
      </w:tr>
      <w:tr>
        <w:trPr>
          <w:trHeight w:val="464"/>
        </w:trPr>
        <w:tc>
          <w:tcPr>
            <w:tcW w:w="5600" w:type="dxa"/>
            <w:vAlign w:val="bottom"/>
          </w:tcPr>
          <w:p>
            <w:pPr>
              <w:spacing w:after="0"/>
              <w:rPr>
                <w:sz w:val="20"/>
                <w:szCs w:val="20"/>
                <w:color w:val="auto"/>
              </w:rPr>
            </w:pPr>
            <w:r>
              <w:rPr>
                <w:rFonts w:ascii="Verdana" w:cs="Verdana" w:eastAsia="Verdana" w:hAnsi="Verdana"/>
                <w:sz w:val="18"/>
                <w:szCs w:val="18"/>
                <w:color w:val="auto"/>
              </w:rPr>
              <w:t>Beginning cash and cash equivalents</w:t>
            </w:r>
          </w:p>
        </w:tc>
        <w:tc>
          <w:tcPr>
            <w:tcW w:w="160" w:type="dxa"/>
            <w:vAlign w:val="bottom"/>
            <w:gridSpan w:val="3"/>
          </w:tcPr>
          <w:p>
            <w:pPr>
              <w:spacing w:after="0"/>
              <w:rPr>
                <w:sz w:val="24"/>
                <w:szCs w:val="24"/>
                <w:color w:val="auto"/>
              </w:rPr>
            </w:pPr>
          </w:p>
        </w:tc>
        <w:tc>
          <w:tcPr>
            <w:tcW w:w="70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8"/>
                <w:szCs w:val="18"/>
                <w:color w:val="auto"/>
              </w:rPr>
              <w:t>31,480</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76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8"/>
                <w:szCs w:val="18"/>
                <w:color w:val="auto"/>
              </w:rPr>
              <w:t>20,345</w:t>
            </w:r>
          </w:p>
        </w:tc>
        <w:tc>
          <w:tcPr>
            <w:tcW w:w="60" w:type="dxa"/>
            <w:vAlign w:val="bottom"/>
          </w:tcPr>
          <w:p>
            <w:pPr>
              <w:spacing w:after="0"/>
              <w:rPr>
                <w:sz w:val="24"/>
                <w:szCs w:val="24"/>
                <w:color w:val="auto"/>
              </w:rPr>
            </w:pPr>
          </w:p>
        </w:tc>
      </w:tr>
      <w:tr>
        <w:trPr>
          <w:trHeight w:val="489"/>
        </w:trPr>
        <w:tc>
          <w:tcPr>
            <w:tcW w:w="5600" w:type="dxa"/>
            <w:vAlign w:val="bottom"/>
          </w:tcPr>
          <w:p>
            <w:pPr>
              <w:spacing w:after="0"/>
              <w:rPr>
                <w:sz w:val="20"/>
                <w:szCs w:val="20"/>
                <w:color w:val="auto"/>
              </w:rPr>
            </w:pPr>
            <w:r>
              <w:rPr>
                <w:rFonts w:ascii="Verdana" w:cs="Verdana" w:eastAsia="Verdana" w:hAnsi="Verdana"/>
                <w:sz w:val="18"/>
                <w:szCs w:val="18"/>
                <w:color w:val="auto"/>
              </w:rPr>
              <w:t>Ending cash and cash equivalents</w:t>
            </w:r>
          </w:p>
        </w:tc>
        <w:tc>
          <w:tcPr>
            <w:tcW w:w="860" w:type="dxa"/>
            <w:vAlign w:val="bottom"/>
            <w:gridSpan w:val="6"/>
          </w:tcPr>
          <w:p>
            <w:pPr>
              <w:jc w:val="right"/>
              <w:spacing w:after="0"/>
              <w:rPr>
                <w:sz w:val="20"/>
                <w:szCs w:val="20"/>
                <w:color w:val="auto"/>
              </w:rPr>
            </w:pPr>
            <w:r>
              <w:rPr>
                <w:rFonts w:ascii="Verdana" w:cs="Verdana" w:eastAsia="Verdana" w:hAnsi="Verdana"/>
                <w:sz w:val="18"/>
                <w:szCs w:val="18"/>
                <w:color w:val="auto"/>
              </w:rPr>
              <w:t>$ 25,523</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gridSpan w:val="5"/>
          </w:tcPr>
          <w:p>
            <w:pPr>
              <w:jc w:val="right"/>
              <w:spacing w:after="0"/>
              <w:rPr>
                <w:sz w:val="20"/>
                <w:szCs w:val="20"/>
                <w:color w:val="auto"/>
              </w:rPr>
            </w:pPr>
            <w:r>
              <w:rPr>
                <w:rFonts w:ascii="Verdana" w:cs="Verdana" w:eastAsia="Verdana" w:hAnsi="Verdana"/>
                <w:sz w:val="18"/>
                <w:szCs w:val="18"/>
                <w:color w:val="auto"/>
              </w:rPr>
              <w:t>$ 42,919</w:t>
            </w:r>
          </w:p>
        </w:tc>
        <w:tc>
          <w:tcPr>
            <w:tcW w:w="60" w:type="dxa"/>
            <w:vAlign w:val="bottom"/>
          </w:tcPr>
          <w:p>
            <w:pPr>
              <w:spacing w:after="0"/>
              <w:rPr>
                <w:sz w:val="24"/>
                <w:szCs w:val="24"/>
                <w:color w:val="auto"/>
              </w:rPr>
            </w:pPr>
          </w:p>
        </w:tc>
      </w:tr>
      <w:tr>
        <w:trPr>
          <w:trHeight w:val="244"/>
        </w:trPr>
        <w:tc>
          <w:tcPr>
            <w:tcW w:w="5600" w:type="dxa"/>
            <w:vAlign w:val="bottom"/>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480" w:type="dxa"/>
            <w:vAlign w:val="bottom"/>
            <w:tcBorders>
              <w:bottom w:val="single" w:sz="8" w:color="808080"/>
            </w:tcBorders>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1180"/>
        <w:spacing w:after="0"/>
        <w:rPr>
          <w:sz w:val="20"/>
          <w:szCs w:val="20"/>
          <w:color w:val="auto"/>
        </w:rPr>
      </w:pPr>
      <w:r>
        <w:rPr>
          <w:rFonts w:ascii="Verdana" w:cs="Verdana" w:eastAsia="Verdana" w:hAnsi="Verdana"/>
          <w:sz w:val="18"/>
          <w:szCs w:val="18"/>
          <w:color w:val="auto"/>
        </w:rPr>
        <w:t>7.</w:t>
      </w:r>
    </w:p>
    <w:p>
      <w:pPr>
        <w:spacing w:after="0" w:line="213" w:lineRule="exact"/>
        <w:rPr>
          <w:sz w:val="20"/>
          <w:szCs w:val="20"/>
          <w:color w:val="auto"/>
        </w:rPr>
      </w:pPr>
    </w:p>
    <w:p>
      <w:pPr>
        <w:spacing w:after="0"/>
        <w:rPr>
          <w:sz w:val="20"/>
          <w:szCs w:val="20"/>
          <w:color w:val="auto"/>
        </w:rPr>
      </w:pPr>
      <w:r>
        <w:rPr>
          <w:rFonts w:ascii="Verdana" w:cs="Verdana" w:eastAsia="Verdana" w:hAnsi="Verdana"/>
          <w:sz w:val="18"/>
          <w:szCs w:val="18"/>
          <w:color w:val="auto"/>
        </w:rPr>
        <w:t>The Washington Post Company</w:t>
      </w:r>
    </w:p>
    <w:p>
      <w:pPr>
        <w:spacing w:after="0" w:line="237" w:lineRule="auto"/>
        <w:rPr>
          <w:sz w:val="20"/>
          <w:szCs w:val="20"/>
          <w:color w:val="auto"/>
        </w:rPr>
      </w:pPr>
      <w:r>
        <w:rPr>
          <w:rFonts w:ascii="Verdana" w:cs="Verdana" w:eastAsia="Verdana" w:hAnsi="Verdana"/>
          <w:sz w:val="18"/>
          <w:szCs w:val="18"/>
          <w:color w:val="auto"/>
        </w:rPr>
        <w:t>Notes to Condensed Consolidated Financial Statements (Unaudited)</w:t>
      </w:r>
    </w:p>
    <w:p>
      <w:pPr>
        <w:spacing w:after="0" w:line="220" w:lineRule="exact"/>
        <w:rPr>
          <w:sz w:val="20"/>
          <w:szCs w:val="20"/>
          <w:color w:val="auto"/>
        </w:rPr>
      </w:pPr>
    </w:p>
    <w:p>
      <w:pPr>
        <w:ind w:firstLine="124"/>
        <w:spacing w:after="0" w:line="236" w:lineRule="auto"/>
        <w:rPr>
          <w:sz w:val="20"/>
          <w:szCs w:val="20"/>
          <w:color w:val="auto"/>
        </w:rPr>
      </w:pPr>
      <w:r>
        <w:rPr>
          <w:rFonts w:ascii="Verdana" w:cs="Verdana" w:eastAsia="Verdana" w:hAnsi="Verdana"/>
          <w:sz w:val="18"/>
          <w:szCs w:val="18"/>
          <w:color w:val="auto"/>
        </w:rPr>
        <w:t>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 First quarter 2001 revenue and expenses were reclassified to conform with current year presentation.</w:t>
      </w:r>
    </w:p>
    <w:p>
      <w:pPr>
        <w:spacing w:after="0" w:line="214" w:lineRule="exact"/>
        <w:rPr>
          <w:sz w:val="20"/>
          <w:szCs w:val="20"/>
          <w:color w:val="auto"/>
        </w:rPr>
      </w:pPr>
    </w:p>
    <w:p>
      <w:pPr>
        <w:spacing w:after="0"/>
        <w:rPr>
          <w:sz w:val="20"/>
          <w:szCs w:val="20"/>
          <w:color w:val="auto"/>
        </w:rPr>
      </w:pPr>
      <w:r>
        <w:rPr>
          <w:rFonts w:ascii="Verdana" w:cs="Verdana" w:eastAsia="Verdana" w:hAnsi="Verdana"/>
          <w:sz w:val="18"/>
          <w:szCs w:val="18"/>
          <w:color w:val="auto"/>
        </w:rPr>
        <w:t>Note 1: Acquisitions, Exchanges and Dispositions.</w:t>
      </w:r>
    </w:p>
    <w:p>
      <w:pPr>
        <w:spacing w:after="0" w:line="220" w:lineRule="exact"/>
        <w:rPr>
          <w:sz w:val="20"/>
          <w:szCs w:val="20"/>
          <w:color w:val="auto"/>
        </w:rPr>
      </w:pPr>
    </w:p>
    <w:p>
      <w:pPr>
        <w:ind w:firstLine="185"/>
        <w:spacing w:after="0" w:line="236" w:lineRule="auto"/>
        <w:rPr>
          <w:sz w:val="20"/>
          <w:szCs w:val="20"/>
          <w:color w:val="auto"/>
        </w:rPr>
      </w:pPr>
      <w:r>
        <w:rPr>
          <w:rFonts w:ascii="Verdana" w:cs="Verdana" w:eastAsia="Verdana" w:hAnsi="Verdana"/>
          <w:sz w:val="18"/>
          <w:szCs w:val="18"/>
          <w:color w:val="auto"/>
        </w:rPr>
        <w:t>In the first quarter of 2002, Kaplan acquired several businesses that are now part of their higher education and test preparation divisions. The acquisitions totaled approximately $23.2 million, with most of the aggregate purchase price allocated to goodwill. About $6.3 million remains to be paid on these acquisitions, of which $1.9 million has been classified in current liabilities and $4.4 million as long-term debt at March 31, 2002.</w:t>
      </w:r>
    </w:p>
    <w:p>
      <w:pPr>
        <w:spacing w:after="0" w:line="220" w:lineRule="exact"/>
        <w:rPr>
          <w:sz w:val="20"/>
          <w:szCs w:val="20"/>
          <w:color w:val="auto"/>
        </w:rPr>
      </w:pPr>
    </w:p>
    <w:p>
      <w:pPr>
        <w:ind w:right="220" w:firstLine="185"/>
        <w:spacing w:after="0" w:line="236" w:lineRule="auto"/>
        <w:rPr>
          <w:sz w:val="20"/>
          <w:szCs w:val="20"/>
          <w:color w:val="auto"/>
        </w:rPr>
      </w:pPr>
      <w:r>
        <w:rPr>
          <w:rFonts w:ascii="Verdana" w:cs="Verdana" w:eastAsia="Verdana" w:hAnsi="Verdana"/>
          <w:sz w:val="18"/>
          <w:szCs w:val="18"/>
          <w:color w:val="auto"/>
        </w:rPr>
        <w:t>In the first quarter of 2001, the Company spent approximately $95.0 million on business acquisitions and exchanges, which principally included the purchase of Southern Maryland Newspapers, a division of Chesapeake Publishing Corporation, and amounts paid as part of a cable system exchange with AT&amp;T Broadband. The Company also acquired a provider of CFA examination preparation services in the first quarter of 2001.</w:t>
      </w:r>
    </w:p>
    <w:p>
      <w:pPr>
        <w:spacing w:after="0" w:line="220" w:lineRule="exact"/>
        <w:rPr>
          <w:sz w:val="20"/>
          <w:szCs w:val="20"/>
          <w:color w:val="auto"/>
        </w:rPr>
      </w:pPr>
    </w:p>
    <w:p>
      <w:pPr>
        <w:ind w:right="80" w:firstLine="185"/>
        <w:spacing w:after="0" w:line="236" w:lineRule="auto"/>
        <w:rPr>
          <w:sz w:val="20"/>
          <w:szCs w:val="20"/>
          <w:color w:val="auto"/>
        </w:rPr>
      </w:pPr>
      <w:r>
        <w:rPr>
          <w:rFonts w:ascii="Verdana" w:cs="Verdana" w:eastAsia="Verdana" w:hAnsi="Verdana"/>
          <w:sz w:val="18"/>
          <w:szCs w:val="18"/>
          <w:color w:val="auto"/>
        </w:rPr>
        <w:t>The gain resulting from the cable system sale and exchange transactions, which is included in “Other income, net” in the Condensed Consolidated Statements of Income, increased net income for the first quarter of 2001 by $196.5 million, or $20.69 per share. For income tax purposes, the cable system sale and exchange transactions qualified as like-kind exchanges, and therefore, a large portion of these transactions did not result in a current tax liability.</w:t>
      </w:r>
    </w:p>
    <w:p>
      <w:pPr>
        <w:spacing w:after="0" w:line="214" w:lineRule="exact"/>
        <w:rPr>
          <w:sz w:val="20"/>
          <w:szCs w:val="20"/>
          <w:color w:val="auto"/>
        </w:rPr>
      </w:pPr>
    </w:p>
    <w:p>
      <w:pPr>
        <w:spacing w:after="0"/>
        <w:rPr>
          <w:sz w:val="20"/>
          <w:szCs w:val="20"/>
          <w:color w:val="auto"/>
        </w:rPr>
      </w:pPr>
      <w:r>
        <w:rPr>
          <w:rFonts w:ascii="Verdana" w:cs="Verdana" w:eastAsia="Verdana" w:hAnsi="Verdana"/>
          <w:sz w:val="18"/>
          <w:szCs w:val="18"/>
          <w:color w:val="auto"/>
        </w:rPr>
        <w:t>Note 2: Investments.</w:t>
      </w:r>
    </w:p>
    <w:p>
      <w:pPr>
        <w:spacing w:after="0" w:line="220" w:lineRule="exact"/>
        <w:rPr>
          <w:sz w:val="20"/>
          <w:szCs w:val="20"/>
          <w:color w:val="auto"/>
        </w:rPr>
      </w:pPr>
    </w:p>
    <w:p>
      <w:pPr>
        <w:ind w:right="1020" w:firstLine="185"/>
        <w:spacing w:after="0" w:line="235" w:lineRule="auto"/>
        <w:rPr>
          <w:sz w:val="20"/>
          <w:szCs w:val="20"/>
          <w:color w:val="auto"/>
        </w:rPr>
      </w:pPr>
      <w:r>
        <w:rPr>
          <w:rFonts w:ascii="Verdana" w:cs="Verdana" w:eastAsia="Verdana" w:hAnsi="Verdana"/>
          <w:sz w:val="18"/>
          <w:szCs w:val="18"/>
          <w:color w:val="auto"/>
        </w:rPr>
        <w:t>Investments in marketable equity securities at March 31, 2002 and December 30, 2001 consist of the following (in thousands):</w:t>
      </w:r>
    </w:p>
    <w:p>
      <w:pPr>
        <w:spacing w:after="0" w:line="214" w:lineRule="exact"/>
        <w:rPr>
          <w:sz w:val="20"/>
          <w:szCs w:val="20"/>
          <w:color w:val="auto"/>
        </w:rPr>
      </w:pPr>
    </w:p>
    <w:tbl>
      <w:tblPr>
        <w:tblLayout w:type="fixed"/>
        <w:tblInd w:w="1400" w:type="dxa"/>
        <w:tblCellMar>
          <w:top w:w="0" w:type="dxa"/>
          <w:left w:w="0" w:type="dxa"/>
          <w:bottom w:w="0" w:type="dxa"/>
          <w:right w:w="0" w:type="dxa"/>
        </w:tblCellMar>
      </w:tblPr>
      <w:tr>
        <w:trPr>
          <w:trHeight w:val="219"/>
        </w:trPr>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Verdana" w:cs="Verdana" w:eastAsia="Verdana" w:hAnsi="Verdana"/>
                <w:sz w:val="18"/>
                <w:szCs w:val="18"/>
                <w:color w:val="auto"/>
              </w:rPr>
              <w:t>March 31,</w:t>
            </w:r>
          </w:p>
        </w:tc>
        <w:tc>
          <w:tcPr>
            <w:tcW w:w="2120" w:type="dxa"/>
            <w:vAlign w:val="bottom"/>
            <w:gridSpan w:val="5"/>
          </w:tcPr>
          <w:p>
            <w:pPr>
              <w:jc w:val="right"/>
              <w:spacing w:after="0"/>
              <w:rPr>
                <w:sz w:val="20"/>
                <w:szCs w:val="20"/>
                <w:color w:val="auto"/>
              </w:rPr>
            </w:pPr>
            <w:r>
              <w:rPr>
                <w:rFonts w:ascii="Verdana" w:cs="Verdana" w:eastAsia="Verdana" w:hAnsi="Verdana"/>
                <w:sz w:val="18"/>
                <w:szCs w:val="18"/>
                <w:color w:val="auto"/>
              </w:rPr>
              <w:t>December 30,</w:t>
            </w:r>
          </w:p>
        </w:tc>
      </w:tr>
      <w:tr>
        <w:trPr>
          <w:trHeight w:val="216"/>
        </w:trPr>
        <w:tc>
          <w:tcPr>
            <w:tcW w:w="3760" w:type="dxa"/>
            <w:vAlign w:val="bottom"/>
          </w:tcPr>
          <w:p>
            <w:pPr>
              <w:spacing w:after="0"/>
              <w:rPr>
                <w:sz w:val="18"/>
                <w:szCs w:val="18"/>
                <w:color w:val="auto"/>
              </w:rPr>
            </w:pPr>
          </w:p>
        </w:tc>
        <w:tc>
          <w:tcPr>
            <w:tcW w:w="1260" w:type="dxa"/>
            <w:vAlign w:val="bottom"/>
            <w:gridSpan w:val="4"/>
          </w:tcPr>
          <w:p>
            <w:pPr>
              <w:jc w:val="right"/>
              <w:spacing w:after="0" w:line="217" w:lineRule="exact"/>
              <w:rPr>
                <w:sz w:val="20"/>
                <w:szCs w:val="20"/>
                <w:color w:val="auto"/>
              </w:rPr>
            </w:pPr>
            <w:r>
              <w:rPr>
                <w:rFonts w:ascii="Verdana" w:cs="Verdana" w:eastAsia="Verdana" w:hAnsi="Verdana"/>
                <w:sz w:val="18"/>
                <w:szCs w:val="18"/>
                <w:color w:val="auto"/>
              </w:rPr>
              <w:t>2002</w:t>
            </w:r>
          </w:p>
        </w:tc>
        <w:tc>
          <w:tcPr>
            <w:tcW w:w="2120" w:type="dxa"/>
            <w:vAlign w:val="bottom"/>
            <w:gridSpan w:val="5"/>
          </w:tcPr>
          <w:p>
            <w:pPr>
              <w:jc w:val="right"/>
              <w:spacing w:after="0" w:line="217" w:lineRule="exact"/>
              <w:rPr>
                <w:sz w:val="20"/>
                <w:szCs w:val="20"/>
                <w:color w:val="auto"/>
              </w:rPr>
            </w:pPr>
            <w:r>
              <w:rPr>
                <w:rFonts w:ascii="Verdana" w:cs="Verdana" w:eastAsia="Verdana" w:hAnsi="Verdana"/>
                <w:sz w:val="18"/>
                <w:szCs w:val="18"/>
                <w:color w:val="auto"/>
              </w:rPr>
              <w:t>2001</w:t>
            </w:r>
          </w:p>
        </w:tc>
      </w:tr>
      <w:tr>
        <w:trPr>
          <w:trHeight w:val="113"/>
        </w:trPr>
        <w:tc>
          <w:tcPr>
            <w:tcW w:w="37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27"/>
        </w:trPr>
        <w:tc>
          <w:tcPr>
            <w:tcW w:w="3760" w:type="dxa"/>
            <w:vAlign w:val="bottom"/>
          </w:tcPr>
          <w:p>
            <w:pPr>
              <w:spacing w:after="0"/>
              <w:rPr>
                <w:sz w:val="20"/>
                <w:szCs w:val="20"/>
                <w:color w:val="auto"/>
              </w:rPr>
            </w:pPr>
            <w:r>
              <w:rPr>
                <w:rFonts w:ascii="Verdana" w:cs="Verdana" w:eastAsia="Verdana" w:hAnsi="Verdana"/>
                <w:sz w:val="18"/>
                <w:szCs w:val="18"/>
                <w:color w:val="auto"/>
              </w:rPr>
              <w:t>Total cost</w:t>
            </w:r>
          </w:p>
        </w:tc>
        <w:tc>
          <w:tcPr>
            <w:tcW w:w="1260" w:type="dxa"/>
            <w:vAlign w:val="bottom"/>
            <w:gridSpan w:val="4"/>
          </w:tcPr>
          <w:p>
            <w:pPr>
              <w:jc w:val="right"/>
              <w:spacing w:after="0"/>
              <w:rPr>
                <w:sz w:val="20"/>
                <w:szCs w:val="20"/>
                <w:color w:val="auto"/>
              </w:rPr>
            </w:pPr>
            <w:r>
              <w:rPr>
                <w:rFonts w:ascii="Verdana" w:cs="Verdana" w:eastAsia="Verdana" w:hAnsi="Verdana"/>
                <w:sz w:val="18"/>
                <w:szCs w:val="18"/>
                <w:color w:val="auto"/>
              </w:rPr>
              <w:t>$187,169</w:t>
            </w:r>
          </w:p>
        </w:tc>
        <w:tc>
          <w:tcPr>
            <w:tcW w:w="2120" w:type="dxa"/>
            <w:vAlign w:val="bottom"/>
            <w:gridSpan w:val="5"/>
          </w:tcPr>
          <w:p>
            <w:pPr>
              <w:jc w:val="right"/>
              <w:spacing w:after="0"/>
              <w:rPr>
                <w:sz w:val="20"/>
                <w:szCs w:val="20"/>
                <w:color w:val="auto"/>
              </w:rPr>
            </w:pPr>
            <w:r>
              <w:rPr>
                <w:rFonts w:ascii="Verdana" w:cs="Verdana" w:eastAsia="Verdana" w:hAnsi="Verdana"/>
                <w:sz w:val="18"/>
                <w:szCs w:val="18"/>
                <w:color w:val="auto"/>
              </w:rPr>
              <w:t>$195,661</w:t>
            </w:r>
          </w:p>
        </w:tc>
      </w:tr>
      <w:tr>
        <w:trPr>
          <w:trHeight w:val="221"/>
        </w:trPr>
        <w:tc>
          <w:tcPr>
            <w:tcW w:w="3760" w:type="dxa"/>
            <w:vAlign w:val="bottom"/>
          </w:tcPr>
          <w:p>
            <w:pPr>
              <w:spacing w:after="0"/>
              <w:rPr>
                <w:sz w:val="20"/>
                <w:szCs w:val="20"/>
                <w:color w:val="auto"/>
              </w:rPr>
            </w:pPr>
            <w:r>
              <w:rPr>
                <w:rFonts w:ascii="Verdana" w:cs="Verdana" w:eastAsia="Verdana" w:hAnsi="Verdana"/>
                <w:sz w:val="18"/>
                <w:szCs w:val="18"/>
                <w:color w:val="auto"/>
              </w:rPr>
              <w:t>Gross unrealized gains</w:t>
            </w:r>
          </w:p>
        </w:tc>
        <w:tc>
          <w:tcPr>
            <w:tcW w:w="500" w:type="dxa"/>
            <w:vAlign w:val="bottom"/>
            <w:gridSpan w:val="2"/>
          </w:tcPr>
          <w:p>
            <w:pPr>
              <w:spacing w:after="0"/>
              <w:rPr>
                <w:sz w:val="19"/>
                <w:szCs w:val="19"/>
                <w:color w:val="auto"/>
              </w:rPr>
            </w:pPr>
          </w:p>
        </w:tc>
        <w:tc>
          <w:tcPr>
            <w:tcW w:w="740" w:type="dxa"/>
            <w:vAlign w:val="bottom"/>
          </w:tcPr>
          <w:p>
            <w:pPr>
              <w:jc w:val="right"/>
              <w:spacing w:after="0"/>
              <w:rPr>
                <w:sz w:val="20"/>
                <w:szCs w:val="20"/>
                <w:color w:val="auto"/>
              </w:rPr>
            </w:pPr>
            <w:r>
              <w:rPr>
                <w:rFonts w:ascii="Verdana" w:cs="Verdana" w:eastAsia="Verdana" w:hAnsi="Verdana"/>
                <w:sz w:val="18"/>
                <w:szCs w:val="18"/>
                <w:color w:val="auto"/>
              </w:rPr>
              <w:t>26,154</w:t>
            </w:r>
          </w:p>
        </w:tc>
        <w:tc>
          <w:tcPr>
            <w:tcW w:w="20" w:type="dxa"/>
            <w:vAlign w:val="bottom"/>
          </w:tcPr>
          <w:p>
            <w:pPr>
              <w:spacing w:after="0"/>
              <w:rPr>
                <w:sz w:val="19"/>
                <w:szCs w:val="19"/>
                <w:color w:val="auto"/>
              </w:rPr>
            </w:pPr>
          </w:p>
        </w:tc>
        <w:tc>
          <w:tcPr>
            <w:tcW w:w="1420" w:type="dxa"/>
            <w:vAlign w:val="bottom"/>
            <w:gridSpan w:val="3"/>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Verdana" w:cs="Verdana" w:eastAsia="Verdana" w:hAnsi="Verdana"/>
                <w:sz w:val="18"/>
                <w:szCs w:val="18"/>
                <w:color w:val="auto"/>
              </w:rPr>
              <w:t>39,744</w:t>
            </w:r>
          </w:p>
        </w:tc>
      </w:tr>
      <w:tr>
        <w:trPr>
          <w:trHeight w:val="20"/>
        </w:trPr>
        <w:tc>
          <w:tcPr>
            <w:tcW w:w="37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6"/>
        </w:trPr>
        <w:tc>
          <w:tcPr>
            <w:tcW w:w="3760" w:type="dxa"/>
            <w:vAlign w:val="bottom"/>
          </w:tcPr>
          <w:p>
            <w:pPr>
              <w:spacing w:after="0"/>
              <w:rPr>
                <w:sz w:val="20"/>
                <w:szCs w:val="20"/>
                <w:color w:val="auto"/>
              </w:rPr>
            </w:pPr>
            <w:r>
              <w:rPr>
                <w:rFonts w:ascii="Verdana" w:cs="Verdana" w:eastAsia="Verdana" w:hAnsi="Verdana"/>
                <w:sz w:val="18"/>
                <w:szCs w:val="18"/>
                <w:color w:val="auto"/>
              </w:rPr>
              <w:t>Total fair value</w:t>
            </w:r>
          </w:p>
        </w:tc>
        <w:tc>
          <w:tcPr>
            <w:tcW w:w="1260" w:type="dxa"/>
            <w:vAlign w:val="bottom"/>
            <w:gridSpan w:val="4"/>
          </w:tcPr>
          <w:p>
            <w:pPr>
              <w:jc w:val="right"/>
              <w:spacing w:after="0"/>
              <w:rPr>
                <w:sz w:val="20"/>
                <w:szCs w:val="20"/>
                <w:color w:val="auto"/>
              </w:rPr>
            </w:pPr>
            <w:r>
              <w:rPr>
                <w:rFonts w:ascii="Verdana" w:cs="Verdana" w:eastAsia="Verdana" w:hAnsi="Verdana"/>
                <w:sz w:val="18"/>
                <w:szCs w:val="18"/>
                <w:color w:val="auto"/>
              </w:rPr>
              <w:t>$213,323</w:t>
            </w:r>
          </w:p>
        </w:tc>
        <w:tc>
          <w:tcPr>
            <w:tcW w:w="2120" w:type="dxa"/>
            <w:vAlign w:val="bottom"/>
            <w:gridSpan w:val="5"/>
          </w:tcPr>
          <w:p>
            <w:pPr>
              <w:jc w:val="right"/>
              <w:spacing w:after="0"/>
              <w:rPr>
                <w:sz w:val="20"/>
                <w:szCs w:val="20"/>
                <w:color w:val="auto"/>
              </w:rPr>
            </w:pPr>
            <w:r>
              <w:rPr>
                <w:rFonts w:ascii="Verdana" w:cs="Verdana" w:eastAsia="Verdana" w:hAnsi="Verdana"/>
                <w:sz w:val="18"/>
                <w:szCs w:val="18"/>
                <w:color w:val="auto"/>
              </w:rPr>
              <w:t>$235,405</w:t>
            </w:r>
          </w:p>
        </w:tc>
      </w:tr>
      <w:tr>
        <w:trPr>
          <w:trHeight w:val="123"/>
        </w:trPr>
        <w:tc>
          <w:tcPr>
            <w:tcW w:w="3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67" w:lineRule="exact"/>
        <w:rPr>
          <w:sz w:val="20"/>
          <w:szCs w:val="20"/>
          <w:color w:val="auto"/>
        </w:rPr>
      </w:pPr>
    </w:p>
    <w:p>
      <w:pPr>
        <w:ind w:left="140"/>
        <w:spacing w:after="0"/>
        <w:rPr>
          <w:sz w:val="20"/>
          <w:szCs w:val="20"/>
          <w:color w:val="auto"/>
        </w:rPr>
      </w:pPr>
      <w:r>
        <w:rPr>
          <w:rFonts w:ascii="Verdana" w:cs="Verdana" w:eastAsia="Verdana" w:hAnsi="Verdana"/>
          <w:sz w:val="18"/>
          <w:szCs w:val="18"/>
          <w:color w:val="auto"/>
        </w:rPr>
        <w:t>During the first quarter of 2002, the Company sold its shares of Ticketmaster, resulting in a pre-tax gain of $13.2 million.</w:t>
      </w:r>
    </w:p>
    <w:p>
      <w:pPr>
        <w:spacing w:after="0" w:line="237" w:lineRule="auto"/>
        <w:rPr>
          <w:sz w:val="20"/>
          <w:szCs w:val="20"/>
          <w:color w:val="auto"/>
        </w:rPr>
      </w:pPr>
      <w:r>
        <w:rPr>
          <w:rFonts w:ascii="Verdana" w:cs="Verdana" w:eastAsia="Verdana" w:hAnsi="Verdana"/>
          <w:sz w:val="18"/>
          <w:szCs w:val="18"/>
          <w:color w:val="auto"/>
        </w:rPr>
        <w:t>There were no purchases or sales of marketable equity securities during the first quarter of 2001.</w:t>
      </w:r>
    </w:p>
    <w:p>
      <w:pPr>
        <w:spacing w:after="0" w:line="220" w:lineRule="exact"/>
        <w:rPr>
          <w:sz w:val="20"/>
          <w:szCs w:val="20"/>
          <w:color w:val="auto"/>
        </w:rPr>
      </w:pPr>
    </w:p>
    <w:p>
      <w:pPr>
        <w:jc w:val="both"/>
        <w:ind w:right="80" w:firstLine="185"/>
        <w:spacing w:after="0" w:line="235" w:lineRule="auto"/>
        <w:rPr>
          <w:sz w:val="20"/>
          <w:szCs w:val="20"/>
          <w:color w:val="auto"/>
        </w:rPr>
      </w:pPr>
      <w:r>
        <w:rPr>
          <w:rFonts w:ascii="Verdana" w:cs="Verdana" w:eastAsia="Verdana" w:hAnsi="Verdana"/>
          <w:sz w:val="18"/>
          <w:szCs w:val="18"/>
          <w:color w:val="auto"/>
        </w:rPr>
        <w:t>At March 31, 2002 and December 30, 2001, the carrying value of the Company’s cost method investments was $21.5 million and $29.6 million, respectively. There were no investments in companies constituting cost method investments during the first quarter of 2002 and 2001.</w:t>
      </w:r>
    </w:p>
    <w:p>
      <w:pPr>
        <w:spacing w:after="0" w:line="222" w:lineRule="exact"/>
        <w:rPr>
          <w:sz w:val="20"/>
          <w:szCs w:val="20"/>
          <w:color w:val="auto"/>
        </w:rPr>
      </w:pPr>
    </w:p>
    <w:p>
      <w:pPr>
        <w:ind w:right="140" w:firstLine="185"/>
        <w:spacing w:after="0" w:line="235" w:lineRule="auto"/>
        <w:rPr>
          <w:sz w:val="20"/>
          <w:szCs w:val="20"/>
          <w:color w:val="auto"/>
        </w:rPr>
      </w:pPr>
      <w:r>
        <w:rPr>
          <w:rFonts w:ascii="Verdana" w:cs="Verdana" w:eastAsia="Verdana" w:hAnsi="Verdana"/>
          <w:sz w:val="18"/>
          <w:szCs w:val="18"/>
          <w:color w:val="auto"/>
        </w:rPr>
        <w:t>The Company recorded charges of $10.1 million and $11.8 million during the first quarter of 2002 and 2001, respectively, to write-down certain of its investments to estimated fair value.</w:t>
      </w:r>
    </w:p>
    <w:p>
      <w:pPr>
        <w:sectPr>
          <w:pgSz w:w="11900" w:h="16838" w:orient="portrait"/>
          <w:cols w:equalWidth="0" w:num="1">
            <w:col w:w="11380"/>
          </w:cols>
          <w:pgMar w:left="240" w:top="132" w:right="279" w:bottom="0" w:gutter="0" w:footer="0" w:header="0"/>
        </w:sectPr>
      </w:pPr>
    </w:p>
    <w:bookmarkStart w:id="5" w:name="page6"/>
    <w:bookmarkEnd w:id="5"/>
    <w:p>
      <w:pPr>
        <w:jc w:val="right"/>
        <w:spacing w:after="0"/>
        <w:rPr>
          <w:sz w:val="20"/>
          <w:szCs w:val="20"/>
          <w:color w:val="auto"/>
        </w:rPr>
      </w:pPr>
      <w:r>
        <w:rPr>
          <w:rFonts w:ascii="Verdana" w:cs="Verdana" w:eastAsia="Verdana" w:hAnsi="Verdana"/>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t>8.</w:t>
      </w:r>
    </w:p>
    <w:p>
      <w:pPr>
        <w:spacing w:after="0" w:line="213" w:lineRule="exact"/>
        <w:rPr>
          <w:sz w:val="20"/>
          <w:szCs w:val="20"/>
          <w:color w:val="auto"/>
        </w:rPr>
      </w:pPr>
    </w:p>
    <w:p>
      <w:pPr>
        <w:spacing w:after="0"/>
        <w:rPr>
          <w:sz w:val="20"/>
          <w:szCs w:val="20"/>
          <w:color w:val="auto"/>
        </w:rPr>
      </w:pPr>
      <w:r>
        <w:rPr>
          <w:rFonts w:ascii="Verdana" w:cs="Verdana" w:eastAsia="Verdana" w:hAnsi="Verdana"/>
          <w:sz w:val="18"/>
          <w:szCs w:val="18"/>
          <w:color w:val="auto"/>
        </w:rPr>
        <w:t>Note 3: Borrowings.</w:t>
      </w:r>
    </w:p>
    <w:p>
      <w:pPr>
        <w:spacing w:after="0" w:line="220" w:lineRule="exact"/>
        <w:rPr>
          <w:sz w:val="20"/>
          <w:szCs w:val="20"/>
          <w:color w:val="auto"/>
        </w:rPr>
      </w:pPr>
    </w:p>
    <w:p>
      <w:pPr>
        <w:ind w:right="20" w:firstLine="185"/>
        <w:spacing w:after="0" w:line="236" w:lineRule="auto"/>
        <w:rPr>
          <w:sz w:val="20"/>
          <w:szCs w:val="20"/>
          <w:color w:val="auto"/>
        </w:rPr>
      </w:pPr>
      <w:r>
        <w:rPr>
          <w:rFonts w:ascii="Verdana" w:cs="Verdana" w:eastAsia="Verdana" w:hAnsi="Verdana"/>
          <w:sz w:val="18"/>
          <w:szCs w:val="18"/>
          <w:color w:val="auto"/>
        </w:rPr>
        <w:t>At March 31, 2002, the Company had $868.4 million in total debt outstanding, which was comprised of $464.8 million of commercial paper borrowings, $398.2 million of 5.5 percent unsecured notes due February 15, 2009, and $5.4 million in other debt. The Company’s five-year $500 million revolving credit facility, which expires in March 2003, and one-year $250 million revolving credit facility, which expires in September 2002, support the issuance of the Company’s short-term commercial paper. The Company intends to replace the revolving credit facility agreements prior to their expiration.</w:t>
      </w:r>
    </w:p>
    <w:p>
      <w:pPr>
        <w:spacing w:after="0" w:line="221" w:lineRule="exact"/>
        <w:rPr>
          <w:sz w:val="20"/>
          <w:szCs w:val="20"/>
          <w:color w:val="auto"/>
        </w:rPr>
      </w:pPr>
    </w:p>
    <w:p>
      <w:pPr>
        <w:ind w:right="80" w:firstLine="185"/>
        <w:spacing w:after="0" w:line="236" w:lineRule="auto"/>
        <w:rPr>
          <w:sz w:val="20"/>
          <w:szCs w:val="20"/>
          <w:color w:val="auto"/>
        </w:rPr>
      </w:pPr>
      <w:r>
        <w:rPr>
          <w:rFonts w:ascii="Verdana" w:cs="Verdana" w:eastAsia="Verdana" w:hAnsi="Verdana"/>
          <w:sz w:val="18"/>
          <w:szCs w:val="18"/>
          <w:color w:val="auto"/>
        </w:rPr>
        <w:t>During the first quarter of 2002 and 2001 the Company had average borrowings outstanding of approximately $888.3 million and $949.1 million, respectively, at average annual interest rates of approximately 3.5 percent and 5.8 percent, respectively. During the first quarter of 2002 and 2001, the Company incurred interest expense on borrowings of $8.7 million and $14.3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Verdana" w:cs="Verdana" w:eastAsia="Verdana" w:hAnsi="Verdana"/>
          <w:sz w:val="18"/>
          <w:szCs w:val="18"/>
          <w:color w:val="auto"/>
        </w:rPr>
        <w:t>9.</w:t>
      </w:r>
    </w:p>
    <w:p>
      <w:pPr>
        <w:spacing w:after="0" w:line="213" w:lineRule="exact"/>
        <w:rPr>
          <w:sz w:val="20"/>
          <w:szCs w:val="20"/>
          <w:color w:val="auto"/>
        </w:rPr>
      </w:pPr>
    </w:p>
    <w:p>
      <w:pPr>
        <w:spacing w:after="0"/>
        <w:rPr>
          <w:sz w:val="20"/>
          <w:szCs w:val="20"/>
          <w:color w:val="auto"/>
        </w:rPr>
      </w:pPr>
      <w:r>
        <w:rPr>
          <w:rFonts w:ascii="Verdana" w:cs="Verdana" w:eastAsia="Verdana" w:hAnsi="Verdana"/>
          <w:sz w:val="18"/>
          <w:szCs w:val="18"/>
          <w:color w:val="auto"/>
        </w:rPr>
        <w:t>Note 4: Business Segments.</w:t>
      </w:r>
    </w:p>
    <w:p>
      <w:pPr>
        <w:spacing w:after="0" w:line="220" w:lineRule="exact"/>
        <w:rPr>
          <w:sz w:val="20"/>
          <w:szCs w:val="20"/>
          <w:color w:val="auto"/>
        </w:rPr>
      </w:pPr>
    </w:p>
    <w:p>
      <w:pPr>
        <w:jc w:val="both"/>
        <w:ind w:right="380" w:firstLine="185"/>
        <w:spacing w:after="0" w:line="235" w:lineRule="auto"/>
        <w:rPr>
          <w:sz w:val="20"/>
          <w:szCs w:val="20"/>
          <w:color w:val="auto"/>
        </w:rPr>
      </w:pPr>
      <w:r>
        <w:rPr>
          <w:rFonts w:ascii="Verdana" w:cs="Verdana" w:eastAsia="Verdana" w:hAnsi="Verdana"/>
          <w:sz w:val="18"/>
          <w:szCs w:val="18"/>
          <w:color w:val="auto"/>
        </w:rPr>
        <w:t>The following table summarizes financial information related to each of the Company’s business segments. The 2002 and 2001 results of operations information is for the thirteen weeks ended March 31, 2002 and April 1, 2001, respectively. The 2002 and 2001 asset information is as of March 31, 2002 and December 30, 2001, respectively.</w:t>
      </w:r>
    </w:p>
    <w:p>
      <w:pPr>
        <w:spacing w:after="0" w:line="215" w:lineRule="exact"/>
        <w:rPr>
          <w:sz w:val="20"/>
          <w:szCs w:val="20"/>
          <w:color w:val="auto"/>
        </w:rPr>
      </w:pPr>
    </w:p>
    <w:p>
      <w:pPr>
        <w:spacing w:after="0"/>
        <w:rPr>
          <w:sz w:val="20"/>
          <w:szCs w:val="20"/>
          <w:color w:val="auto"/>
        </w:rPr>
      </w:pPr>
      <w:r>
        <w:rPr>
          <w:rFonts w:ascii="Verdana" w:cs="Verdana" w:eastAsia="Verdana" w:hAnsi="Verdana"/>
          <w:sz w:val="18"/>
          <w:szCs w:val="18"/>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gridSpan w:val="4"/>
          </w:tcPr>
          <w:p>
            <w:pPr>
              <w:jc w:val="right"/>
              <w:ind w:right="140"/>
              <w:spacing w:after="0"/>
              <w:rPr>
                <w:sz w:val="20"/>
                <w:szCs w:val="20"/>
                <w:color w:val="auto"/>
              </w:rPr>
            </w:pPr>
            <w:r>
              <w:rPr>
                <w:rFonts w:ascii="Verdana" w:cs="Verdana" w:eastAsia="Verdana" w:hAnsi="Verdana"/>
                <w:sz w:val="14"/>
                <w:szCs w:val="14"/>
                <w:color w:val="auto"/>
              </w:rPr>
              <w:t>Newspaper</w:t>
            </w:r>
          </w:p>
        </w:tc>
        <w:tc>
          <w:tcPr>
            <w:tcW w:w="160" w:type="dxa"/>
            <w:vAlign w:val="bottom"/>
          </w:tcPr>
          <w:p>
            <w:pPr>
              <w:spacing w:after="0"/>
              <w:rPr>
                <w:sz w:val="14"/>
                <w:szCs w:val="14"/>
                <w:color w:val="auto"/>
              </w:rPr>
            </w:pPr>
          </w:p>
        </w:tc>
        <w:tc>
          <w:tcPr>
            <w:tcW w:w="1280" w:type="dxa"/>
            <w:vAlign w:val="bottom"/>
            <w:gridSpan w:val="3"/>
          </w:tcPr>
          <w:p>
            <w:pPr>
              <w:jc w:val="right"/>
              <w:ind w:right="400"/>
              <w:spacing w:after="0"/>
              <w:rPr>
                <w:sz w:val="20"/>
                <w:szCs w:val="20"/>
                <w:color w:val="auto"/>
              </w:rPr>
            </w:pPr>
            <w:r>
              <w:rPr>
                <w:rFonts w:ascii="Verdana" w:cs="Verdana" w:eastAsia="Verdana" w:hAnsi="Verdana"/>
                <w:sz w:val="14"/>
                <w:szCs w:val="14"/>
                <w:color w:val="auto"/>
              </w:rPr>
              <w:t>Television</w:t>
            </w:r>
          </w:p>
        </w:tc>
        <w:tc>
          <w:tcPr>
            <w:tcW w:w="840" w:type="dxa"/>
            <w:vAlign w:val="bottom"/>
            <w:gridSpan w:val="3"/>
          </w:tcPr>
          <w:p>
            <w:pPr>
              <w:jc w:val="right"/>
              <w:ind w:right="160"/>
              <w:spacing w:after="0"/>
              <w:rPr>
                <w:sz w:val="20"/>
                <w:szCs w:val="20"/>
                <w:color w:val="auto"/>
              </w:rPr>
            </w:pPr>
            <w:r>
              <w:rPr>
                <w:rFonts w:ascii="Verdana" w:cs="Verdana" w:eastAsia="Verdana" w:hAnsi="Verdana"/>
                <w:sz w:val="14"/>
                <w:szCs w:val="14"/>
                <w:color w:val="auto"/>
              </w:rPr>
              <w:t>Magazine</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Verdana" w:cs="Verdana" w:eastAsia="Verdana" w:hAnsi="Verdana"/>
                <w:sz w:val="14"/>
                <w:szCs w:val="14"/>
                <w:color w:val="auto"/>
                <w:w w:val="96"/>
              </w:rPr>
              <w:t>Cable</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4"/>
          </w:tcPr>
          <w:p>
            <w:pPr>
              <w:jc w:val="right"/>
              <w:ind w:right="240"/>
              <w:spacing w:after="0"/>
              <w:rPr>
                <w:sz w:val="20"/>
                <w:szCs w:val="20"/>
                <w:color w:val="auto"/>
              </w:rPr>
            </w:pPr>
            <w:r>
              <w:rPr>
                <w:rFonts w:ascii="Verdana" w:cs="Verdana" w:eastAsia="Verdana" w:hAnsi="Verdana"/>
                <w:sz w:val="14"/>
                <w:szCs w:val="14"/>
                <w:color w:val="auto"/>
              </w:rPr>
              <w:t>Corporate</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Verdana" w:cs="Verdana" w:eastAsia="Verdana" w:hAnsi="Verdana"/>
                <w:sz w:val="14"/>
                <w:szCs w:val="14"/>
                <w:color w:val="auto"/>
                <w:w w:val="95"/>
              </w:rPr>
              <w:t>2002</w:t>
            </w:r>
          </w:p>
        </w:tc>
        <w:tc>
          <w:tcPr>
            <w:tcW w:w="1640" w:type="dxa"/>
            <w:vAlign w:val="bottom"/>
            <w:vMerge w:val="restart"/>
          </w:tcPr>
          <w:p>
            <w:pPr>
              <w:spacing w:after="0"/>
              <w:rPr>
                <w:sz w:val="12"/>
                <w:szCs w:val="12"/>
                <w:color w:val="auto"/>
              </w:rPr>
            </w:pPr>
          </w:p>
        </w:tc>
        <w:tc>
          <w:tcPr>
            <w:tcW w:w="1220" w:type="dxa"/>
            <w:vAlign w:val="bottom"/>
            <w:gridSpan w:val="4"/>
          </w:tcPr>
          <w:p>
            <w:pPr>
              <w:jc w:val="right"/>
              <w:ind w:right="140"/>
              <w:spacing w:after="0" w:line="149" w:lineRule="exact"/>
              <w:rPr>
                <w:sz w:val="20"/>
                <w:szCs w:val="20"/>
                <w:color w:val="auto"/>
              </w:rPr>
            </w:pPr>
            <w:r>
              <w:rPr>
                <w:rFonts w:ascii="Verdana" w:cs="Verdana" w:eastAsia="Verdana" w:hAnsi="Verdana"/>
                <w:sz w:val="14"/>
                <w:szCs w:val="14"/>
                <w:color w:val="auto"/>
              </w:rPr>
              <w:t>Publishing</w:t>
            </w:r>
          </w:p>
        </w:tc>
        <w:tc>
          <w:tcPr>
            <w:tcW w:w="1440" w:type="dxa"/>
            <w:vAlign w:val="bottom"/>
            <w:gridSpan w:val="4"/>
          </w:tcPr>
          <w:p>
            <w:pPr>
              <w:jc w:val="right"/>
              <w:ind w:right="400"/>
              <w:spacing w:after="0" w:line="149" w:lineRule="exact"/>
              <w:rPr>
                <w:sz w:val="20"/>
                <w:szCs w:val="20"/>
                <w:color w:val="auto"/>
              </w:rPr>
            </w:pPr>
            <w:r>
              <w:rPr>
                <w:rFonts w:ascii="Verdana" w:cs="Verdana" w:eastAsia="Verdana" w:hAnsi="Verdana"/>
                <w:sz w:val="14"/>
                <w:szCs w:val="14"/>
                <w:color w:val="auto"/>
              </w:rPr>
              <w:t>Broadcasting</w:t>
            </w:r>
          </w:p>
        </w:tc>
        <w:tc>
          <w:tcPr>
            <w:tcW w:w="840" w:type="dxa"/>
            <w:vAlign w:val="bottom"/>
            <w:gridSpan w:val="3"/>
          </w:tcPr>
          <w:p>
            <w:pPr>
              <w:jc w:val="right"/>
              <w:ind w:right="160"/>
              <w:spacing w:after="0" w:line="149" w:lineRule="exact"/>
              <w:rPr>
                <w:sz w:val="20"/>
                <w:szCs w:val="20"/>
                <w:color w:val="auto"/>
              </w:rPr>
            </w:pPr>
            <w:r>
              <w:rPr>
                <w:rFonts w:ascii="Verdana" w:cs="Verdana" w:eastAsia="Verdana" w:hAnsi="Verdana"/>
                <w:sz w:val="14"/>
                <w:szCs w:val="14"/>
                <w:color w:val="auto"/>
                <w:w w:val="92"/>
              </w:rPr>
              <w:t>Publishing</w:t>
            </w:r>
          </w:p>
        </w:tc>
        <w:tc>
          <w:tcPr>
            <w:tcW w:w="1060" w:type="dxa"/>
            <w:vAlign w:val="bottom"/>
            <w:gridSpan w:val="4"/>
          </w:tcPr>
          <w:p>
            <w:pPr>
              <w:jc w:val="right"/>
              <w:ind w:right="160"/>
              <w:spacing w:after="0" w:line="149" w:lineRule="exact"/>
              <w:rPr>
                <w:sz w:val="20"/>
                <w:szCs w:val="20"/>
                <w:color w:val="auto"/>
              </w:rPr>
            </w:pPr>
            <w:r>
              <w:rPr>
                <w:rFonts w:ascii="Verdana" w:cs="Verdana" w:eastAsia="Verdana" w:hAnsi="Verdana"/>
                <w:sz w:val="14"/>
                <w:szCs w:val="14"/>
                <w:color w:val="auto"/>
              </w:rPr>
              <w:t>Television</w:t>
            </w:r>
          </w:p>
        </w:tc>
        <w:tc>
          <w:tcPr>
            <w:tcW w:w="120" w:type="dxa"/>
            <w:vAlign w:val="bottom"/>
          </w:tcPr>
          <w:p>
            <w:pPr>
              <w:spacing w:after="0"/>
              <w:rPr>
                <w:sz w:val="12"/>
                <w:szCs w:val="12"/>
                <w:color w:val="auto"/>
              </w:rPr>
            </w:pPr>
          </w:p>
        </w:tc>
        <w:tc>
          <w:tcPr>
            <w:tcW w:w="820" w:type="dxa"/>
            <w:vAlign w:val="bottom"/>
            <w:gridSpan w:val="3"/>
          </w:tcPr>
          <w:p>
            <w:pPr>
              <w:jc w:val="right"/>
              <w:ind w:right="160"/>
              <w:spacing w:after="0" w:line="149" w:lineRule="exact"/>
              <w:rPr>
                <w:sz w:val="20"/>
                <w:szCs w:val="20"/>
                <w:color w:val="auto"/>
              </w:rPr>
            </w:pPr>
            <w:r>
              <w:rPr>
                <w:rFonts w:ascii="Verdana" w:cs="Verdana" w:eastAsia="Verdana" w:hAnsi="Verdana"/>
                <w:sz w:val="14"/>
                <w:szCs w:val="14"/>
                <w:color w:val="auto"/>
                <w:w w:val="92"/>
              </w:rPr>
              <w:t>Education</w:t>
            </w:r>
          </w:p>
        </w:tc>
        <w:tc>
          <w:tcPr>
            <w:tcW w:w="1020" w:type="dxa"/>
            <w:vAlign w:val="bottom"/>
            <w:gridSpan w:val="4"/>
          </w:tcPr>
          <w:p>
            <w:pPr>
              <w:jc w:val="right"/>
              <w:ind w:right="240"/>
              <w:spacing w:after="0" w:line="149" w:lineRule="exact"/>
              <w:rPr>
                <w:sz w:val="20"/>
                <w:szCs w:val="20"/>
                <w:color w:val="auto"/>
              </w:rPr>
            </w:pPr>
            <w:r>
              <w:rPr>
                <w:rFonts w:ascii="Verdana" w:cs="Verdana" w:eastAsia="Verdana" w:hAnsi="Verdana"/>
                <w:sz w:val="14"/>
                <w:szCs w:val="14"/>
                <w:color w:val="auto"/>
              </w:rPr>
              <w:t>Office</w:t>
            </w:r>
          </w:p>
        </w:tc>
        <w:tc>
          <w:tcPr>
            <w:tcW w:w="120" w:type="dxa"/>
            <w:vAlign w:val="bottom"/>
          </w:tcPr>
          <w:p>
            <w:pPr>
              <w:spacing w:after="0"/>
              <w:rPr>
                <w:sz w:val="12"/>
                <w:szCs w:val="12"/>
                <w:color w:val="auto"/>
              </w:rPr>
            </w:pPr>
          </w:p>
        </w:tc>
        <w:tc>
          <w:tcPr>
            <w:tcW w:w="920" w:type="dxa"/>
            <w:vAlign w:val="bottom"/>
            <w:gridSpan w:val="5"/>
          </w:tcPr>
          <w:p>
            <w:pPr>
              <w:jc w:val="right"/>
              <w:ind w:right="60"/>
              <w:spacing w:after="0" w:line="149" w:lineRule="exact"/>
              <w:rPr>
                <w:sz w:val="20"/>
                <w:szCs w:val="20"/>
                <w:color w:val="auto"/>
              </w:rPr>
            </w:pPr>
            <w:r>
              <w:rPr>
                <w:rFonts w:ascii="Verdana" w:cs="Verdana" w:eastAsia="Verdana" w:hAnsi="Verdana"/>
                <w:sz w:val="14"/>
                <w:szCs w:val="14"/>
                <w:color w:val="auto"/>
                <w:w w:val="92"/>
              </w:rPr>
              <w:t>Consolidated</w:t>
            </w:r>
          </w:p>
        </w:tc>
        <w:tc>
          <w:tcPr>
            <w:tcW w:w="0" w:type="dxa"/>
            <w:vAlign w:val="bottom"/>
          </w:tcPr>
          <w:p>
            <w:pPr>
              <w:spacing w:after="0"/>
              <w:rPr>
                <w:sz w:val="1"/>
                <w:szCs w:val="1"/>
                <w:color w:val="auto"/>
              </w:rPr>
            </w:pPr>
          </w:p>
        </w:tc>
      </w:tr>
      <w:tr>
        <w:trPr>
          <w:trHeight w:val="147"/>
        </w:trPr>
        <w:tc>
          <w:tcPr>
            <w:tcW w:w="360" w:type="dxa"/>
            <w:vAlign w:val="bottom"/>
            <w:tcBorders>
              <w:bottom w:val="single" w:sz="8" w:color="auto"/>
            </w:tcBorders>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000" w:type="dxa"/>
            <w:vAlign w:val="bottom"/>
            <w:gridSpan w:val="2"/>
          </w:tcPr>
          <w:p>
            <w:pPr>
              <w:spacing w:after="0"/>
              <w:rPr>
                <w:sz w:val="20"/>
                <w:szCs w:val="20"/>
                <w:color w:val="auto"/>
              </w:rPr>
            </w:pPr>
            <w:r>
              <w:rPr>
                <w:rFonts w:ascii="Verdana" w:cs="Verdana" w:eastAsia="Verdana" w:hAnsi="Verdana"/>
                <w:sz w:val="14"/>
                <w:szCs w:val="14"/>
                <w:color w:val="auto"/>
              </w:rPr>
              <w:t>Operating revenues</w:t>
            </w:r>
          </w:p>
        </w:tc>
        <w:tc>
          <w:tcPr>
            <w:tcW w:w="1220" w:type="dxa"/>
            <w:vAlign w:val="bottom"/>
            <w:gridSpan w:val="4"/>
          </w:tcPr>
          <w:p>
            <w:pPr>
              <w:jc w:val="right"/>
              <w:ind w:right="140"/>
              <w:spacing w:after="0"/>
              <w:rPr>
                <w:sz w:val="20"/>
                <w:szCs w:val="20"/>
                <w:color w:val="auto"/>
              </w:rPr>
            </w:pPr>
            <w:r>
              <w:rPr>
                <w:rFonts w:ascii="Verdana" w:cs="Verdana" w:eastAsia="Verdana" w:hAnsi="Verdana"/>
                <w:sz w:val="14"/>
                <w:szCs w:val="14"/>
                <w:color w:val="auto"/>
              </w:rPr>
              <w:t>$200,772</w:t>
            </w:r>
          </w:p>
        </w:tc>
        <w:tc>
          <w:tcPr>
            <w:tcW w:w="1440" w:type="dxa"/>
            <w:vAlign w:val="bottom"/>
            <w:gridSpan w:val="4"/>
          </w:tcPr>
          <w:p>
            <w:pPr>
              <w:jc w:val="right"/>
              <w:ind w:right="400"/>
              <w:spacing w:after="0"/>
              <w:rPr>
                <w:sz w:val="20"/>
                <w:szCs w:val="20"/>
                <w:color w:val="auto"/>
              </w:rPr>
            </w:pPr>
            <w:r>
              <w:rPr>
                <w:rFonts w:ascii="Verdana" w:cs="Verdana" w:eastAsia="Verdana" w:hAnsi="Verdana"/>
                <w:sz w:val="14"/>
                <w:szCs w:val="14"/>
                <w:color w:val="auto"/>
              </w:rPr>
              <w:t>$ 75,418</w:t>
            </w:r>
          </w:p>
        </w:tc>
        <w:tc>
          <w:tcPr>
            <w:tcW w:w="840" w:type="dxa"/>
            <w:vAlign w:val="bottom"/>
            <w:gridSpan w:val="3"/>
          </w:tcPr>
          <w:p>
            <w:pPr>
              <w:jc w:val="right"/>
              <w:ind w:right="160"/>
              <w:spacing w:after="0"/>
              <w:rPr>
                <w:sz w:val="20"/>
                <w:szCs w:val="20"/>
                <w:color w:val="auto"/>
              </w:rPr>
            </w:pPr>
            <w:r>
              <w:rPr>
                <w:rFonts w:ascii="Verdana" w:cs="Verdana" w:eastAsia="Verdana" w:hAnsi="Verdana"/>
                <w:sz w:val="14"/>
                <w:szCs w:val="14"/>
                <w:color w:val="auto"/>
              </w:rPr>
              <w:t>$ 75,018</w:t>
            </w:r>
          </w:p>
        </w:tc>
        <w:tc>
          <w:tcPr>
            <w:tcW w:w="1060" w:type="dxa"/>
            <w:vAlign w:val="bottom"/>
            <w:gridSpan w:val="4"/>
          </w:tcPr>
          <w:p>
            <w:pPr>
              <w:jc w:val="right"/>
              <w:ind w:right="160"/>
              <w:spacing w:after="0"/>
              <w:rPr>
                <w:sz w:val="20"/>
                <w:szCs w:val="20"/>
                <w:color w:val="auto"/>
              </w:rPr>
            </w:pPr>
            <w:r>
              <w:rPr>
                <w:rFonts w:ascii="Verdana" w:cs="Verdana" w:eastAsia="Verdana" w:hAnsi="Verdana"/>
                <w:sz w:val="14"/>
                <w:szCs w:val="14"/>
                <w:color w:val="auto"/>
              </w:rPr>
              <w:t>$102,033</w:t>
            </w:r>
          </w:p>
        </w:tc>
        <w:tc>
          <w:tcPr>
            <w:tcW w:w="940" w:type="dxa"/>
            <w:vAlign w:val="bottom"/>
            <w:gridSpan w:val="4"/>
          </w:tcPr>
          <w:p>
            <w:pPr>
              <w:jc w:val="right"/>
              <w:ind w:right="160"/>
              <w:spacing w:after="0"/>
              <w:rPr>
                <w:sz w:val="20"/>
                <w:szCs w:val="20"/>
                <w:color w:val="auto"/>
              </w:rPr>
            </w:pPr>
            <w:r>
              <w:rPr>
                <w:rFonts w:ascii="Verdana" w:cs="Verdana" w:eastAsia="Verdana" w:hAnsi="Verdana"/>
                <w:sz w:val="14"/>
                <w:szCs w:val="14"/>
                <w:color w:val="auto"/>
              </w:rPr>
              <w:t>$ 147,081</w:t>
            </w:r>
          </w:p>
        </w:tc>
        <w:tc>
          <w:tcPr>
            <w:tcW w:w="560" w:type="dxa"/>
            <w:vAlign w:val="bottom"/>
            <w:gridSpan w:val="2"/>
          </w:tcPr>
          <w:p>
            <w:pPr>
              <w:jc w:val="right"/>
              <w:ind w:right="120"/>
              <w:spacing w:after="0"/>
              <w:rPr>
                <w:sz w:val="20"/>
                <w:szCs w:val="20"/>
                <w:color w:val="auto"/>
              </w:rPr>
            </w:pPr>
            <w:r>
              <w:rPr>
                <w:rFonts w:ascii="Verdana" w:cs="Verdana" w:eastAsia="Verdana" w:hAnsi="Verdana"/>
                <w:sz w:val="14"/>
                <w:szCs w:val="14"/>
                <w:color w:val="auto"/>
              </w:rPr>
              <w:t>$</w:t>
            </w:r>
          </w:p>
        </w:tc>
        <w:tc>
          <w:tcPr>
            <w:tcW w:w="220" w:type="dxa"/>
            <w:vAlign w:val="bottom"/>
          </w:tcPr>
          <w:p>
            <w:pPr>
              <w:jc w:val="right"/>
              <w:spacing w:after="0"/>
              <w:rPr>
                <w:sz w:val="20"/>
                <w:szCs w:val="20"/>
                <w:color w:val="auto"/>
              </w:rPr>
            </w:pPr>
            <w:r>
              <w:rPr>
                <w:rFonts w:ascii="Verdana" w:cs="Verdana" w:eastAsia="Verdana" w:hAnsi="Verdana"/>
                <w:sz w:val="14"/>
                <w:szCs w:val="14"/>
                <w:color w:val="auto"/>
              </w:rPr>
              <w:t>-</w:t>
            </w:r>
          </w:p>
        </w:tc>
        <w:tc>
          <w:tcPr>
            <w:tcW w:w="24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Verdana" w:cs="Verdana" w:eastAsia="Verdana" w:hAnsi="Verdana"/>
                <w:sz w:val="14"/>
                <w:szCs w:val="14"/>
                <w:color w:val="auto"/>
              </w:rPr>
              <w:t>$</w:t>
            </w:r>
          </w:p>
        </w:tc>
        <w:tc>
          <w:tcPr>
            <w:tcW w:w="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Verdana" w:cs="Verdana" w:eastAsia="Verdana" w:hAnsi="Verdana"/>
                <w:sz w:val="14"/>
                <w:szCs w:val="14"/>
                <w:color w:val="auto"/>
                <w:w w:val="95"/>
              </w:rPr>
              <w:t>600,322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00" w:type="dxa"/>
            <w:vAlign w:val="bottom"/>
            <w:gridSpan w:val="2"/>
          </w:tcPr>
          <w:p>
            <w:pPr>
              <w:spacing w:after="0"/>
              <w:rPr>
                <w:sz w:val="20"/>
                <w:szCs w:val="20"/>
                <w:color w:val="auto"/>
              </w:rPr>
            </w:pPr>
            <w:r>
              <w:rPr>
                <w:rFonts w:ascii="Verdana" w:cs="Verdana" w:eastAsia="Verdana" w:hAnsi="Verdana"/>
                <w:sz w:val="14"/>
                <w:szCs w:val="14"/>
                <w:color w:val="auto"/>
              </w:rPr>
              <w:t>Income (loss) from</w:t>
            </w: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0" w:type="dxa"/>
            <w:vAlign w:val="bottom"/>
            <w:gridSpan w:val="2"/>
          </w:tcPr>
          <w:p>
            <w:pPr>
              <w:ind w:left="200"/>
              <w:spacing w:after="0"/>
              <w:rPr>
                <w:sz w:val="20"/>
                <w:szCs w:val="20"/>
                <w:color w:val="auto"/>
              </w:rPr>
            </w:pPr>
            <w:r>
              <w:rPr>
                <w:rFonts w:ascii="Verdana" w:cs="Verdana" w:eastAsia="Verdana" w:hAnsi="Verdana"/>
                <w:sz w:val="14"/>
                <w:szCs w:val="14"/>
                <w:color w:val="auto"/>
              </w:rPr>
              <w:t>operations</w:t>
            </w:r>
          </w:p>
        </w:tc>
        <w:tc>
          <w:tcPr>
            <w:tcW w:w="1220" w:type="dxa"/>
            <w:vAlign w:val="bottom"/>
            <w:gridSpan w:val="4"/>
          </w:tcPr>
          <w:p>
            <w:pPr>
              <w:jc w:val="right"/>
              <w:ind w:right="140"/>
              <w:spacing w:after="0"/>
              <w:rPr>
                <w:sz w:val="20"/>
                <w:szCs w:val="20"/>
                <w:color w:val="auto"/>
              </w:rPr>
            </w:pPr>
            <w:r>
              <w:rPr>
                <w:rFonts w:ascii="Verdana" w:cs="Verdana" w:eastAsia="Verdana" w:hAnsi="Verdana"/>
                <w:sz w:val="14"/>
                <w:szCs w:val="14"/>
                <w:color w:val="auto"/>
              </w:rPr>
              <w:t>$ 17,543</w:t>
            </w:r>
          </w:p>
        </w:tc>
        <w:tc>
          <w:tcPr>
            <w:tcW w:w="1440" w:type="dxa"/>
            <w:vAlign w:val="bottom"/>
            <w:gridSpan w:val="4"/>
          </w:tcPr>
          <w:p>
            <w:pPr>
              <w:jc w:val="right"/>
              <w:ind w:right="400"/>
              <w:spacing w:after="0"/>
              <w:rPr>
                <w:sz w:val="20"/>
                <w:szCs w:val="20"/>
                <w:color w:val="auto"/>
              </w:rPr>
            </w:pPr>
            <w:r>
              <w:rPr>
                <w:rFonts w:ascii="Verdana" w:cs="Verdana" w:eastAsia="Verdana" w:hAnsi="Verdana"/>
                <w:sz w:val="14"/>
                <w:szCs w:val="14"/>
                <w:color w:val="auto"/>
              </w:rPr>
              <w:t>$ 33,551</w:t>
            </w:r>
          </w:p>
        </w:tc>
        <w:tc>
          <w:tcPr>
            <w:tcW w:w="840" w:type="dxa"/>
            <w:vAlign w:val="bottom"/>
            <w:gridSpan w:val="3"/>
          </w:tcPr>
          <w:p>
            <w:pPr>
              <w:jc w:val="right"/>
              <w:ind w:right="100"/>
              <w:spacing w:after="0"/>
              <w:rPr>
                <w:sz w:val="20"/>
                <w:szCs w:val="20"/>
                <w:color w:val="auto"/>
              </w:rPr>
            </w:pPr>
            <w:r>
              <w:rPr>
                <w:rFonts w:ascii="Verdana" w:cs="Verdana" w:eastAsia="Verdana" w:hAnsi="Verdana"/>
                <w:sz w:val="14"/>
                <w:szCs w:val="14"/>
                <w:color w:val="auto"/>
              </w:rPr>
              <w:t>$(11,578)</w:t>
            </w:r>
          </w:p>
        </w:tc>
        <w:tc>
          <w:tcPr>
            <w:tcW w:w="1060" w:type="dxa"/>
            <w:vAlign w:val="bottom"/>
            <w:gridSpan w:val="4"/>
          </w:tcPr>
          <w:p>
            <w:pPr>
              <w:jc w:val="right"/>
              <w:ind w:right="160"/>
              <w:spacing w:after="0"/>
              <w:rPr>
                <w:sz w:val="20"/>
                <w:szCs w:val="20"/>
                <w:color w:val="auto"/>
              </w:rPr>
            </w:pPr>
            <w:r>
              <w:rPr>
                <w:rFonts w:ascii="Verdana" w:cs="Verdana" w:eastAsia="Verdana" w:hAnsi="Verdana"/>
                <w:sz w:val="14"/>
                <w:szCs w:val="14"/>
                <w:color w:val="auto"/>
              </w:rPr>
              <w:t>$ 16,042</w:t>
            </w:r>
          </w:p>
        </w:tc>
        <w:tc>
          <w:tcPr>
            <w:tcW w:w="360" w:type="dxa"/>
            <w:vAlign w:val="bottom"/>
            <w:gridSpan w:val="2"/>
          </w:tcPr>
          <w:p>
            <w:pPr>
              <w:jc w:val="right"/>
              <w:ind w:right="72"/>
              <w:spacing w:after="0"/>
              <w:rPr>
                <w:sz w:val="20"/>
                <w:szCs w:val="20"/>
                <w:color w:val="auto"/>
              </w:rPr>
            </w:pPr>
            <w:r>
              <w:rPr>
                <w:rFonts w:ascii="Verdana" w:cs="Verdana" w:eastAsia="Verdana" w:hAnsi="Verdana"/>
                <w:sz w:val="14"/>
                <w:szCs w:val="14"/>
                <w:color w:val="auto"/>
              </w:rPr>
              <w:t>$</w:t>
            </w:r>
          </w:p>
        </w:tc>
        <w:tc>
          <w:tcPr>
            <w:tcW w:w="580" w:type="dxa"/>
            <w:vAlign w:val="bottom"/>
            <w:gridSpan w:val="2"/>
          </w:tcPr>
          <w:p>
            <w:pPr>
              <w:jc w:val="right"/>
              <w:ind w:right="100"/>
              <w:spacing w:after="0"/>
              <w:rPr>
                <w:sz w:val="20"/>
                <w:szCs w:val="20"/>
                <w:color w:val="auto"/>
              </w:rPr>
            </w:pPr>
            <w:r>
              <w:rPr>
                <w:rFonts w:ascii="Verdana" w:cs="Verdana" w:eastAsia="Verdana" w:hAnsi="Verdana"/>
                <w:sz w:val="14"/>
                <w:szCs w:val="14"/>
                <w:color w:val="auto"/>
              </w:rPr>
              <w:t>(550)</w:t>
            </w:r>
          </w:p>
        </w:tc>
        <w:tc>
          <w:tcPr>
            <w:tcW w:w="1020" w:type="dxa"/>
            <w:vAlign w:val="bottom"/>
            <w:gridSpan w:val="4"/>
          </w:tcPr>
          <w:p>
            <w:pPr>
              <w:jc w:val="right"/>
              <w:ind w:right="180"/>
              <w:spacing w:after="0"/>
              <w:rPr>
                <w:sz w:val="20"/>
                <w:szCs w:val="20"/>
                <w:color w:val="auto"/>
              </w:rPr>
            </w:pPr>
            <w:r>
              <w:rPr>
                <w:rFonts w:ascii="Verdana" w:cs="Verdana" w:eastAsia="Verdana" w:hAnsi="Verdana"/>
                <w:sz w:val="14"/>
                <w:szCs w:val="14"/>
                <w:color w:val="auto"/>
              </w:rPr>
              <w:t>$ (6,116)</w:t>
            </w:r>
          </w:p>
        </w:tc>
        <w:tc>
          <w:tcPr>
            <w:tcW w:w="400" w:type="dxa"/>
            <w:vAlign w:val="bottom"/>
            <w:gridSpan w:val="3"/>
          </w:tcPr>
          <w:p>
            <w:pPr>
              <w:jc w:val="right"/>
              <w:ind w:right="40"/>
              <w:spacing w:after="0"/>
              <w:rPr>
                <w:sz w:val="20"/>
                <w:szCs w:val="20"/>
                <w:color w:val="auto"/>
              </w:rPr>
            </w:pPr>
            <w:r>
              <w:rPr>
                <w:rFonts w:ascii="Verdana" w:cs="Verdana" w:eastAsia="Verdana" w:hAnsi="Verdana"/>
                <w:sz w:val="14"/>
                <w:szCs w:val="14"/>
                <w:color w:val="auto"/>
              </w:rPr>
              <w:t>$</w:t>
            </w: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Verdana" w:cs="Verdana" w:eastAsia="Verdana" w:hAnsi="Verdana"/>
                <w:sz w:val="14"/>
                <w:szCs w:val="14"/>
                <w:color w:val="auto"/>
                <w:w w:val="96"/>
              </w:rPr>
              <w:t>48,892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0" w:type="dxa"/>
            <w:vAlign w:val="bottom"/>
            <w:gridSpan w:val="2"/>
          </w:tcPr>
          <w:p>
            <w:pPr>
              <w:spacing w:after="0"/>
              <w:rPr>
                <w:sz w:val="20"/>
                <w:szCs w:val="20"/>
                <w:color w:val="auto"/>
              </w:rPr>
            </w:pPr>
            <w:r>
              <w:rPr>
                <w:rFonts w:ascii="Verdana" w:cs="Verdana" w:eastAsia="Verdana" w:hAnsi="Verdana"/>
                <w:sz w:val="14"/>
                <w:szCs w:val="14"/>
                <w:color w:val="auto"/>
              </w:rPr>
              <w:t>Equity in losses of</w:t>
            </w: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0" w:type="dxa"/>
            <w:vAlign w:val="bottom"/>
            <w:gridSpan w:val="2"/>
          </w:tcPr>
          <w:p>
            <w:pPr>
              <w:ind w:left="200"/>
              <w:spacing w:after="0"/>
              <w:rPr>
                <w:sz w:val="20"/>
                <w:szCs w:val="20"/>
                <w:color w:val="auto"/>
              </w:rPr>
            </w:pPr>
            <w:r>
              <w:rPr>
                <w:rFonts w:ascii="Verdana" w:cs="Verdana" w:eastAsia="Verdana" w:hAnsi="Verdana"/>
                <w:sz w:val="14"/>
                <w:szCs w:val="14"/>
                <w:color w:val="auto"/>
              </w:rPr>
              <w:t>affiliates</w:t>
            </w: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Verdana" w:cs="Verdana" w:eastAsia="Verdana" w:hAnsi="Verdana"/>
                <w:sz w:val="14"/>
                <w:szCs w:val="14"/>
                <w:color w:val="auto"/>
              </w:rPr>
              <w:t>(6,506)</w:t>
            </w:r>
          </w:p>
        </w:tc>
        <w:tc>
          <w:tcPr>
            <w:tcW w:w="0" w:type="dxa"/>
            <w:vAlign w:val="bottom"/>
          </w:tcPr>
          <w:p>
            <w:pPr>
              <w:spacing w:after="0"/>
              <w:rPr>
                <w:sz w:val="1"/>
                <w:szCs w:val="1"/>
                <w:color w:val="auto"/>
              </w:rPr>
            </w:pPr>
          </w:p>
        </w:tc>
      </w:tr>
      <w:tr>
        <w:trPr>
          <w:trHeight w:val="243"/>
        </w:trPr>
        <w:tc>
          <w:tcPr>
            <w:tcW w:w="2000" w:type="dxa"/>
            <w:vAlign w:val="bottom"/>
            <w:gridSpan w:val="2"/>
          </w:tcPr>
          <w:p>
            <w:pPr>
              <w:spacing w:after="0"/>
              <w:rPr>
                <w:sz w:val="20"/>
                <w:szCs w:val="20"/>
                <w:color w:val="auto"/>
              </w:rPr>
            </w:pPr>
            <w:r>
              <w:rPr>
                <w:rFonts w:ascii="Verdana" w:cs="Verdana" w:eastAsia="Verdana" w:hAnsi="Verdana"/>
                <w:sz w:val="14"/>
                <w:szCs w:val="14"/>
                <w:color w:val="auto"/>
              </w:rPr>
              <w:t>Interest expense, net</w:t>
            </w: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Verdana" w:cs="Verdana" w:eastAsia="Verdana" w:hAnsi="Verdana"/>
                <w:sz w:val="14"/>
                <w:szCs w:val="14"/>
                <w:color w:val="auto"/>
              </w:rPr>
              <w:t>(8,734)</w:t>
            </w:r>
          </w:p>
        </w:tc>
        <w:tc>
          <w:tcPr>
            <w:tcW w:w="0" w:type="dxa"/>
            <w:vAlign w:val="bottom"/>
          </w:tcPr>
          <w:p>
            <w:pPr>
              <w:spacing w:after="0"/>
              <w:rPr>
                <w:sz w:val="1"/>
                <w:szCs w:val="1"/>
                <w:color w:val="auto"/>
              </w:rPr>
            </w:pPr>
          </w:p>
        </w:tc>
      </w:tr>
      <w:tr>
        <w:trPr>
          <w:trHeight w:val="229"/>
        </w:trPr>
        <w:tc>
          <w:tcPr>
            <w:tcW w:w="2000" w:type="dxa"/>
            <w:vAlign w:val="bottom"/>
            <w:gridSpan w:val="2"/>
          </w:tcPr>
          <w:p>
            <w:pPr>
              <w:spacing w:after="0"/>
              <w:rPr>
                <w:sz w:val="20"/>
                <w:szCs w:val="20"/>
                <w:color w:val="auto"/>
              </w:rPr>
            </w:pPr>
            <w:r>
              <w:rPr>
                <w:rFonts w:ascii="Verdana" w:cs="Verdana" w:eastAsia="Verdana" w:hAnsi="Verdana"/>
                <w:sz w:val="14"/>
                <w:szCs w:val="14"/>
                <w:color w:val="auto"/>
              </w:rPr>
              <w:t>Other expense, net</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6,454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00" w:type="dxa"/>
            <w:vAlign w:val="bottom"/>
            <w:gridSpan w:val="2"/>
          </w:tcPr>
          <w:p>
            <w:pPr>
              <w:spacing w:after="0"/>
              <w:rPr>
                <w:sz w:val="20"/>
                <w:szCs w:val="20"/>
                <w:color w:val="auto"/>
              </w:rPr>
            </w:pPr>
            <w:r>
              <w:rPr>
                <w:rFonts w:ascii="Verdana" w:cs="Verdana" w:eastAsia="Verdana" w:hAnsi="Verdana"/>
                <w:sz w:val="14"/>
                <w:szCs w:val="14"/>
                <w:color w:val="auto"/>
              </w:rPr>
              <w:t>Income before income</w:t>
            </w: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00" w:type="dxa"/>
            <w:vAlign w:val="bottom"/>
            <w:gridSpan w:val="2"/>
          </w:tcPr>
          <w:p>
            <w:pPr>
              <w:ind w:left="200"/>
              <w:spacing w:after="0"/>
              <w:rPr>
                <w:sz w:val="20"/>
                <w:szCs w:val="20"/>
                <w:color w:val="auto"/>
              </w:rPr>
            </w:pPr>
            <w:r>
              <w:rPr>
                <w:rFonts w:ascii="Verdana" w:cs="Verdana" w:eastAsia="Verdana" w:hAnsi="Verdana"/>
                <w:sz w:val="14"/>
                <w:szCs w:val="14"/>
                <w:color w:val="auto"/>
              </w:rPr>
              <w:t>taxes</w:t>
            </w: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gridSpan w:val="3"/>
          </w:tcPr>
          <w:p>
            <w:pPr>
              <w:jc w:val="right"/>
              <w:ind w:right="40"/>
              <w:spacing w:after="0"/>
              <w:rPr>
                <w:sz w:val="20"/>
                <w:szCs w:val="20"/>
                <w:color w:val="auto"/>
              </w:rPr>
            </w:pPr>
            <w:r>
              <w:rPr>
                <w:rFonts w:ascii="Verdana" w:cs="Verdana" w:eastAsia="Verdana" w:hAnsi="Verdana"/>
                <w:sz w:val="14"/>
                <w:szCs w:val="14"/>
                <w:color w:val="auto"/>
              </w:rPr>
              <w:t>$</w:t>
            </w: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Verdana" w:cs="Verdana" w:eastAsia="Verdana" w:hAnsi="Verdana"/>
                <w:sz w:val="14"/>
                <w:szCs w:val="14"/>
                <w:color w:val="auto"/>
                <w:w w:val="96"/>
              </w:rPr>
              <w:t>40,106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1"/>
        </w:trPr>
        <w:tc>
          <w:tcPr>
            <w:tcW w:w="2000" w:type="dxa"/>
            <w:vAlign w:val="bottom"/>
            <w:gridSpan w:val="2"/>
          </w:tcPr>
          <w:p>
            <w:pPr>
              <w:spacing w:after="0"/>
              <w:rPr>
                <w:sz w:val="20"/>
                <w:szCs w:val="20"/>
                <w:color w:val="auto"/>
              </w:rPr>
            </w:pPr>
            <w:r>
              <w:rPr>
                <w:rFonts w:ascii="Verdana" w:cs="Verdana" w:eastAsia="Verdana" w:hAnsi="Verdana"/>
                <w:sz w:val="14"/>
                <w:szCs w:val="14"/>
                <w:color w:val="auto"/>
              </w:rPr>
              <w:t>Depreciation expense</w:t>
            </w:r>
          </w:p>
        </w:tc>
        <w:tc>
          <w:tcPr>
            <w:tcW w:w="1220" w:type="dxa"/>
            <w:vAlign w:val="bottom"/>
            <w:gridSpan w:val="4"/>
          </w:tcPr>
          <w:p>
            <w:pPr>
              <w:jc w:val="right"/>
              <w:ind w:right="140"/>
              <w:spacing w:after="0"/>
              <w:rPr>
                <w:sz w:val="20"/>
                <w:szCs w:val="20"/>
                <w:color w:val="auto"/>
              </w:rPr>
            </w:pPr>
            <w:r>
              <w:rPr>
                <w:rFonts w:ascii="Verdana" w:cs="Verdana" w:eastAsia="Verdana" w:hAnsi="Verdana"/>
                <w:sz w:val="14"/>
                <w:szCs w:val="14"/>
                <w:color w:val="auto"/>
              </w:rPr>
              <w:t>$ 10,879</w:t>
            </w:r>
          </w:p>
        </w:tc>
        <w:tc>
          <w:tcPr>
            <w:tcW w:w="600" w:type="dxa"/>
            <w:vAlign w:val="bottom"/>
            <w:gridSpan w:val="2"/>
          </w:tcPr>
          <w:p>
            <w:pPr>
              <w:jc w:val="right"/>
              <w:spacing w:after="0"/>
              <w:rPr>
                <w:sz w:val="20"/>
                <w:szCs w:val="20"/>
                <w:color w:val="auto"/>
              </w:rPr>
            </w:pPr>
            <w:r>
              <w:rPr>
                <w:rFonts w:ascii="Verdana" w:cs="Verdana" w:eastAsia="Verdana" w:hAnsi="Verdana"/>
                <w:sz w:val="14"/>
                <w:szCs w:val="14"/>
                <w:color w:val="auto"/>
              </w:rPr>
              <w:t>$</w:t>
            </w:r>
          </w:p>
        </w:tc>
        <w:tc>
          <w:tcPr>
            <w:tcW w:w="840" w:type="dxa"/>
            <w:vAlign w:val="bottom"/>
            <w:gridSpan w:val="2"/>
          </w:tcPr>
          <w:p>
            <w:pPr>
              <w:jc w:val="right"/>
              <w:ind w:right="400"/>
              <w:spacing w:after="0"/>
              <w:rPr>
                <w:sz w:val="20"/>
                <w:szCs w:val="20"/>
                <w:color w:val="auto"/>
              </w:rPr>
            </w:pPr>
            <w:r>
              <w:rPr>
                <w:rFonts w:ascii="Verdana" w:cs="Verdana" w:eastAsia="Verdana" w:hAnsi="Verdana"/>
                <w:sz w:val="14"/>
                <w:szCs w:val="14"/>
                <w:color w:val="auto"/>
              </w:rPr>
              <w:t>2,765</w:t>
            </w:r>
          </w:p>
        </w:tc>
        <w:tc>
          <w:tcPr>
            <w:tcW w:w="240" w:type="dxa"/>
            <w:vAlign w:val="bottom"/>
          </w:tcPr>
          <w:p>
            <w:pPr>
              <w:jc w:val="right"/>
              <w:spacing w:after="0"/>
              <w:rPr>
                <w:sz w:val="20"/>
                <w:szCs w:val="20"/>
                <w:color w:val="auto"/>
              </w:rPr>
            </w:pPr>
            <w:r>
              <w:rPr>
                <w:rFonts w:ascii="Verdana" w:cs="Verdana" w:eastAsia="Verdana" w:hAnsi="Verdana"/>
                <w:sz w:val="14"/>
                <w:szCs w:val="14"/>
                <w:color w:val="auto"/>
              </w:rPr>
              <w:t>$</w:t>
            </w:r>
          </w:p>
        </w:tc>
        <w:tc>
          <w:tcPr>
            <w:tcW w:w="60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1,050</w:t>
            </w:r>
          </w:p>
        </w:tc>
        <w:tc>
          <w:tcPr>
            <w:tcW w:w="1060" w:type="dxa"/>
            <w:vAlign w:val="bottom"/>
            <w:gridSpan w:val="4"/>
          </w:tcPr>
          <w:p>
            <w:pPr>
              <w:jc w:val="right"/>
              <w:ind w:right="160"/>
              <w:spacing w:after="0"/>
              <w:rPr>
                <w:sz w:val="20"/>
                <w:szCs w:val="20"/>
                <w:color w:val="auto"/>
              </w:rPr>
            </w:pPr>
            <w:r>
              <w:rPr>
                <w:rFonts w:ascii="Verdana" w:cs="Verdana" w:eastAsia="Verdana" w:hAnsi="Verdana"/>
                <w:sz w:val="14"/>
                <w:szCs w:val="14"/>
                <w:color w:val="auto"/>
              </w:rPr>
              <w:t>$ 20,479</w:t>
            </w:r>
          </w:p>
        </w:tc>
        <w:tc>
          <w:tcPr>
            <w:tcW w:w="360" w:type="dxa"/>
            <w:vAlign w:val="bottom"/>
            <w:gridSpan w:val="2"/>
          </w:tcPr>
          <w:p>
            <w:pPr>
              <w:jc w:val="right"/>
              <w:spacing w:after="0"/>
              <w:rPr>
                <w:sz w:val="20"/>
                <w:szCs w:val="20"/>
                <w:color w:val="auto"/>
              </w:rPr>
            </w:pPr>
            <w:r>
              <w:rPr>
                <w:rFonts w:ascii="Verdana" w:cs="Verdana" w:eastAsia="Verdana" w:hAnsi="Verdana"/>
                <w:sz w:val="14"/>
                <w:szCs w:val="14"/>
                <w:color w:val="auto"/>
              </w:rPr>
              <w:t>$</w:t>
            </w:r>
          </w:p>
        </w:tc>
        <w:tc>
          <w:tcPr>
            <w:tcW w:w="580" w:type="dxa"/>
            <w:vAlign w:val="bottom"/>
            <w:gridSpan w:val="2"/>
          </w:tcPr>
          <w:p>
            <w:pPr>
              <w:jc w:val="right"/>
              <w:ind w:right="160"/>
              <w:spacing w:after="0"/>
              <w:rPr>
                <w:sz w:val="20"/>
                <w:szCs w:val="20"/>
                <w:color w:val="auto"/>
              </w:rPr>
            </w:pPr>
            <w:r>
              <w:rPr>
                <w:rFonts w:ascii="Verdana" w:cs="Verdana" w:eastAsia="Verdana" w:hAnsi="Verdana"/>
                <w:sz w:val="14"/>
                <w:szCs w:val="14"/>
                <w:color w:val="auto"/>
                <w:w w:val="97"/>
              </w:rPr>
              <w:t>6,000</w:t>
            </w:r>
          </w:p>
        </w:tc>
        <w:tc>
          <w:tcPr>
            <w:tcW w:w="560" w:type="dxa"/>
            <w:vAlign w:val="bottom"/>
            <w:gridSpan w:val="2"/>
          </w:tcPr>
          <w:p>
            <w:pPr>
              <w:jc w:val="right"/>
              <w:ind w:right="120"/>
              <w:spacing w:after="0"/>
              <w:rPr>
                <w:sz w:val="20"/>
                <w:szCs w:val="20"/>
                <w:color w:val="auto"/>
              </w:rPr>
            </w:pPr>
            <w:r>
              <w:rPr>
                <w:rFonts w:ascii="Verdana" w:cs="Verdana" w:eastAsia="Verdana" w:hAnsi="Verdana"/>
                <w:sz w:val="14"/>
                <w:szCs w:val="14"/>
                <w:color w:val="auto"/>
              </w:rPr>
              <w:t>$</w:t>
            </w:r>
          </w:p>
        </w:tc>
        <w:tc>
          <w:tcPr>
            <w:tcW w:w="460" w:type="dxa"/>
            <w:vAlign w:val="bottom"/>
            <w:gridSpan w:val="2"/>
          </w:tcPr>
          <w:p>
            <w:pPr>
              <w:jc w:val="right"/>
              <w:ind w:right="240"/>
              <w:spacing w:after="0"/>
              <w:rPr>
                <w:sz w:val="20"/>
                <w:szCs w:val="20"/>
                <w:color w:val="auto"/>
              </w:rPr>
            </w:pPr>
            <w:r>
              <w:rPr>
                <w:rFonts w:ascii="Verdana" w:cs="Verdana" w:eastAsia="Verdana" w:hAnsi="Verdana"/>
                <w:sz w:val="14"/>
                <w:szCs w:val="14"/>
                <w:color w:val="auto"/>
              </w:rPr>
              <w:t>-</w:t>
            </w:r>
          </w:p>
        </w:tc>
        <w:tc>
          <w:tcPr>
            <w:tcW w:w="400" w:type="dxa"/>
            <w:vAlign w:val="bottom"/>
            <w:gridSpan w:val="3"/>
          </w:tcPr>
          <w:p>
            <w:pPr>
              <w:jc w:val="right"/>
              <w:ind w:right="40"/>
              <w:spacing w:after="0"/>
              <w:rPr>
                <w:sz w:val="20"/>
                <w:szCs w:val="20"/>
                <w:color w:val="auto"/>
              </w:rPr>
            </w:pPr>
            <w:r>
              <w:rPr>
                <w:rFonts w:ascii="Verdana" w:cs="Verdana" w:eastAsia="Verdana" w:hAnsi="Verdana"/>
                <w:sz w:val="14"/>
                <w:szCs w:val="14"/>
                <w:color w:val="auto"/>
              </w:rPr>
              <w:t>$</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Verdana" w:cs="Verdana" w:eastAsia="Verdana" w:hAnsi="Verdana"/>
                <w:sz w:val="14"/>
                <w:szCs w:val="14"/>
                <w:color w:val="auto"/>
                <w:w w:val="96"/>
              </w:rPr>
              <w:t>41,173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00" w:type="dxa"/>
            <w:vAlign w:val="bottom"/>
            <w:gridSpan w:val="2"/>
          </w:tcPr>
          <w:p>
            <w:pPr>
              <w:spacing w:after="0"/>
              <w:rPr>
                <w:sz w:val="20"/>
                <w:szCs w:val="20"/>
                <w:color w:val="auto"/>
              </w:rPr>
            </w:pPr>
            <w:r>
              <w:rPr>
                <w:rFonts w:ascii="Verdana" w:cs="Verdana" w:eastAsia="Verdana" w:hAnsi="Verdana"/>
                <w:sz w:val="14"/>
                <w:szCs w:val="14"/>
                <w:color w:val="auto"/>
              </w:rPr>
              <w:t>Amortization expense</w:t>
            </w:r>
          </w:p>
        </w:tc>
        <w:tc>
          <w:tcPr>
            <w:tcW w:w="84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w:t>
            </w:r>
          </w:p>
        </w:tc>
        <w:tc>
          <w:tcPr>
            <w:tcW w:w="38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4</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Verdana" w:cs="Verdana" w:eastAsia="Verdana" w:hAnsi="Verdana"/>
                <w:sz w:val="14"/>
                <w:szCs w:val="14"/>
                <w:color w:val="auto"/>
              </w:rPr>
              <w:t>$  -</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Verdana" w:cs="Verdana" w:eastAsia="Verdana" w:hAnsi="Verdana"/>
                <w:sz w:val="14"/>
                <w:szCs w:val="14"/>
                <w:color w:val="auto"/>
              </w:rPr>
              <w:t>$  -</w:t>
            </w:r>
          </w:p>
        </w:tc>
        <w:tc>
          <w:tcPr>
            <w:tcW w:w="160" w:type="dxa"/>
            <w:vAlign w:val="bottom"/>
          </w:tcPr>
          <w:p>
            <w:pPr>
              <w:spacing w:after="0"/>
              <w:rPr>
                <w:sz w:val="21"/>
                <w:szCs w:val="21"/>
                <w:color w:val="auto"/>
              </w:rPr>
            </w:pPr>
          </w:p>
        </w:tc>
        <w:tc>
          <w:tcPr>
            <w:tcW w:w="500" w:type="dxa"/>
            <w:vAlign w:val="bottom"/>
            <w:gridSpan w:val="2"/>
          </w:tcPr>
          <w:p>
            <w:pPr>
              <w:jc w:val="right"/>
              <w:ind w:right="20"/>
              <w:spacing w:after="0"/>
              <w:rPr>
                <w:sz w:val="20"/>
                <w:szCs w:val="20"/>
                <w:color w:val="auto"/>
              </w:rPr>
            </w:pPr>
            <w:r>
              <w:rPr>
                <w:rFonts w:ascii="Verdana" w:cs="Verdana" w:eastAsia="Verdana" w:hAnsi="Verdana"/>
                <w:sz w:val="14"/>
                <w:szCs w:val="14"/>
                <w:color w:val="auto"/>
              </w:rPr>
              <w:t>$</w:t>
            </w:r>
          </w:p>
        </w:tc>
        <w:tc>
          <w:tcPr>
            <w:tcW w:w="56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39</w:t>
            </w:r>
          </w:p>
        </w:tc>
        <w:tc>
          <w:tcPr>
            <w:tcW w:w="360" w:type="dxa"/>
            <w:vAlign w:val="bottom"/>
            <w:gridSpan w:val="2"/>
          </w:tcPr>
          <w:p>
            <w:pPr>
              <w:jc w:val="right"/>
              <w:spacing w:after="0"/>
              <w:rPr>
                <w:sz w:val="20"/>
                <w:szCs w:val="20"/>
                <w:color w:val="auto"/>
              </w:rPr>
            </w:pPr>
            <w:r>
              <w:rPr>
                <w:rFonts w:ascii="Verdana" w:cs="Verdana" w:eastAsia="Verdana" w:hAnsi="Verdana"/>
                <w:sz w:val="14"/>
                <w:szCs w:val="14"/>
                <w:color w:val="auto"/>
              </w:rPr>
              <w:t>$</w:t>
            </w:r>
          </w:p>
        </w:tc>
        <w:tc>
          <w:tcPr>
            <w:tcW w:w="58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109</w:t>
            </w:r>
          </w:p>
        </w:tc>
        <w:tc>
          <w:tcPr>
            <w:tcW w:w="560" w:type="dxa"/>
            <w:vAlign w:val="bottom"/>
            <w:gridSpan w:val="2"/>
          </w:tcPr>
          <w:p>
            <w:pPr>
              <w:jc w:val="right"/>
              <w:ind w:right="120"/>
              <w:spacing w:after="0"/>
              <w:rPr>
                <w:sz w:val="20"/>
                <w:szCs w:val="20"/>
                <w:color w:val="auto"/>
              </w:rPr>
            </w:pPr>
            <w:r>
              <w:rPr>
                <w:rFonts w:ascii="Verdana" w:cs="Verdana" w:eastAsia="Verdana" w:hAnsi="Verdana"/>
                <w:sz w:val="14"/>
                <w:szCs w:val="14"/>
                <w:color w:val="auto"/>
              </w:rPr>
              <w:t>$</w:t>
            </w:r>
          </w:p>
        </w:tc>
        <w:tc>
          <w:tcPr>
            <w:tcW w:w="460" w:type="dxa"/>
            <w:vAlign w:val="bottom"/>
            <w:gridSpan w:val="2"/>
          </w:tcPr>
          <w:p>
            <w:pPr>
              <w:jc w:val="right"/>
              <w:ind w:right="240"/>
              <w:spacing w:after="0"/>
              <w:rPr>
                <w:sz w:val="20"/>
                <w:szCs w:val="20"/>
                <w:color w:val="auto"/>
              </w:rPr>
            </w:pPr>
            <w:r>
              <w:rPr>
                <w:rFonts w:ascii="Verdana" w:cs="Verdana" w:eastAsia="Verdana" w:hAnsi="Verdana"/>
                <w:sz w:val="14"/>
                <w:szCs w:val="14"/>
                <w:color w:val="auto"/>
              </w:rPr>
              <w:t>-</w:t>
            </w:r>
          </w:p>
        </w:tc>
        <w:tc>
          <w:tcPr>
            <w:tcW w:w="480" w:type="dxa"/>
            <w:vAlign w:val="bottom"/>
            <w:gridSpan w:val="4"/>
          </w:tcPr>
          <w:p>
            <w:pPr>
              <w:jc w:val="right"/>
              <w:spacing w:after="0"/>
              <w:rPr>
                <w:sz w:val="20"/>
                <w:szCs w:val="20"/>
                <w:color w:val="auto"/>
              </w:rPr>
            </w:pPr>
            <w:r>
              <w:rPr>
                <w:rFonts w:ascii="Verdana" w:cs="Verdana" w:eastAsia="Verdana" w:hAnsi="Verdana"/>
                <w:sz w:val="14"/>
                <w:szCs w:val="14"/>
                <w:color w:val="auto"/>
              </w:rPr>
              <w:t>$</w:t>
            </w:r>
          </w:p>
        </w:tc>
        <w:tc>
          <w:tcPr>
            <w:tcW w:w="500" w:type="dxa"/>
            <w:vAlign w:val="bottom"/>
          </w:tcPr>
          <w:p>
            <w:pPr>
              <w:jc w:val="right"/>
              <w:spacing w:after="0"/>
              <w:rPr>
                <w:sz w:val="20"/>
                <w:szCs w:val="20"/>
                <w:color w:val="auto"/>
              </w:rPr>
            </w:pPr>
            <w:r>
              <w:rPr>
                <w:rFonts w:ascii="Verdana" w:cs="Verdana" w:eastAsia="Verdana" w:hAnsi="Verdana"/>
                <w:sz w:val="14"/>
                <w:szCs w:val="14"/>
                <w:color w:val="auto"/>
              </w:rPr>
              <w:t>152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0" w:type="dxa"/>
            <w:vAlign w:val="bottom"/>
            <w:gridSpan w:val="2"/>
          </w:tcPr>
          <w:p>
            <w:pPr>
              <w:spacing w:after="0"/>
              <w:rPr>
                <w:sz w:val="20"/>
                <w:szCs w:val="20"/>
                <w:color w:val="auto"/>
              </w:rPr>
            </w:pPr>
            <w:r>
              <w:rPr>
                <w:rFonts w:ascii="Verdana" w:cs="Verdana" w:eastAsia="Verdana" w:hAnsi="Verdana"/>
                <w:sz w:val="14"/>
                <w:szCs w:val="14"/>
                <w:color w:val="auto"/>
              </w:rPr>
              <w:t>Pension credit (expense)</w:t>
            </w:r>
          </w:p>
        </w:tc>
        <w:tc>
          <w:tcPr>
            <w:tcW w:w="1220" w:type="dxa"/>
            <w:vAlign w:val="bottom"/>
            <w:gridSpan w:val="4"/>
          </w:tcPr>
          <w:p>
            <w:pPr>
              <w:jc w:val="right"/>
              <w:ind w:right="140"/>
              <w:spacing w:after="0"/>
              <w:rPr>
                <w:sz w:val="20"/>
                <w:szCs w:val="20"/>
                <w:color w:val="auto"/>
              </w:rPr>
            </w:pPr>
            <w:r>
              <w:rPr>
                <w:rFonts w:ascii="Verdana" w:cs="Verdana" w:eastAsia="Verdana" w:hAnsi="Verdana"/>
                <w:sz w:val="14"/>
                <w:szCs w:val="14"/>
                <w:color w:val="auto"/>
              </w:rPr>
              <w:t>$ 5,491</w:t>
            </w:r>
          </w:p>
        </w:tc>
        <w:tc>
          <w:tcPr>
            <w:tcW w:w="600" w:type="dxa"/>
            <w:vAlign w:val="bottom"/>
            <w:gridSpan w:val="2"/>
          </w:tcPr>
          <w:p>
            <w:pPr>
              <w:jc w:val="right"/>
              <w:spacing w:after="0"/>
              <w:rPr>
                <w:sz w:val="20"/>
                <w:szCs w:val="20"/>
                <w:color w:val="auto"/>
              </w:rPr>
            </w:pPr>
            <w:r>
              <w:rPr>
                <w:rFonts w:ascii="Verdana" w:cs="Verdana" w:eastAsia="Verdana" w:hAnsi="Verdana"/>
                <w:sz w:val="14"/>
                <w:szCs w:val="14"/>
                <w:color w:val="auto"/>
              </w:rPr>
              <w:t>$</w:t>
            </w:r>
          </w:p>
        </w:tc>
        <w:tc>
          <w:tcPr>
            <w:tcW w:w="840" w:type="dxa"/>
            <w:vAlign w:val="bottom"/>
            <w:gridSpan w:val="2"/>
          </w:tcPr>
          <w:p>
            <w:pPr>
              <w:jc w:val="right"/>
              <w:ind w:right="400"/>
              <w:spacing w:after="0"/>
              <w:rPr>
                <w:sz w:val="20"/>
                <w:szCs w:val="20"/>
                <w:color w:val="auto"/>
              </w:rPr>
            </w:pPr>
            <w:r>
              <w:rPr>
                <w:rFonts w:ascii="Verdana" w:cs="Verdana" w:eastAsia="Verdana" w:hAnsi="Verdana"/>
                <w:sz w:val="14"/>
                <w:szCs w:val="14"/>
                <w:color w:val="auto"/>
              </w:rPr>
              <w:t>1,220</w:t>
            </w:r>
          </w:p>
        </w:tc>
        <w:tc>
          <w:tcPr>
            <w:tcW w:w="240" w:type="dxa"/>
            <w:vAlign w:val="bottom"/>
          </w:tcPr>
          <w:p>
            <w:pPr>
              <w:jc w:val="right"/>
              <w:spacing w:after="0"/>
              <w:rPr>
                <w:sz w:val="20"/>
                <w:szCs w:val="20"/>
                <w:color w:val="auto"/>
              </w:rPr>
            </w:pPr>
            <w:r>
              <w:rPr>
                <w:rFonts w:ascii="Verdana" w:cs="Verdana" w:eastAsia="Verdana" w:hAnsi="Verdana"/>
                <w:sz w:val="14"/>
                <w:szCs w:val="14"/>
                <w:color w:val="auto"/>
              </w:rPr>
              <w:t>$</w:t>
            </w:r>
          </w:p>
        </w:tc>
        <w:tc>
          <w:tcPr>
            <w:tcW w:w="60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9,895</w:t>
            </w:r>
          </w:p>
        </w:tc>
        <w:tc>
          <w:tcPr>
            <w:tcW w:w="500" w:type="dxa"/>
            <w:vAlign w:val="bottom"/>
            <w:gridSpan w:val="2"/>
          </w:tcPr>
          <w:p>
            <w:pPr>
              <w:jc w:val="right"/>
              <w:ind w:right="60"/>
              <w:spacing w:after="0"/>
              <w:rPr>
                <w:sz w:val="20"/>
                <w:szCs w:val="20"/>
                <w:color w:val="auto"/>
              </w:rPr>
            </w:pPr>
            <w:r>
              <w:rPr>
                <w:rFonts w:ascii="Verdana" w:cs="Verdana" w:eastAsia="Verdana" w:hAnsi="Verdana"/>
                <w:sz w:val="14"/>
                <w:szCs w:val="14"/>
                <w:color w:val="auto"/>
              </w:rPr>
              <w:t>$</w:t>
            </w:r>
          </w:p>
        </w:tc>
        <w:tc>
          <w:tcPr>
            <w:tcW w:w="560" w:type="dxa"/>
            <w:vAlign w:val="bottom"/>
            <w:gridSpan w:val="2"/>
          </w:tcPr>
          <w:p>
            <w:pPr>
              <w:jc w:val="right"/>
              <w:ind w:right="100"/>
              <w:spacing w:after="0"/>
              <w:rPr>
                <w:sz w:val="20"/>
                <w:szCs w:val="20"/>
                <w:color w:val="auto"/>
              </w:rPr>
            </w:pPr>
            <w:r>
              <w:rPr>
                <w:rFonts w:ascii="Verdana" w:cs="Verdana" w:eastAsia="Verdana" w:hAnsi="Verdana"/>
                <w:sz w:val="14"/>
                <w:szCs w:val="14"/>
                <w:color w:val="auto"/>
              </w:rPr>
              <w:t>(226)</w:t>
            </w:r>
          </w:p>
        </w:tc>
        <w:tc>
          <w:tcPr>
            <w:tcW w:w="360" w:type="dxa"/>
            <w:vAlign w:val="bottom"/>
            <w:gridSpan w:val="2"/>
          </w:tcPr>
          <w:p>
            <w:pPr>
              <w:jc w:val="right"/>
              <w:spacing w:after="0"/>
              <w:rPr>
                <w:sz w:val="20"/>
                <w:szCs w:val="20"/>
                <w:color w:val="auto"/>
              </w:rPr>
            </w:pPr>
            <w:r>
              <w:rPr>
                <w:rFonts w:ascii="Verdana" w:cs="Verdana" w:eastAsia="Verdana" w:hAnsi="Verdana"/>
                <w:sz w:val="14"/>
                <w:szCs w:val="14"/>
                <w:color w:val="auto"/>
              </w:rPr>
              <w:t>$</w:t>
            </w:r>
          </w:p>
        </w:tc>
        <w:tc>
          <w:tcPr>
            <w:tcW w:w="580" w:type="dxa"/>
            <w:vAlign w:val="bottom"/>
            <w:gridSpan w:val="2"/>
          </w:tcPr>
          <w:p>
            <w:pPr>
              <w:jc w:val="right"/>
              <w:ind w:right="100"/>
              <w:spacing w:after="0"/>
              <w:rPr>
                <w:sz w:val="20"/>
                <w:szCs w:val="20"/>
                <w:color w:val="auto"/>
              </w:rPr>
            </w:pPr>
            <w:r>
              <w:rPr>
                <w:rFonts w:ascii="Verdana" w:cs="Verdana" w:eastAsia="Verdana" w:hAnsi="Verdana"/>
                <w:sz w:val="14"/>
                <w:szCs w:val="14"/>
                <w:color w:val="auto"/>
              </w:rPr>
              <w:t>(298)</w:t>
            </w:r>
          </w:p>
        </w:tc>
        <w:tc>
          <w:tcPr>
            <w:tcW w:w="560" w:type="dxa"/>
            <w:vAlign w:val="bottom"/>
            <w:gridSpan w:val="2"/>
          </w:tcPr>
          <w:p>
            <w:pPr>
              <w:jc w:val="right"/>
              <w:ind w:right="120"/>
              <w:spacing w:after="0"/>
              <w:rPr>
                <w:sz w:val="20"/>
                <w:szCs w:val="20"/>
                <w:color w:val="auto"/>
              </w:rPr>
            </w:pPr>
            <w:r>
              <w:rPr>
                <w:rFonts w:ascii="Verdana" w:cs="Verdana" w:eastAsia="Verdana" w:hAnsi="Verdana"/>
                <w:sz w:val="14"/>
                <w:szCs w:val="14"/>
                <w:color w:val="auto"/>
              </w:rPr>
              <w:t>$</w:t>
            </w:r>
          </w:p>
        </w:tc>
        <w:tc>
          <w:tcPr>
            <w:tcW w:w="460" w:type="dxa"/>
            <w:vAlign w:val="bottom"/>
            <w:gridSpan w:val="2"/>
          </w:tcPr>
          <w:p>
            <w:pPr>
              <w:jc w:val="right"/>
              <w:ind w:right="240"/>
              <w:spacing w:after="0"/>
              <w:rPr>
                <w:sz w:val="20"/>
                <w:szCs w:val="20"/>
                <w:color w:val="auto"/>
              </w:rPr>
            </w:pPr>
            <w:r>
              <w:rPr>
                <w:rFonts w:ascii="Verdana" w:cs="Verdana" w:eastAsia="Verdana" w:hAnsi="Verdana"/>
                <w:sz w:val="14"/>
                <w:szCs w:val="14"/>
                <w:color w:val="auto"/>
              </w:rPr>
              <w:t>-</w:t>
            </w:r>
          </w:p>
        </w:tc>
        <w:tc>
          <w:tcPr>
            <w:tcW w:w="400" w:type="dxa"/>
            <w:vAlign w:val="bottom"/>
            <w:gridSpan w:val="3"/>
          </w:tcPr>
          <w:p>
            <w:pPr>
              <w:jc w:val="right"/>
              <w:ind w:right="40"/>
              <w:spacing w:after="0"/>
              <w:rPr>
                <w:sz w:val="20"/>
                <w:szCs w:val="20"/>
                <w:color w:val="auto"/>
              </w:rPr>
            </w:pPr>
            <w:r>
              <w:rPr>
                <w:rFonts w:ascii="Verdana" w:cs="Verdana" w:eastAsia="Verdana" w:hAnsi="Verdana"/>
                <w:sz w:val="14"/>
                <w:szCs w:val="14"/>
                <w:color w:val="auto"/>
              </w:rPr>
              <w:t>$</w:t>
            </w: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Verdana" w:cs="Verdana" w:eastAsia="Verdana" w:hAnsi="Verdana"/>
                <w:sz w:val="14"/>
                <w:szCs w:val="14"/>
                <w:color w:val="auto"/>
                <w:w w:val="96"/>
              </w:rPr>
              <w:t>16,082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2000" w:type="dxa"/>
            <w:vAlign w:val="bottom"/>
            <w:gridSpan w:val="2"/>
          </w:tcPr>
          <w:p>
            <w:pPr>
              <w:spacing w:after="0"/>
              <w:rPr>
                <w:sz w:val="20"/>
                <w:szCs w:val="20"/>
                <w:color w:val="auto"/>
              </w:rPr>
            </w:pPr>
            <w:r>
              <w:rPr>
                <w:rFonts w:ascii="Verdana" w:cs="Verdana" w:eastAsia="Verdana" w:hAnsi="Verdana"/>
                <w:sz w:val="14"/>
                <w:szCs w:val="14"/>
                <w:color w:val="auto"/>
              </w:rPr>
              <w:t>Identifiable assets</w:t>
            </w:r>
          </w:p>
        </w:tc>
        <w:tc>
          <w:tcPr>
            <w:tcW w:w="1220" w:type="dxa"/>
            <w:vAlign w:val="bottom"/>
            <w:gridSpan w:val="4"/>
          </w:tcPr>
          <w:p>
            <w:pPr>
              <w:jc w:val="right"/>
              <w:ind w:right="140"/>
              <w:spacing w:after="0"/>
              <w:rPr>
                <w:sz w:val="20"/>
                <w:szCs w:val="20"/>
                <w:color w:val="auto"/>
              </w:rPr>
            </w:pPr>
            <w:r>
              <w:rPr>
                <w:rFonts w:ascii="Verdana" w:cs="Verdana" w:eastAsia="Verdana" w:hAnsi="Verdana"/>
                <w:sz w:val="14"/>
                <w:szCs w:val="14"/>
                <w:color w:val="auto"/>
              </w:rPr>
              <w:t>$695,908</w:t>
            </w:r>
          </w:p>
        </w:tc>
        <w:tc>
          <w:tcPr>
            <w:tcW w:w="1440" w:type="dxa"/>
            <w:vAlign w:val="bottom"/>
            <w:gridSpan w:val="4"/>
          </w:tcPr>
          <w:p>
            <w:pPr>
              <w:jc w:val="right"/>
              <w:ind w:right="400"/>
              <w:spacing w:after="0"/>
              <w:rPr>
                <w:sz w:val="20"/>
                <w:szCs w:val="20"/>
                <w:color w:val="auto"/>
              </w:rPr>
            </w:pPr>
            <w:r>
              <w:rPr>
                <w:rFonts w:ascii="Verdana" w:cs="Verdana" w:eastAsia="Verdana" w:hAnsi="Verdana"/>
                <w:sz w:val="14"/>
                <w:szCs w:val="14"/>
                <w:color w:val="auto"/>
              </w:rPr>
              <w:t>$412,831</w:t>
            </w:r>
          </w:p>
        </w:tc>
        <w:tc>
          <w:tcPr>
            <w:tcW w:w="840" w:type="dxa"/>
            <w:vAlign w:val="bottom"/>
            <w:gridSpan w:val="3"/>
          </w:tcPr>
          <w:p>
            <w:pPr>
              <w:jc w:val="right"/>
              <w:ind w:right="160"/>
              <w:spacing w:after="0"/>
              <w:rPr>
                <w:sz w:val="20"/>
                <w:szCs w:val="20"/>
                <w:color w:val="auto"/>
              </w:rPr>
            </w:pPr>
            <w:r>
              <w:rPr>
                <w:rFonts w:ascii="Verdana" w:cs="Verdana" w:eastAsia="Verdana" w:hAnsi="Verdana"/>
                <w:sz w:val="14"/>
                <w:szCs w:val="14"/>
                <w:color w:val="auto"/>
                <w:w w:val="97"/>
              </w:rPr>
              <w:t>$466,868</w:t>
            </w:r>
          </w:p>
        </w:tc>
        <w:tc>
          <w:tcPr>
            <w:tcW w:w="1060" w:type="dxa"/>
            <w:vAlign w:val="bottom"/>
            <w:gridSpan w:val="4"/>
          </w:tcPr>
          <w:p>
            <w:pPr>
              <w:jc w:val="right"/>
              <w:ind w:right="160"/>
              <w:spacing w:after="0"/>
              <w:rPr>
                <w:sz w:val="20"/>
                <w:szCs w:val="20"/>
                <w:color w:val="auto"/>
              </w:rPr>
            </w:pPr>
            <w:r>
              <w:rPr>
                <w:rFonts w:ascii="Verdana" w:cs="Verdana" w:eastAsia="Verdana" w:hAnsi="Verdana"/>
                <w:sz w:val="14"/>
                <w:szCs w:val="14"/>
                <w:color w:val="auto"/>
              </w:rPr>
              <w:t>$1,117,833</w:t>
            </w:r>
          </w:p>
        </w:tc>
        <w:tc>
          <w:tcPr>
            <w:tcW w:w="940" w:type="dxa"/>
            <w:vAlign w:val="bottom"/>
            <w:gridSpan w:val="4"/>
          </w:tcPr>
          <w:p>
            <w:pPr>
              <w:jc w:val="right"/>
              <w:ind w:right="160"/>
              <w:spacing w:after="0"/>
              <w:rPr>
                <w:sz w:val="20"/>
                <w:szCs w:val="20"/>
                <w:color w:val="auto"/>
              </w:rPr>
            </w:pPr>
            <w:r>
              <w:rPr>
                <w:rFonts w:ascii="Verdana" w:cs="Verdana" w:eastAsia="Verdana" w:hAnsi="Verdana"/>
                <w:sz w:val="14"/>
                <w:szCs w:val="14"/>
                <w:color w:val="auto"/>
              </w:rPr>
              <w:t>$497,561</w:t>
            </w:r>
          </w:p>
        </w:tc>
        <w:tc>
          <w:tcPr>
            <w:tcW w:w="1020" w:type="dxa"/>
            <w:vAlign w:val="bottom"/>
            <w:gridSpan w:val="4"/>
          </w:tcPr>
          <w:p>
            <w:pPr>
              <w:jc w:val="right"/>
              <w:ind w:right="240"/>
              <w:spacing w:after="0"/>
              <w:rPr>
                <w:sz w:val="20"/>
                <w:szCs w:val="20"/>
                <w:color w:val="auto"/>
              </w:rPr>
            </w:pPr>
            <w:r>
              <w:rPr>
                <w:rFonts w:ascii="Verdana" w:cs="Verdana" w:eastAsia="Verdana" w:hAnsi="Verdana"/>
                <w:sz w:val="14"/>
                <w:szCs w:val="14"/>
                <w:color w:val="auto"/>
              </w:rPr>
              <w:t>$21,892</w:t>
            </w:r>
          </w:p>
        </w:tc>
        <w:tc>
          <w:tcPr>
            <w:tcW w:w="980" w:type="dxa"/>
            <w:vAlign w:val="bottom"/>
            <w:gridSpan w:val="5"/>
          </w:tcPr>
          <w:p>
            <w:pPr>
              <w:jc w:val="right"/>
              <w:spacing w:after="0"/>
              <w:rPr>
                <w:sz w:val="20"/>
                <w:szCs w:val="20"/>
                <w:color w:val="auto"/>
              </w:rPr>
            </w:pPr>
            <w:r>
              <w:rPr>
                <w:rFonts w:ascii="Verdana" w:cs="Verdana" w:eastAsia="Verdana" w:hAnsi="Verdana"/>
                <w:sz w:val="14"/>
                <w:szCs w:val="14"/>
                <w:color w:val="auto"/>
              </w:rPr>
              <w:t>$3,212,893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00" w:type="dxa"/>
            <w:vAlign w:val="bottom"/>
            <w:gridSpan w:val="2"/>
          </w:tcPr>
          <w:p>
            <w:pPr>
              <w:spacing w:after="0"/>
              <w:rPr>
                <w:sz w:val="20"/>
                <w:szCs w:val="20"/>
                <w:color w:val="auto"/>
              </w:rPr>
            </w:pPr>
            <w:r>
              <w:rPr>
                <w:rFonts w:ascii="Verdana" w:cs="Verdana" w:eastAsia="Verdana" w:hAnsi="Verdana"/>
                <w:sz w:val="14"/>
                <w:szCs w:val="14"/>
                <w:color w:val="auto"/>
              </w:rPr>
              <w:t>Investments in</w:t>
            </w: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0" w:type="dxa"/>
            <w:vAlign w:val="bottom"/>
            <w:gridSpan w:val="2"/>
          </w:tcPr>
          <w:p>
            <w:pPr>
              <w:ind w:left="160"/>
              <w:spacing w:after="0"/>
              <w:rPr>
                <w:sz w:val="20"/>
                <w:szCs w:val="20"/>
                <w:color w:val="auto"/>
              </w:rPr>
            </w:pPr>
            <w:r>
              <w:rPr>
                <w:rFonts w:ascii="Verdana" w:cs="Verdana" w:eastAsia="Verdana" w:hAnsi="Verdana"/>
                <w:sz w:val="14"/>
                <w:szCs w:val="14"/>
                <w:color w:val="auto"/>
              </w:rPr>
              <w:t>marketable equity</w:t>
            </w: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0" w:type="dxa"/>
            <w:vAlign w:val="bottom"/>
            <w:gridSpan w:val="2"/>
          </w:tcPr>
          <w:p>
            <w:pPr>
              <w:ind w:left="160"/>
              <w:spacing w:after="0"/>
              <w:rPr>
                <w:sz w:val="20"/>
                <w:szCs w:val="20"/>
                <w:color w:val="auto"/>
              </w:rPr>
            </w:pPr>
            <w:r>
              <w:rPr>
                <w:rFonts w:ascii="Verdana" w:cs="Verdana" w:eastAsia="Verdana" w:hAnsi="Verdana"/>
                <w:sz w:val="14"/>
                <w:szCs w:val="14"/>
                <w:color w:val="auto"/>
              </w:rPr>
              <w:t>securities</w:t>
            </w: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Verdana" w:cs="Verdana" w:eastAsia="Verdana" w:hAnsi="Verdana"/>
                <w:sz w:val="14"/>
                <w:szCs w:val="14"/>
                <w:color w:val="auto"/>
                <w:w w:val="95"/>
              </w:rPr>
              <w:t>213,323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0" w:type="dxa"/>
            <w:vAlign w:val="bottom"/>
            <w:gridSpan w:val="2"/>
          </w:tcPr>
          <w:p>
            <w:pPr>
              <w:spacing w:after="0"/>
              <w:rPr>
                <w:sz w:val="20"/>
                <w:szCs w:val="20"/>
                <w:color w:val="auto"/>
              </w:rPr>
            </w:pPr>
            <w:r>
              <w:rPr>
                <w:rFonts w:ascii="Verdana" w:cs="Verdana" w:eastAsia="Verdana" w:hAnsi="Verdana"/>
                <w:sz w:val="14"/>
                <w:szCs w:val="14"/>
                <w:color w:val="auto"/>
              </w:rPr>
              <w:t>Investments in</w:t>
            </w: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00" w:type="dxa"/>
            <w:vAlign w:val="bottom"/>
            <w:gridSpan w:val="2"/>
          </w:tcPr>
          <w:p>
            <w:pPr>
              <w:ind w:left="160"/>
              <w:spacing w:after="0"/>
              <w:rPr>
                <w:sz w:val="20"/>
                <w:szCs w:val="20"/>
                <w:color w:val="auto"/>
              </w:rPr>
            </w:pPr>
            <w:r>
              <w:rPr>
                <w:rFonts w:ascii="Verdana" w:cs="Verdana" w:eastAsia="Verdana" w:hAnsi="Verdana"/>
                <w:sz w:val="14"/>
                <w:szCs w:val="14"/>
                <w:color w:val="auto"/>
              </w:rPr>
              <w:t>affiliates</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w w:val="96"/>
              </w:rPr>
              <w:t>82,125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2000" w:type="dxa"/>
            <w:vAlign w:val="bottom"/>
            <w:gridSpan w:val="2"/>
          </w:tcPr>
          <w:p>
            <w:pPr>
              <w:ind w:left="60"/>
              <w:spacing w:after="0"/>
              <w:rPr>
                <w:sz w:val="20"/>
                <w:szCs w:val="20"/>
                <w:color w:val="auto"/>
              </w:rPr>
            </w:pPr>
            <w:r>
              <w:rPr>
                <w:rFonts w:ascii="Verdana" w:cs="Verdana" w:eastAsia="Verdana" w:hAnsi="Verdana"/>
                <w:sz w:val="14"/>
                <w:szCs w:val="14"/>
                <w:color w:val="auto"/>
              </w:rPr>
              <w:t>Total assets</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5"/>
          </w:tcPr>
          <w:p>
            <w:pPr>
              <w:jc w:val="right"/>
              <w:spacing w:after="0"/>
              <w:rPr>
                <w:sz w:val="20"/>
                <w:szCs w:val="20"/>
                <w:color w:val="auto"/>
              </w:rPr>
            </w:pPr>
            <w:r>
              <w:rPr>
                <w:rFonts w:ascii="Verdana" w:cs="Verdana" w:eastAsia="Verdana" w:hAnsi="Verdana"/>
                <w:sz w:val="14"/>
                <w:szCs w:val="14"/>
                <w:color w:val="auto"/>
              </w:rPr>
              <w:t>$3,508,341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-2216150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-2216150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gridSpan w:val="3"/>
          </w:tcPr>
          <w:p>
            <w:pPr>
              <w:jc w:val="right"/>
              <w:ind w:right="180"/>
              <w:spacing w:after="0"/>
              <w:rPr>
                <w:sz w:val="20"/>
                <w:szCs w:val="20"/>
                <w:color w:val="auto"/>
              </w:rPr>
            </w:pPr>
            <w:r>
              <w:rPr>
                <w:rFonts w:ascii="Verdana" w:cs="Verdana" w:eastAsia="Verdana" w:hAnsi="Verdana"/>
                <w:sz w:val="14"/>
                <w:szCs w:val="14"/>
                <w:color w:val="auto"/>
              </w:rPr>
              <w:t>Newspaper</w:t>
            </w:r>
          </w:p>
        </w:tc>
        <w:tc>
          <w:tcPr>
            <w:tcW w:w="18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Verdana" w:cs="Verdana" w:eastAsia="Verdana" w:hAnsi="Verdana"/>
                <w:sz w:val="14"/>
                <w:szCs w:val="14"/>
                <w:color w:val="auto"/>
              </w:rPr>
              <w:t>Television</w:t>
            </w:r>
          </w:p>
        </w:tc>
        <w:tc>
          <w:tcPr>
            <w:tcW w:w="900" w:type="dxa"/>
            <w:vAlign w:val="bottom"/>
            <w:gridSpan w:val="2"/>
          </w:tcPr>
          <w:p>
            <w:pPr>
              <w:jc w:val="right"/>
              <w:ind w:right="220"/>
              <w:spacing w:after="0"/>
              <w:rPr>
                <w:sz w:val="20"/>
                <w:szCs w:val="20"/>
                <w:color w:val="auto"/>
              </w:rPr>
            </w:pPr>
            <w:r>
              <w:rPr>
                <w:rFonts w:ascii="Verdana" w:cs="Verdana" w:eastAsia="Verdana" w:hAnsi="Verdana"/>
                <w:sz w:val="14"/>
                <w:szCs w:val="14"/>
                <w:color w:val="auto"/>
              </w:rPr>
              <w:t>Magazine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Cable</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jc w:val="right"/>
              <w:ind w:right="200"/>
              <w:spacing w:after="0"/>
              <w:rPr>
                <w:sz w:val="20"/>
                <w:szCs w:val="20"/>
                <w:color w:val="auto"/>
              </w:rPr>
            </w:pPr>
            <w:r>
              <w:rPr>
                <w:rFonts w:ascii="Verdana" w:cs="Verdana" w:eastAsia="Verdana" w:hAnsi="Verdana"/>
                <w:sz w:val="14"/>
                <w:szCs w:val="14"/>
                <w:color w:val="auto"/>
              </w:rPr>
              <w:t>Corporate</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Verdana" w:cs="Verdana" w:eastAsia="Verdana" w:hAnsi="Verdana"/>
                <w:sz w:val="14"/>
                <w:szCs w:val="14"/>
                <w:color w:val="auto"/>
                <w:w w:val="95"/>
              </w:rPr>
              <w:t>2001</w:t>
            </w:r>
          </w:p>
        </w:tc>
        <w:tc>
          <w:tcPr>
            <w:tcW w:w="154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Verdana" w:cs="Verdana" w:eastAsia="Verdana" w:hAnsi="Verdana"/>
                <w:sz w:val="14"/>
                <w:szCs w:val="14"/>
                <w:color w:val="auto"/>
                <w:w w:val="92"/>
              </w:rPr>
              <w:t>Publishing</w:t>
            </w:r>
          </w:p>
        </w:tc>
        <w:tc>
          <w:tcPr>
            <w:tcW w:w="1420" w:type="dxa"/>
            <w:vAlign w:val="bottom"/>
            <w:gridSpan w:val="3"/>
          </w:tcPr>
          <w:p>
            <w:pPr>
              <w:jc w:val="right"/>
              <w:ind w:right="380"/>
              <w:spacing w:after="0" w:line="149" w:lineRule="exact"/>
              <w:rPr>
                <w:sz w:val="20"/>
                <w:szCs w:val="20"/>
                <w:color w:val="auto"/>
              </w:rPr>
            </w:pPr>
            <w:r>
              <w:rPr>
                <w:rFonts w:ascii="Verdana" w:cs="Verdana" w:eastAsia="Verdana" w:hAnsi="Verdana"/>
                <w:sz w:val="14"/>
                <w:szCs w:val="14"/>
                <w:color w:val="auto"/>
              </w:rPr>
              <w:t>Broadcasting</w:t>
            </w:r>
          </w:p>
        </w:tc>
        <w:tc>
          <w:tcPr>
            <w:tcW w:w="900" w:type="dxa"/>
            <w:vAlign w:val="bottom"/>
            <w:gridSpan w:val="2"/>
          </w:tcPr>
          <w:p>
            <w:pPr>
              <w:jc w:val="right"/>
              <w:ind w:right="220"/>
              <w:spacing w:after="0" w:line="149" w:lineRule="exact"/>
              <w:rPr>
                <w:sz w:val="20"/>
                <w:szCs w:val="20"/>
                <w:color w:val="auto"/>
              </w:rPr>
            </w:pPr>
            <w:r>
              <w:rPr>
                <w:rFonts w:ascii="Verdana" w:cs="Verdana" w:eastAsia="Verdana" w:hAnsi="Verdana"/>
                <w:sz w:val="14"/>
                <w:szCs w:val="14"/>
                <w:color w:val="auto"/>
                <w:w w:val="92"/>
              </w:rPr>
              <w:t>Publishing</w:t>
            </w:r>
          </w:p>
        </w:tc>
        <w:tc>
          <w:tcPr>
            <w:tcW w:w="940" w:type="dxa"/>
            <w:vAlign w:val="bottom"/>
            <w:gridSpan w:val="4"/>
          </w:tcPr>
          <w:p>
            <w:pPr>
              <w:jc w:val="right"/>
              <w:ind w:right="140"/>
              <w:spacing w:after="0" w:line="149" w:lineRule="exact"/>
              <w:rPr>
                <w:sz w:val="20"/>
                <w:szCs w:val="20"/>
                <w:color w:val="auto"/>
              </w:rPr>
            </w:pPr>
            <w:r>
              <w:rPr>
                <w:rFonts w:ascii="Verdana" w:cs="Verdana" w:eastAsia="Verdana" w:hAnsi="Verdana"/>
                <w:sz w:val="14"/>
                <w:szCs w:val="14"/>
                <w:color w:val="auto"/>
              </w:rPr>
              <w:t>Television</w:t>
            </w:r>
          </w:p>
        </w:tc>
        <w:tc>
          <w:tcPr>
            <w:tcW w:w="16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Verdana" w:cs="Verdana" w:eastAsia="Verdana" w:hAnsi="Verdana"/>
                <w:sz w:val="14"/>
                <w:szCs w:val="14"/>
                <w:color w:val="auto"/>
                <w:w w:val="92"/>
              </w:rPr>
              <w:t>Education</w:t>
            </w:r>
          </w:p>
        </w:tc>
        <w:tc>
          <w:tcPr>
            <w:tcW w:w="980" w:type="dxa"/>
            <w:vAlign w:val="bottom"/>
            <w:gridSpan w:val="3"/>
          </w:tcPr>
          <w:p>
            <w:pPr>
              <w:jc w:val="right"/>
              <w:ind w:right="200"/>
              <w:spacing w:after="0" w:line="149" w:lineRule="exact"/>
              <w:rPr>
                <w:sz w:val="20"/>
                <w:szCs w:val="20"/>
                <w:color w:val="auto"/>
              </w:rPr>
            </w:pPr>
            <w:r>
              <w:rPr>
                <w:rFonts w:ascii="Verdana" w:cs="Verdana" w:eastAsia="Verdana" w:hAnsi="Verdana"/>
                <w:sz w:val="14"/>
                <w:szCs w:val="14"/>
                <w:color w:val="auto"/>
              </w:rPr>
              <w:t>Office</w:t>
            </w:r>
          </w:p>
        </w:tc>
        <w:tc>
          <w:tcPr>
            <w:tcW w:w="1080" w:type="dxa"/>
            <w:vAlign w:val="bottom"/>
            <w:gridSpan w:val="5"/>
          </w:tcPr>
          <w:p>
            <w:pPr>
              <w:jc w:val="right"/>
              <w:ind w:right="80"/>
              <w:spacing w:after="0" w:line="149" w:lineRule="exact"/>
              <w:rPr>
                <w:sz w:val="20"/>
                <w:szCs w:val="20"/>
                <w:color w:val="auto"/>
              </w:rPr>
            </w:pPr>
            <w:r>
              <w:rPr>
                <w:rFonts w:ascii="Verdana" w:cs="Verdana" w:eastAsia="Verdana" w:hAnsi="Verdana"/>
                <w:sz w:val="14"/>
                <w:szCs w:val="14"/>
                <w:color w:val="auto"/>
              </w:rPr>
              <w:t>Consolidated</w:t>
            </w:r>
          </w:p>
        </w:tc>
        <w:tc>
          <w:tcPr>
            <w:tcW w:w="0" w:type="dxa"/>
            <w:vAlign w:val="bottom"/>
          </w:tcPr>
          <w:p>
            <w:pPr>
              <w:spacing w:after="0"/>
              <w:rPr>
                <w:sz w:val="1"/>
                <w:szCs w:val="1"/>
                <w:color w:val="auto"/>
              </w:rPr>
            </w:pPr>
          </w:p>
        </w:tc>
      </w:tr>
      <w:tr>
        <w:trPr>
          <w:trHeight w:val="147"/>
        </w:trPr>
        <w:tc>
          <w:tcPr>
            <w:tcW w:w="360" w:type="dxa"/>
            <w:vAlign w:val="bottom"/>
            <w:tcBorders>
              <w:bottom w:val="single" w:sz="8" w:color="auto"/>
            </w:tcBorders>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1900" w:type="dxa"/>
            <w:vAlign w:val="bottom"/>
            <w:gridSpan w:val="2"/>
          </w:tcPr>
          <w:p>
            <w:pPr>
              <w:spacing w:after="0"/>
              <w:rPr>
                <w:sz w:val="20"/>
                <w:szCs w:val="20"/>
                <w:color w:val="auto"/>
              </w:rPr>
            </w:pPr>
            <w:r>
              <w:rPr>
                <w:rFonts w:ascii="Verdana" w:cs="Verdana" w:eastAsia="Verdana" w:hAnsi="Verdana"/>
                <w:sz w:val="14"/>
                <w:szCs w:val="14"/>
                <w:color w:val="auto"/>
              </w:rPr>
              <w:t>Operating revenues</w:t>
            </w:r>
          </w:p>
        </w:tc>
        <w:tc>
          <w:tcPr>
            <w:tcW w:w="1340" w:type="dxa"/>
            <w:vAlign w:val="bottom"/>
            <w:gridSpan w:val="3"/>
          </w:tcPr>
          <w:p>
            <w:pPr>
              <w:jc w:val="right"/>
              <w:ind w:right="180"/>
              <w:spacing w:after="0"/>
              <w:rPr>
                <w:sz w:val="20"/>
                <w:szCs w:val="20"/>
                <w:color w:val="auto"/>
              </w:rPr>
            </w:pPr>
            <w:r>
              <w:rPr>
                <w:rFonts w:ascii="Verdana" w:cs="Verdana" w:eastAsia="Verdana" w:hAnsi="Verdana"/>
                <w:sz w:val="14"/>
                <w:szCs w:val="14"/>
                <w:color w:val="auto"/>
              </w:rPr>
              <w:t>$218,194</w:t>
            </w:r>
          </w:p>
        </w:tc>
        <w:tc>
          <w:tcPr>
            <w:tcW w:w="1420" w:type="dxa"/>
            <w:vAlign w:val="bottom"/>
            <w:gridSpan w:val="3"/>
          </w:tcPr>
          <w:p>
            <w:pPr>
              <w:jc w:val="right"/>
              <w:ind w:right="380"/>
              <w:spacing w:after="0"/>
              <w:rPr>
                <w:sz w:val="20"/>
                <w:szCs w:val="20"/>
                <w:color w:val="auto"/>
              </w:rPr>
            </w:pPr>
            <w:r>
              <w:rPr>
                <w:rFonts w:ascii="Verdana" w:cs="Verdana" w:eastAsia="Verdana" w:hAnsi="Verdana"/>
                <w:sz w:val="14"/>
                <w:szCs w:val="14"/>
                <w:color w:val="auto"/>
              </w:rPr>
              <w:t>$ 74,202</w:t>
            </w:r>
          </w:p>
        </w:tc>
        <w:tc>
          <w:tcPr>
            <w:tcW w:w="900" w:type="dxa"/>
            <w:vAlign w:val="bottom"/>
            <w:gridSpan w:val="2"/>
          </w:tcPr>
          <w:p>
            <w:pPr>
              <w:jc w:val="right"/>
              <w:ind w:right="220"/>
              <w:spacing w:after="0"/>
              <w:rPr>
                <w:sz w:val="20"/>
                <w:szCs w:val="20"/>
                <w:color w:val="auto"/>
              </w:rPr>
            </w:pPr>
            <w:r>
              <w:rPr>
                <w:rFonts w:ascii="Verdana" w:cs="Verdana" w:eastAsia="Verdana" w:hAnsi="Verdana"/>
                <w:sz w:val="14"/>
                <w:szCs w:val="14"/>
                <w:color w:val="auto"/>
              </w:rPr>
              <w:t>$ 83,318</w:t>
            </w:r>
          </w:p>
        </w:tc>
        <w:tc>
          <w:tcPr>
            <w:tcW w:w="320" w:type="dxa"/>
            <w:vAlign w:val="bottom"/>
            <w:gridSpan w:val="2"/>
          </w:tcPr>
          <w:p>
            <w:pPr>
              <w:jc w:val="right"/>
              <w:ind w:right="40"/>
              <w:spacing w:after="0"/>
              <w:rPr>
                <w:sz w:val="20"/>
                <w:szCs w:val="20"/>
                <w:color w:val="auto"/>
              </w:rPr>
            </w:pPr>
            <w:r>
              <w:rPr>
                <w:rFonts w:ascii="Verdana" w:cs="Verdana" w:eastAsia="Verdana" w:hAnsi="Verdana"/>
                <w:sz w:val="14"/>
                <w:szCs w:val="14"/>
                <w:color w:val="auto"/>
              </w:rPr>
              <w:t>$</w:t>
            </w:r>
          </w:p>
        </w:tc>
        <w:tc>
          <w:tcPr>
            <w:tcW w:w="620" w:type="dxa"/>
            <w:vAlign w:val="bottom"/>
            <w:gridSpan w:val="2"/>
          </w:tcPr>
          <w:p>
            <w:pPr>
              <w:jc w:val="right"/>
              <w:ind w:right="140"/>
              <w:spacing w:after="0"/>
              <w:rPr>
                <w:sz w:val="20"/>
                <w:szCs w:val="20"/>
                <w:color w:val="auto"/>
              </w:rPr>
            </w:pPr>
            <w:r>
              <w:rPr>
                <w:rFonts w:ascii="Verdana" w:cs="Verdana" w:eastAsia="Verdana" w:hAnsi="Verdana"/>
                <w:sz w:val="14"/>
                <w:szCs w:val="14"/>
                <w:color w:val="auto"/>
                <w:w w:val="92"/>
              </w:rPr>
              <w:t>89,177</w:t>
            </w:r>
          </w:p>
        </w:tc>
        <w:tc>
          <w:tcPr>
            <w:tcW w:w="1000" w:type="dxa"/>
            <w:vAlign w:val="bottom"/>
            <w:gridSpan w:val="3"/>
          </w:tcPr>
          <w:p>
            <w:pPr>
              <w:jc w:val="right"/>
              <w:ind w:right="180"/>
              <w:spacing w:after="0"/>
              <w:rPr>
                <w:sz w:val="20"/>
                <w:szCs w:val="20"/>
                <w:color w:val="auto"/>
              </w:rPr>
            </w:pPr>
            <w:r>
              <w:rPr>
                <w:rFonts w:ascii="Verdana" w:cs="Verdana" w:eastAsia="Verdana" w:hAnsi="Verdana"/>
                <w:sz w:val="14"/>
                <w:szCs w:val="14"/>
                <w:color w:val="auto"/>
              </w:rPr>
              <w:t>$ 121,508</w:t>
            </w:r>
          </w:p>
        </w:tc>
        <w:tc>
          <w:tcPr>
            <w:tcW w:w="780" w:type="dxa"/>
            <w:vAlign w:val="bottom"/>
            <w:gridSpan w:val="2"/>
          </w:tcPr>
          <w:p>
            <w:pPr>
              <w:jc w:val="right"/>
              <w:ind w:right="40"/>
              <w:spacing w:after="0"/>
              <w:rPr>
                <w:sz w:val="20"/>
                <w:szCs w:val="20"/>
                <w:color w:val="auto"/>
              </w:rPr>
            </w:pPr>
            <w:r>
              <w:rPr>
                <w:rFonts w:ascii="Verdana" w:cs="Verdana" w:eastAsia="Verdana" w:hAnsi="Verdana"/>
                <w:sz w:val="14"/>
                <w:szCs w:val="14"/>
                <w:color w:val="auto"/>
              </w:rPr>
              <w:t>$   -</w:t>
            </w:r>
          </w:p>
        </w:tc>
        <w:tc>
          <w:tcPr>
            <w:tcW w:w="200" w:type="dxa"/>
            <w:vAlign w:val="bottom"/>
          </w:tcPr>
          <w:p>
            <w:pPr>
              <w:spacing w:after="0"/>
              <w:rPr>
                <w:sz w:val="20"/>
                <w:szCs w:val="20"/>
                <w:color w:val="auto"/>
              </w:rPr>
            </w:pPr>
          </w:p>
        </w:tc>
        <w:tc>
          <w:tcPr>
            <w:tcW w:w="440" w:type="dxa"/>
            <w:vAlign w:val="bottom"/>
            <w:gridSpan w:val="3"/>
          </w:tcPr>
          <w:p>
            <w:pPr>
              <w:jc w:val="right"/>
              <w:ind w:right="100"/>
              <w:spacing w:after="0"/>
              <w:rPr>
                <w:sz w:val="20"/>
                <w:szCs w:val="20"/>
                <w:color w:val="auto"/>
              </w:rPr>
            </w:pPr>
            <w:r>
              <w:rPr>
                <w:rFonts w:ascii="Verdana" w:cs="Verdana" w:eastAsia="Verdana" w:hAnsi="Verdana"/>
                <w:sz w:val="14"/>
                <w:szCs w:val="14"/>
                <w:color w:val="auto"/>
              </w:rPr>
              <w:t>$</w:t>
            </w:r>
          </w:p>
        </w:tc>
        <w:tc>
          <w:tcPr>
            <w:tcW w:w="560" w:type="dxa"/>
            <w:vAlign w:val="bottom"/>
          </w:tcPr>
          <w:p>
            <w:pPr>
              <w:jc w:val="right"/>
              <w:spacing w:after="0"/>
              <w:rPr>
                <w:sz w:val="20"/>
                <w:szCs w:val="20"/>
                <w:color w:val="auto"/>
              </w:rPr>
            </w:pPr>
            <w:r>
              <w:rPr>
                <w:rFonts w:ascii="Verdana" w:cs="Verdana" w:eastAsia="Verdana" w:hAnsi="Verdana"/>
                <w:sz w:val="14"/>
                <w:szCs w:val="14"/>
                <w:color w:val="auto"/>
                <w:w w:val="92"/>
              </w:rPr>
              <w:t>586,399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00" w:type="dxa"/>
            <w:vAlign w:val="bottom"/>
            <w:gridSpan w:val="2"/>
          </w:tcPr>
          <w:p>
            <w:pPr>
              <w:spacing w:after="0"/>
              <w:rPr>
                <w:sz w:val="20"/>
                <w:szCs w:val="20"/>
                <w:color w:val="auto"/>
              </w:rPr>
            </w:pPr>
            <w:r>
              <w:rPr>
                <w:rFonts w:ascii="Verdana" w:cs="Verdana" w:eastAsia="Verdana" w:hAnsi="Verdana"/>
                <w:sz w:val="14"/>
                <w:szCs w:val="14"/>
                <w:color w:val="auto"/>
              </w:rPr>
              <w:t>Income (loss) from</w:t>
            </w: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00" w:type="dxa"/>
            <w:vAlign w:val="bottom"/>
            <w:gridSpan w:val="2"/>
          </w:tcPr>
          <w:p>
            <w:pPr>
              <w:ind w:left="160"/>
              <w:spacing w:after="0"/>
              <w:rPr>
                <w:sz w:val="20"/>
                <w:szCs w:val="20"/>
                <w:color w:val="auto"/>
              </w:rPr>
            </w:pPr>
            <w:r>
              <w:rPr>
                <w:rFonts w:ascii="Verdana" w:cs="Verdana" w:eastAsia="Verdana" w:hAnsi="Verdana"/>
                <w:sz w:val="14"/>
                <w:szCs w:val="14"/>
                <w:color w:val="auto"/>
              </w:rPr>
              <w:t>operations</w:t>
            </w:r>
          </w:p>
        </w:tc>
        <w:tc>
          <w:tcPr>
            <w:tcW w:w="1340" w:type="dxa"/>
            <w:vAlign w:val="bottom"/>
            <w:gridSpan w:val="3"/>
          </w:tcPr>
          <w:p>
            <w:pPr>
              <w:jc w:val="right"/>
              <w:ind w:right="180"/>
              <w:spacing w:after="0"/>
              <w:rPr>
                <w:sz w:val="20"/>
                <w:szCs w:val="20"/>
                <w:color w:val="auto"/>
              </w:rPr>
            </w:pPr>
            <w:r>
              <w:rPr>
                <w:rFonts w:ascii="Verdana" w:cs="Verdana" w:eastAsia="Verdana" w:hAnsi="Verdana"/>
                <w:sz w:val="14"/>
                <w:szCs w:val="14"/>
                <w:color w:val="auto"/>
              </w:rPr>
              <w:t>$ 26,276</w:t>
            </w:r>
          </w:p>
        </w:tc>
        <w:tc>
          <w:tcPr>
            <w:tcW w:w="1420" w:type="dxa"/>
            <w:vAlign w:val="bottom"/>
            <w:gridSpan w:val="3"/>
          </w:tcPr>
          <w:p>
            <w:pPr>
              <w:jc w:val="right"/>
              <w:ind w:right="380"/>
              <w:spacing w:after="0"/>
              <w:rPr>
                <w:sz w:val="20"/>
                <w:szCs w:val="20"/>
                <w:color w:val="auto"/>
              </w:rPr>
            </w:pPr>
            <w:r>
              <w:rPr>
                <w:rFonts w:ascii="Verdana" w:cs="Verdana" w:eastAsia="Verdana" w:hAnsi="Verdana"/>
                <w:sz w:val="14"/>
                <w:szCs w:val="14"/>
                <w:color w:val="auto"/>
              </w:rPr>
              <w:t>$ 28,548</w:t>
            </w:r>
          </w:p>
        </w:tc>
        <w:tc>
          <w:tcPr>
            <w:tcW w:w="90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 (2,520)</w:t>
            </w:r>
          </w:p>
        </w:tc>
        <w:tc>
          <w:tcPr>
            <w:tcW w:w="320" w:type="dxa"/>
            <w:vAlign w:val="bottom"/>
            <w:gridSpan w:val="2"/>
          </w:tcPr>
          <w:p>
            <w:pPr>
              <w:jc w:val="right"/>
              <w:spacing w:after="0"/>
              <w:rPr>
                <w:sz w:val="20"/>
                <w:szCs w:val="20"/>
                <w:color w:val="auto"/>
              </w:rPr>
            </w:pPr>
            <w:r>
              <w:rPr>
                <w:rFonts w:ascii="Verdana" w:cs="Verdana" w:eastAsia="Verdana" w:hAnsi="Verdana"/>
                <w:sz w:val="14"/>
                <w:szCs w:val="14"/>
                <w:color w:val="auto"/>
              </w:rPr>
              <w:t>$</w:t>
            </w:r>
          </w:p>
        </w:tc>
        <w:tc>
          <w:tcPr>
            <w:tcW w:w="620" w:type="dxa"/>
            <w:vAlign w:val="bottom"/>
            <w:gridSpan w:val="2"/>
          </w:tcPr>
          <w:p>
            <w:pPr>
              <w:jc w:val="right"/>
              <w:ind w:right="140"/>
              <w:spacing w:after="0"/>
              <w:rPr>
                <w:sz w:val="20"/>
                <w:szCs w:val="20"/>
                <w:color w:val="auto"/>
              </w:rPr>
            </w:pPr>
            <w:r>
              <w:rPr>
                <w:rFonts w:ascii="Verdana" w:cs="Verdana" w:eastAsia="Verdana" w:hAnsi="Verdana"/>
                <w:sz w:val="14"/>
                <w:szCs w:val="14"/>
                <w:color w:val="auto"/>
              </w:rPr>
              <w:t>7,756</w:t>
            </w:r>
          </w:p>
        </w:tc>
        <w:tc>
          <w:tcPr>
            <w:tcW w:w="1000" w:type="dxa"/>
            <w:vAlign w:val="bottom"/>
            <w:gridSpan w:val="3"/>
          </w:tcPr>
          <w:p>
            <w:pPr>
              <w:jc w:val="right"/>
              <w:ind w:right="120"/>
              <w:spacing w:after="0"/>
              <w:rPr>
                <w:sz w:val="20"/>
                <w:szCs w:val="20"/>
                <w:color w:val="auto"/>
              </w:rPr>
            </w:pPr>
            <w:r>
              <w:rPr>
                <w:rFonts w:ascii="Verdana" w:cs="Verdana" w:eastAsia="Verdana" w:hAnsi="Verdana"/>
                <w:sz w:val="14"/>
                <w:szCs w:val="14"/>
                <w:color w:val="auto"/>
              </w:rPr>
              <w:t>$ (10,248)</w:t>
            </w:r>
          </w:p>
        </w:tc>
        <w:tc>
          <w:tcPr>
            <w:tcW w:w="980" w:type="dxa"/>
            <w:vAlign w:val="bottom"/>
            <w:gridSpan w:val="3"/>
          </w:tcPr>
          <w:p>
            <w:pPr>
              <w:jc w:val="right"/>
              <w:ind w:right="140"/>
              <w:spacing w:after="0"/>
              <w:rPr>
                <w:sz w:val="20"/>
                <w:szCs w:val="20"/>
                <w:color w:val="auto"/>
              </w:rPr>
            </w:pPr>
            <w:r>
              <w:rPr>
                <w:rFonts w:ascii="Verdana" w:cs="Verdana" w:eastAsia="Verdana" w:hAnsi="Verdana"/>
                <w:sz w:val="14"/>
                <w:szCs w:val="14"/>
                <w:color w:val="auto"/>
              </w:rPr>
              <w:t>$ (6,568)</w:t>
            </w:r>
          </w:p>
        </w:tc>
        <w:tc>
          <w:tcPr>
            <w:tcW w:w="440" w:type="dxa"/>
            <w:vAlign w:val="bottom"/>
            <w:gridSpan w:val="3"/>
          </w:tcPr>
          <w:p>
            <w:pPr>
              <w:jc w:val="right"/>
              <w:ind w:right="60"/>
              <w:spacing w:after="0"/>
              <w:rPr>
                <w:sz w:val="20"/>
                <w:szCs w:val="20"/>
                <w:color w:val="auto"/>
              </w:rPr>
            </w:pPr>
            <w:r>
              <w:rPr>
                <w:rFonts w:ascii="Verdana" w:cs="Verdana" w:eastAsia="Verdana" w:hAnsi="Verdana"/>
                <w:sz w:val="14"/>
                <w:szCs w:val="14"/>
                <w:color w:val="auto"/>
              </w:rPr>
              <w:t>$</w:t>
            </w:r>
          </w:p>
        </w:tc>
        <w:tc>
          <w:tcPr>
            <w:tcW w:w="560" w:type="dxa"/>
            <w:vAlign w:val="bottom"/>
          </w:tcPr>
          <w:p>
            <w:pPr>
              <w:jc w:val="right"/>
              <w:spacing w:after="0"/>
              <w:rPr>
                <w:sz w:val="20"/>
                <w:szCs w:val="20"/>
                <w:color w:val="auto"/>
              </w:rPr>
            </w:pPr>
            <w:r>
              <w:rPr>
                <w:rFonts w:ascii="Verdana" w:cs="Verdana" w:eastAsia="Verdana" w:hAnsi="Verdana"/>
                <w:sz w:val="14"/>
                <w:szCs w:val="14"/>
                <w:color w:val="auto"/>
              </w:rPr>
              <w:t>43,244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00" w:type="dxa"/>
            <w:vAlign w:val="bottom"/>
            <w:gridSpan w:val="2"/>
          </w:tcPr>
          <w:p>
            <w:pPr>
              <w:spacing w:after="0"/>
              <w:rPr>
                <w:sz w:val="20"/>
                <w:szCs w:val="20"/>
                <w:color w:val="auto"/>
              </w:rPr>
            </w:pPr>
            <w:r>
              <w:rPr>
                <w:rFonts w:ascii="Verdana" w:cs="Verdana" w:eastAsia="Verdana" w:hAnsi="Verdana"/>
                <w:sz w:val="14"/>
                <w:szCs w:val="14"/>
                <w:color w:val="auto"/>
              </w:rPr>
              <w:t>Pro forma income</w:t>
            </w: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00" w:type="dxa"/>
            <w:vAlign w:val="bottom"/>
            <w:gridSpan w:val="2"/>
          </w:tcPr>
          <w:p>
            <w:pPr>
              <w:ind w:left="160"/>
              <w:spacing w:after="0"/>
              <w:rPr>
                <w:sz w:val="20"/>
                <w:szCs w:val="20"/>
                <w:color w:val="auto"/>
              </w:rPr>
            </w:pPr>
            <w:r>
              <w:rPr>
                <w:rFonts w:ascii="Verdana" w:cs="Verdana" w:eastAsia="Verdana" w:hAnsi="Verdana"/>
                <w:sz w:val="14"/>
                <w:szCs w:val="14"/>
                <w:color w:val="auto"/>
              </w:rPr>
              <w:t>(loss) from</w:t>
            </w:r>
          </w:p>
        </w:tc>
        <w:tc>
          <w:tcPr>
            <w:tcW w:w="1340" w:type="dxa"/>
            <w:vAlign w:val="bottom"/>
            <w:gridSpan w:val="3"/>
          </w:tcPr>
          <w:p>
            <w:pPr>
              <w:jc w:val="right"/>
              <w:ind w:right="180"/>
              <w:spacing w:after="0"/>
              <w:rPr>
                <w:sz w:val="20"/>
                <w:szCs w:val="20"/>
                <w:color w:val="auto"/>
              </w:rPr>
            </w:pPr>
            <w:r>
              <w:rPr>
                <w:rFonts w:ascii="Verdana" w:cs="Verdana" w:eastAsia="Verdana" w:hAnsi="Verdana"/>
                <w:sz w:val="14"/>
                <w:szCs w:val="14"/>
                <w:color w:val="auto"/>
              </w:rPr>
              <w:t>$ 26,784</w:t>
            </w:r>
          </w:p>
        </w:tc>
        <w:tc>
          <w:tcPr>
            <w:tcW w:w="1420" w:type="dxa"/>
            <w:vAlign w:val="bottom"/>
            <w:gridSpan w:val="3"/>
          </w:tcPr>
          <w:p>
            <w:pPr>
              <w:jc w:val="right"/>
              <w:ind w:right="380"/>
              <w:spacing w:after="0"/>
              <w:rPr>
                <w:sz w:val="20"/>
                <w:szCs w:val="20"/>
                <w:color w:val="auto"/>
              </w:rPr>
            </w:pPr>
            <w:r>
              <w:rPr>
                <w:rFonts w:ascii="Verdana" w:cs="Verdana" w:eastAsia="Verdana" w:hAnsi="Verdana"/>
                <w:sz w:val="14"/>
                <w:szCs w:val="14"/>
                <w:color w:val="auto"/>
              </w:rPr>
              <w:t>$ 32,082</w:t>
            </w:r>
          </w:p>
        </w:tc>
        <w:tc>
          <w:tcPr>
            <w:tcW w:w="900" w:type="dxa"/>
            <w:vAlign w:val="bottom"/>
            <w:gridSpan w:val="2"/>
          </w:tcPr>
          <w:p>
            <w:pPr>
              <w:jc w:val="right"/>
              <w:ind w:right="160"/>
              <w:spacing w:after="0"/>
              <w:rPr>
                <w:sz w:val="20"/>
                <w:szCs w:val="20"/>
                <w:color w:val="auto"/>
              </w:rPr>
            </w:pPr>
            <w:r>
              <w:rPr>
                <w:rFonts w:ascii="Verdana" w:cs="Verdana" w:eastAsia="Verdana" w:hAnsi="Verdana"/>
                <w:sz w:val="14"/>
                <w:szCs w:val="14"/>
                <w:color w:val="auto"/>
              </w:rPr>
              <w:t>(853)</w:t>
            </w:r>
          </w:p>
        </w:tc>
        <w:tc>
          <w:tcPr>
            <w:tcW w:w="320" w:type="dxa"/>
            <w:vAlign w:val="bottom"/>
            <w:gridSpan w:val="2"/>
          </w:tcPr>
          <w:p>
            <w:pPr>
              <w:jc w:val="right"/>
              <w:ind w:right="40"/>
              <w:spacing w:after="0"/>
              <w:rPr>
                <w:sz w:val="20"/>
                <w:szCs w:val="20"/>
                <w:color w:val="auto"/>
              </w:rPr>
            </w:pPr>
            <w:r>
              <w:rPr>
                <w:rFonts w:ascii="Verdana" w:cs="Verdana" w:eastAsia="Verdana" w:hAnsi="Verdana"/>
                <w:sz w:val="14"/>
                <w:szCs w:val="14"/>
                <w:color w:val="auto"/>
              </w:rPr>
              <w:t>$</w:t>
            </w:r>
          </w:p>
        </w:tc>
        <w:tc>
          <w:tcPr>
            <w:tcW w:w="620" w:type="dxa"/>
            <w:vAlign w:val="bottom"/>
            <w:gridSpan w:val="2"/>
          </w:tcPr>
          <w:p>
            <w:pPr>
              <w:jc w:val="right"/>
              <w:ind w:right="140"/>
              <w:spacing w:after="0"/>
              <w:rPr>
                <w:sz w:val="20"/>
                <w:szCs w:val="20"/>
                <w:color w:val="auto"/>
              </w:rPr>
            </w:pPr>
            <w:r>
              <w:rPr>
                <w:rFonts w:ascii="Verdana" w:cs="Verdana" w:eastAsia="Verdana" w:hAnsi="Verdana"/>
                <w:sz w:val="14"/>
                <w:szCs w:val="14"/>
                <w:color w:val="auto"/>
                <w:w w:val="92"/>
              </w:rPr>
              <w:t>15,418</w:t>
            </w:r>
          </w:p>
        </w:tc>
        <w:tc>
          <w:tcPr>
            <w:tcW w:w="1000" w:type="dxa"/>
            <w:vAlign w:val="bottom"/>
            <w:gridSpan w:val="3"/>
          </w:tcPr>
          <w:p>
            <w:pPr>
              <w:jc w:val="right"/>
              <w:ind w:right="120"/>
              <w:spacing w:after="0"/>
              <w:rPr>
                <w:sz w:val="20"/>
                <w:szCs w:val="20"/>
                <w:color w:val="auto"/>
              </w:rPr>
            </w:pPr>
            <w:r>
              <w:rPr>
                <w:rFonts w:ascii="Verdana" w:cs="Verdana" w:eastAsia="Verdana" w:hAnsi="Verdana"/>
                <w:sz w:val="14"/>
                <w:szCs w:val="14"/>
                <w:color w:val="auto"/>
              </w:rPr>
              <w:t>(6,575)</w:t>
            </w:r>
          </w:p>
        </w:tc>
        <w:tc>
          <w:tcPr>
            <w:tcW w:w="980" w:type="dxa"/>
            <w:vAlign w:val="bottom"/>
            <w:gridSpan w:val="3"/>
          </w:tcPr>
          <w:p>
            <w:pPr>
              <w:jc w:val="right"/>
              <w:ind w:right="140"/>
              <w:spacing w:after="0"/>
              <w:rPr>
                <w:sz w:val="20"/>
                <w:szCs w:val="20"/>
                <w:color w:val="auto"/>
              </w:rPr>
            </w:pPr>
            <w:r>
              <w:rPr>
                <w:rFonts w:ascii="Verdana" w:cs="Verdana" w:eastAsia="Verdana" w:hAnsi="Verdana"/>
                <w:sz w:val="14"/>
                <w:szCs w:val="14"/>
                <w:color w:val="auto"/>
              </w:rPr>
              <w:t>$ (6,568)</w:t>
            </w:r>
          </w:p>
        </w:tc>
        <w:tc>
          <w:tcPr>
            <w:tcW w:w="440" w:type="dxa"/>
            <w:vAlign w:val="bottom"/>
            <w:gridSpan w:val="3"/>
          </w:tcPr>
          <w:p>
            <w:pPr>
              <w:jc w:val="right"/>
              <w:spacing w:after="0"/>
              <w:rPr>
                <w:sz w:val="20"/>
                <w:szCs w:val="20"/>
                <w:color w:val="auto"/>
              </w:rPr>
            </w:pPr>
            <w:r>
              <w:rPr>
                <w:rFonts w:ascii="Verdana" w:cs="Verdana" w:eastAsia="Verdana" w:hAnsi="Verdana"/>
                <w:sz w:val="14"/>
                <w:szCs w:val="14"/>
                <w:color w:val="auto"/>
              </w:rPr>
              <w:t>$</w:t>
            </w:r>
          </w:p>
        </w:tc>
        <w:tc>
          <w:tcPr>
            <w:tcW w:w="560" w:type="dxa"/>
            <w:vAlign w:val="bottom"/>
          </w:tcPr>
          <w:p>
            <w:pPr>
              <w:jc w:val="right"/>
              <w:spacing w:after="0"/>
              <w:rPr>
                <w:sz w:val="20"/>
                <w:szCs w:val="20"/>
                <w:color w:val="auto"/>
              </w:rPr>
            </w:pPr>
            <w:r>
              <w:rPr>
                <w:rFonts w:ascii="Verdana" w:cs="Verdana" w:eastAsia="Verdana" w:hAnsi="Verdana"/>
                <w:sz w:val="14"/>
                <w:szCs w:val="14"/>
                <w:color w:val="auto"/>
              </w:rPr>
              <w:t>60,288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2"/>
        </w:trPr>
        <w:tc>
          <w:tcPr>
            <w:tcW w:w="1900" w:type="dxa"/>
            <w:vAlign w:val="bottom"/>
            <w:gridSpan w:val="2"/>
          </w:tcPr>
          <w:p>
            <w:pPr>
              <w:ind w:left="160"/>
              <w:spacing w:after="0"/>
              <w:rPr>
                <w:sz w:val="20"/>
                <w:szCs w:val="20"/>
                <w:color w:val="auto"/>
              </w:rPr>
            </w:pPr>
            <w:r>
              <w:rPr>
                <w:rFonts w:ascii="Verdana" w:cs="Verdana" w:eastAsia="Verdana" w:hAnsi="Verdana"/>
                <w:sz w:val="14"/>
                <w:szCs w:val="14"/>
                <w:color w:val="auto"/>
              </w:rPr>
              <w:t xml:space="preserve">operations </w:t>
            </w:r>
            <w:r>
              <w:rPr>
                <w:rFonts w:ascii="Verdana" w:cs="Verdana" w:eastAsia="Verdana" w:hAnsi="Verdana"/>
                <w:sz w:val="22"/>
                <w:szCs w:val="22"/>
                <w:color w:val="auto"/>
                <w:vertAlign w:val="superscript"/>
              </w:rPr>
              <w:t>(1)</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900" w:type="dxa"/>
            <w:vAlign w:val="bottom"/>
            <w:gridSpan w:val="2"/>
          </w:tcPr>
          <w:p>
            <w:pPr>
              <w:spacing w:after="0" w:line="164" w:lineRule="exact"/>
              <w:rPr>
                <w:sz w:val="20"/>
                <w:szCs w:val="20"/>
                <w:color w:val="auto"/>
              </w:rPr>
            </w:pPr>
            <w:r>
              <w:rPr>
                <w:rFonts w:ascii="Verdana" w:cs="Verdana" w:eastAsia="Verdana" w:hAnsi="Verdana"/>
                <w:sz w:val="14"/>
                <w:szCs w:val="14"/>
                <w:color w:val="auto"/>
              </w:rPr>
              <w:t>Equity in losses of</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900" w:type="dxa"/>
            <w:vAlign w:val="bottom"/>
            <w:gridSpan w:val="2"/>
          </w:tcPr>
          <w:p>
            <w:pPr>
              <w:ind w:left="160"/>
              <w:spacing w:after="0"/>
              <w:rPr>
                <w:sz w:val="20"/>
                <w:szCs w:val="20"/>
                <w:color w:val="auto"/>
              </w:rPr>
            </w:pPr>
            <w:r>
              <w:rPr>
                <w:rFonts w:ascii="Verdana" w:cs="Verdana" w:eastAsia="Verdana" w:hAnsi="Verdana"/>
                <w:sz w:val="14"/>
                <w:szCs w:val="14"/>
                <w:color w:val="auto"/>
              </w:rPr>
              <w:t>affiliates</w:t>
            </w: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Verdana" w:cs="Verdana" w:eastAsia="Verdana" w:hAnsi="Verdana"/>
                <w:sz w:val="14"/>
                <w:szCs w:val="14"/>
                <w:color w:val="auto"/>
                <w:w w:val="99"/>
              </w:rPr>
              <w:t>(12,461)</w:t>
            </w:r>
          </w:p>
        </w:tc>
        <w:tc>
          <w:tcPr>
            <w:tcW w:w="0" w:type="dxa"/>
            <w:vAlign w:val="bottom"/>
          </w:tcPr>
          <w:p>
            <w:pPr>
              <w:spacing w:after="0"/>
              <w:rPr>
                <w:sz w:val="1"/>
                <w:szCs w:val="1"/>
                <w:color w:val="auto"/>
              </w:rPr>
            </w:pPr>
          </w:p>
        </w:tc>
      </w:tr>
      <w:tr>
        <w:trPr>
          <w:trHeight w:val="243"/>
        </w:trPr>
        <w:tc>
          <w:tcPr>
            <w:tcW w:w="1900" w:type="dxa"/>
            <w:vAlign w:val="bottom"/>
            <w:gridSpan w:val="2"/>
          </w:tcPr>
          <w:p>
            <w:pPr>
              <w:spacing w:after="0"/>
              <w:rPr>
                <w:sz w:val="20"/>
                <w:szCs w:val="20"/>
                <w:color w:val="auto"/>
              </w:rPr>
            </w:pPr>
            <w:r>
              <w:rPr>
                <w:rFonts w:ascii="Verdana" w:cs="Verdana" w:eastAsia="Verdana" w:hAnsi="Verdana"/>
                <w:sz w:val="14"/>
                <w:szCs w:val="14"/>
                <w:color w:val="auto"/>
              </w:rPr>
              <w:t>Interest expense, net</w:t>
            </w: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Verdana" w:cs="Verdana" w:eastAsia="Verdana" w:hAnsi="Verdana"/>
                <w:sz w:val="14"/>
                <w:szCs w:val="14"/>
                <w:color w:val="auto"/>
                <w:w w:val="99"/>
              </w:rPr>
              <w:t>(14,299)</w:t>
            </w:r>
          </w:p>
        </w:tc>
        <w:tc>
          <w:tcPr>
            <w:tcW w:w="0" w:type="dxa"/>
            <w:vAlign w:val="bottom"/>
          </w:tcPr>
          <w:p>
            <w:pPr>
              <w:spacing w:after="0"/>
              <w:rPr>
                <w:sz w:val="1"/>
                <w:szCs w:val="1"/>
                <w:color w:val="auto"/>
              </w:rPr>
            </w:pPr>
          </w:p>
        </w:tc>
      </w:tr>
      <w:tr>
        <w:trPr>
          <w:trHeight w:val="229"/>
        </w:trPr>
        <w:tc>
          <w:tcPr>
            <w:tcW w:w="1900" w:type="dxa"/>
            <w:vAlign w:val="bottom"/>
            <w:gridSpan w:val="2"/>
          </w:tcPr>
          <w:p>
            <w:pPr>
              <w:spacing w:after="0"/>
              <w:rPr>
                <w:sz w:val="20"/>
                <w:szCs w:val="20"/>
                <w:color w:val="auto"/>
              </w:rPr>
            </w:pPr>
            <w:r>
              <w:rPr>
                <w:rFonts w:ascii="Verdana" w:cs="Verdana" w:eastAsia="Verdana" w:hAnsi="Verdana"/>
                <w:sz w:val="14"/>
                <w:szCs w:val="14"/>
                <w:color w:val="auto"/>
              </w:rPr>
              <w:t>Other expense, net</w:t>
            </w: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w w:val="92"/>
              </w:rPr>
              <w:t>308,769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618" w:right="29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tcPr>
          <w:p>
            <w:pPr>
              <w:spacing w:after="0"/>
              <w:rPr>
                <w:sz w:val="20"/>
                <w:szCs w:val="20"/>
                <w:color w:val="auto"/>
              </w:rPr>
            </w:pPr>
            <w:r>
              <w:rPr>
                <w:rFonts w:ascii="Verdana" w:cs="Verdana" w:eastAsia="Verdana" w:hAnsi="Verdana"/>
                <w:sz w:val="14"/>
                <w:szCs w:val="14"/>
                <w:color w:val="auto"/>
              </w:rPr>
              <w:t>Income before income</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3"/>
        </w:trPr>
        <w:tc>
          <w:tcPr>
            <w:tcW w:w="2040" w:type="dxa"/>
            <w:vAlign w:val="bottom"/>
          </w:tcPr>
          <w:p>
            <w:pPr>
              <w:ind w:left="160"/>
              <w:spacing w:after="0"/>
              <w:rPr>
                <w:sz w:val="20"/>
                <w:szCs w:val="20"/>
                <w:color w:val="auto"/>
              </w:rPr>
            </w:pPr>
            <w:r>
              <w:rPr>
                <w:rFonts w:ascii="Verdana" w:cs="Verdana" w:eastAsia="Verdana" w:hAnsi="Verdana"/>
                <w:sz w:val="14"/>
                <w:szCs w:val="14"/>
                <w:color w:val="auto"/>
              </w:rPr>
              <w:t>taxes</w:t>
            </w: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Verdana" w:cs="Verdana" w:eastAsia="Verdana" w:hAnsi="Verdana"/>
                <w:sz w:val="14"/>
                <w:szCs w:val="14"/>
                <w:color w:val="auto"/>
              </w:rPr>
              <w:t>$</w:t>
            </w:r>
          </w:p>
        </w:tc>
        <w:tc>
          <w:tcPr>
            <w:tcW w:w="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Verdana" w:cs="Verdana" w:eastAsia="Verdana" w:hAnsi="Verdana"/>
                <w:sz w:val="14"/>
                <w:szCs w:val="14"/>
                <w:color w:val="auto"/>
                <w:w w:val="95"/>
              </w:rPr>
              <w:t>325,253</w:t>
            </w:r>
          </w:p>
        </w:tc>
        <w:tc>
          <w:tcPr>
            <w:tcW w:w="20" w:type="dxa"/>
            <w:vAlign w:val="bottom"/>
          </w:tcPr>
          <w:p>
            <w:pPr>
              <w:spacing w:after="0"/>
              <w:rPr>
                <w:sz w:val="21"/>
                <w:szCs w:val="21"/>
                <w:color w:val="auto"/>
              </w:rPr>
            </w:pPr>
          </w:p>
        </w:tc>
      </w:tr>
      <w:tr>
        <w:trPr>
          <w:trHeight w:val="239"/>
        </w:trPr>
        <w:tc>
          <w:tcPr>
            <w:tcW w:w="2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58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r>
      <w:tr>
        <w:trPr>
          <w:trHeight w:val="511"/>
        </w:trPr>
        <w:tc>
          <w:tcPr>
            <w:tcW w:w="2040" w:type="dxa"/>
            <w:vAlign w:val="bottom"/>
          </w:tcPr>
          <w:p>
            <w:pPr>
              <w:spacing w:after="0"/>
              <w:rPr>
                <w:sz w:val="20"/>
                <w:szCs w:val="20"/>
                <w:color w:val="auto"/>
              </w:rPr>
            </w:pPr>
            <w:r>
              <w:rPr>
                <w:rFonts w:ascii="Verdana" w:cs="Verdana" w:eastAsia="Verdana" w:hAnsi="Verdana"/>
                <w:sz w:val="14"/>
                <w:szCs w:val="14"/>
                <w:color w:val="auto"/>
              </w:rPr>
              <w:t>Depreciation expense</w:t>
            </w:r>
          </w:p>
        </w:tc>
        <w:tc>
          <w:tcPr>
            <w:tcW w:w="600" w:type="dxa"/>
            <w:vAlign w:val="bottom"/>
          </w:tcPr>
          <w:p>
            <w:pPr>
              <w:jc w:val="right"/>
              <w:spacing w:after="0"/>
              <w:rPr>
                <w:sz w:val="20"/>
                <w:szCs w:val="20"/>
                <w:color w:val="auto"/>
              </w:rPr>
            </w:pPr>
            <w:r>
              <w:rPr>
                <w:rFonts w:ascii="Verdana" w:cs="Verdana" w:eastAsia="Verdana" w:hAnsi="Verdana"/>
                <w:sz w:val="14"/>
                <w:szCs w:val="14"/>
                <w:color w:val="auto"/>
              </w:rPr>
              <w:t>$</w:t>
            </w:r>
          </w:p>
        </w:tc>
        <w:tc>
          <w:tcPr>
            <w:tcW w:w="700" w:type="dxa"/>
            <w:vAlign w:val="bottom"/>
          </w:tcPr>
          <w:p>
            <w:pPr>
              <w:jc w:val="right"/>
              <w:ind w:right="212"/>
              <w:spacing w:after="0"/>
              <w:rPr>
                <w:sz w:val="20"/>
                <w:szCs w:val="20"/>
                <w:color w:val="auto"/>
              </w:rPr>
            </w:pPr>
            <w:r>
              <w:rPr>
                <w:rFonts w:ascii="Verdana" w:cs="Verdana" w:eastAsia="Verdana" w:hAnsi="Verdana"/>
                <w:sz w:val="14"/>
                <w:szCs w:val="14"/>
                <w:color w:val="auto"/>
                <w:w w:val="97"/>
              </w:rPr>
              <w:t>9,502</w:t>
            </w:r>
          </w:p>
        </w:tc>
        <w:tc>
          <w:tcPr>
            <w:tcW w:w="500" w:type="dxa"/>
            <w:vAlign w:val="bottom"/>
          </w:tcPr>
          <w:p>
            <w:pPr>
              <w:jc w:val="right"/>
              <w:spacing w:after="0"/>
              <w:rPr>
                <w:sz w:val="20"/>
                <w:szCs w:val="20"/>
                <w:color w:val="auto"/>
              </w:rPr>
            </w:pPr>
            <w:r>
              <w:rPr>
                <w:rFonts w:ascii="Verdana" w:cs="Verdana" w:eastAsia="Verdana" w:hAnsi="Verdana"/>
                <w:sz w:val="14"/>
                <w:szCs w:val="14"/>
                <w:color w:val="auto"/>
              </w:rPr>
              <w:t>$</w:t>
            </w:r>
          </w:p>
        </w:tc>
        <w:tc>
          <w:tcPr>
            <w:tcW w:w="660" w:type="dxa"/>
            <w:vAlign w:val="bottom"/>
          </w:tcPr>
          <w:p>
            <w:pPr>
              <w:jc w:val="right"/>
              <w:ind w:right="152"/>
              <w:spacing w:after="0"/>
              <w:rPr>
                <w:sz w:val="20"/>
                <w:szCs w:val="20"/>
                <w:color w:val="auto"/>
              </w:rPr>
            </w:pPr>
            <w:r>
              <w:rPr>
                <w:rFonts w:ascii="Verdana" w:cs="Verdana" w:eastAsia="Verdana" w:hAnsi="Verdana"/>
                <w:sz w:val="14"/>
                <w:szCs w:val="14"/>
                <w:color w:val="auto"/>
              </w:rPr>
              <w:t>2,926</w:t>
            </w:r>
          </w:p>
        </w:tc>
        <w:tc>
          <w:tcPr>
            <w:tcW w:w="400" w:type="dxa"/>
            <w:vAlign w:val="bottom"/>
          </w:tcPr>
          <w:p>
            <w:pPr>
              <w:jc w:val="right"/>
              <w:spacing w:after="0"/>
              <w:rPr>
                <w:sz w:val="20"/>
                <w:szCs w:val="20"/>
                <w:color w:val="auto"/>
              </w:rPr>
            </w:pPr>
            <w:r>
              <w:rPr>
                <w:rFonts w:ascii="Verdana" w:cs="Verdana" w:eastAsia="Verdana" w:hAnsi="Verdana"/>
                <w:sz w:val="14"/>
                <w:szCs w:val="14"/>
                <w:color w:val="auto"/>
              </w:rPr>
              <w:t>$</w:t>
            </w:r>
          </w:p>
        </w:tc>
        <w:tc>
          <w:tcPr>
            <w:tcW w:w="560" w:type="dxa"/>
            <w:vAlign w:val="bottom"/>
          </w:tcPr>
          <w:p>
            <w:pPr>
              <w:jc w:val="right"/>
              <w:ind w:right="52"/>
              <w:spacing w:after="0"/>
              <w:rPr>
                <w:sz w:val="20"/>
                <w:szCs w:val="20"/>
                <w:color w:val="auto"/>
              </w:rPr>
            </w:pPr>
            <w:r>
              <w:rPr>
                <w:rFonts w:ascii="Verdana" w:cs="Verdana" w:eastAsia="Verdana" w:hAnsi="Verdana"/>
                <w:sz w:val="14"/>
                <w:szCs w:val="14"/>
                <w:color w:val="auto"/>
              </w:rPr>
              <w:t>1,219</w:t>
            </w:r>
          </w:p>
        </w:tc>
        <w:tc>
          <w:tcPr>
            <w:tcW w:w="1100" w:type="dxa"/>
            <w:vAlign w:val="bottom"/>
            <w:gridSpan w:val="2"/>
          </w:tcPr>
          <w:p>
            <w:pPr>
              <w:jc w:val="right"/>
              <w:ind w:right="132"/>
              <w:spacing w:after="0"/>
              <w:rPr>
                <w:sz w:val="20"/>
                <w:szCs w:val="20"/>
                <w:color w:val="auto"/>
              </w:rPr>
            </w:pPr>
            <w:r>
              <w:rPr>
                <w:rFonts w:ascii="Verdana" w:cs="Verdana" w:eastAsia="Verdana" w:hAnsi="Verdana"/>
                <w:sz w:val="14"/>
                <w:szCs w:val="14"/>
                <w:color w:val="auto"/>
              </w:rPr>
              <w:t>$ 16,259</w:t>
            </w:r>
          </w:p>
        </w:tc>
        <w:tc>
          <w:tcPr>
            <w:tcW w:w="340" w:type="dxa"/>
            <w:vAlign w:val="bottom"/>
          </w:tcPr>
          <w:p>
            <w:pPr>
              <w:jc w:val="right"/>
              <w:spacing w:after="0"/>
              <w:rPr>
                <w:sz w:val="20"/>
                <w:szCs w:val="20"/>
                <w:color w:val="auto"/>
              </w:rPr>
            </w:pPr>
            <w:r>
              <w:rPr>
                <w:rFonts w:ascii="Verdana" w:cs="Verdana" w:eastAsia="Verdana" w:hAnsi="Verdana"/>
                <w:sz w:val="14"/>
                <w:szCs w:val="14"/>
                <w:color w:val="auto"/>
              </w:rPr>
              <w:t>$</w:t>
            </w:r>
          </w:p>
        </w:tc>
        <w:tc>
          <w:tcPr>
            <w:tcW w:w="660" w:type="dxa"/>
            <w:vAlign w:val="bottom"/>
          </w:tcPr>
          <w:p>
            <w:pPr>
              <w:jc w:val="right"/>
              <w:ind w:right="172"/>
              <w:spacing w:after="0"/>
              <w:rPr>
                <w:sz w:val="20"/>
                <w:szCs w:val="20"/>
                <w:color w:val="auto"/>
              </w:rPr>
            </w:pPr>
            <w:r>
              <w:rPr>
                <w:rFonts w:ascii="Verdana" w:cs="Verdana" w:eastAsia="Verdana" w:hAnsi="Verdana"/>
                <w:sz w:val="14"/>
                <w:szCs w:val="14"/>
                <w:color w:val="auto"/>
                <w:w w:val="97"/>
              </w:rPr>
              <w:t>4,726</w:t>
            </w:r>
          </w:p>
        </w:tc>
        <w:tc>
          <w:tcPr>
            <w:tcW w:w="520" w:type="dxa"/>
            <w:vAlign w:val="bottom"/>
          </w:tcPr>
          <w:p>
            <w:pPr>
              <w:jc w:val="right"/>
              <w:ind w:right="72"/>
              <w:spacing w:after="0"/>
              <w:rPr>
                <w:sz w:val="20"/>
                <w:szCs w:val="20"/>
                <w:color w:val="auto"/>
              </w:rPr>
            </w:pPr>
            <w:r>
              <w:rPr>
                <w:rFonts w:ascii="Verdana" w:cs="Verdana" w:eastAsia="Verdana" w:hAnsi="Verdana"/>
                <w:sz w:val="14"/>
                <w:szCs w:val="14"/>
                <w:color w:val="auto"/>
              </w:rPr>
              <w:t>$</w:t>
            </w:r>
          </w:p>
        </w:tc>
        <w:tc>
          <w:tcPr>
            <w:tcW w:w="440" w:type="dxa"/>
            <w:vAlign w:val="bottom"/>
          </w:tcPr>
          <w:p>
            <w:pPr>
              <w:jc w:val="right"/>
              <w:ind w:right="172"/>
              <w:spacing w:after="0"/>
              <w:rPr>
                <w:sz w:val="20"/>
                <w:szCs w:val="20"/>
                <w:color w:val="auto"/>
              </w:rPr>
            </w:pPr>
            <w:r>
              <w:rPr>
                <w:rFonts w:ascii="Verdana" w:cs="Verdana" w:eastAsia="Verdana" w:hAnsi="Verdana"/>
                <w:sz w:val="14"/>
                <w:szCs w:val="14"/>
                <w:color w:val="auto"/>
              </w:rPr>
              <w:t>-</w:t>
            </w:r>
          </w:p>
        </w:tc>
        <w:tc>
          <w:tcPr>
            <w:tcW w:w="380" w:type="dxa"/>
            <w:vAlign w:val="bottom"/>
            <w:gridSpan w:val="2"/>
          </w:tcPr>
          <w:p>
            <w:pPr>
              <w:jc w:val="right"/>
              <w:ind w:right="40"/>
              <w:spacing w:after="0"/>
              <w:rPr>
                <w:sz w:val="20"/>
                <w:szCs w:val="20"/>
                <w:color w:val="auto"/>
              </w:rPr>
            </w:pPr>
            <w:r>
              <w:rPr>
                <w:rFonts w:ascii="Verdana" w:cs="Verdana" w:eastAsia="Verdana" w:hAnsi="Verdana"/>
                <w:sz w:val="14"/>
                <w:szCs w:val="14"/>
                <w:color w:val="auto"/>
              </w:rPr>
              <w:t>$</w:t>
            </w:r>
          </w:p>
        </w:tc>
        <w:tc>
          <w:tcPr>
            <w:tcW w:w="580" w:type="dxa"/>
            <w:vAlign w:val="bottom"/>
          </w:tcPr>
          <w:p>
            <w:pPr>
              <w:jc w:val="right"/>
              <w:spacing w:after="0"/>
              <w:rPr>
                <w:sz w:val="20"/>
                <w:szCs w:val="20"/>
                <w:color w:val="auto"/>
              </w:rPr>
            </w:pPr>
            <w:r>
              <w:rPr>
                <w:rFonts w:ascii="Verdana" w:cs="Verdana" w:eastAsia="Verdana" w:hAnsi="Verdana"/>
                <w:sz w:val="14"/>
                <w:szCs w:val="14"/>
                <w:color w:val="auto"/>
              </w:rPr>
              <w:t>34,632</w:t>
            </w:r>
          </w:p>
        </w:tc>
        <w:tc>
          <w:tcPr>
            <w:tcW w:w="20" w:type="dxa"/>
            <w:vAlign w:val="bottom"/>
          </w:tcPr>
          <w:p>
            <w:pPr>
              <w:spacing w:after="0"/>
              <w:rPr>
                <w:sz w:val="24"/>
                <w:szCs w:val="24"/>
                <w:color w:val="auto"/>
              </w:rPr>
            </w:pPr>
          </w:p>
        </w:tc>
      </w:tr>
      <w:tr>
        <w:trPr>
          <w:trHeight w:val="243"/>
        </w:trPr>
        <w:tc>
          <w:tcPr>
            <w:tcW w:w="2040" w:type="dxa"/>
            <w:vAlign w:val="bottom"/>
          </w:tcPr>
          <w:p>
            <w:pPr>
              <w:spacing w:after="0"/>
              <w:rPr>
                <w:sz w:val="20"/>
                <w:szCs w:val="20"/>
                <w:color w:val="auto"/>
              </w:rPr>
            </w:pPr>
            <w:r>
              <w:rPr>
                <w:rFonts w:ascii="Verdana" w:cs="Verdana" w:eastAsia="Verdana" w:hAnsi="Verdana"/>
                <w:sz w:val="14"/>
                <w:szCs w:val="14"/>
                <w:color w:val="auto"/>
              </w:rPr>
              <w:t>Amortization expense</w:t>
            </w:r>
          </w:p>
        </w:tc>
        <w:tc>
          <w:tcPr>
            <w:tcW w:w="600" w:type="dxa"/>
            <w:vAlign w:val="bottom"/>
          </w:tcPr>
          <w:p>
            <w:pPr>
              <w:jc w:val="right"/>
              <w:spacing w:after="0"/>
              <w:rPr>
                <w:sz w:val="20"/>
                <w:szCs w:val="20"/>
                <w:color w:val="auto"/>
              </w:rPr>
            </w:pPr>
            <w:r>
              <w:rPr>
                <w:rFonts w:ascii="Verdana" w:cs="Verdana" w:eastAsia="Verdana" w:hAnsi="Verdana"/>
                <w:sz w:val="14"/>
                <w:szCs w:val="14"/>
                <w:color w:val="auto"/>
              </w:rPr>
              <w:t>$</w:t>
            </w:r>
          </w:p>
        </w:tc>
        <w:tc>
          <w:tcPr>
            <w:tcW w:w="700" w:type="dxa"/>
            <w:vAlign w:val="bottom"/>
          </w:tcPr>
          <w:p>
            <w:pPr>
              <w:jc w:val="right"/>
              <w:ind w:right="212"/>
              <w:spacing w:after="0"/>
              <w:rPr>
                <w:sz w:val="20"/>
                <w:szCs w:val="20"/>
                <w:color w:val="auto"/>
              </w:rPr>
            </w:pPr>
            <w:r>
              <w:rPr>
                <w:rFonts w:ascii="Verdana" w:cs="Verdana" w:eastAsia="Verdana" w:hAnsi="Verdana"/>
                <w:sz w:val="14"/>
                <w:szCs w:val="14"/>
                <w:color w:val="auto"/>
              </w:rPr>
              <w:t>508</w:t>
            </w:r>
          </w:p>
        </w:tc>
        <w:tc>
          <w:tcPr>
            <w:tcW w:w="500" w:type="dxa"/>
            <w:vAlign w:val="bottom"/>
          </w:tcPr>
          <w:p>
            <w:pPr>
              <w:jc w:val="right"/>
              <w:spacing w:after="0"/>
              <w:rPr>
                <w:sz w:val="20"/>
                <w:szCs w:val="20"/>
                <w:color w:val="auto"/>
              </w:rPr>
            </w:pPr>
            <w:r>
              <w:rPr>
                <w:rFonts w:ascii="Verdana" w:cs="Verdana" w:eastAsia="Verdana" w:hAnsi="Verdana"/>
                <w:sz w:val="14"/>
                <w:szCs w:val="14"/>
                <w:color w:val="auto"/>
              </w:rPr>
              <w:t>$</w:t>
            </w:r>
          </w:p>
        </w:tc>
        <w:tc>
          <w:tcPr>
            <w:tcW w:w="660" w:type="dxa"/>
            <w:vAlign w:val="bottom"/>
          </w:tcPr>
          <w:p>
            <w:pPr>
              <w:jc w:val="right"/>
              <w:ind w:right="152"/>
              <w:spacing w:after="0"/>
              <w:rPr>
                <w:sz w:val="20"/>
                <w:szCs w:val="20"/>
                <w:color w:val="auto"/>
              </w:rPr>
            </w:pPr>
            <w:r>
              <w:rPr>
                <w:rFonts w:ascii="Verdana" w:cs="Verdana" w:eastAsia="Verdana" w:hAnsi="Verdana"/>
                <w:sz w:val="14"/>
                <w:szCs w:val="14"/>
                <w:color w:val="auto"/>
              </w:rPr>
              <w:t>3,534</w:t>
            </w:r>
          </w:p>
        </w:tc>
        <w:tc>
          <w:tcPr>
            <w:tcW w:w="400" w:type="dxa"/>
            <w:vAlign w:val="bottom"/>
          </w:tcPr>
          <w:p>
            <w:pPr>
              <w:jc w:val="right"/>
              <w:spacing w:after="0"/>
              <w:rPr>
                <w:sz w:val="20"/>
                <w:szCs w:val="20"/>
                <w:color w:val="auto"/>
              </w:rPr>
            </w:pPr>
            <w:r>
              <w:rPr>
                <w:rFonts w:ascii="Verdana" w:cs="Verdana" w:eastAsia="Verdana" w:hAnsi="Verdana"/>
                <w:sz w:val="14"/>
                <w:szCs w:val="14"/>
                <w:color w:val="auto"/>
              </w:rPr>
              <w:t>$</w:t>
            </w:r>
          </w:p>
        </w:tc>
        <w:tc>
          <w:tcPr>
            <w:tcW w:w="560" w:type="dxa"/>
            <w:vAlign w:val="bottom"/>
          </w:tcPr>
          <w:p>
            <w:pPr>
              <w:jc w:val="right"/>
              <w:ind w:right="52"/>
              <w:spacing w:after="0"/>
              <w:rPr>
                <w:sz w:val="20"/>
                <w:szCs w:val="20"/>
                <w:color w:val="auto"/>
              </w:rPr>
            </w:pPr>
            <w:r>
              <w:rPr>
                <w:rFonts w:ascii="Verdana" w:cs="Verdana" w:eastAsia="Verdana" w:hAnsi="Verdana"/>
                <w:sz w:val="14"/>
                <w:szCs w:val="14"/>
                <w:color w:val="auto"/>
              </w:rPr>
              <w:t>1,667</w:t>
            </w:r>
          </w:p>
        </w:tc>
        <w:tc>
          <w:tcPr>
            <w:tcW w:w="480" w:type="dxa"/>
            <w:vAlign w:val="bottom"/>
          </w:tcPr>
          <w:p>
            <w:pPr>
              <w:jc w:val="right"/>
              <w:spacing w:after="0"/>
              <w:rPr>
                <w:sz w:val="20"/>
                <w:szCs w:val="20"/>
                <w:color w:val="auto"/>
              </w:rPr>
            </w:pPr>
            <w:r>
              <w:rPr>
                <w:rFonts w:ascii="Verdana" w:cs="Verdana" w:eastAsia="Verdana" w:hAnsi="Verdana"/>
                <w:sz w:val="14"/>
                <w:szCs w:val="14"/>
                <w:color w:val="auto"/>
              </w:rPr>
              <w:t>$</w:t>
            </w:r>
          </w:p>
        </w:tc>
        <w:tc>
          <w:tcPr>
            <w:tcW w:w="620" w:type="dxa"/>
            <w:vAlign w:val="bottom"/>
          </w:tcPr>
          <w:p>
            <w:pPr>
              <w:jc w:val="right"/>
              <w:ind w:right="132"/>
              <w:spacing w:after="0"/>
              <w:rPr>
                <w:sz w:val="20"/>
                <w:szCs w:val="20"/>
                <w:color w:val="auto"/>
              </w:rPr>
            </w:pPr>
            <w:r>
              <w:rPr>
                <w:rFonts w:ascii="Verdana" w:cs="Verdana" w:eastAsia="Verdana" w:hAnsi="Verdana"/>
                <w:sz w:val="14"/>
                <w:szCs w:val="14"/>
                <w:color w:val="auto"/>
                <w:w w:val="97"/>
              </w:rPr>
              <w:t>7,701</w:t>
            </w:r>
          </w:p>
        </w:tc>
        <w:tc>
          <w:tcPr>
            <w:tcW w:w="340" w:type="dxa"/>
            <w:vAlign w:val="bottom"/>
          </w:tcPr>
          <w:p>
            <w:pPr>
              <w:jc w:val="right"/>
              <w:spacing w:after="0"/>
              <w:rPr>
                <w:sz w:val="20"/>
                <w:szCs w:val="20"/>
                <w:color w:val="auto"/>
              </w:rPr>
            </w:pPr>
            <w:r>
              <w:rPr>
                <w:rFonts w:ascii="Verdana" w:cs="Verdana" w:eastAsia="Verdana" w:hAnsi="Verdana"/>
                <w:sz w:val="14"/>
                <w:szCs w:val="14"/>
                <w:color w:val="auto"/>
              </w:rPr>
              <w:t>$</w:t>
            </w:r>
          </w:p>
        </w:tc>
        <w:tc>
          <w:tcPr>
            <w:tcW w:w="660" w:type="dxa"/>
            <w:vAlign w:val="bottom"/>
          </w:tcPr>
          <w:p>
            <w:pPr>
              <w:jc w:val="right"/>
              <w:ind w:right="172"/>
              <w:spacing w:after="0"/>
              <w:rPr>
                <w:sz w:val="20"/>
                <w:szCs w:val="20"/>
                <w:color w:val="auto"/>
              </w:rPr>
            </w:pPr>
            <w:r>
              <w:rPr>
                <w:rFonts w:ascii="Verdana" w:cs="Verdana" w:eastAsia="Verdana" w:hAnsi="Verdana"/>
                <w:sz w:val="14"/>
                <w:szCs w:val="14"/>
                <w:color w:val="auto"/>
                <w:w w:val="97"/>
              </w:rPr>
              <w:t>3,782</w:t>
            </w:r>
          </w:p>
        </w:tc>
        <w:tc>
          <w:tcPr>
            <w:tcW w:w="520" w:type="dxa"/>
            <w:vAlign w:val="bottom"/>
          </w:tcPr>
          <w:p>
            <w:pPr>
              <w:jc w:val="right"/>
              <w:ind w:right="72"/>
              <w:spacing w:after="0"/>
              <w:rPr>
                <w:sz w:val="20"/>
                <w:szCs w:val="20"/>
                <w:color w:val="auto"/>
              </w:rPr>
            </w:pPr>
            <w:r>
              <w:rPr>
                <w:rFonts w:ascii="Verdana" w:cs="Verdana" w:eastAsia="Verdana" w:hAnsi="Verdana"/>
                <w:sz w:val="14"/>
                <w:szCs w:val="14"/>
                <w:color w:val="auto"/>
              </w:rPr>
              <w:t>$</w:t>
            </w:r>
          </w:p>
        </w:tc>
        <w:tc>
          <w:tcPr>
            <w:tcW w:w="440" w:type="dxa"/>
            <w:vAlign w:val="bottom"/>
          </w:tcPr>
          <w:p>
            <w:pPr>
              <w:jc w:val="right"/>
              <w:ind w:right="172"/>
              <w:spacing w:after="0"/>
              <w:rPr>
                <w:sz w:val="20"/>
                <w:szCs w:val="20"/>
                <w:color w:val="auto"/>
              </w:rPr>
            </w:pPr>
            <w:r>
              <w:rPr>
                <w:rFonts w:ascii="Verdana" w:cs="Verdana" w:eastAsia="Verdana" w:hAnsi="Verdana"/>
                <w:sz w:val="14"/>
                <w:szCs w:val="14"/>
                <w:color w:val="auto"/>
              </w:rPr>
              <w:t>-</w:t>
            </w:r>
          </w:p>
        </w:tc>
        <w:tc>
          <w:tcPr>
            <w:tcW w:w="380" w:type="dxa"/>
            <w:vAlign w:val="bottom"/>
            <w:gridSpan w:val="2"/>
          </w:tcPr>
          <w:p>
            <w:pPr>
              <w:jc w:val="right"/>
              <w:ind w:right="40"/>
              <w:spacing w:after="0"/>
              <w:rPr>
                <w:sz w:val="20"/>
                <w:szCs w:val="20"/>
                <w:color w:val="auto"/>
              </w:rPr>
            </w:pPr>
            <w:r>
              <w:rPr>
                <w:rFonts w:ascii="Verdana" w:cs="Verdana" w:eastAsia="Verdana" w:hAnsi="Verdana"/>
                <w:sz w:val="14"/>
                <w:szCs w:val="14"/>
                <w:color w:val="auto"/>
              </w:rPr>
              <w:t>$</w:t>
            </w:r>
          </w:p>
        </w:tc>
        <w:tc>
          <w:tcPr>
            <w:tcW w:w="580" w:type="dxa"/>
            <w:vAlign w:val="bottom"/>
          </w:tcPr>
          <w:p>
            <w:pPr>
              <w:jc w:val="right"/>
              <w:spacing w:after="0"/>
              <w:rPr>
                <w:sz w:val="20"/>
                <w:szCs w:val="20"/>
                <w:color w:val="auto"/>
              </w:rPr>
            </w:pPr>
            <w:r>
              <w:rPr>
                <w:rFonts w:ascii="Verdana" w:cs="Verdana" w:eastAsia="Verdana" w:hAnsi="Verdana"/>
                <w:sz w:val="14"/>
                <w:szCs w:val="14"/>
                <w:color w:val="auto"/>
              </w:rPr>
              <w:t>17,192</w:t>
            </w:r>
          </w:p>
        </w:tc>
        <w:tc>
          <w:tcPr>
            <w:tcW w:w="20" w:type="dxa"/>
            <w:vAlign w:val="bottom"/>
          </w:tcPr>
          <w:p>
            <w:pPr>
              <w:spacing w:after="0"/>
              <w:rPr>
                <w:sz w:val="21"/>
                <w:szCs w:val="21"/>
                <w:color w:val="auto"/>
              </w:rPr>
            </w:pPr>
          </w:p>
        </w:tc>
      </w:tr>
      <w:tr>
        <w:trPr>
          <w:trHeight w:val="243"/>
        </w:trPr>
        <w:tc>
          <w:tcPr>
            <w:tcW w:w="2040" w:type="dxa"/>
            <w:vAlign w:val="bottom"/>
          </w:tcPr>
          <w:p>
            <w:pPr>
              <w:spacing w:after="0"/>
              <w:rPr>
                <w:sz w:val="20"/>
                <w:szCs w:val="20"/>
                <w:color w:val="auto"/>
              </w:rPr>
            </w:pPr>
            <w:r>
              <w:rPr>
                <w:rFonts w:ascii="Verdana" w:cs="Verdana" w:eastAsia="Verdana" w:hAnsi="Verdana"/>
                <w:sz w:val="14"/>
                <w:szCs w:val="14"/>
                <w:color w:val="auto"/>
              </w:rPr>
              <w:t>Pension credit (expense)</w:t>
            </w:r>
          </w:p>
        </w:tc>
        <w:tc>
          <w:tcPr>
            <w:tcW w:w="600" w:type="dxa"/>
            <w:vAlign w:val="bottom"/>
          </w:tcPr>
          <w:p>
            <w:pPr>
              <w:jc w:val="right"/>
              <w:spacing w:after="0"/>
              <w:rPr>
                <w:sz w:val="20"/>
                <w:szCs w:val="20"/>
                <w:color w:val="auto"/>
              </w:rPr>
            </w:pPr>
            <w:r>
              <w:rPr>
                <w:rFonts w:ascii="Verdana" w:cs="Verdana" w:eastAsia="Verdana" w:hAnsi="Verdana"/>
                <w:sz w:val="14"/>
                <w:szCs w:val="14"/>
                <w:color w:val="auto"/>
              </w:rPr>
              <w:t>$</w:t>
            </w:r>
          </w:p>
        </w:tc>
        <w:tc>
          <w:tcPr>
            <w:tcW w:w="700" w:type="dxa"/>
            <w:vAlign w:val="bottom"/>
          </w:tcPr>
          <w:p>
            <w:pPr>
              <w:jc w:val="right"/>
              <w:ind w:right="212"/>
              <w:spacing w:after="0"/>
              <w:rPr>
                <w:sz w:val="20"/>
                <w:szCs w:val="20"/>
                <w:color w:val="auto"/>
              </w:rPr>
            </w:pPr>
            <w:r>
              <w:rPr>
                <w:rFonts w:ascii="Verdana" w:cs="Verdana" w:eastAsia="Verdana" w:hAnsi="Verdana"/>
                <w:sz w:val="14"/>
                <w:szCs w:val="14"/>
                <w:color w:val="auto"/>
                <w:w w:val="97"/>
              </w:rPr>
              <w:t>7,123</w:t>
            </w:r>
          </w:p>
        </w:tc>
        <w:tc>
          <w:tcPr>
            <w:tcW w:w="500" w:type="dxa"/>
            <w:vAlign w:val="bottom"/>
          </w:tcPr>
          <w:p>
            <w:pPr>
              <w:jc w:val="right"/>
              <w:spacing w:after="0"/>
              <w:rPr>
                <w:sz w:val="20"/>
                <w:szCs w:val="20"/>
                <w:color w:val="auto"/>
              </w:rPr>
            </w:pPr>
            <w:r>
              <w:rPr>
                <w:rFonts w:ascii="Verdana" w:cs="Verdana" w:eastAsia="Verdana" w:hAnsi="Verdana"/>
                <w:sz w:val="14"/>
                <w:szCs w:val="14"/>
                <w:color w:val="auto"/>
              </w:rPr>
              <w:t>$</w:t>
            </w:r>
          </w:p>
        </w:tc>
        <w:tc>
          <w:tcPr>
            <w:tcW w:w="660" w:type="dxa"/>
            <w:vAlign w:val="bottom"/>
          </w:tcPr>
          <w:p>
            <w:pPr>
              <w:jc w:val="right"/>
              <w:ind w:right="152"/>
              <w:spacing w:after="0"/>
              <w:rPr>
                <w:sz w:val="20"/>
                <w:szCs w:val="20"/>
                <w:color w:val="auto"/>
              </w:rPr>
            </w:pPr>
            <w:r>
              <w:rPr>
                <w:rFonts w:ascii="Verdana" w:cs="Verdana" w:eastAsia="Verdana" w:hAnsi="Verdana"/>
                <w:sz w:val="14"/>
                <w:szCs w:val="14"/>
                <w:color w:val="auto"/>
              </w:rPr>
              <w:t>1,663</w:t>
            </w:r>
          </w:p>
        </w:tc>
        <w:tc>
          <w:tcPr>
            <w:tcW w:w="960" w:type="dxa"/>
            <w:vAlign w:val="bottom"/>
            <w:gridSpan w:val="2"/>
          </w:tcPr>
          <w:p>
            <w:pPr>
              <w:jc w:val="right"/>
              <w:ind w:right="52"/>
              <w:spacing w:after="0"/>
              <w:rPr>
                <w:sz w:val="20"/>
                <w:szCs w:val="20"/>
                <w:color w:val="auto"/>
              </w:rPr>
            </w:pPr>
            <w:r>
              <w:rPr>
                <w:rFonts w:ascii="Verdana" w:cs="Verdana" w:eastAsia="Verdana" w:hAnsi="Verdana"/>
                <w:sz w:val="14"/>
                <w:szCs w:val="14"/>
                <w:color w:val="auto"/>
              </w:rPr>
              <w:t>$ 11,416</w:t>
            </w:r>
          </w:p>
        </w:tc>
        <w:tc>
          <w:tcPr>
            <w:tcW w:w="480" w:type="dxa"/>
            <w:vAlign w:val="bottom"/>
          </w:tcPr>
          <w:p>
            <w:pPr>
              <w:jc w:val="right"/>
              <w:spacing w:after="0"/>
              <w:rPr>
                <w:sz w:val="20"/>
                <w:szCs w:val="20"/>
                <w:color w:val="auto"/>
              </w:rPr>
            </w:pPr>
            <w:r>
              <w:rPr>
                <w:rFonts w:ascii="Verdana" w:cs="Verdana" w:eastAsia="Verdana" w:hAnsi="Verdana"/>
                <w:sz w:val="14"/>
                <w:szCs w:val="14"/>
                <w:color w:val="auto"/>
              </w:rPr>
              <w:t>$</w:t>
            </w:r>
          </w:p>
        </w:tc>
        <w:tc>
          <w:tcPr>
            <w:tcW w:w="620" w:type="dxa"/>
            <w:vAlign w:val="bottom"/>
          </w:tcPr>
          <w:p>
            <w:pPr>
              <w:jc w:val="right"/>
              <w:ind w:right="52"/>
              <w:spacing w:after="0"/>
              <w:rPr>
                <w:sz w:val="20"/>
                <w:szCs w:val="20"/>
                <w:color w:val="auto"/>
              </w:rPr>
            </w:pPr>
            <w:r>
              <w:rPr>
                <w:rFonts w:ascii="Verdana" w:cs="Verdana" w:eastAsia="Verdana" w:hAnsi="Verdana"/>
                <w:sz w:val="14"/>
                <w:szCs w:val="14"/>
                <w:color w:val="auto"/>
              </w:rPr>
              <w:t>(153)</w:t>
            </w:r>
          </w:p>
        </w:tc>
        <w:tc>
          <w:tcPr>
            <w:tcW w:w="340" w:type="dxa"/>
            <w:vAlign w:val="bottom"/>
          </w:tcPr>
          <w:p>
            <w:pPr>
              <w:jc w:val="right"/>
              <w:spacing w:after="0"/>
              <w:rPr>
                <w:sz w:val="20"/>
                <w:szCs w:val="20"/>
                <w:color w:val="auto"/>
              </w:rPr>
            </w:pPr>
            <w:r>
              <w:rPr>
                <w:rFonts w:ascii="Verdana" w:cs="Verdana" w:eastAsia="Verdana" w:hAnsi="Verdana"/>
                <w:sz w:val="14"/>
                <w:szCs w:val="14"/>
                <w:color w:val="auto"/>
              </w:rPr>
              <w:t>$</w:t>
            </w:r>
          </w:p>
        </w:tc>
        <w:tc>
          <w:tcPr>
            <w:tcW w:w="660" w:type="dxa"/>
            <w:vAlign w:val="bottom"/>
          </w:tcPr>
          <w:p>
            <w:pPr>
              <w:jc w:val="right"/>
              <w:ind w:right="112"/>
              <w:spacing w:after="0"/>
              <w:rPr>
                <w:sz w:val="20"/>
                <w:szCs w:val="20"/>
                <w:color w:val="auto"/>
              </w:rPr>
            </w:pPr>
            <w:r>
              <w:rPr>
                <w:rFonts w:ascii="Verdana" w:cs="Verdana" w:eastAsia="Verdana" w:hAnsi="Verdana"/>
                <w:sz w:val="14"/>
                <w:szCs w:val="14"/>
                <w:color w:val="auto"/>
              </w:rPr>
              <w:t>(171)</w:t>
            </w:r>
          </w:p>
        </w:tc>
        <w:tc>
          <w:tcPr>
            <w:tcW w:w="520" w:type="dxa"/>
            <w:vAlign w:val="bottom"/>
          </w:tcPr>
          <w:p>
            <w:pPr>
              <w:jc w:val="right"/>
              <w:ind w:right="72"/>
              <w:spacing w:after="0"/>
              <w:rPr>
                <w:sz w:val="20"/>
                <w:szCs w:val="20"/>
                <w:color w:val="auto"/>
              </w:rPr>
            </w:pPr>
            <w:r>
              <w:rPr>
                <w:rFonts w:ascii="Verdana" w:cs="Verdana" w:eastAsia="Verdana" w:hAnsi="Verdana"/>
                <w:sz w:val="14"/>
                <w:szCs w:val="14"/>
                <w:color w:val="auto"/>
              </w:rPr>
              <w:t>$</w:t>
            </w:r>
          </w:p>
        </w:tc>
        <w:tc>
          <w:tcPr>
            <w:tcW w:w="440" w:type="dxa"/>
            <w:vAlign w:val="bottom"/>
          </w:tcPr>
          <w:p>
            <w:pPr>
              <w:jc w:val="right"/>
              <w:ind w:right="172"/>
              <w:spacing w:after="0"/>
              <w:rPr>
                <w:sz w:val="20"/>
                <w:szCs w:val="20"/>
                <w:color w:val="auto"/>
              </w:rPr>
            </w:pPr>
            <w:r>
              <w:rPr>
                <w:rFonts w:ascii="Verdana" w:cs="Verdana" w:eastAsia="Verdana" w:hAnsi="Verdana"/>
                <w:sz w:val="14"/>
                <w:szCs w:val="14"/>
                <w:color w:val="auto"/>
              </w:rPr>
              <w:t>-</w:t>
            </w:r>
          </w:p>
        </w:tc>
        <w:tc>
          <w:tcPr>
            <w:tcW w:w="380" w:type="dxa"/>
            <w:vAlign w:val="bottom"/>
            <w:gridSpan w:val="2"/>
          </w:tcPr>
          <w:p>
            <w:pPr>
              <w:jc w:val="right"/>
              <w:ind w:right="40"/>
              <w:spacing w:after="0"/>
              <w:rPr>
                <w:sz w:val="20"/>
                <w:szCs w:val="20"/>
                <w:color w:val="auto"/>
              </w:rPr>
            </w:pPr>
            <w:r>
              <w:rPr>
                <w:rFonts w:ascii="Verdana" w:cs="Verdana" w:eastAsia="Verdana" w:hAnsi="Verdana"/>
                <w:sz w:val="14"/>
                <w:szCs w:val="14"/>
                <w:color w:val="auto"/>
              </w:rPr>
              <w:t>$</w:t>
            </w:r>
          </w:p>
        </w:tc>
        <w:tc>
          <w:tcPr>
            <w:tcW w:w="580" w:type="dxa"/>
            <w:vAlign w:val="bottom"/>
          </w:tcPr>
          <w:p>
            <w:pPr>
              <w:jc w:val="right"/>
              <w:spacing w:after="0"/>
              <w:rPr>
                <w:sz w:val="20"/>
                <w:szCs w:val="20"/>
                <w:color w:val="auto"/>
              </w:rPr>
            </w:pPr>
            <w:r>
              <w:rPr>
                <w:rFonts w:ascii="Verdana" w:cs="Verdana" w:eastAsia="Verdana" w:hAnsi="Verdana"/>
                <w:sz w:val="14"/>
                <w:szCs w:val="14"/>
                <w:color w:val="auto"/>
              </w:rPr>
              <w:t>19,878</w:t>
            </w:r>
          </w:p>
        </w:tc>
        <w:tc>
          <w:tcPr>
            <w:tcW w:w="20" w:type="dxa"/>
            <w:vAlign w:val="bottom"/>
          </w:tcPr>
          <w:p>
            <w:pPr>
              <w:spacing w:after="0"/>
              <w:rPr>
                <w:sz w:val="21"/>
                <w:szCs w:val="21"/>
                <w:color w:val="auto"/>
              </w:rPr>
            </w:pPr>
          </w:p>
        </w:tc>
      </w:tr>
      <w:tr>
        <w:trPr>
          <w:trHeight w:val="486"/>
        </w:trPr>
        <w:tc>
          <w:tcPr>
            <w:tcW w:w="2040" w:type="dxa"/>
            <w:vAlign w:val="bottom"/>
          </w:tcPr>
          <w:p>
            <w:pPr>
              <w:spacing w:after="0"/>
              <w:rPr>
                <w:sz w:val="20"/>
                <w:szCs w:val="20"/>
                <w:color w:val="auto"/>
              </w:rPr>
            </w:pPr>
            <w:r>
              <w:rPr>
                <w:rFonts w:ascii="Verdana" w:cs="Verdana" w:eastAsia="Verdana" w:hAnsi="Verdana"/>
                <w:sz w:val="14"/>
                <w:szCs w:val="14"/>
                <w:color w:val="auto"/>
              </w:rPr>
              <w:t>Identifiable assets</w:t>
            </w:r>
          </w:p>
        </w:tc>
        <w:tc>
          <w:tcPr>
            <w:tcW w:w="1300" w:type="dxa"/>
            <w:vAlign w:val="bottom"/>
            <w:gridSpan w:val="2"/>
          </w:tcPr>
          <w:p>
            <w:pPr>
              <w:jc w:val="right"/>
              <w:ind w:right="212"/>
              <w:spacing w:after="0"/>
              <w:rPr>
                <w:sz w:val="20"/>
                <w:szCs w:val="20"/>
                <w:color w:val="auto"/>
              </w:rPr>
            </w:pPr>
            <w:r>
              <w:rPr>
                <w:rFonts w:ascii="Verdana" w:cs="Verdana" w:eastAsia="Verdana" w:hAnsi="Verdana"/>
                <w:sz w:val="14"/>
                <w:szCs w:val="14"/>
                <w:color w:val="auto"/>
              </w:rPr>
              <w:t>$703,947</w:t>
            </w:r>
          </w:p>
        </w:tc>
        <w:tc>
          <w:tcPr>
            <w:tcW w:w="1160" w:type="dxa"/>
            <w:vAlign w:val="bottom"/>
            <w:gridSpan w:val="2"/>
          </w:tcPr>
          <w:p>
            <w:pPr>
              <w:jc w:val="right"/>
              <w:ind w:right="152"/>
              <w:spacing w:after="0"/>
              <w:rPr>
                <w:sz w:val="20"/>
                <w:szCs w:val="20"/>
                <w:color w:val="auto"/>
              </w:rPr>
            </w:pPr>
            <w:r>
              <w:rPr>
                <w:rFonts w:ascii="Verdana" w:cs="Verdana" w:eastAsia="Verdana" w:hAnsi="Verdana"/>
                <w:sz w:val="14"/>
                <w:szCs w:val="14"/>
                <w:color w:val="auto"/>
              </w:rPr>
              <w:t>$419,246</w:t>
            </w:r>
          </w:p>
        </w:tc>
        <w:tc>
          <w:tcPr>
            <w:tcW w:w="960" w:type="dxa"/>
            <w:vAlign w:val="bottom"/>
            <w:gridSpan w:val="2"/>
          </w:tcPr>
          <w:p>
            <w:pPr>
              <w:jc w:val="right"/>
              <w:ind w:right="52"/>
              <w:spacing w:after="0"/>
              <w:rPr>
                <w:sz w:val="20"/>
                <w:szCs w:val="20"/>
                <w:color w:val="auto"/>
              </w:rPr>
            </w:pPr>
            <w:r>
              <w:rPr>
                <w:rFonts w:ascii="Verdana" w:cs="Verdana" w:eastAsia="Verdana" w:hAnsi="Verdana"/>
                <w:sz w:val="14"/>
                <w:szCs w:val="14"/>
                <w:color w:val="auto"/>
              </w:rPr>
              <w:t>$486,804</w:t>
            </w:r>
          </w:p>
        </w:tc>
        <w:tc>
          <w:tcPr>
            <w:tcW w:w="1100" w:type="dxa"/>
            <w:vAlign w:val="bottom"/>
            <w:gridSpan w:val="2"/>
          </w:tcPr>
          <w:p>
            <w:pPr>
              <w:jc w:val="right"/>
              <w:ind w:right="132"/>
              <w:spacing w:after="0"/>
              <w:rPr>
                <w:sz w:val="20"/>
                <w:szCs w:val="20"/>
                <w:color w:val="auto"/>
              </w:rPr>
            </w:pPr>
            <w:r>
              <w:rPr>
                <w:rFonts w:ascii="Verdana" w:cs="Verdana" w:eastAsia="Verdana" w:hAnsi="Verdana"/>
                <w:sz w:val="14"/>
                <w:szCs w:val="14"/>
                <w:color w:val="auto"/>
              </w:rPr>
              <w:t>$1,117,426</w:t>
            </w:r>
          </w:p>
        </w:tc>
        <w:tc>
          <w:tcPr>
            <w:tcW w:w="1000" w:type="dxa"/>
            <w:vAlign w:val="bottom"/>
            <w:gridSpan w:val="2"/>
          </w:tcPr>
          <w:p>
            <w:pPr>
              <w:jc w:val="right"/>
              <w:ind w:right="172"/>
              <w:spacing w:after="0"/>
              <w:rPr>
                <w:sz w:val="20"/>
                <w:szCs w:val="20"/>
                <w:color w:val="auto"/>
              </w:rPr>
            </w:pPr>
            <w:r>
              <w:rPr>
                <w:rFonts w:ascii="Verdana" w:cs="Verdana" w:eastAsia="Verdana" w:hAnsi="Verdana"/>
                <w:sz w:val="14"/>
                <w:szCs w:val="14"/>
                <w:color w:val="auto"/>
              </w:rPr>
              <w:t>$472,988</w:t>
            </w:r>
          </w:p>
        </w:tc>
        <w:tc>
          <w:tcPr>
            <w:tcW w:w="960" w:type="dxa"/>
            <w:vAlign w:val="bottom"/>
            <w:gridSpan w:val="2"/>
          </w:tcPr>
          <w:p>
            <w:pPr>
              <w:jc w:val="right"/>
              <w:ind w:right="172"/>
              <w:spacing w:after="0"/>
              <w:rPr>
                <w:sz w:val="20"/>
                <w:szCs w:val="20"/>
                <w:color w:val="auto"/>
              </w:rPr>
            </w:pPr>
            <w:r>
              <w:rPr>
                <w:rFonts w:ascii="Verdana" w:cs="Verdana" w:eastAsia="Verdana" w:hAnsi="Verdana"/>
                <w:sz w:val="14"/>
                <w:szCs w:val="14"/>
                <w:color w:val="auto"/>
              </w:rPr>
              <w:t>$42,346</w:t>
            </w:r>
          </w:p>
        </w:tc>
        <w:tc>
          <w:tcPr>
            <w:tcW w:w="980" w:type="dxa"/>
            <w:vAlign w:val="bottom"/>
            <w:gridSpan w:val="4"/>
          </w:tcPr>
          <w:p>
            <w:pPr>
              <w:jc w:val="right"/>
              <w:ind w:right="20"/>
              <w:spacing w:after="0"/>
              <w:rPr>
                <w:sz w:val="20"/>
                <w:szCs w:val="20"/>
                <w:color w:val="auto"/>
              </w:rPr>
            </w:pPr>
            <w:r>
              <w:rPr>
                <w:rFonts w:ascii="Verdana" w:cs="Verdana" w:eastAsia="Verdana" w:hAnsi="Verdana"/>
                <w:sz w:val="14"/>
                <w:szCs w:val="14"/>
                <w:color w:val="auto"/>
              </w:rPr>
              <w:t>$3,242,757</w:t>
            </w:r>
          </w:p>
        </w:tc>
      </w:tr>
      <w:tr>
        <w:trPr>
          <w:trHeight w:val="243"/>
        </w:trPr>
        <w:tc>
          <w:tcPr>
            <w:tcW w:w="2040" w:type="dxa"/>
            <w:vAlign w:val="bottom"/>
          </w:tcPr>
          <w:p>
            <w:pPr>
              <w:spacing w:after="0"/>
              <w:rPr>
                <w:sz w:val="20"/>
                <w:szCs w:val="20"/>
                <w:color w:val="auto"/>
              </w:rPr>
            </w:pPr>
            <w:r>
              <w:rPr>
                <w:rFonts w:ascii="Verdana" w:cs="Verdana" w:eastAsia="Verdana" w:hAnsi="Verdana"/>
                <w:sz w:val="14"/>
                <w:szCs w:val="14"/>
                <w:color w:val="auto"/>
              </w:rPr>
              <w:t>Investments in</w:t>
            </w: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40" w:type="dxa"/>
            <w:vAlign w:val="bottom"/>
          </w:tcPr>
          <w:p>
            <w:pPr>
              <w:ind w:left="160"/>
              <w:spacing w:after="0"/>
              <w:rPr>
                <w:sz w:val="20"/>
                <w:szCs w:val="20"/>
                <w:color w:val="auto"/>
              </w:rPr>
            </w:pPr>
            <w:r>
              <w:rPr>
                <w:rFonts w:ascii="Verdana" w:cs="Verdana" w:eastAsia="Verdana" w:hAnsi="Verdana"/>
                <w:sz w:val="14"/>
                <w:szCs w:val="14"/>
                <w:color w:val="auto"/>
              </w:rPr>
              <w:t>marketable equity</w:t>
            </w: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40" w:type="dxa"/>
            <w:vAlign w:val="bottom"/>
          </w:tcPr>
          <w:p>
            <w:pPr>
              <w:ind w:left="160"/>
              <w:spacing w:after="0"/>
              <w:rPr>
                <w:sz w:val="20"/>
                <w:szCs w:val="20"/>
                <w:color w:val="auto"/>
              </w:rPr>
            </w:pPr>
            <w:r>
              <w:rPr>
                <w:rFonts w:ascii="Verdana" w:cs="Verdana" w:eastAsia="Verdana" w:hAnsi="Verdana"/>
                <w:sz w:val="14"/>
                <w:szCs w:val="14"/>
                <w:color w:val="auto"/>
              </w:rPr>
              <w:t>securities</w:t>
            </w: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Verdana" w:cs="Verdana" w:eastAsia="Verdana" w:hAnsi="Verdana"/>
                <w:sz w:val="14"/>
                <w:szCs w:val="14"/>
                <w:color w:val="auto"/>
                <w:w w:val="95"/>
              </w:rPr>
              <w:t>235,405</w:t>
            </w:r>
          </w:p>
        </w:tc>
        <w:tc>
          <w:tcPr>
            <w:tcW w:w="20" w:type="dxa"/>
            <w:vAlign w:val="bottom"/>
          </w:tcPr>
          <w:p>
            <w:pPr>
              <w:spacing w:after="0"/>
              <w:rPr>
                <w:sz w:val="21"/>
                <w:szCs w:val="21"/>
                <w:color w:val="auto"/>
              </w:rPr>
            </w:pPr>
          </w:p>
        </w:tc>
      </w:tr>
      <w:tr>
        <w:trPr>
          <w:trHeight w:val="243"/>
        </w:trPr>
        <w:tc>
          <w:tcPr>
            <w:tcW w:w="2040" w:type="dxa"/>
            <w:vAlign w:val="bottom"/>
          </w:tcPr>
          <w:p>
            <w:pPr>
              <w:spacing w:after="0"/>
              <w:rPr>
                <w:sz w:val="20"/>
                <w:szCs w:val="20"/>
                <w:color w:val="auto"/>
              </w:rPr>
            </w:pPr>
            <w:r>
              <w:rPr>
                <w:rFonts w:ascii="Verdana" w:cs="Verdana" w:eastAsia="Verdana" w:hAnsi="Verdana"/>
                <w:sz w:val="14"/>
                <w:szCs w:val="14"/>
                <w:color w:val="auto"/>
              </w:rPr>
              <w:t>Investments in</w:t>
            </w: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2040" w:type="dxa"/>
            <w:vAlign w:val="bottom"/>
          </w:tcPr>
          <w:p>
            <w:pPr>
              <w:ind w:left="160"/>
              <w:spacing w:after="0"/>
              <w:rPr>
                <w:sz w:val="20"/>
                <w:szCs w:val="20"/>
                <w:color w:val="auto"/>
              </w:rPr>
            </w:pPr>
            <w:r>
              <w:rPr>
                <w:rFonts w:ascii="Verdana" w:cs="Verdana" w:eastAsia="Verdana" w:hAnsi="Verdana"/>
                <w:sz w:val="14"/>
                <w:szCs w:val="14"/>
                <w:color w:val="auto"/>
              </w:rPr>
              <w:t>affiliates</w:t>
            </w: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Verdana" w:cs="Verdana" w:eastAsia="Verdana" w:hAnsi="Verdana"/>
                <w:sz w:val="14"/>
                <w:szCs w:val="14"/>
                <w:color w:val="auto"/>
              </w:rPr>
              <w:t>80,936</w:t>
            </w:r>
          </w:p>
        </w:tc>
        <w:tc>
          <w:tcPr>
            <w:tcW w:w="20" w:type="dxa"/>
            <w:vAlign w:val="bottom"/>
          </w:tcPr>
          <w:p>
            <w:pPr>
              <w:spacing w:after="0"/>
              <w:rPr>
                <w:sz w:val="19"/>
                <w:szCs w:val="19"/>
                <w:color w:val="auto"/>
              </w:rPr>
            </w:pPr>
          </w:p>
        </w:tc>
      </w:tr>
      <w:tr>
        <w:trPr>
          <w:trHeight w:val="481"/>
        </w:trPr>
        <w:tc>
          <w:tcPr>
            <w:tcW w:w="2040" w:type="dxa"/>
            <w:vAlign w:val="bottom"/>
          </w:tcPr>
          <w:p>
            <w:pPr>
              <w:ind w:left="60"/>
              <w:spacing w:after="0"/>
              <w:rPr>
                <w:sz w:val="20"/>
                <w:szCs w:val="20"/>
                <w:color w:val="auto"/>
              </w:rPr>
            </w:pPr>
            <w:r>
              <w:rPr>
                <w:rFonts w:ascii="Verdana" w:cs="Verdana" w:eastAsia="Verdana" w:hAnsi="Verdana"/>
                <w:sz w:val="14"/>
                <w:szCs w:val="14"/>
                <w:color w:val="auto"/>
              </w:rPr>
              <w:t>Total assets</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gridSpan w:val="4"/>
          </w:tcPr>
          <w:p>
            <w:pPr>
              <w:jc w:val="right"/>
              <w:ind w:right="20"/>
              <w:spacing w:after="0"/>
              <w:rPr>
                <w:sz w:val="20"/>
                <w:szCs w:val="20"/>
                <w:color w:val="auto"/>
              </w:rPr>
            </w:pPr>
            <w:r>
              <w:rPr>
                <w:rFonts w:ascii="Verdana" w:cs="Verdana" w:eastAsia="Verdana" w:hAnsi="Verdana"/>
                <w:sz w:val="14"/>
                <w:szCs w:val="14"/>
                <w:color w:val="auto"/>
              </w:rPr>
              <w:t>$3,559,098</w:t>
            </w:r>
          </w:p>
        </w:tc>
      </w:tr>
      <w:tr>
        <w:trPr>
          <w:trHeight w:val="239"/>
        </w:trPr>
        <w:tc>
          <w:tcPr>
            <w:tcW w:w="2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58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-2216150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-2216150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43053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60"/>
        <w:spacing w:after="0"/>
        <w:rPr>
          <w:sz w:val="20"/>
          <w:szCs w:val="20"/>
          <w:color w:val="auto"/>
        </w:rPr>
      </w:pPr>
      <w:r>
        <w:rPr>
          <w:rFonts w:ascii="Verdana" w:cs="Verdana" w:eastAsia="Verdana" w:hAnsi="Verdana"/>
          <w:sz w:val="27"/>
          <w:szCs w:val="27"/>
          <w:color w:val="auto"/>
          <w:vertAlign w:val="superscript"/>
        </w:rPr>
        <w:t>(1)</w:t>
      </w:r>
      <w:r>
        <w:rPr>
          <w:rFonts w:ascii="Verdana" w:cs="Verdana" w:eastAsia="Verdana" w:hAnsi="Verdana"/>
          <w:sz w:val="14"/>
          <w:szCs w:val="14"/>
          <w:color w:val="auto"/>
        </w:rPr>
        <w:t xml:space="preserve"> First quarter 2001 results, adjusted as if SFAS 142 had been adopted at the beginning of 2001 — refer to Note 5 for additional information</w:t>
      </w:r>
    </w:p>
    <w:p>
      <w:pPr>
        <w:spacing w:after="0" w:line="131" w:lineRule="exact"/>
        <w:rPr>
          <w:sz w:val="20"/>
          <w:szCs w:val="20"/>
          <w:color w:val="auto"/>
        </w:rPr>
      </w:pPr>
    </w:p>
    <w:p>
      <w:pPr>
        <w:ind w:right="40" w:firstLine="185"/>
        <w:spacing w:after="0" w:line="236" w:lineRule="auto"/>
        <w:rPr>
          <w:sz w:val="20"/>
          <w:szCs w:val="20"/>
          <w:color w:val="auto"/>
        </w:rPr>
      </w:pPr>
      <w:r>
        <w:rPr>
          <w:rFonts w:ascii="Verdana" w:cs="Verdana" w:eastAsia="Verdana" w:hAnsi="Verdana"/>
          <w:sz w:val="18"/>
          <w:szCs w:val="18"/>
          <w:color w:val="auto"/>
        </w:rPr>
        <w:t>Newspaper publishing includes the publication of newspapers in the Washington, D.C. area (</w:t>
      </w:r>
      <w:r>
        <w:rPr>
          <w:rFonts w:ascii="Verdana" w:cs="Verdana" w:eastAsia="Verdana" w:hAnsi="Verdana"/>
          <w:sz w:val="18"/>
          <w:szCs w:val="18"/>
          <w:i w:val="1"/>
          <w:iCs w:val="1"/>
          <w:color w:val="auto"/>
        </w:rPr>
        <w:t>The Washington Post</w:t>
      </w:r>
      <w:r>
        <w:rPr>
          <w:rFonts w:ascii="Verdana" w:cs="Verdana" w:eastAsia="Verdana" w:hAnsi="Verdana"/>
          <w:sz w:val="18"/>
          <w:szCs w:val="18"/>
          <w:color w:val="auto"/>
        </w:rPr>
        <w:t xml:space="preserve">, the </w:t>
      </w:r>
      <w:r>
        <w:rPr>
          <w:rFonts w:ascii="Verdana" w:cs="Verdana" w:eastAsia="Verdana" w:hAnsi="Verdana"/>
          <w:sz w:val="18"/>
          <w:szCs w:val="18"/>
          <w:i w:val="1"/>
          <w:iCs w:val="1"/>
          <w:color w:val="auto"/>
        </w:rPr>
        <w:t>Gazette</w:t>
      </w:r>
      <w:r>
        <w:rPr>
          <w:rFonts w:ascii="Verdana" w:cs="Verdana" w:eastAsia="Verdana" w:hAnsi="Verdana"/>
          <w:sz w:val="18"/>
          <w:szCs w:val="18"/>
          <w:color w:val="auto"/>
        </w:rPr>
        <w:t xml:space="preserve"> community newspapers, and Southern Maryland newspapers) and Everett, Washington (</w:t>
      </w:r>
      <w:r>
        <w:rPr>
          <w:rFonts w:ascii="Verdana" w:cs="Verdana" w:eastAsia="Verdana" w:hAnsi="Verdana"/>
          <w:sz w:val="18"/>
          <w:szCs w:val="18"/>
          <w:i w:val="1"/>
          <w:iCs w:val="1"/>
          <w:color w:val="auto"/>
        </w:rPr>
        <w:t>The Everett Herald)</w:t>
      </w:r>
      <w:r>
        <w:rPr>
          <w:rFonts w:ascii="Verdana" w:cs="Verdana" w:eastAsia="Verdana" w:hAnsi="Verdana"/>
          <w:sz w:val="18"/>
          <w:szCs w:val="18"/>
          <w:color w:val="auto"/>
        </w:rPr>
        <w:t>. This business division also includes newsprint warehousing, recycling operations and the Company’s electronic media publishing business (primarily washingtonpost.com).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5" w:lineRule="exact"/>
        <w:rPr>
          <w:sz w:val="20"/>
          <w:szCs w:val="20"/>
          <w:color w:val="auto"/>
        </w:rPr>
      </w:pPr>
    </w:p>
    <w:p>
      <w:pPr>
        <w:jc w:val="right"/>
        <w:spacing w:after="0"/>
        <w:rPr>
          <w:sz w:val="20"/>
          <w:szCs w:val="20"/>
          <w:color w:val="auto"/>
        </w:rPr>
      </w:pPr>
      <w:r>
        <w:rPr>
          <w:rFonts w:ascii="Verdana" w:cs="Verdana" w:eastAsia="Verdana" w:hAnsi="Verdana"/>
          <w:sz w:val="18"/>
          <w:szCs w:val="18"/>
          <w:color w:val="auto"/>
        </w:rPr>
        <w:t>10.</w:t>
      </w:r>
    </w:p>
    <w:p>
      <w:pPr>
        <w:spacing w:after="0" w:line="200" w:lineRule="exact"/>
        <w:rPr>
          <w:sz w:val="20"/>
          <w:szCs w:val="20"/>
          <w:color w:val="auto"/>
        </w:rPr>
      </w:pPr>
    </w:p>
    <w:p>
      <w:pPr>
        <w:spacing w:after="0" w:line="276" w:lineRule="exact"/>
        <w:rPr>
          <w:sz w:val="20"/>
          <w:szCs w:val="20"/>
          <w:color w:val="auto"/>
        </w:rPr>
      </w:pPr>
    </w:p>
    <w:p>
      <w:pPr>
        <w:jc w:val="both"/>
        <w:ind w:right="240" w:firstLine="185"/>
        <w:spacing w:after="0" w:line="235" w:lineRule="auto"/>
        <w:rPr>
          <w:sz w:val="20"/>
          <w:szCs w:val="20"/>
          <w:color w:val="auto"/>
        </w:rPr>
      </w:pPr>
      <w:r>
        <w:rPr>
          <w:rFonts w:ascii="Verdana" w:cs="Verdana" w:eastAsia="Verdana" w:hAnsi="Verdana"/>
          <w:sz w:val="18"/>
          <w:szCs w:val="18"/>
          <w:color w:val="auto"/>
        </w:rPr>
        <w:t>Television broadcasting operations are conducted through six VHF, network-affiliated television stations serving the Detroit, Houston, Miami, San Antonio, Orlando and Jacksonville television markets. The Company’s station in Jacksonville will become an independent station in July 2002, when its network affiliation agreement with CBS expires.</w:t>
      </w:r>
    </w:p>
    <w:p>
      <w:pPr>
        <w:spacing w:after="0" w:line="222" w:lineRule="exact"/>
        <w:rPr>
          <w:sz w:val="20"/>
          <w:szCs w:val="20"/>
          <w:color w:val="auto"/>
        </w:rPr>
      </w:pPr>
    </w:p>
    <w:p>
      <w:pPr>
        <w:jc w:val="both"/>
        <w:ind w:right="160" w:firstLine="185"/>
        <w:spacing w:after="0" w:line="235" w:lineRule="auto"/>
        <w:rPr>
          <w:sz w:val="20"/>
          <w:szCs w:val="20"/>
          <w:color w:val="auto"/>
        </w:rPr>
      </w:pPr>
      <w:r>
        <w:rPr>
          <w:rFonts w:ascii="Verdana" w:cs="Verdana" w:eastAsia="Verdana" w:hAnsi="Verdana"/>
          <w:sz w:val="18"/>
          <w:szCs w:val="18"/>
          <w:color w:val="auto"/>
        </w:rPr>
        <w:t>The magazine publishing division consists of the publication of a weekly news magazine, Newsweek, which has one domestic and three international editions, the publication of Arthur Frommer’s Budget Travel, and the publication of business periodicals for the computer services industry and the Washington-area technology community.</w:t>
      </w:r>
    </w:p>
    <w:p>
      <w:pPr>
        <w:spacing w:after="0" w:line="222" w:lineRule="exact"/>
        <w:rPr>
          <w:sz w:val="20"/>
          <w:szCs w:val="20"/>
          <w:color w:val="auto"/>
        </w:rPr>
      </w:pPr>
    </w:p>
    <w:p>
      <w:pPr>
        <w:ind w:right="300" w:firstLine="185"/>
        <w:spacing w:after="0" w:line="235" w:lineRule="auto"/>
        <w:rPr>
          <w:sz w:val="20"/>
          <w:szCs w:val="20"/>
          <w:color w:val="auto"/>
        </w:rPr>
      </w:pPr>
      <w:r>
        <w:rPr>
          <w:rFonts w:ascii="Verdana" w:cs="Verdana" w:eastAsia="Verdana" w:hAnsi="Verdana"/>
          <w:sz w:val="18"/>
          <w:szCs w:val="18"/>
          <w:color w:val="auto"/>
        </w:rPr>
        <w:t>Cable television operations consist of cable systems offering basic cable, pay television and other services to approximately 751,700 subscribers in midwestern, western, and southern states.</w:t>
      </w:r>
    </w:p>
    <w:p>
      <w:pPr>
        <w:spacing w:after="0" w:line="220" w:lineRule="exact"/>
        <w:rPr>
          <w:sz w:val="20"/>
          <w:szCs w:val="20"/>
          <w:color w:val="auto"/>
        </w:rPr>
      </w:pPr>
    </w:p>
    <w:p>
      <w:pPr>
        <w:ind w:right="60" w:firstLine="185"/>
        <w:spacing w:after="0" w:line="236" w:lineRule="auto"/>
        <w:rPr>
          <w:sz w:val="20"/>
          <w:szCs w:val="20"/>
          <w:color w:val="auto"/>
        </w:rPr>
      </w:pPr>
      <w:r>
        <w:rPr>
          <w:rFonts w:ascii="Verdana" w:cs="Verdana" w:eastAsia="Verdana" w:hAnsi="Verdana"/>
          <w:sz w:val="18"/>
          <w:szCs w:val="18"/>
          <w:color w:val="auto"/>
        </w:rPr>
        <w:t>Education and career services are provided through the Company’s wholly-owned subsidiary Kaplan, Inc. Kaplan’s businesses include supplemental education services, which is made up of test preparation and admissions, providing test preparation services for college and graduate school entrance exams; Kaplan Professional, providing education and career services to business people and other professionals; and Score!, offering multi-media learning and private tutoring to children and educational resources to parents. Kaplan’s businesses also include higher education services, which includes all of Kaplan’s post-secondary education businesses, including the fixed facility colleges that were formerly part of Quest Education, which offers bachelor’s degrees, associate’s degrees and diploma programs primarily in the fields of healthcare, business and information technology; and online post-secondary and career programs (various distance-learning businesses, including kaplancollege.com).</w:t>
      </w:r>
    </w:p>
    <w:p>
      <w:pPr>
        <w:spacing w:after="0" w:line="218" w:lineRule="exact"/>
        <w:rPr>
          <w:sz w:val="20"/>
          <w:szCs w:val="20"/>
          <w:color w:val="auto"/>
        </w:rPr>
      </w:pPr>
    </w:p>
    <w:p>
      <w:pPr>
        <w:ind w:left="200"/>
        <w:spacing w:after="0"/>
        <w:rPr>
          <w:sz w:val="20"/>
          <w:szCs w:val="20"/>
          <w:color w:val="auto"/>
        </w:rPr>
      </w:pPr>
      <w:r>
        <w:rPr>
          <w:rFonts w:ascii="Verdana" w:cs="Verdana" w:eastAsia="Verdana" w:hAnsi="Verdana"/>
          <w:sz w:val="18"/>
          <w:szCs w:val="18"/>
          <w:color w:val="auto"/>
        </w:rPr>
        <w:t>Corporate office includes the expenses of the Company’s corporate office.</w:t>
      </w:r>
    </w:p>
    <w:p>
      <w:pPr>
        <w:spacing w:after="0" w:line="213" w:lineRule="exact"/>
        <w:rPr>
          <w:sz w:val="20"/>
          <w:szCs w:val="20"/>
          <w:color w:val="auto"/>
        </w:rPr>
      </w:pPr>
    </w:p>
    <w:p>
      <w:pPr>
        <w:spacing w:after="0"/>
        <w:rPr>
          <w:sz w:val="20"/>
          <w:szCs w:val="20"/>
          <w:color w:val="auto"/>
        </w:rPr>
      </w:pPr>
      <w:r>
        <w:rPr>
          <w:rFonts w:ascii="Verdana" w:cs="Verdana" w:eastAsia="Verdana" w:hAnsi="Verdana"/>
          <w:sz w:val="18"/>
          <w:szCs w:val="18"/>
          <w:color w:val="auto"/>
        </w:rPr>
        <w:t>Note 5: New Accounting Pronouncement.</w:t>
      </w:r>
    </w:p>
    <w:p>
      <w:pPr>
        <w:spacing w:after="0" w:line="220" w:lineRule="exact"/>
        <w:rPr>
          <w:sz w:val="20"/>
          <w:szCs w:val="20"/>
          <w:color w:val="auto"/>
        </w:rPr>
      </w:pPr>
    </w:p>
    <w:p>
      <w:pPr>
        <w:ind w:right="220"/>
        <w:spacing w:after="0" w:line="272" w:lineRule="auto"/>
        <w:rPr>
          <w:sz w:val="20"/>
          <w:szCs w:val="20"/>
          <w:color w:val="auto"/>
        </w:rPr>
      </w:pPr>
      <w:r>
        <w:rPr>
          <w:rFonts w:ascii="Verdana" w:cs="Verdana" w:eastAsia="Verdana" w:hAnsi="Verdana"/>
          <w:sz w:val="16"/>
          <w:szCs w:val="16"/>
          <w:color w:val="auto"/>
        </w:rPr>
        <w:t>The Company adopted Statement of Financial Accounting Standards No. 142 (SFAS 142), “Goodwill and Other Intangible Assets” effective on the first day of its 2002 fiscal year. As a result of the adoption of SFAS 142, the Company ceased most of the periodic charges previously recorded from the amortization of goodwill and other intangibles. On a pro forma basis, the Company’s operating income, net income and diluted earnings per share would have been $60.3 million, $210.8 million and $22.19, respectively, in the first quarter of 2001, if SFAS 142 had been adopted at the beginning of fiscal 2001.</w:t>
      </w:r>
    </w:p>
    <w:p>
      <w:pPr>
        <w:spacing w:after="0" w:line="195" w:lineRule="exact"/>
        <w:rPr>
          <w:sz w:val="20"/>
          <w:szCs w:val="20"/>
          <w:color w:val="auto"/>
        </w:rPr>
      </w:pPr>
    </w:p>
    <w:p>
      <w:pPr>
        <w:jc w:val="both"/>
        <w:ind w:right="20"/>
        <w:spacing w:after="0" w:line="235" w:lineRule="auto"/>
        <w:rPr>
          <w:sz w:val="20"/>
          <w:szCs w:val="20"/>
          <w:color w:val="auto"/>
        </w:rPr>
      </w:pPr>
      <w:r>
        <w:rPr>
          <w:rFonts w:ascii="Verdana" w:cs="Verdana" w:eastAsia="Verdana" w:hAnsi="Verdana"/>
          <w:sz w:val="18"/>
          <w:szCs w:val="18"/>
          <w:color w:val="auto"/>
        </w:rPr>
        <w:t>As required under SFAS 142, in the first quarter of 2002, the Company completed its transitional impairment review of indefinite lived intangible assets and no impairment charge was warranted. The Company will complete the initial transitional impairment review of goodwill in the second quarter of 2002.</w:t>
      </w:r>
    </w:p>
    <w:p>
      <w:pPr>
        <w:spacing w:after="0" w:line="222" w:lineRule="exact"/>
        <w:rPr>
          <w:sz w:val="20"/>
          <w:szCs w:val="20"/>
          <w:color w:val="auto"/>
        </w:rPr>
      </w:pPr>
    </w:p>
    <w:p>
      <w:pPr>
        <w:ind w:right="40" w:firstLine="185"/>
        <w:spacing w:after="0" w:line="236" w:lineRule="auto"/>
        <w:rPr>
          <w:sz w:val="20"/>
          <w:szCs w:val="20"/>
          <w:color w:val="auto"/>
        </w:rPr>
      </w:pPr>
      <w:r>
        <w:rPr>
          <w:rFonts w:ascii="Verdana" w:cs="Verdana" w:eastAsia="Verdana" w:hAnsi="Verdana"/>
          <w:sz w:val="18"/>
          <w:szCs w:val="18"/>
          <w:color w:val="auto"/>
        </w:rPr>
        <w:t>In accordance with SFAS 142, the Company has reviewed its goodwill and other intangible assets and reported them on the consolidated balance sheet in three categories (goodwill, indefinite lived intangible assets, and other intangible assets). The Company’s intangible assets with an indefinite life are from franchise agreements at its cable division. Other intangible assets are primarily non-compete agreements, with amortization periods up to five years. At March 31, 2002, goodwill, indefinite lived intangible assets and other intangible assets were net of accumulated amortization of $279.4 million, $163.8 million and $0.9 million, respectively. At December 31, 2001, goodwill, indefinite lived intangible assets and other intangible assets were net of accumulated amortization of $279.4 million, $163.8 million and $0.7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2" w:right="239" w:bottom="16" w:gutter="0" w:footer="0" w:header="0"/>
        </w:sectPr>
      </w:pPr>
    </w:p>
    <w:bookmarkStart w:id="7" w:name="page8"/>
    <w:bookmarkEnd w:id="7"/>
    <w:p>
      <w:pPr>
        <w:jc w:val="right"/>
        <w:spacing w:after="0"/>
        <w:rPr>
          <w:sz w:val="20"/>
          <w:szCs w:val="20"/>
          <w:color w:val="auto"/>
        </w:rPr>
      </w:pPr>
      <w:r>
        <w:rPr>
          <w:rFonts w:ascii="Verdana" w:cs="Verdana" w:eastAsia="Verdana" w:hAnsi="Verdana"/>
          <w:sz w:val="18"/>
          <w:szCs w:val="18"/>
          <w:color w:val="auto"/>
        </w:rPr>
        <w:t>11.</w:t>
      </w:r>
    </w:p>
    <w:p>
      <w:pPr>
        <w:spacing w:after="0" w:line="213"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 xml:space="preserve">Item 2. </w:t>
      </w:r>
      <w:r>
        <w:rPr>
          <w:rFonts w:ascii="Verdana" w:cs="Verdana" w:eastAsia="Verdana" w:hAnsi="Verdana"/>
          <w:sz w:val="18"/>
          <w:szCs w:val="18"/>
          <w:b w:val="1"/>
          <w:bCs w:val="1"/>
          <w:u w:val="single" w:color="auto"/>
          <w:color w:val="auto"/>
        </w:rPr>
        <w:t>Management’s Discussion and Analysis of Results of Operations and Financial Condition</w:t>
      </w:r>
    </w:p>
    <w:p>
      <w:pPr>
        <w:spacing w:after="0" w:line="213" w:lineRule="exact"/>
        <w:rPr>
          <w:sz w:val="20"/>
          <w:szCs w:val="20"/>
          <w:color w:val="auto"/>
        </w:rPr>
      </w:pPr>
    </w:p>
    <w:p>
      <w:pPr>
        <w:ind w:left="200"/>
        <w:spacing w:after="0"/>
        <w:rPr>
          <w:sz w:val="20"/>
          <w:szCs w:val="20"/>
          <w:color w:val="auto"/>
        </w:rPr>
      </w:pPr>
      <w:r>
        <w:rPr>
          <w:rFonts w:ascii="Verdana" w:cs="Verdana" w:eastAsia="Verdana" w:hAnsi="Verdana"/>
          <w:sz w:val="18"/>
          <w:szCs w:val="18"/>
          <w:color w:val="auto"/>
        </w:rPr>
        <w:t>This analysis should be read in conjunction with the consolidated financial statements and the notes thereto.</w:t>
      </w:r>
    </w:p>
    <w:p>
      <w:pPr>
        <w:spacing w:after="0" w:line="220" w:lineRule="exact"/>
        <w:rPr>
          <w:sz w:val="20"/>
          <w:szCs w:val="20"/>
          <w:color w:val="auto"/>
        </w:rPr>
      </w:pPr>
    </w:p>
    <w:p>
      <w:pPr>
        <w:ind w:right="460" w:firstLine="185"/>
        <w:spacing w:after="0" w:line="235" w:lineRule="auto"/>
        <w:rPr>
          <w:sz w:val="20"/>
          <w:szCs w:val="20"/>
          <w:color w:val="auto"/>
        </w:rPr>
      </w:pPr>
      <w:r>
        <w:rPr>
          <w:rFonts w:ascii="Verdana" w:cs="Verdana" w:eastAsia="Verdana" w:hAnsi="Verdana"/>
          <w:sz w:val="18"/>
          <w:szCs w:val="18"/>
          <w:color w:val="auto"/>
        </w:rPr>
        <w:t>Revenues and expenses in the first and third quarters are customarily lower than those in the second and fourth quarters because of significant seasonal fluctuations in advertising volume.</w:t>
      </w:r>
    </w:p>
    <w:p>
      <w:pPr>
        <w:spacing w:after="0" w:line="214"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Results of Operations</w:t>
      </w:r>
    </w:p>
    <w:p>
      <w:pPr>
        <w:spacing w:after="0" w:line="220" w:lineRule="exact"/>
        <w:rPr>
          <w:sz w:val="20"/>
          <w:szCs w:val="20"/>
          <w:color w:val="auto"/>
        </w:rPr>
      </w:pPr>
    </w:p>
    <w:p>
      <w:pPr>
        <w:ind w:right="40" w:firstLine="124"/>
        <w:spacing w:after="0" w:line="235" w:lineRule="auto"/>
        <w:rPr>
          <w:sz w:val="20"/>
          <w:szCs w:val="20"/>
          <w:color w:val="auto"/>
        </w:rPr>
      </w:pPr>
      <w:r>
        <w:rPr>
          <w:rFonts w:ascii="Verdana" w:cs="Verdana" w:eastAsia="Verdana" w:hAnsi="Verdana"/>
          <w:sz w:val="18"/>
          <w:szCs w:val="18"/>
          <w:color w:val="auto"/>
        </w:rPr>
        <w:t>Net income for the first quarter of 2002 was $23.7 million ($2.44 per share), down from net income of $199.1 million ($20.90 per share) in the first quarter of last year.</w:t>
      </w:r>
    </w:p>
    <w:p>
      <w:pPr>
        <w:spacing w:after="0" w:line="220" w:lineRule="exact"/>
        <w:rPr>
          <w:sz w:val="20"/>
          <w:szCs w:val="20"/>
          <w:color w:val="auto"/>
        </w:rPr>
      </w:pPr>
    </w:p>
    <w:p>
      <w:pPr>
        <w:ind w:right="220" w:firstLine="124"/>
        <w:spacing w:after="0" w:line="236" w:lineRule="auto"/>
        <w:rPr>
          <w:sz w:val="20"/>
          <w:szCs w:val="20"/>
          <w:color w:val="auto"/>
        </w:rPr>
      </w:pPr>
      <w:r>
        <w:rPr>
          <w:rFonts w:ascii="Verdana" w:cs="Verdana" w:eastAsia="Verdana" w:hAnsi="Verdana"/>
          <w:sz w:val="18"/>
          <w:szCs w:val="18"/>
          <w:color w:val="auto"/>
        </w:rPr>
        <w:t>Results for the first quarter of 2002 include a charge arising from an early retirement program at Newsweek ($6.1 million, or $0.64 per share) and a net non-operating gain primarily from the sale of marketable securities ($3.8 million, or $0.40 per share). Results for the first quarter of 2001 include net non-operating gains principally from the sale and exchange of certain cable systems ($189.5 million, or $19.95 per share) and a charge of $12.2 million, or $1.29 per share, for amortization of goodwill and certain other intangible assets that are no longer amortized under SFAS 142. Excluding these items, net income for the first quarter of 2002 totaled $26.0 million, or $2.68 per share, compared to net income of $21.8 million, or $2.24 per share, for the first quarter of 2001.</w:t>
      </w:r>
    </w:p>
    <w:p>
      <w:pPr>
        <w:spacing w:after="0" w:line="223" w:lineRule="exact"/>
        <w:rPr>
          <w:sz w:val="20"/>
          <w:szCs w:val="20"/>
          <w:color w:val="auto"/>
        </w:rPr>
      </w:pPr>
    </w:p>
    <w:p>
      <w:pPr>
        <w:ind w:firstLine="185"/>
        <w:spacing w:after="0" w:line="235" w:lineRule="auto"/>
        <w:rPr>
          <w:sz w:val="20"/>
          <w:szCs w:val="20"/>
          <w:color w:val="auto"/>
        </w:rPr>
      </w:pPr>
      <w:r>
        <w:rPr>
          <w:rFonts w:ascii="Verdana" w:cs="Verdana" w:eastAsia="Verdana" w:hAnsi="Verdana"/>
          <w:sz w:val="18"/>
          <w:szCs w:val="18"/>
          <w:color w:val="auto"/>
        </w:rPr>
        <w:t>Revenue for the first quarter of 2002 was $600.3 million, up 2 percent from $586.4 million in 2001. Advertising revenue declined 8 percent compared to last year. Circulation and subscriber revenue and education revenue increased 9 percent and 21 percent, respectively.</w:t>
      </w:r>
    </w:p>
    <w:p>
      <w:pPr>
        <w:spacing w:after="0" w:line="222" w:lineRule="exact"/>
        <w:rPr>
          <w:sz w:val="20"/>
          <w:szCs w:val="20"/>
          <w:color w:val="auto"/>
        </w:rPr>
      </w:pPr>
    </w:p>
    <w:p>
      <w:pPr>
        <w:ind w:right="60" w:firstLine="185"/>
        <w:spacing w:after="0" w:line="236" w:lineRule="auto"/>
        <w:rPr>
          <w:sz w:val="20"/>
          <w:szCs w:val="20"/>
          <w:color w:val="auto"/>
        </w:rPr>
      </w:pPr>
      <w:r>
        <w:rPr>
          <w:rFonts w:ascii="Verdana" w:cs="Verdana" w:eastAsia="Verdana" w:hAnsi="Verdana"/>
          <w:sz w:val="18"/>
          <w:szCs w:val="18"/>
          <w:color w:val="auto"/>
        </w:rPr>
        <w:t>The decline in advertising revenue is the result of a collective $26.4 million, or 12 percent, decline in advertising revenues at the Company’s newspaper and magazine publishing divisions, where the advertising climate remains soft. A large portion of this decline is attributable to a $16.2 million (or 46 percent) decline in classified recruitment advertising revenue at The Washington Post.</w:t>
      </w:r>
    </w:p>
    <w:p>
      <w:pPr>
        <w:spacing w:after="0" w:line="220" w:lineRule="exact"/>
        <w:rPr>
          <w:sz w:val="20"/>
          <w:szCs w:val="20"/>
          <w:color w:val="auto"/>
        </w:rPr>
      </w:pPr>
    </w:p>
    <w:p>
      <w:pPr>
        <w:jc w:val="both"/>
        <w:ind w:right="340" w:firstLine="185"/>
        <w:spacing w:after="0" w:line="235" w:lineRule="auto"/>
        <w:rPr>
          <w:sz w:val="20"/>
          <w:szCs w:val="20"/>
          <w:color w:val="auto"/>
        </w:rPr>
      </w:pPr>
      <w:r>
        <w:rPr>
          <w:rFonts w:ascii="Verdana" w:cs="Verdana" w:eastAsia="Verdana" w:hAnsi="Verdana"/>
          <w:sz w:val="18"/>
          <w:szCs w:val="18"/>
          <w:color w:val="auto"/>
        </w:rPr>
        <w:t>The 9 percent improvement in circulation and subscriber revenue is attributable to growth in subscriber revenues at Cable One, from rapid growth in cable modem and digital service revenues, and an increased number of basic subscribers from the cable exchange transactions completed in the first quarter of 2001.</w:t>
      </w:r>
    </w:p>
    <w:p>
      <w:pPr>
        <w:spacing w:after="0" w:line="222" w:lineRule="exact"/>
        <w:rPr>
          <w:sz w:val="20"/>
          <w:szCs w:val="20"/>
          <w:color w:val="auto"/>
        </w:rPr>
      </w:pPr>
    </w:p>
    <w:p>
      <w:pPr>
        <w:ind w:right="420" w:firstLine="185"/>
        <w:spacing w:after="0" w:line="235" w:lineRule="auto"/>
        <w:rPr>
          <w:sz w:val="20"/>
          <w:szCs w:val="20"/>
          <w:color w:val="auto"/>
        </w:rPr>
      </w:pPr>
      <w:r>
        <w:rPr>
          <w:rFonts w:ascii="Verdana" w:cs="Verdana" w:eastAsia="Verdana" w:hAnsi="Verdana"/>
          <w:sz w:val="18"/>
          <w:szCs w:val="18"/>
          <w:color w:val="auto"/>
        </w:rPr>
        <w:t>The 21 percent increase in education revenue is due to revenue growth in all of Kaplan’s lines of business, particularly the traditional test preparation business and the fixed-facility colleges that were formerly part of Quest Education.</w:t>
      </w:r>
    </w:p>
    <w:p>
      <w:pPr>
        <w:spacing w:after="0" w:line="220" w:lineRule="exact"/>
        <w:rPr>
          <w:sz w:val="20"/>
          <w:szCs w:val="20"/>
          <w:color w:val="auto"/>
        </w:rPr>
      </w:pPr>
    </w:p>
    <w:p>
      <w:pPr>
        <w:ind w:right="320" w:firstLine="185"/>
        <w:spacing w:after="0" w:line="236" w:lineRule="auto"/>
        <w:rPr>
          <w:sz w:val="20"/>
          <w:szCs w:val="20"/>
          <w:color w:val="auto"/>
        </w:rPr>
      </w:pPr>
      <w:r>
        <w:rPr>
          <w:rFonts w:ascii="Verdana" w:cs="Verdana" w:eastAsia="Verdana" w:hAnsi="Verdana"/>
          <w:sz w:val="18"/>
          <w:szCs w:val="18"/>
          <w:color w:val="auto"/>
        </w:rPr>
        <w:t>Costs and expenses for the first quarter of 2002, excluding amortization of goodwill and other intangibles, increased 5 percent to $551.3 million, from $526.0 million in 2001. The increase is due to the $10.3 million pre-tax charge from the Newsweek early retirement program, higher stock-based compensation expense accruals at the education division, increased depreciation expense, and a reduced net pension credit. These factors were partially offset by a 20 percent decrease in newsprint expense and general cost control measures employed throughout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Verdana" w:cs="Verdana" w:eastAsia="Verdana" w:hAnsi="Verdana"/>
          <w:sz w:val="18"/>
          <w:szCs w:val="18"/>
          <w:color w:val="auto"/>
        </w:rPr>
        <w:t>12.</w:t>
      </w:r>
    </w:p>
    <w:p>
      <w:pPr>
        <w:spacing w:after="0" w:line="220" w:lineRule="exact"/>
        <w:rPr>
          <w:sz w:val="20"/>
          <w:szCs w:val="20"/>
          <w:color w:val="auto"/>
        </w:rPr>
      </w:pPr>
    </w:p>
    <w:p>
      <w:pPr>
        <w:ind w:right="560" w:firstLine="124"/>
        <w:spacing w:after="0" w:line="235" w:lineRule="auto"/>
        <w:rPr>
          <w:sz w:val="20"/>
          <w:szCs w:val="20"/>
          <w:color w:val="auto"/>
        </w:rPr>
      </w:pPr>
      <w:r>
        <w:rPr>
          <w:rFonts w:ascii="Verdana" w:cs="Verdana" w:eastAsia="Verdana" w:hAnsi="Verdana"/>
          <w:sz w:val="18"/>
          <w:szCs w:val="18"/>
          <w:color w:val="auto"/>
        </w:rPr>
        <w:t>The increase in depreciation expense occurred mainly at the cable division, where capital spending in 2001 and 2000 has enabled the cable division to offer digital and broadband cable services to its subscribers.</w:t>
      </w:r>
    </w:p>
    <w:p>
      <w:pPr>
        <w:spacing w:after="0" w:line="220" w:lineRule="exact"/>
        <w:rPr>
          <w:sz w:val="20"/>
          <w:szCs w:val="20"/>
          <w:color w:val="auto"/>
        </w:rPr>
      </w:pPr>
    </w:p>
    <w:p>
      <w:pPr>
        <w:ind w:right="20" w:firstLine="124"/>
        <w:spacing w:after="0" w:line="271" w:lineRule="auto"/>
        <w:rPr>
          <w:sz w:val="20"/>
          <w:szCs w:val="20"/>
          <w:color w:val="auto"/>
        </w:rPr>
      </w:pPr>
      <w:r>
        <w:rPr>
          <w:rFonts w:ascii="Verdana" w:cs="Verdana" w:eastAsia="Verdana" w:hAnsi="Verdana"/>
          <w:sz w:val="16"/>
          <w:szCs w:val="16"/>
          <w:color w:val="auto"/>
        </w:rPr>
        <w:t>The Company’s expenses for the first quarter of 2002 were reduced by $16.1 million of net pension credits, compared to $19.9 million in the first quarter of 2001. At December 30, 2001, the Company modified certain assumptions surrounding the Company’s pension plans. Specifically, the Company reduced its assumptions on discount rate from 7.5 percent to 7.0 percent and expected return on plan assets from 9.0 percent to 7.5 percent. These assumption changes result in an approximate $5.5 million reduction in the Company’s net pension credit each quarter. Management expects the 2002 annual net pension credit to approximate $65.0 million, compared to $76.9 million in 2001, excluding charges related to early retirement programs.</w:t>
      </w:r>
    </w:p>
    <w:p>
      <w:pPr>
        <w:spacing w:after="0" w:line="195" w:lineRule="exact"/>
        <w:rPr>
          <w:sz w:val="20"/>
          <w:szCs w:val="20"/>
          <w:color w:val="auto"/>
        </w:rPr>
      </w:pPr>
    </w:p>
    <w:p>
      <w:pPr>
        <w:ind w:right="160" w:firstLine="185"/>
        <w:spacing w:after="0" w:line="235" w:lineRule="auto"/>
        <w:rPr>
          <w:sz w:val="20"/>
          <w:szCs w:val="20"/>
          <w:color w:val="auto"/>
        </w:rPr>
      </w:pPr>
      <w:r>
        <w:rPr>
          <w:rFonts w:ascii="Verdana" w:cs="Verdana" w:eastAsia="Verdana" w:hAnsi="Verdana"/>
          <w:sz w:val="18"/>
          <w:szCs w:val="18"/>
          <w:color w:val="auto"/>
        </w:rPr>
        <w:t>Operating income for the quarter decreased 19 percent to $48.9 million, from $60.3 million in 2001, adjusted as if SFAS 142 had been adopted at the beginning of 2001. Excluding the $10.3 million pre-tax charge from the Newsweek early retirement program, operating income for the quarter was $59.2 million, a decrease of 2 percent.</w:t>
      </w:r>
    </w:p>
    <w:p>
      <w:pPr>
        <w:spacing w:after="0" w:line="222" w:lineRule="exact"/>
        <w:rPr>
          <w:sz w:val="20"/>
          <w:szCs w:val="20"/>
          <w:color w:val="auto"/>
        </w:rPr>
      </w:pPr>
    </w:p>
    <w:p>
      <w:pPr>
        <w:ind w:right="160"/>
        <w:spacing w:after="0" w:line="272" w:lineRule="auto"/>
        <w:rPr>
          <w:sz w:val="20"/>
          <w:szCs w:val="20"/>
          <w:color w:val="auto"/>
        </w:rPr>
      </w:pPr>
      <w:r>
        <w:rPr>
          <w:rFonts w:ascii="Verdana" w:cs="Verdana" w:eastAsia="Verdana" w:hAnsi="Verdana"/>
          <w:sz w:val="16"/>
          <w:szCs w:val="16"/>
          <w:b w:val="1"/>
          <w:bCs w:val="1"/>
          <w:color w:val="auto"/>
        </w:rPr>
        <w:t>Newspaper Publishing Division</w:t>
      </w:r>
      <w:r>
        <w:rPr>
          <w:rFonts w:ascii="Verdana" w:cs="Verdana" w:eastAsia="Verdana" w:hAnsi="Verdana"/>
          <w:sz w:val="16"/>
          <w:szCs w:val="16"/>
          <w:color w:val="auto"/>
        </w:rPr>
        <w:t>. Newspaper publishing division revenue totaled $200.8 million for the first quarter of 2002,</w:t>
      </w:r>
      <w:r>
        <w:rPr>
          <w:rFonts w:ascii="Verdana" w:cs="Verdana" w:eastAsia="Verdana" w:hAnsi="Verdana"/>
          <w:sz w:val="16"/>
          <w:szCs w:val="16"/>
          <w:b w:val="1"/>
          <w:bCs w:val="1"/>
          <w:color w:val="auto"/>
        </w:rPr>
        <w:t xml:space="preserve"> </w:t>
      </w:r>
      <w:r>
        <w:rPr>
          <w:rFonts w:ascii="Verdana" w:cs="Verdana" w:eastAsia="Verdana" w:hAnsi="Verdana"/>
          <w:sz w:val="16"/>
          <w:szCs w:val="16"/>
          <w:color w:val="auto"/>
        </w:rPr>
        <w:t>an 8 percent decline from revenue of $218.2 million in the first quarter of 2001. Division operating income decreased 35 percent to $17.5 million, from $26.8 million in 2001, adjusted as if SFAS 142 had been adopted at the beginning of 2001. The decline in division operating income is primarily attributable to a 46 percent decline in recruitment advertising revenue at The Washington Post newspaper and a reduced pension credit, partially offset by a 20 percent decrease in newsprint expense.</w:t>
      </w:r>
    </w:p>
    <w:p>
      <w:pPr>
        <w:spacing w:after="0" w:line="195" w:lineRule="exact"/>
        <w:rPr>
          <w:sz w:val="20"/>
          <w:szCs w:val="20"/>
          <w:color w:val="auto"/>
        </w:rPr>
      </w:pPr>
    </w:p>
    <w:p>
      <w:pPr>
        <w:ind w:right="260" w:firstLine="124"/>
        <w:spacing w:after="0" w:line="236" w:lineRule="auto"/>
        <w:rPr>
          <w:sz w:val="20"/>
          <w:szCs w:val="20"/>
          <w:color w:val="auto"/>
        </w:rPr>
      </w:pPr>
      <w:r>
        <w:rPr>
          <w:rFonts w:ascii="Verdana" w:cs="Verdana" w:eastAsia="Verdana" w:hAnsi="Verdana"/>
          <w:sz w:val="18"/>
          <w:szCs w:val="18"/>
          <w:color w:val="auto"/>
        </w:rPr>
        <w:t>Print advertising revenue at The Washington Post newspaper decreased 14 percent to $131.5 million, from $152.6 million in 2001, primarily due to a $16.2 million decline in recruitment advertising revenue, resulting from a 48 percent volume decline. The decline in recruitment advertising was partially offset by higher revenue from certain advertising categories, principally preprints and other classified advertising.</w:t>
      </w:r>
    </w:p>
    <w:p>
      <w:pPr>
        <w:spacing w:after="0" w:line="220" w:lineRule="exact"/>
        <w:rPr>
          <w:sz w:val="20"/>
          <w:szCs w:val="20"/>
          <w:color w:val="auto"/>
        </w:rPr>
      </w:pPr>
    </w:p>
    <w:p>
      <w:pPr>
        <w:ind w:right="40" w:firstLine="124"/>
        <w:spacing w:after="0" w:line="235" w:lineRule="auto"/>
        <w:rPr>
          <w:sz w:val="20"/>
          <w:szCs w:val="20"/>
          <w:color w:val="auto"/>
        </w:rPr>
      </w:pPr>
      <w:r>
        <w:rPr>
          <w:rFonts w:ascii="Verdana" w:cs="Verdana" w:eastAsia="Verdana" w:hAnsi="Verdana"/>
          <w:sz w:val="18"/>
          <w:szCs w:val="18"/>
          <w:color w:val="auto"/>
        </w:rPr>
        <w:t>For the first quarter of 2002, Post daily and Sunday circulation declined 0.2 percent and 1.3 percent, respectively, compared to the first quarter of 2001. For the three months ended March 31, 2002, average daily circulation at The Post totaled 772,000 and average Sunday circulation totaled 1,063,000.</w:t>
      </w:r>
    </w:p>
    <w:p>
      <w:pPr>
        <w:sectPr>
          <w:pgSz w:w="11900" w:h="16838" w:orient="portrait"/>
          <w:cols w:equalWidth="0" w:num="1">
            <w:col w:w="11420"/>
          </w:cols>
          <w:pgMar w:left="240" w:top="132" w:right="239" w:bottom="0" w:gutter="0" w:footer="0" w:header="0"/>
        </w:sectPr>
      </w:pPr>
    </w:p>
    <w:bookmarkStart w:id="8" w:name="page9"/>
    <w:bookmarkEnd w:id="8"/>
    <w:p>
      <w:pPr>
        <w:ind w:right="120" w:firstLine="185"/>
        <w:spacing w:after="0" w:line="234" w:lineRule="auto"/>
        <w:rPr>
          <w:sz w:val="20"/>
          <w:szCs w:val="20"/>
          <w:color w:val="auto"/>
        </w:rPr>
      </w:pPr>
      <w:r>
        <w:rPr>
          <w:rFonts w:ascii="Verdana" w:cs="Verdana" w:eastAsia="Verdana" w:hAnsi="Verdana"/>
          <w:sz w:val="18"/>
          <w:szCs w:val="18"/>
          <w:color w:val="auto"/>
        </w:rPr>
        <w:t>Revenues generated by the Company’s online publishing activities, primarily washingtonpost.com, totaled $7.5 million for the first quarter of 2002, versus $7.2 million for 2001.</w:t>
      </w:r>
    </w:p>
    <w:p>
      <w:pPr>
        <w:spacing w:after="0" w:line="221" w:lineRule="exact"/>
        <w:rPr>
          <w:sz w:val="20"/>
          <w:szCs w:val="20"/>
          <w:color w:val="auto"/>
        </w:rPr>
      </w:pPr>
    </w:p>
    <w:p>
      <w:pPr>
        <w:ind w:right="80"/>
        <w:spacing w:after="0" w:line="236" w:lineRule="auto"/>
        <w:rPr>
          <w:sz w:val="20"/>
          <w:szCs w:val="20"/>
          <w:color w:val="auto"/>
        </w:rPr>
      </w:pPr>
      <w:r>
        <w:rPr>
          <w:rFonts w:ascii="Verdana" w:cs="Verdana" w:eastAsia="Verdana" w:hAnsi="Verdana"/>
          <w:sz w:val="18"/>
          <w:szCs w:val="18"/>
          <w:b w:val="1"/>
          <w:bCs w:val="1"/>
          <w:color w:val="auto"/>
        </w:rPr>
        <w:t xml:space="preserve">Television Broadcasting Division. </w:t>
      </w:r>
      <w:r>
        <w:rPr>
          <w:rFonts w:ascii="Verdana" w:cs="Verdana" w:eastAsia="Verdana" w:hAnsi="Verdana"/>
          <w:sz w:val="18"/>
          <w:szCs w:val="18"/>
          <w:color w:val="auto"/>
        </w:rPr>
        <w:t>Revenue for the broadcast division increased 2 percent in the first quarter of 2002 to</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$75.4 million, from $74.2 million in 2001, due largely to significant Olympics related advertising at the Company’s NBC affiliates, offset by a reduction in network compensation due to a new network affiliation agreement with NBC, which goes through 2011. Operating income for the first quarter of 2002 increased 5 percent to $33.6 million, from $32.1 million in 2001, adjusted as if SFAS 142 had been adopted at the beginning of 2001.</w:t>
      </w:r>
    </w:p>
    <w:p>
      <w:pPr>
        <w:spacing w:after="0" w:line="221" w:lineRule="exact"/>
        <w:rPr>
          <w:sz w:val="20"/>
          <w:szCs w:val="20"/>
          <w:color w:val="auto"/>
        </w:rPr>
      </w:pPr>
    </w:p>
    <w:p>
      <w:pPr>
        <w:ind w:right="100" w:firstLine="185"/>
        <w:spacing w:after="0" w:line="235" w:lineRule="auto"/>
        <w:rPr>
          <w:sz w:val="20"/>
          <w:szCs w:val="20"/>
          <w:color w:val="auto"/>
        </w:rPr>
      </w:pPr>
      <w:r>
        <w:rPr>
          <w:rFonts w:ascii="Verdana" w:cs="Verdana" w:eastAsia="Verdana" w:hAnsi="Verdana"/>
          <w:sz w:val="18"/>
          <w:szCs w:val="18"/>
          <w:color w:val="auto"/>
        </w:rPr>
        <w:t>In April 2002 the Company announced that its network affiliation with CBS at WJXT in Jacksonville, Florida, would end. WJXT will become an independent station when its network affiliation agreement with CBS expires in July 2002.</w:t>
      </w:r>
    </w:p>
    <w:p>
      <w:pPr>
        <w:spacing w:after="0" w:line="220" w:lineRule="exact"/>
        <w:rPr>
          <w:sz w:val="20"/>
          <w:szCs w:val="20"/>
          <w:color w:val="auto"/>
        </w:rPr>
      </w:pPr>
    </w:p>
    <w:p>
      <w:pPr>
        <w:ind w:right="320"/>
        <w:spacing w:after="0" w:line="235" w:lineRule="auto"/>
        <w:rPr>
          <w:sz w:val="20"/>
          <w:szCs w:val="20"/>
          <w:color w:val="auto"/>
        </w:rPr>
      </w:pPr>
      <w:r>
        <w:rPr>
          <w:rFonts w:ascii="Verdana" w:cs="Verdana" w:eastAsia="Verdana" w:hAnsi="Verdana"/>
          <w:sz w:val="18"/>
          <w:szCs w:val="18"/>
          <w:b w:val="1"/>
          <w:bCs w:val="1"/>
          <w:color w:val="auto"/>
        </w:rPr>
        <w:t xml:space="preserve">Magazine Publishing Division. </w:t>
      </w:r>
      <w:r>
        <w:rPr>
          <w:rFonts w:ascii="Verdana" w:cs="Verdana" w:eastAsia="Verdana" w:hAnsi="Verdana"/>
          <w:sz w:val="18"/>
          <w:szCs w:val="18"/>
          <w:color w:val="auto"/>
        </w:rPr>
        <w:t>Revenue for the magazine publishing division declined 10 percent for the first quarter of</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2002, compared to the same period in 2001, primarily due to a 15 percent decrease in advertising revenue at Newsweek. In 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p>
      <w:pPr>
        <w:ind w:left="11140"/>
        <w:spacing w:after="0"/>
        <w:rPr>
          <w:sz w:val="20"/>
          <w:szCs w:val="20"/>
          <w:color w:val="auto"/>
        </w:rPr>
      </w:pPr>
      <w:r>
        <w:rPr>
          <w:rFonts w:ascii="Verdana" w:cs="Verdana" w:eastAsia="Verdana" w:hAnsi="Verdana"/>
          <w:sz w:val="16"/>
          <w:szCs w:val="16"/>
          <w:color w:val="auto"/>
        </w:rPr>
        <w:t>13.</w:t>
      </w:r>
    </w:p>
    <w:p>
      <w:pPr>
        <w:spacing w:after="0" w:line="238" w:lineRule="exact"/>
        <w:rPr>
          <w:sz w:val="20"/>
          <w:szCs w:val="20"/>
          <w:color w:val="auto"/>
        </w:rPr>
      </w:pPr>
    </w:p>
    <w:p>
      <w:pPr>
        <w:ind w:right="20"/>
        <w:spacing w:after="0" w:line="236" w:lineRule="auto"/>
        <w:rPr>
          <w:sz w:val="20"/>
          <w:szCs w:val="20"/>
          <w:color w:val="auto"/>
        </w:rPr>
      </w:pPr>
      <w:r>
        <w:rPr>
          <w:rFonts w:ascii="Verdana" w:cs="Verdana" w:eastAsia="Verdana" w:hAnsi="Verdana"/>
          <w:sz w:val="18"/>
          <w:szCs w:val="18"/>
          <w:color w:val="auto"/>
        </w:rPr>
        <w:t>there was one less issue of the magazine in the first quarter of 2002 than in the first quarter of 2001. The magazine division operating loss totaled $11.6 million, compared to a loss of $0.9 million for the first quarter of 2001, adjusted as if SFAS 142 had been adopted at the beginning of 2001. The decline in operating results is primarily attributable to a $10.3 million charge in connection with an early retirement program at Newsweek. The decline in advertising revenue and a reduced pension credit also adversely impacted operating results, partially offset by decreases in magazine paper rates and printing and distribution costs.</w:t>
      </w:r>
    </w:p>
    <w:p>
      <w:pPr>
        <w:spacing w:after="0" w:line="222" w:lineRule="exact"/>
        <w:rPr>
          <w:sz w:val="20"/>
          <w:szCs w:val="20"/>
          <w:color w:val="auto"/>
        </w:rPr>
      </w:pPr>
    </w:p>
    <w:p>
      <w:pPr>
        <w:ind w:right="200"/>
        <w:spacing w:after="0" w:line="236" w:lineRule="auto"/>
        <w:rPr>
          <w:sz w:val="20"/>
          <w:szCs w:val="20"/>
          <w:color w:val="auto"/>
        </w:rPr>
      </w:pPr>
      <w:r>
        <w:rPr>
          <w:rFonts w:ascii="Verdana" w:cs="Verdana" w:eastAsia="Verdana" w:hAnsi="Verdana"/>
          <w:sz w:val="18"/>
          <w:szCs w:val="18"/>
          <w:b w:val="1"/>
          <w:bCs w:val="1"/>
          <w:color w:val="auto"/>
        </w:rPr>
        <w:t xml:space="preserve">Cable Television Division. </w:t>
      </w:r>
      <w:r>
        <w:rPr>
          <w:rFonts w:ascii="Verdana" w:cs="Verdana" w:eastAsia="Verdana" w:hAnsi="Verdana"/>
          <w:sz w:val="18"/>
          <w:szCs w:val="18"/>
          <w:color w:val="auto"/>
        </w:rPr>
        <w:t>Cable division revenue of $102.0 million for the first quarter of 2002 represents a 14 percent</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increase over 2001 first quarter revenue of $89.2 million. The 2002 revenue increase is due to rapid growth in the division’s cable modem and digital service revenues and an increased number of basic subscribers from the cable exchange transactions completed in the first quarter of 2001.</w:t>
      </w:r>
    </w:p>
    <w:p>
      <w:pPr>
        <w:spacing w:after="0" w:line="220" w:lineRule="exact"/>
        <w:rPr>
          <w:sz w:val="20"/>
          <w:szCs w:val="20"/>
          <w:color w:val="auto"/>
        </w:rPr>
      </w:pPr>
    </w:p>
    <w:p>
      <w:pPr>
        <w:ind w:right="100" w:firstLine="124"/>
        <w:spacing w:after="0" w:line="272" w:lineRule="auto"/>
        <w:rPr>
          <w:sz w:val="20"/>
          <w:szCs w:val="20"/>
          <w:color w:val="auto"/>
        </w:rPr>
      </w:pPr>
      <w:r>
        <w:rPr>
          <w:rFonts w:ascii="Verdana" w:cs="Verdana" w:eastAsia="Verdana" w:hAnsi="Verdana"/>
          <w:sz w:val="16"/>
          <w:szCs w:val="16"/>
          <w:color w:val="auto"/>
        </w:rPr>
        <w:t>Cable division cash flow (operating income excluding depreciation and amortization expense) totaled $36.6 million for the first quarter of 2002, a 15 percent increase from $31.7 million for the first quarter of 2001. Cable division operating income increased 4 percent to $16.0 million in the first quarter of 2002, versus $15.4 million in the first quarter of 2001, adjusted as if SFAS 142 had been adopted at the beginning of 2001. The increase in operating income is due mostly to the division’s significant revenue growth, offset by increased depreciation expense, higher programming expense, and higher payroll costs.</w:t>
      </w:r>
    </w:p>
    <w:p>
      <w:pPr>
        <w:spacing w:after="0" w:line="195" w:lineRule="exact"/>
        <w:rPr>
          <w:sz w:val="20"/>
          <w:szCs w:val="20"/>
          <w:color w:val="auto"/>
        </w:rPr>
      </w:pPr>
    </w:p>
    <w:p>
      <w:pPr>
        <w:ind w:firstLine="124"/>
        <w:spacing w:after="0" w:line="269" w:lineRule="auto"/>
        <w:rPr>
          <w:sz w:val="20"/>
          <w:szCs w:val="20"/>
          <w:color w:val="auto"/>
        </w:rPr>
      </w:pPr>
      <w:r>
        <w:rPr>
          <w:rFonts w:ascii="Verdana" w:cs="Verdana" w:eastAsia="Verdana" w:hAnsi="Verdana"/>
          <w:sz w:val="16"/>
          <w:szCs w:val="16"/>
          <w:color w:val="auto"/>
        </w:rPr>
        <w:t>The increase in depreciation expense is due to significant capital spending, primarily in 2001 and 2000, that has enabled the cable division to offer digital and broadband cable services to its subscribers. The cable division began its rollout plan for these services in the third quarter of 2000. At March 31, 2002, the cable division had approximately 238,400 digital cable subscribers, representing a 33 percent penetration of the subscriber base in the markets where digital services are offered. Digital services are offered in markets serving 97 percent of the cable division’s subscriber base. The rollout plan for the new digital cable services included an offer for the cable division’s customers to obtain these services free for one year. At the end of March 2002, the cable division had about 71,700 “paying” digital subscribers, including 21,500 “paying” digital subscribers in Idaho systems that it assumed from the cable exchange transactions noted above and who were not offered one-year free digital service by the prior owner. The benefits from these new services began to show in the first quarter of 2002 and are expected to continue throughout the year, with the remaining portion of free one-year periods generally ending later in 2002.</w:t>
      </w:r>
    </w:p>
    <w:p>
      <w:pPr>
        <w:spacing w:after="0" w:line="200" w:lineRule="exact"/>
        <w:rPr>
          <w:sz w:val="20"/>
          <w:szCs w:val="20"/>
          <w:color w:val="auto"/>
        </w:rPr>
      </w:pPr>
    </w:p>
    <w:p>
      <w:pPr>
        <w:spacing w:after="0" w:line="215" w:lineRule="exact"/>
        <w:rPr>
          <w:sz w:val="20"/>
          <w:szCs w:val="20"/>
          <w:color w:val="auto"/>
        </w:rPr>
      </w:pPr>
    </w:p>
    <w:p>
      <w:pPr>
        <w:ind w:right="120" w:firstLine="124"/>
        <w:spacing w:after="0" w:line="236" w:lineRule="auto"/>
        <w:rPr>
          <w:sz w:val="20"/>
          <w:szCs w:val="20"/>
          <w:color w:val="auto"/>
        </w:rPr>
      </w:pPr>
      <w:r>
        <w:rPr>
          <w:rFonts w:ascii="Verdana" w:cs="Verdana" w:eastAsia="Verdana" w:hAnsi="Verdana"/>
          <w:sz w:val="18"/>
          <w:szCs w:val="18"/>
          <w:color w:val="auto"/>
        </w:rPr>
        <w:t>At March 31, 2002, the cable division had 751,700 basic subscribers, compared to 769,000 at the end of March 2001. At March 31, 2002, the cable division had 53,100 CableONE.net service subscribers, compared to 28,300 at the end of March 2001, due to a large increase in the Company’s cable modem deployment (offered to 89 percent of homes passed at the end of March 2002) and take-up rates. Of these subscribers, 44,400 and 14,300 were cable modem subscribers at the end of the first quarter of 2002 and 2001, respectively, with the remainder being dial-up subscribers.</w:t>
      </w:r>
    </w:p>
    <w:p>
      <w:pPr>
        <w:spacing w:after="0" w:line="221" w:lineRule="exact"/>
        <w:rPr>
          <w:sz w:val="20"/>
          <w:szCs w:val="20"/>
          <w:color w:val="auto"/>
        </w:rPr>
      </w:pPr>
    </w:p>
    <w:p>
      <w:pPr>
        <w:ind w:right="40"/>
        <w:spacing w:after="0" w:line="236" w:lineRule="auto"/>
        <w:rPr>
          <w:sz w:val="20"/>
          <w:szCs w:val="20"/>
          <w:color w:val="auto"/>
        </w:rPr>
      </w:pPr>
      <w:r>
        <w:rPr>
          <w:rFonts w:ascii="Verdana" w:cs="Verdana" w:eastAsia="Verdana" w:hAnsi="Verdana"/>
          <w:sz w:val="18"/>
          <w:szCs w:val="18"/>
          <w:b w:val="1"/>
          <w:bCs w:val="1"/>
          <w:color w:val="auto"/>
        </w:rPr>
        <w:t xml:space="preserve">Education Division. </w:t>
      </w:r>
      <w:r>
        <w:rPr>
          <w:rFonts w:ascii="Verdana" w:cs="Verdana" w:eastAsia="Verdana" w:hAnsi="Verdana"/>
          <w:sz w:val="18"/>
          <w:szCs w:val="18"/>
          <w:color w:val="auto"/>
        </w:rPr>
        <w:t>Education division revenue totaled $147.1 million for the first quarter of 2002, a 21 percent increase over</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revenue of $121.5 million for the same period of 2001. Including the charges for stock options held by Kaplan management, Kaplan reported a loss for the quarter of $0.6 million, compared to a loss of $6.6 million for the first quarter of 2001, adjusted as if SFAS 142 had been adopted as of the beginning of 2001. Excluding these charges, Kaplan operating earnings were $16.1 million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11140"/>
        <w:spacing w:after="0"/>
        <w:rPr>
          <w:sz w:val="20"/>
          <w:szCs w:val="20"/>
          <w:color w:val="auto"/>
        </w:rPr>
      </w:pPr>
      <w:r>
        <w:rPr>
          <w:rFonts w:ascii="Verdana" w:cs="Verdana" w:eastAsia="Verdana" w:hAnsi="Verdana"/>
          <w:sz w:val="16"/>
          <w:szCs w:val="16"/>
          <w:color w:val="auto"/>
        </w:rPr>
        <w:t>14.</w:t>
      </w:r>
    </w:p>
    <w:p>
      <w:pPr>
        <w:spacing w:after="0" w:line="238" w:lineRule="exact"/>
        <w:rPr>
          <w:sz w:val="20"/>
          <w:szCs w:val="20"/>
          <w:color w:val="auto"/>
        </w:rPr>
      </w:pPr>
    </w:p>
    <w:p>
      <w:pPr>
        <w:ind w:right="120"/>
        <w:spacing w:after="0" w:line="235" w:lineRule="auto"/>
        <w:rPr>
          <w:sz w:val="20"/>
          <w:szCs w:val="20"/>
          <w:color w:val="auto"/>
        </w:rPr>
      </w:pPr>
      <w:r>
        <w:rPr>
          <w:rFonts w:ascii="Verdana" w:cs="Verdana" w:eastAsia="Verdana" w:hAnsi="Verdana"/>
          <w:sz w:val="18"/>
          <w:szCs w:val="18"/>
          <w:color w:val="auto"/>
        </w:rPr>
        <w:t>2002, compared to operating earnings of $1.8 million in 2001. A summary of first quarter operating results, excluding goodwill amortization in 2001, is as follows (in thousands):</w:t>
      </w:r>
    </w:p>
    <w:p>
      <w:pPr>
        <w:spacing w:after="0" w:line="191" w:lineRule="exact"/>
        <w:rPr>
          <w:sz w:val="20"/>
          <w:szCs w:val="20"/>
          <w:color w:val="auto"/>
        </w:rPr>
      </w:pPr>
    </w:p>
    <w:tbl>
      <w:tblPr>
        <w:tblLayout w:type="fixed"/>
        <w:tblInd w:w="520" w:type="dxa"/>
        <w:tblCellMar>
          <w:top w:w="0" w:type="dxa"/>
          <w:left w:w="0" w:type="dxa"/>
          <w:bottom w:w="0" w:type="dxa"/>
          <w:right w:w="0" w:type="dxa"/>
        </w:tblCellMar>
      </w:tblPr>
      <w:tr>
        <w:trPr>
          <w:trHeight w:val="219"/>
        </w:trPr>
        <w:tc>
          <w:tcPr>
            <w:tcW w:w="7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gridSpan w:val="6"/>
          </w:tcPr>
          <w:p>
            <w:pPr>
              <w:jc w:val="right"/>
              <w:ind w:right="20"/>
              <w:spacing w:after="0"/>
              <w:rPr>
                <w:sz w:val="20"/>
                <w:szCs w:val="20"/>
                <w:color w:val="auto"/>
              </w:rPr>
            </w:pPr>
            <w:r>
              <w:rPr>
                <w:rFonts w:ascii="Verdana" w:cs="Verdana" w:eastAsia="Verdana" w:hAnsi="Verdana"/>
                <w:sz w:val="18"/>
                <w:szCs w:val="18"/>
                <w:color w:val="auto"/>
              </w:rPr>
              <w:t>First Quarter</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66"/>
        </w:trPr>
        <w:tc>
          <w:tcPr>
            <w:tcW w:w="7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Verdana" w:cs="Verdana" w:eastAsia="Verdana" w:hAnsi="Verdana"/>
                <w:sz w:val="18"/>
                <w:szCs w:val="18"/>
                <w:color w:val="auto"/>
              </w:rPr>
              <w:t>2002</w:t>
            </w:r>
          </w:p>
        </w:tc>
        <w:tc>
          <w:tcPr>
            <w:tcW w:w="180" w:type="dxa"/>
            <w:vAlign w:val="bottom"/>
          </w:tcPr>
          <w:p>
            <w:pPr>
              <w:spacing w:after="0"/>
              <w:rPr>
                <w:sz w:val="24"/>
                <w:szCs w:val="24"/>
                <w:color w:val="auto"/>
              </w:rPr>
            </w:pPr>
          </w:p>
        </w:tc>
        <w:tc>
          <w:tcPr>
            <w:tcW w:w="1140" w:type="dxa"/>
            <w:vAlign w:val="bottom"/>
            <w:gridSpan w:val="5"/>
          </w:tcPr>
          <w:p>
            <w:pPr>
              <w:jc w:val="right"/>
              <w:spacing w:after="0"/>
              <w:rPr>
                <w:sz w:val="20"/>
                <w:szCs w:val="20"/>
                <w:color w:val="auto"/>
              </w:rPr>
            </w:pPr>
            <w:r>
              <w:rPr>
                <w:rFonts w:ascii="Verdana" w:cs="Verdana" w:eastAsia="Verdana" w:hAnsi="Verdana"/>
                <w:sz w:val="18"/>
                <w:szCs w:val="18"/>
                <w:color w:val="auto"/>
              </w:rPr>
              <w:t>2001</w:t>
            </w:r>
          </w:p>
        </w:tc>
        <w:tc>
          <w:tcPr>
            <w:tcW w:w="28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Verdana" w:cs="Verdana" w:eastAsia="Verdana" w:hAnsi="Verdana"/>
                <w:sz w:val="18"/>
                <w:szCs w:val="18"/>
                <w:color w:val="auto"/>
              </w:rPr>
              <w:t>% Change</w:t>
            </w:r>
          </w:p>
        </w:tc>
      </w:tr>
      <w:tr>
        <w:trPr>
          <w:trHeight w:val="223"/>
        </w:trPr>
        <w:tc>
          <w:tcPr>
            <w:tcW w:w="760" w:type="dxa"/>
            <w:vAlign w:val="bottom"/>
            <w:tcBorders>
              <w:bottom w:val="single" w:sz="8" w:color="auto"/>
            </w:tcBorders>
          </w:tcPr>
          <w:p>
            <w:pPr>
              <w:spacing w:after="0"/>
              <w:rPr>
                <w:sz w:val="20"/>
                <w:szCs w:val="20"/>
                <w:color w:val="auto"/>
              </w:rPr>
            </w:pPr>
            <w:r>
              <w:rPr>
                <w:rFonts w:ascii="Verdana" w:cs="Verdana" w:eastAsia="Verdana" w:hAnsi="Verdana"/>
                <w:sz w:val="18"/>
                <w:szCs w:val="18"/>
                <w:color w:val="auto"/>
                <w:w w:val="94"/>
              </w:rPr>
              <w:t>Revenue</w:t>
            </w:r>
          </w:p>
        </w:tc>
        <w:tc>
          <w:tcPr>
            <w:tcW w:w="3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r>
      <w:tr>
        <w:trPr>
          <w:trHeight w:val="246"/>
        </w:trPr>
        <w:tc>
          <w:tcPr>
            <w:tcW w:w="4120" w:type="dxa"/>
            <w:vAlign w:val="bottom"/>
            <w:gridSpan w:val="2"/>
          </w:tcPr>
          <w:p>
            <w:pPr>
              <w:spacing w:after="0"/>
              <w:rPr>
                <w:sz w:val="20"/>
                <w:szCs w:val="20"/>
                <w:color w:val="auto"/>
              </w:rPr>
            </w:pPr>
            <w:r>
              <w:rPr>
                <w:rFonts w:ascii="Verdana" w:cs="Verdana" w:eastAsia="Verdana" w:hAnsi="Verdana"/>
                <w:sz w:val="18"/>
                <w:szCs w:val="18"/>
                <w:color w:val="auto"/>
              </w:rPr>
              <w:t>Supplemental education</w:t>
            </w:r>
          </w:p>
        </w:tc>
        <w:tc>
          <w:tcPr>
            <w:tcW w:w="980" w:type="dxa"/>
            <w:vAlign w:val="bottom"/>
            <w:gridSpan w:val="3"/>
          </w:tcPr>
          <w:p>
            <w:pPr>
              <w:jc w:val="right"/>
              <w:spacing w:after="0"/>
              <w:rPr>
                <w:sz w:val="20"/>
                <w:szCs w:val="20"/>
                <w:color w:val="auto"/>
              </w:rPr>
            </w:pPr>
            <w:r>
              <w:rPr>
                <w:rFonts w:ascii="Verdana" w:cs="Verdana" w:eastAsia="Verdana" w:hAnsi="Verdana"/>
                <w:sz w:val="18"/>
                <w:szCs w:val="18"/>
                <w:color w:val="auto"/>
              </w:rPr>
              <w:t>$ 90,750</w:t>
            </w:r>
          </w:p>
        </w:tc>
        <w:tc>
          <w:tcPr>
            <w:tcW w:w="1320" w:type="dxa"/>
            <w:vAlign w:val="bottom"/>
            <w:gridSpan w:val="6"/>
          </w:tcPr>
          <w:p>
            <w:pPr>
              <w:jc w:val="right"/>
              <w:spacing w:after="0"/>
              <w:rPr>
                <w:sz w:val="20"/>
                <w:szCs w:val="20"/>
                <w:color w:val="auto"/>
              </w:rPr>
            </w:pPr>
            <w:r>
              <w:rPr>
                <w:rFonts w:ascii="Verdana" w:cs="Verdana" w:eastAsia="Verdana" w:hAnsi="Verdana"/>
                <w:sz w:val="18"/>
                <w:szCs w:val="18"/>
                <w:color w:val="auto"/>
              </w:rPr>
              <w:t>$ 80,874</w:t>
            </w:r>
          </w:p>
        </w:tc>
        <w:tc>
          <w:tcPr>
            <w:tcW w:w="1260" w:type="dxa"/>
            <w:vAlign w:val="bottom"/>
            <w:gridSpan w:val="4"/>
          </w:tcPr>
          <w:p>
            <w:pPr>
              <w:jc w:val="right"/>
              <w:spacing w:after="0"/>
              <w:rPr>
                <w:sz w:val="20"/>
                <w:szCs w:val="20"/>
                <w:color w:val="auto"/>
              </w:rPr>
            </w:pPr>
            <w:r>
              <w:rPr>
                <w:rFonts w:ascii="Verdana" w:cs="Verdana" w:eastAsia="Verdana" w:hAnsi="Verdana"/>
                <w:sz w:val="18"/>
                <w:szCs w:val="18"/>
                <w:color w:val="auto"/>
              </w:rPr>
              <w:t>+12</w:t>
            </w:r>
          </w:p>
        </w:tc>
      </w:tr>
      <w:tr>
        <w:trPr>
          <w:trHeight w:val="221"/>
        </w:trPr>
        <w:tc>
          <w:tcPr>
            <w:tcW w:w="4120" w:type="dxa"/>
            <w:vAlign w:val="bottom"/>
            <w:gridSpan w:val="2"/>
          </w:tcPr>
          <w:p>
            <w:pPr>
              <w:spacing w:after="0"/>
              <w:rPr>
                <w:sz w:val="20"/>
                <w:szCs w:val="20"/>
                <w:color w:val="auto"/>
              </w:rPr>
            </w:pPr>
            <w:r>
              <w:rPr>
                <w:rFonts w:ascii="Verdana" w:cs="Verdana" w:eastAsia="Verdana" w:hAnsi="Verdana"/>
                <w:sz w:val="18"/>
                <w:szCs w:val="18"/>
                <w:color w:val="auto"/>
              </w:rPr>
              <w:t>Higher education</w:t>
            </w:r>
          </w:p>
        </w:tc>
        <w:tc>
          <w:tcPr>
            <w:tcW w:w="160" w:type="dxa"/>
            <w:vAlign w:val="bottom"/>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Verdana" w:cs="Verdana" w:eastAsia="Verdana" w:hAnsi="Verdana"/>
                <w:sz w:val="18"/>
                <w:szCs w:val="18"/>
                <w:color w:val="auto"/>
              </w:rPr>
              <w:t>56,331</w:t>
            </w:r>
          </w:p>
        </w:tc>
        <w:tc>
          <w:tcPr>
            <w:tcW w:w="500" w:type="dxa"/>
            <w:vAlign w:val="bottom"/>
            <w:gridSpan w:val="3"/>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8"/>
                <w:szCs w:val="18"/>
                <w:color w:val="auto"/>
              </w:rPr>
              <w:t>40,634</w:t>
            </w:r>
          </w:p>
        </w:tc>
        <w:tc>
          <w:tcPr>
            <w:tcW w:w="880" w:type="dxa"/>
            <w:vAlign w:val="bottom"/>
            <w:gridSpan w:val="3"/>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95"/>
              </w:rPr>
              <w:t>+39</w:t>
            </w:r>
          </w:p>
        </w:tc>
      </w:tr>
      <w:tr>
        <w:trPr>
          <w:trHeight w:val="246"/>
        </w:trPr>
        <w:tc>
          <w:tcPr>
            <w:tcW w:w="76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Verdana" w:cs="Verdana" w:eastAsia="Verdana" w:hAnsi="Verdana"/>
                <w:sz w:val="18"/>
                <w:szCs w:val="18"/>
                <w:color w:val="auto"/>
              </w:rPr>
              <w:t>$147,081</w:t>
            </w:r>
          </w:p>
        </w:tc>
        <w:tc>
          <w:tcPr>
            <w:tcW w:w="1320" w:type="dxa"/>
            <w:vAlign w:val="bottom"/>
            <w:gridSpan w:val="6"/>
          </w:tcPr>
          <w:p>
            <w:pPr>
              <w:jc w:val="right"/>
              <w:spacing w:after="0"/>
              <w:rPr>
                <w:sz w:val="20"/>
                <w:szCs w:val="20"/>
                <w:color w:val="auto"/>
              </w:rPr>
            </w:pPr>
            <w:r>
              <w:rPr>
                <w:rFonts w:ascii="Verdana" w:cs="Verdana" w:eastAsia="Verdana" w:hAnsi="Verdana"/>
                <w:sz w:val="18"/>
                <w:szCs w:val="18"/>
                <w:color w:val="auto"/>
              </w:rPr>
              <w:t>$121,508</w:t>
            </w:r>
          </w:p>
        </w:tc>
        <w:tc>
          <w:tcPr>
            <w:tcW w:w="1260" w:type="dxa"/>
            <w:vAlign w:val="bottom"/>
            <w:gridSpan w:val="4"/>
          </w:tcPr>
          <w:p>
            <w:pPr>
              <w:jc w:val="right"/>
              <w:spacing w:after="0"/>
              <w:rPr>
                <w:sz w:val="20"/>
                <w:szCs w:val="20"/>
                <w:color w:val="auto"/>
              </w:rPr>
            </w:pPr>
            <w:r>
              <w:rPr>
                <w:rFonts w:ascii="Verdana" w:cs="Verdana" w:eastAsia="Verdana" w:hAnsi="Verdana"/>
                <w:sz w:val="18"/>
                <w:szCs w:val="18"/>
                <w:color w:val="auto"/>
              </w:rPr>
              <w:t>+21</w:t>
            </w:r>
          </w:p>
        </w:tc>
      </w:tr>
      <w:tr>
        <w:trPr>
          <w:trHeight w:val="244"/>
        </w:trPr>
        <w:tc>
          <w:tcPr>
            <w:tcW w:w="76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360" w:type="dxa"/>
            <w:vAlign w:val="bottom"/>
            <w:tcBorders>
              <w:bottom w:val="single" w:sz="8" w:color="808080"/>
            </w:tcBorders>
          </w:tcPr>
          <w:p>
            <w:pPr>
              <w:spacing w:after="0"/>
              <w:rPr>
                <w:sz w:val="21"/>
                <w:szCs w:val="21"/>
                <w:color w:val="auto"/>
              </w:rPr>
            </w:pPr>
          </w:p>
        </w:tc>
        <w:tc>
          <w:tcPr>
            <w:tcW w:w="460" w:type="dxa"/>
            <w:vAlign w:val="bottom"/>
            <w:tcBorders>
              <w:bottom w:val="single" w:sz="8" w:color="808080"/>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360" w:type="dxa"/>
            <w:vAlign w:val="bottom"/>
            <w:tcBorders>
              <w:bottom w:val="single" w:sz="8" w:color="808080"/>
            </w:tcBorders>
          </w:tcPr>
          <w:p>
            <w:pPr>
              <w:spacing w:after="0"/>
              <w:rPr>
                <w:sz w:val="21"/>
                <w:szCs w:val="21"/>
                <w:color w:val="auto"/>
              </w:rPr>
            </w:pPr>
          </w:p>
        </w:tc>
        <w:tc>
          <w:tcPr>
            <w:tcW w:w="44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540" w:type="dxa"/>
            <w:vAlign w:val="bottom"/>
            <w:tcBorders>
              <w:bottom w:val="single" w:sz="8" w:color="808080"/>
            </w:tcBorders>
          </w:tcPr>
          <w:p>
            <w:pPr>
              <w:spacing w:after="0"/>
              <w:rPr>
                <w:sz w:val="21"/>
                <w:szCs w:val="21"/>
                <w:color w:val="auto"/>
              </w:rPr>
            </w:pPr>
          </w:p>
        </w:tc>
        <w:tc>
          <w:tcPr>
            <w:tcW w:w="38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9" w:name="page10"/>
    <w:bookmarkEnd w:id="9"/>
    <w:tbl>
      <w:tblPr>
        <w:tblLayout w:type="fixed"/>
        <w:tblInd w:w="520" w:type="dxa"/>
        <w:tblCellMar>
          <w:top w:w="0" w:type="dxa"/>
          <w:left w:w="0" w:type="dxa"/>
          <w:bottom w:w="0" w:type="dxa"/>
          <w:right w:w="0" w:type="dxa"/>
        </w:tblCellMar>
      </w:tblPr>
      <w:tr>
        <w:trPr>
          <w:trHeight w:val="219"/>
        </w:trPr>
        <w:tc>
          <w:tcPr>
            <w:tcW w:w="4120" w:type="dxa"/>
            <w:vAlign w:val="bottom"/>
            <w:gridSpan w:val="2"/>
          </w:tcPr>
          <w:p>
            <w:pPr>
              <w:spacing w:after="0"/>
              <w:rPr>
                <w:sz w:val="20"/>
                <w:szCs w:val="20"/>
                <w:color w:val="auto"/>
              </w:rPr>
            </w:pPr>
            <w:r>
              <w:rPr>
                <w:rFonts w:ascii="Verdana" w:cs="Verdana" w:eastAsia="Verdana" w:hAnsi="Verdana"/>
                <w:sz w:val="18"/>
                <w:szCs w:val="18"/>
                <w:color w:val="auto"/>
              </w:rPr>
              <w:t>Operating income (loss)</w:t>
            </w: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0"/>
        </w:trPr>
        <w:tc>
          <w:tcPr>
            <w:tcW w:w="21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556"/>
        </w:trPr>
        <w:tc>
          <w:tcPr>
            <w:tcW w:w="4120" w:type="dxa"/>
            <w:vAlign w:val="bottom"/>
            <w:gridSpan w:val="2"/>
          </w:tcPr>
          <w:p>
            <w:pPr>
              <w:spacing w:after="0"/>
              <w:rPr>
                <w:sz w:val="20"/>
                <w:szCs w:val="20"/>
                <w:color w:val="auto"/>
              </w:rPr>
            </w:pPr>
            <w:r>
              <w:rPr>
                <w:rFonts w:ascii="Verdana" w:cs="Verdana" w:eastAsia="Verdana" w:hAnsi="Verdana"/>
                <w:sz w:val="18"/>
                <w:szCs w:val="18"/>
                <w:color w:val="auto"/>
              </w:rPr>
              <w:t>Supplemental education</w:t>
            </w:r>
          </w:p>
        </w:tc>
        <w:tc>
          <w:tcPr>
            <w:tcW w:w="1000" w:type="dxa"/>
            <w:vAlign w:val="bottom"/>
            <w:gridSpan w:val="3"/>
          </w:tcPr>
          <w:p>
            <w:pPr>
              <w:jc w:val="right"/>
              <w:ind w:right="20"/>
              <w:spacing w:after="0"/>
              <w:rPr>
                <w:sz w:val="20"/>
                <w:szCs w:val="20"/>
                <w:color w:val="auto"/>
              </w:rPr>
            </w:pPr>
            <w:r>
              <w:rPr>
                <w:rFonts w:ascii="Verdana" w:cs="Verdana" w:eastAsia="Verdana" w:hAnsi="Verdana"/>
                <w:sz w:val="18"/>
                <w:szCs w:val="18"/>
                <w:color w:val="auto"/>
              </w:rPr>
              <w:t>$13,202</w:t>
            </w:r>
          </w:p>
        </w:tc>
        <w:tc>
          <w:tcPr>
            <w:tcW w:w="320" w:type="dxa"/>
            <w:vAlign w:val="bottom"/>
          </w:tcPr>
          <w:p>
            <w:pPr>
              <w:spacing w:after="0"/>
              <w:rPr>
                <w:sz w:val="24"/>
                <w:szCs w:val="24"/>
                <w:color w:val="auto"/>
              </w:rPr>
            </w:pPr>
          </w:p>
        </w:tc>
        <w:tc>
          <w:tcPr>
            <w:tcW w:w="340" w:type="dxa"/>
            <w:vAlign w:val="bottom"/>
            <w:gridSpan w:val="2"/>
          </w:tcPr>
          <w:p>
            <w:pPr>
              <w:jc w:val="right"/>
              <w:ind w:right="60"/>
              <w:spacing w:after="0"/>
              <w:rPr>
                <w:sz w:val="20"/>
                <w:szCs w:val="20"/>
                <w:color w:val="auto"/>
              </w:rPr>
            </w:pPr>
            <w:r>
              <w:rPr>
                <w:rFonts w:ascii="Verdana" w:cs="Verdana" w:eastAsia="Verdana" w:hAnsi="Verdana"/>
                <w:sz w:val="18"/>
                <w:szCs w:val="18"/>
                <w:color w:val="auto"/>
              </w:rPr>
              <w:t>$</w:t>
            </w:r>
          </w:p>
        </w:tc>
        <w:tc>
          <w:tcPr>
            <w:tcW w:w="660" w:type="dxa"/>
            <w:vAlign w:val="bottom"/>
            <w:gridSpan w:val="2"/>
          </w:tcPr>
          <w:p>
            <w:pPr>
              <w:jc w:val="right"/>
              <w:ind w:right="20"/>
              <w:spacing w:after="0"/>
              <w:rPr>
                <w:sz w:val="20"/>
                <w:szCs w:val="20"/>
                <w:color w:val="auto"/>
              </w:rPr>
            </w:pPr>
            <w:r>
              <w:rPr>
                <w:rFonts w:ascii="Verdana" w:cs="Verdana" w:eastAsia="Verdana" w:hAnsi="Verdana"/>
                <w:sz w:val="18"/>
                <w:szCs w:val="18"/>
                <w:color w:val="auto"/>
              </w:rPr>
              <w:t>6,441</w:t>
            </w:r>
          </w:p>
        </w:tc>
        <w:tc>
          <w:tcPr>
            <w:tcW w:w="26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Verdana" w:cs="Verdana" w:eastAsia="Verdana" w:hAnsi="Verdana"/>
                <w:sz w:val="18"/>
                <w:szCs w:val="18"/>
                <w:color w:val="auto"/>
              </w:rPr>
              <w:t>+105</w:t>
            </w:r>
          </w:p>
        </w:tc>
      </w:tr>
      <w:tr>
        <w:trPr>
          <w:trHeight w:val="243"/>
        </w:trPr>
        <w:tc>
          <w:tcPr>
            <w:tcW w:w="4120" w:type="dxa"/>
            <w:vAlign w:val="bottom"/>
            <w:gridSpan w:val="2"/>
          </w:tcPr>
          <w:p>
            <w:pPr>
              <w:spacing w:after="0"/>
              <w:rPr>
                <w:sz w:val="20"/>
                <w:szCs w:val="20"/>
                <w:color w:val="auto"/>
              </w:rPr>
            </w:pPr>
            <w:r>
              <w:rPr>
                <w:rFonts w:ascii="Verdana" w:cs="Verdana" w:eastAsia="Verdana" w:hAnsi="Verdana"/>
                <w:sz w:val="18"/>
                <w:szCs w:val="18"/>
                <w:color w:val="auto"/>
              </w:rPr>
              <w:t>Higher education</w:t>
            </w:r>
          </w:p>
        </w:tc>
        <w:tc>
          <w:tcPr>
            <w:tcW w:w="1000" w:type="dxa"/>
            <w:vAlign w:val="bottom"/>
            <w:gridSpan w:val="3"/>
          </w:tcPr>
          <w:p>
            <w:pPr>
              <w:jc w:val="right"/>
              <w:ind w:right="20"/>
              <w:spacing w:after="0"/>
              <w:rPr>
                <w:sz w:val="20"/>
                <w:szCs w:val="20"/>
                <w:color w:val="auto"/>
              </w:rPr>
            </w:pPr>
            <w:r>
              <w:rPr>
                <w:rFonts w:ascii="Verdana" w:cs="Verdana" w:eastAsia="Verdana" w:hAnsi="Verdana"/>
                <w:sz w:val="18"/>
                <w:szCs w:val="18"/>
                <w:color w:val="auto"/>
              </w:rPr>
              <w:t>8,886</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Verdana" w:cs="Verdana" w:eastAsia="Verdana" w:hAnsi="Verdana"/>
                <w:sz w:val="18"/>
                <w:szCs w:val="18"/>
                <w:color w:val="auto"/>
              </w:rPr>
              <w:t>2,244</w:t>
            </w:r>
          </w:p>
        </w:tc>
        <w:tc>
          <w:tcPr>
            <w:tcW w:w="2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Verdana" w:cs="Verdana" w:eastAsia="Verdana" w:hAnsi="Verdana"/>
                <w:sz w:val="18"/>
                <w:szCs w:val="18"/>
                <w:color w:val="auto"/>
              </w:rPr>
              <w:t>+296</w:t>
            </w:r>
          </w:p>
        </w:tc>
      </w:tr>
      <w:tr>
        <w:trPr>
          <w:trHeight w:val="243"/>
        </w:trPr>
        <w:tc>
          <w:tcPr>
            <w:tcW w:w="4120" w:type="dxa"/>
            <w:vAlign w:val="bottom"/>
            <w:gridSpan w:val="2"/>
          </w:tcPr>
          <w:p>
            <w:pPr>
              <w:spacing w:after="0"/>
              <w:rPr>
                <w:sz w:val="20"/>
                <w:szCs w:val="20"/>
                <w:color w:val="auto"/>
              </w:rPr>
            </w:pPr>
            <w:r>
              <w:rPr>
                <w:rFonts w:ascii="Verdana" w:cs="Verdana" w:eastAsia="Verdana" w:hAnsi="Verdana"/>
                <w:sz w:val="18"/>
                <w:szCs w:val="18"/>
                <w:color w:val="auto"/>
              </w:rPr>
              <w:t>Kaplan corporate overhead</w:t>
            </w:r>
          </w:p>
        </w:tc>
        <w:tc>
          <w:tcPr>
            <w:tcW w:w="1320" w:type="dxa"/>
            <w:vAlign w:val="bottom"/>
            <w:gridSpan w:val="4"/>
          </w:tcPr>
          <w:p>
            <w:pPr>
              <w:jc w:val="right"/>
              <w:ind w:right="260"/>
              <w:spacing w:after="0"/>
              <w:rPr>
                <w:sz w:val="20"/>
                <w:szCs w:val="20"/>
                <w:color w:val="auto"/>
              </w:rPr>
            </w:pPr>
            <w:r>
              <w:rPr>
                <w:rFonts w:ascii="Verdana" w:cs="Verdana" w:eastAsia="Verdana" w:hAnsi="Verdana"/>
                <w:sz w:val="18"/>
                <w:szCs w:val="18"/>
                <w:color w:val="auto"/>
              </w:rPr>
              <w:t>(5,902)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3"/>
          </w:tcPr>
          <w:p>
            <w:pPr>
              <w:jc w:val="right"/>
              <w:ind w:right="200"/>
              <w:spacing w:after="0"/>
              <w:rPr>
                <w:sz w:val="20"/>
                <w:szCs w:val="20"/>
                <w:color w:val="auto"/>
              </w:rPr>
            </w:pPr>
            <w:r>
              <w:rPr>
                <w:rFonts w:ascii="Verdana" w:cs="Verdana" w:eastAsia="Verdana" w:hAnsi="Verdana"/>
                <w:sz w:val="18"/>
                <w:szCs w:val="18"/>
                <w:color w:val="auto"/>
              </w:rPr>
              <w:t>(6,746)</w:t>
            </w:r>
          </w:p>
        </w:tc>
        <w:tc>
          <w:tcPr>
            <w:tcW w:w="980" w:type="dxa"/>
            <w:vAlign w:val="bottom"/>
            <w:gridSpan w:val="2"/>
          </w:tcPr>
          <w:p>
            <w:pPr>
              <w:jc w:val="right"/>
              <w:spacing w:after="0"/>
              <w:rPr>
                <w:sz w:val="20"/>
                <w:szCs w:val="20"/>
                <w:color w:val="auto"/>
              </w:rPr>
            </w:pPr>
            <w:r>
              <w:rPr>
                <w:rFonts w:ascii="Verdana" w:cs="Verdana" w:eastAsia="Verdana" w:hAnsi="Verdana"/>
                <w:sz w:val="18"/>
                <w:szCs w:val="18"/>
                <w:color w:val="auto"/>
              </w:rPr>
              <w:t>+13</w:t>
            </w:r>
          </w:p>
        </w:tc>
      </w:tr>
      <w:tr>
        <w:trPr>
          <w:trHeight w:val="221"/>
        </w:trPr>
        <w:tc>
          <w:tcPr>
            <w:tcW w:w="4120" w:type="dxa"/>
            <w:vAlign w:val="bottom"/>
            <w:gridSpan w:val="2"/>
          </w:tcPr>
          <w:p>
            <w:pPr>
              <w:spacing w:after="0"/>
              <w:rPr>
                <w:sz w:val="20"/>
                <w:szCs w:val="20"/>
                <w:color w:val="auto"/>
              </w:rPr>
            </w:pPr>
            <w:r>
              <w:rPr>
                <w:rFonts w:ascii="Verdana" w:cs="Verdana" w:eastAsia="Verdana" w:hAnsi="Verdana"/>
                <w:sz w:val="18"/>
                <w:szCs w:val="18"/>
                <w:color w:val="auto"/>
              </w:rPr>
              <w:t>Other*</w:t>
            </w:r>
          </w:p>
        </w:tc>
        <w:tc>
          <w:tcPr>
            <w:tcW w:w="1320" w:type="dxa"/>
            <w:vAlign w:val="bottom"/>
            <w:gridSpan w:val="4"/>
          </w:tcPr>
          <w:p>
            <w:pPr>
              <w:jc w:val="right"/>
              <w:ind w:right="260"/>
              <w:spacing w:after="0"/>
              <w:rPr>
                <w:sz w:val="20"/>
                <w:szCs w:val="20"/>
                <w:color w:val="auto"/>
              </w:rPr>
            </w:pPr>
            <w:r>
              <w:rPr>
                <w:rFonts w:ascii="Verdana" w:cs="Verdana" w:eastAsia="Verdana" w:hAnsi="Verdana"/>
                <w:sz w:val="18"/>
                <w:szCs w:val="18"/>
                <w:color w:val="auto"/>
              </w:rPr>
              <w:t>(16,736)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Verdana" w:cs="Verdana" w:eastAsia="Verdana" w:hAnsi="Verdana"/>
                <w:sz w:val="18"/>
                <w:szCs w:val="18"/>
                <w:color w:val="auto"/>
              </w:rPr>
              <w:t>(8,514)</w:t>
            </w:r>
          </w:p>
        </w:tc>
        <w:tc>
          <w:tcPr>
            <w:tcW w:w="980" w:type="dxa"/>
            <w:vAlign w:val="bottom"/>
            <w:gridSpan w:val="2"/>
          </w:tcPr>
          <w:p>
            <w:pPr>
              <w:jc w:val="right"/>
              <w:spacing w:after="0"/>
              <w:rPr>
                <w:sz w:val="20"/>
                <w:szCs w:val="20"/>
                <w:color w:val="auto"/>
              </w:rPr>
            </w:pPr>
            <w:r>
              <w:rPr>
                <w:rFonts w:ascii="Verdana" w:cs="Verdana" w:eastAsia="Verdana" w:hAnsi="Verdana"/>
                <w:sz w:val="18"/>
                <w:szCs w:val="18"/>
                <w:color w:val="auto"/>
              </w:rPr>
              <w:t>-97</w:t>
            </w:r>
          </w:p>
        </w:tc>
      </w:tr>
      <w:tr>
        <w:trPr>
          <w:trHeight w:val="20"/>
        </w:trPr>
        <w:tc>
          <w:tcPr>
            <w:tcW w:w="2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46"/>
        </w:trPr>
        <w:tc>
          <w:tcPr>
            <w:tcW w:w="21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320" w:type="dxa"/>
            <w:vAlign w:val="bottom"/>
            <w:gridSpan w:val="4"/>
          </w:tcPr>
          <w:p>
            <w:pPr>
              <w:jc w:val="right"/>
              <w:ind w:right="260"/>
              <w:spacing w:after="0"/>
              <w:rPr>
                <w:sz w:val="20"/>
                <w:szCs w:val="20"/>
                <w:color w:val="auto"/>
              </w:rPr>
            </w:pPr>
            <w:r>
              <w:rPr>
                <w:rFonts w:ascii="Verdana" w:cs="Verdana" w:eastAsia="Verdana" w:hAnsi="Verdana"/>
                <w:sz w:val="18"/>
                <w:szCs w:val="18"/>
                <w:color w:val="auto"/>
              </w:rPr>
              <w:t>$  (550)</w:t>
            </w:r>
          </w:p>
        </w:tc>
        <w:tc>
          <w:tcPr>
            <w:tcW w:w="340" w:type="dxa"/>
            <w:vAlign w:val="bottom"/>
            <w:gridSpan w:val="2"/>
          </w:tcPr>
          <w:p>
            <w:pPr>
              <w:jc w:val="right"/>
              <w:ind w:right="80"/>
              <w:spacing w:after="0"/>
              <w:rPr>
                <w:sz w:val="20"/>
                <w:szCs w:val="20"/>
                <w:color w:val="auto"/>
              </w:rPr>
            </w:pPr>
            <w:r>
              <w:rPr>
                <w:rFonts w:ascii="Verdana" w:cs="Verdana" w:eastAsia="Verdana" w:hAnsi="Verdana"/>
                <w:sz w:val="18"/>
                <w:szCs w:val="18"/>
                <w:color w:val="auto"/>
              </w:rPr>
              <w:t>$</w:t>
            </w:r>
          </w:p>
        </w:tc>
        <w:tc>
          <w:tcPr>
            <w:tcW w:w="920" w:type="dxa"/>
            <w:vAlign w:val="bottom"/>
            <w:gridSpan w:val="3"/>
          </w:tcPr>
          <w:p>
            <w:pPr>
              <w:jc w:val="right"/>
              <w:ind w:right="200"/>
              <w:spacing w:after="0"/>
              <w:rPr>
                <w:sz w:val="20"/>
                <w:szCs w:val="20"/>
                <w:color w:val="auto"/>
              </w:rPr>
            </w:pPr>
            <w:r>
              <w:rPr>
                <w:rFonts w:ascii="Verdana" w:cs="Verdana" w:eastAsia="Verdana" w:hAnsi="Verdana"/>
                <w:sz w:val="18"/>
                <w:szCs w:val="18"/>
                <w:color w:val="auto"/>
              </w:rPr>
              <w:t>(6,575)</w:t>
            </w:r>
          </w:p>
        </w:tc>
        <w:tc>
          <w:tcPr>
            <w:tcW w:w="980" w:type="dxa"/>
            <w:vAlign w:val="bottom"/>
            <w:gridSpan w:val="2"/>
          </w:tcPr>
          <w:p>
            <w:pPr>
              <w:jc w:val="right"/>
              <w:spacing w:after="0"/>
              <w:rPr>
                <w:sz w:val="20"/>
                <w:szCs w:val="20"/>
                <w:color w:val="auto"/>
              </w:rPr>
            </w:pPr>
            <w:r>
              <w:rPr>
                <w:rFonts w:ascii="Verdana" w:cs="Verdana" w:eastAsia="Verdana" w:hAnsi="Verdana"/>
                <w:sz w:val="18"/>
                <w:szCs w:val="18"/>
                <w:color w:val="auto"/>
              </w:rPr>
              <w:t>+92</w:t>
            </w:r>
          </w:p>
        </w:tc>
      </w:tr>
      <w:tr>
        <w:trPr>
          <w:trHeight w:val="244"/>
        </w:trPr>
        <w:tc>
          <w:tcPr>
            <w:tcW w:w="21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70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Borders>
              <w:bottom w:val="single" w:sz="8" w:color="808080"/>
            </w:tcBorders>
          </w:tcPr>
          <w:p>
            <w:pPr>
              <w:spacing w:after="0"/>
              <w:rPr>
                <w:sz w:val="21"/>
                <w:szCs w:val="21"/>
                <w:color w:val="auto"/>
              </w:rPr>
            </w:pPr>
          </w:p>
        </w:tc>
        <w:tc>
          <w:tcPr>
            <w:tcW w:w="50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289560</wp:posOffset>
            </wp:positionV>
            <wp:extent cx="25469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520" w:right="4060"/>
        <w:spacing w:after="0" w:line="229" w:lineRule="auto"/>
        <w:rPr>
          <w:sz w:val="20"/>
          <w:szCs w:val="20"/>
          <w:color w:val="auto"/>
        </w:rPr>
      </w:pPr>
      <w:r>
        <w:rPr>
          <w:rFonts w:ascii="Verdana" w:cs="Verdana" w:eastAsia="Verdana" w:hAnsi="Verdana"/>
          <w:sz w:val="14"/>
          <w:szCs w:val="14"/>
          <w:color w:val="auto"/>
        </w:rPr>
        <w:t>*Other includes charges accrued for stock-based incentive compensation and amortization of certain intangibles.</w:t>
      </w:r>
    </w:p>
    <w:p>
      <w:pPr>
        <w:spacing w:after="0" w:line="215" w:lineRule="exact"/>
        <w:rPr>
          <w:sz w:val="20"/>
          <w:szCs w:val="20"/>
          <w:color w:val="auto"/>
        </w:rPr>
      </w:pPr>
    </w:p>
    <w:p>
      <w:pPr>
        <w:ind w:right="200" w:firstLine="124"/>
        <w:spacing w:after="0" w:line="236" w:lineRule="auto"/>
        <w:rPr>
          <w:sz w:val="20"/>
          <w:szCs w:val="20"/>
          <w:color w:val="auto"/>
        </w:rPr>
      </w:pPr>
      <w:r>
        <w:rPr>
          <w:rFonts w:ascii="Verdana" w:cs="Verdana" w:eastAsia="Verdana" w:hAnsi="Verdana"/>
          <w:sz w:val="18"/>
          <w:szCs w:val="18"/>
          <w:color w:val="auto"/>
        </w:rPr>
        <w:t>Supplemental education includes Kaplan’s test preparation, professional training, and Score! businesses. The improvement in supplemental education results for the first quarter of 2002 is due mostly to higher enrollments and to a lesser extent higher prices at Kaplan’s traditional test preparation business (particularly the LSAT and MCAT prep courses), as well as higher revenues and profits from Kaplan’s CFA and real estate exam preparation services. Score! also contributed to the improved results, with increased enrollment from new learning centers opened later in 2001 (148 centers at the end of March 2002, versus 137 centers at the end of March 2001) and strong cost controls.</w:t>
      </w:r>
    </w:p>
    <w:p>
      <w:pPr>
        <w:spacing w:after="0" w:line="222" w:lineRule="exact"/>
        <w:rPr>
          <w:sz w:val="20"/>
          <w:szCs w:val="20"/>
          <w:color w:val="auto"/>
        </w:rPr>
      </w:pPr>
    </w:p>
    <w:p>
      <w:pPr>
        <w:ind w:right="100" w:firstLine="124"/>
        <w:spacing w:after="0" w:line="236" w:lineRule="auto"/>
        <w:rPr>
          <w:sz w:val="20"/>
          <w:szCs w:val="20"/>
          <w:color w:val="auto"/>
        </w:rPr>
      </w:pPr>
      <w:r>
        <w:rPr>
          <w:rFonts w:ascii="Verdana" w:cs="Verdana" w:eastAsia="Verdana" w:hAnsi="Verdana"/>
          <w:sz w:val="18"/>
          <w:szCs w:val="18"/>
          <w:color w:val="auto"/>
        </w:rPr>
        <w:t>Higher education includes all of Kaplan’s post-secondary education businesses, including the fixed-facility colleges that were formerly part of Quest Education, as well as online post-secondary and career programs (various distance learning businesses). Higher education results are showing significant growth due to student enrollment increases, high student retention rates and recent acquisitions.</w:t>
      </w:r>
    </w:p>
    <w:p>
      <w:pPr>
        <w:spacing w:after="0" w:line="220" w:lineRule="exact"/>
        <w:rPr>
          <w:sz w:val="20"/>
          <w:szCs w:val="20"/>
          <w:color w:val="auto"/>
        </w:rPr>
      </w:pPr>
    </w:p>
    <w:p>
      <w:pPr>
        <w:jc w:val="both"/>
        <w:ind w:right="120" w:firstLine="124"/>
        <w:spacing w:after="0" w:line="235" w:lineRule="auto"/>
        <w:rPr>
          <w:sz w:val="20"/>
          <w:szCs w:val="20"/>
          <w:color w:val="auto"/>
        </w:rPr>
      </w:pPr>
      <w:r>
        <w:rPr>
          <w:rFonts w:ascii="Verdana" w:cs="Verdana" w:eastAsia="Verdana" w:hAnsi="Verdana"/>
          <w:sz w:val="18"/>
          <w:szCs w:val="18"/>
          <w:color w:val="auto"/>
        </w:rPr>
        <w:t>Corporate overhead represents unallocated expenses of Kaplan, Inc.’s corporate office, including expenses associated with the design and development of educational software that, if successfully completed, will benefit all of Kaplan’s business units. The decrease in this expense category in 2002 is due to decreased spending for these development initiatives.</w:t>
      </w:r>
    </w:p>
    <w:p>
      <w:pPr>
        <w:spacing w:after="0" w:line="222" w:lineRule="exact"/>
        <w:rPr>
          <w:sz w:val="20"/>
          <w:szCs w:val="20"/>
          <w:color w:val="auto"/>
        </w:rPr>
      </w:pPr>
    </w:p>
    <w:p>
      <w:pPr>
        <w:ind w:right="80" w:firstLine="124"/>
        <w:spacing w:after="0" w:line="236" w:lineRule="auto"/>
        <w:rPr>
          <w:sz w:val="20"/>
          <w:szCs w:val="20"/>
          <w:color w:val="auto"/>
        </w:rPr>
      </w:pPr>
      <w:r>
        <w:rPr>
          <w:rFonts w:ascii="Verdana" w:cs="Verdana" w:eastAsia="Verdana" w:hAnsi="Verdana"/>
          <w:sz w:val="18"/>
          <w:szCs w:val="18"/>
          <w:color w:val="auto"/>
        </w:rPr>
        <w:t>Other expense is comprised of accrued charges for stock-based incentive compensation arising from a stock option plan established for certain members of Kaplan’s management and amortization of certain intangibles. Under the stock-based incentive plan, the amount of compensation expense varies directly with the estimated fair value of Kaplan’s common stock and the number of options outstanding. The increase in other expense for 2002 is attributable to an increase in stock-based incentive compensation, which was due to an increase in Kaplan’s estimated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6" w:lineRule="exact"/>
        <w:rPr>
          <w:sz w:val="20"/>
          <w:szCs w:val="20"/>
          <w:color w:val="auto"/>
        </w:rPr>
      </w:pPr>
    </w:p>
    <w:p>
      <w:pPr>
        <w:jc w:val="right"/>
        <w:spacing w:after="0"/>
        <w:rPr>
          <w:sz w:val="20"/>
          <w:szCs w:val="20"/>
          <w:color w:val="auto"/>
        </w:rPr>
      </w:pPr>
      <w:r>
        <w:rPr>
          <w:rFonts w:ascii="Verdana" w:cs="Verdana" w:eastAsia="Verdana" w:hAnsi="Verdana"/>
          <w:sz w:val="18"/>
          <w:szCs w:val="18"/>
          <w:color w:val="auto"/>
        </w:rPr>
        <w:t>15.</w:t>
      </w:r>
    </w:p>
    <w:p>
      <w:pPr>
        <w:spacing w:after="0" w:line="220" w:lineRule="exact"/>
        <w:rPr>
          <w:sz w:val="20"/>
          <w:szCs w:val="20"/>
          <w:color w:val="auto"/>
        </w:rPr>
      </w:pPr>
    </w:p>
    <w:p>
      <w:pPr>
        <w:ind w:right="60"/>
        <w:spacing w:after="0" w:line="236" w:lineRule="auto"/>
        <w:rPr>
          <w:sz w:val="20"/>
          <w:szCs w:val="20"/>
          <w:color w:val="auto"/>
        </w:rPr>
      </w:pPr>
      <w:r>
        <w:rPr>
          <w:rFonts w:ascii="Verdana" w:cs="Verdana" w:eastAsia="Verdana" w:hAnsi="Verdana"/>
          <w:sz w:val="18"/>
          <w:szCs w:val="18"/>
          <w:b w:val="1"/>
          <w:bCs w:val="1"/>
          <w:color w:val="auto"/>
        </w:rPr>
        <w:t xml:space="preserve">Equity in Losses of Affiliates. </w:t>
      </w:r>
      <w:r>
        <w:rPr>
          <w:rFonts w:ascii="Verdana" w:cs="Verdana" w:eastAsia="Verdana" w:hAnsi="Verdana"/>
          <w:sz w:val="18"/>
          <w:szCs w:val="18"/>
          <w:color w:val="auto"/>
        </w:rPr>
        <w:t>The Company’s equity in losses of affiliates for the first quarter of 2002 was $6.5 million,</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compared to losses of $12.5 million for the first quarter of 2001. The Company’s affiliate investments consist of a 49 percent interest in BrassRing LLC, a 50 percent interest in the International Herald Tribune, and a 49 percent interest in Bowater Mersey Paper Company Limited. The reduction in first quarter 2002 affiliate losses is primarily attributable to improved operating results at BrassRing. The Company’s share of BrassRing’s losses accounted for $4.2 million of the total first quarter equity in losses of affiliates, versus $14.1 million in the first quarter of 2001.</w:t>
      </w:r>
    </w:p>
    <w:p>
      <w:pPr>
        <w:spacing w:after="0" w:line="222" w:lineRule="exact"/>
        <w:rPr>
          <w:sz w:val="20"/>
          <w:szCs w:val="20"/>
          <w:color w:val="auto"/>
        </w:rPr>
      </w:pPr>
    </w:p>
    <w:p>
      <w:pPr>
        <w:ind w:right="20"/>
        <w:spacing w:after="0" w:line="236" w:lineRule="auto"/>
        <w:rPr>
          <w:sz w:val="20"/>
          <w:szCs w:val="20"/>
          <w:color w:val="auto"/>
        </w:rPr>
      </w:pPr>
      <w:r>
        <w:rPr>
          <w:rFonts w:ascii="Verdana" w:cs="Verdana" w:eastAsia="Verdana" w:hAnsi="Verdana"/>
          <w:sz w:val="18"/>
          <w:szCs w:val="18"/>
          <w:b w:val="1"/>
          <w:bCs w:val="1"/>
          <w:color w:val="auto"/>
        </w:rPr>
        <w:t xml:space="preserve">Other Non-Operating Income. </w:t>
      </w:r>
      <w:r>
        <w:rPr>
          <w:rFonts w:ascii="Verdana" w:cs="Verdana" w:eastAsia="Verdana" w:hAnsi="Verdana"/>
          <w:sz w:val="18"/>
          <w:szCs w:val="18"/>
          <w:color w:val="auto"/>
        </w:rPr>
        <w:t>The Company recorded other non-operating income, net, of $6.5 million for the first quarter of</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2002, compared to non-operating income, net, of $308.8 million for the first quarter of 2001. The 2002 non-operating income is comprised mostly of a gain from the sale of marketable securities, offset by write-downs recorded on certain investments. The 2001 non-operating income is comprised mostly of gains arising from the sale and exchange of certain cable systems completed in January and March of 2001, offset by write-downs recorded on certain investments.</w:t>
      </w:r>
    </w:p>
    <w:p>
      <w:pPr>
        <w:spacing w:after="0" w:line="221" w:lineRule="exact"/>
        <w:rPr>
          <w:sz w:val="20"/>
          <w:szCs w:val="20"/>
          <w:color w:val="auto"/>
        </w:rPr>
      </w:pPr>
    </w:p>
    <w:p>
      <w:pPr>
        <w:ind w:right="180"/>
        <w:spacing w:after="0" w:line="236" w:lineRule="auto"/>
        <w:rPr>
          <w:sz w:val="20"/>
          <w:szCs w:val="20"/>
          <w:color w:val="auto"/>
        </w:rPr>
      </w:pPr>
      <w:r>
        <w:rPr>
          <w:rFonts w:ascii="Verdana" w:cs="Verdana" w:eastAsia="Verdana" w:hAnsi="Verdana"/>
          <w:sz w:val="18"/>
          <w:szCs w:val="18"/>
          <w:b w:val="1"/>
          <w:bCs w:val="1"/>
          <w:color w:val="auto"/>
        </w:rPr>
        <w:t>Net Interest Expense</w:t>
      </w:r>
      <w:r>
        <w:rPr>
          <w:rFonts w:ascii="Verdana" w:cs="Verdana" w:eastAsia="Verdana" w:hAnsi="Verdana"/>
          <w:sz w:val="18"/>
          <w:szCs w:val="18"/>
          <w:color w:val="auto"/>
        </w:rPr>
        <w:t>. The Company incurred net interest expense of $8.7 million for the first quarter of 2002, compared to</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$14.3 million for the same period of the prior year. The reduction is due to both lower average borrowings and lower interest rates. At March 31, 2002, the Company had $868.4 million in borrowings outstanding at an average interest rate of 3.5 percent.</w:t>
      </w:r>
    </w:p>
    <w:p>
      <w:pPr>
        <w:spacing w:after="0" w:line="220" w:lineRule="exact"/>
        <w:rPr>
          <w:sz w:val="20"/>
          <w:szCs w:val="20"/>
          <w:color w:val="auto"/>
        </w:rPr>
      </w:pPr>
    </w:p>
    <w:p>
      <w:pPr>
        <w:spacing w:after="0" w:line="236" w:lineRule="auto"/>
        <w:rPr>
          <w:sz w:val="20"/>
          <w:szCs w:val="20"/>
          <w:color w:val="auto"/>
        </w:rPr>
      </w:pPr>
      <w:r>
        <w:rPr>
          <w:rFonts w:ascii="Verdana" w:cs="Verdana" w:eastAsia="Verdana" w:hAnsi="Verdana"/>
          <w:sz w:val="18"/>
          <w:szCs w:val="18"/>
          <w:b w:val="1"/>
          <w:bCs w:val="1"/>
          <w:color w:val="auto"/>
        </w:rPr>
        <w:t xml:space="preserve">Provision for Income Taxes. </w:t>
      </w:r>
      <w:r>
        <w:rPr>
          <w:rFonts w:ascii="Verdana" w:cs="Verdana" w:eastAsia="Verdana" w:hAnsi="Verdana"/>
          <w:sz w:val="18"/>
          <w:szCs w:val="18"/>
          <w:color w:val="auto"/>
        </w:rPr>
        <w:t>The effective tax rate for the first quarter of 2002 was 40.9 percent, compared to 38.8 percent</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for the same period of 2001. The 2001 rate benefited from a lower effective tax rate applicable to the one-time gains arising from the sale and exchange of cable systems. Excluding the effect of the cable gain transactions, the Company’s effective tax rate approximated 43 percent for the first quarter of 2001. The effective tax rate for 2002 has declined because the Company no longer has any permanent difference from goodwill amortization not deductible for tax purposes as a result of the adoption of SFAS 142.</w:t>
      </w:r>
    </w:p>
    <w:p>
      <w:pPr>
        <w:spacing w:after="0" w:line="222" w:lineRule="exact"/>
        <w:rPr>
          <w:sz w:val="20"/>
          <w:szCs w:val="20"/>
          <w:color w:val="auto"/>
        </w:rPr>
      </w:pPr>
    </w:p>
    <w:p>
      <w:pPr>
        <w:ind w:right="20"/>
        <w:spacing w:after="0" w:line="235" w:lineRule="auto"/>
        <w:rPr>
          <w:sz w:val="20"/>
          <w:szCs w:val="20"/>
          <w:color w:val="auto"/>
        </w:rPr>
      </w:pPr>
      <w:r>
        <w:rPr>
          <w:rFonts w:ascii="Verdana" w:cs="Verdana" w:eastAsia="Verdana" w:hAnsi="Verdana"/>
          <w:sz w:val="18"/>
          <w:szCs w:val="18"/>
          <w:b w:val="1"/>
          <w:bCs w:val="1"/>
          <w:color w:val="auto"/>
        </w:rPr>
        <w:t xml:space="preserve">Earnings Per Share. </w:t>
      </w:r>
      <w:r>
        <w:rPr>
          <w:rFonts w:ascii="Verdana" w:cs="Verdana" w:eastAsia="Verdana" w:hAnsi="Verdana"/>
          <w:sz w:val="18"/>
          <w:szCs w:val="18"/>
          <w:color w:val="auto"/>
        </w:rPr>
        <w:t>The calculation of diluted earnings per share for the first quarter of 2002 was based on 9,512,000</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weighted average shares outstanding, compared to 9,499,000 for the first quarter of 2001. The Company made no repurchases of its stock during the first quarter of 2002.</w:t>
      </w:r>
    </w:p>
    <w:p>
      <w:pPr>
        <w:spacing w:after="0" w:line="215"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Financial Condition: Capital Resources and Liquidity</w:t>
      </w:r>
    </w:p>
    <w:p>
      <w:pPr>
        <w:spacing w:after="0" w:line="220" w:lineRule="exact"/>
        <w:rPr>
          <w:sz w:val="20"/>
          <w:szCs w:val="20"/>
          <w:color w:val="auto"/>
        </w:rPr>
      </w:pPr>
    </w:p>
    <w:p>
      <w:pPr>
        <w:ind w:right="300"/>
        <w:spacing w:after="0" w:line="235" w:lineRule="auto"/>
        <w:rPr>
          <w:sz w:val="20"/>
          <w:szCs w:val="20"/>
          <w:color w:val="auto"/>
        </w:rPr>
      </w:pPr>
      <w:r>
        <w:rPr>
          <w:rFonts w:ascii="Verdana" w:cs="Verdana" w:eastAsia="Verdana" w:hAnsi="Verdana"/>
          <w:sz w:val="18"/>
          <w:szCs w:val="18"/>
          <w:b w:val="1"/>
          <w:bCs w:val="1"/>
          <w:color w:val="auto"/>
        </w:rPr>
        <w:t xml:space="preserve">Acquisitions. </w:t>
      </w:r>
      <w:r>
        <w:rPr>
          <w:rFonts w:ascii="Verdana" w:cs="Verdana" w:eastAsia="Verdana" w:hAnsi="Verdana"/>
          <w:sz w:val="18"/>
          <w:szCs w:val="18"/>
          <w:color w:val="auto"/>
        </w:rPr>
        <w:t>In the first quarter of 2002, Kaplan acquired several businesses in their higher education and test preparation</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divisions, totaling approximately $23.2 million. About $6.3 million remains to be paid on these acquisitions, of which $1.9 million has been classified in current liabilities and $4.4 million as long-term debt at March 31, 2002.</w:t>
      </w:r>
    </w:p>
    <w:p>
      <w:pPr>
        <w:spacing w:after="0" w:line="222" w:lineRule="exact"/>
        <w:rPr>
          <w:sz w:val="20"/>
          <w:szCs w:val="20"/>
          <w:color w:val="auto"/>
        </w:rPr>
      </w:pPr>
    </w:p>
    <w:p>
      <w:pPr>
        <w:ind w:right="780"/>
        <w:spacing w:after="0" w:line="235" w:lineRule="auto"/>
        <w:rPr>
          <w:sz w:val="20"/>
          <w:szCs w:val="20"/>
          <w:color w:val="auto"/>
        </w:rPr>
      </w:pPr>
      <w:r>
        <w:rPr>
          <w:rFonts w:ascii="Verdana" w:cs="Verdana" w:eastAsia="Verdana" w:hAnsi="Verdana"/>
          <w:sz w:val="18"/>
          <w:szCs w:val="18"/>
          <w:b w:val="1"/>
          <w:bCs w:val="1"/>
          <w:color w:val="auto"/>
        </w:rPr>
        <w:t xml:space="preserve">Capital expenditures. </w:t>
      </w:r>
      <w:r>
        <w:rPr>
          <w:rFonts w:ascii="Verdana" w:cs="Verdana" w:eastAsia="Verdana" w:hAnsi="Verdana"/>
          <w:sz w:val="18"/>
          <w:szCs w:val="18"/>
          <w:color w:val="auto"/>
        </w:rPr>
        <w:t>During the first quarter of 2002, the Company’s capital expenditures totaled $37.3 million. The</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Company anticipates it will spend approximately $135.0 million throughout 2002 for property and equipment.</w:t>
      </w:r>
    </w:p>
    <w:p>
      <w:pPr>
        <w:sectPr>
          <w:pgSz w:w="11900" w:h="16838" w:orient="portrait"/>
          <w:cols w:equalWidth="0" w:num="1">
            <w:col w:w="11420"/>
          </w:cols>
          <w:pgMar w:left="240" w:top="110" w:right="239" w:bottom="0" w:gutter="0" w:footer="0" w:header="0"/>
        </w:sectPr>
      </w:pPr>
    </w:p>
    <w:bookmarkStart w:id="10" w:name="page11"/>
    <w:bookmarkEnd w:id="10"/>
    <w:p>
      <w:pPr>
        <w:ind w:right="360"/>
        <w:spacing w:after="0" w:line="234" w:lineRule="auto"/>
        <w:rPr>
          <w:sz w:val="20"/>
          <w:szCs w:val="20"/>
          <w:color w:val="auto"/>
        </w:rPr>
      </w:pPr>
      <w:r>
        <w:rPr>
          <w:rFonts w:ascii="Verdana" w:cs="Verdana" w:eastAsia="Verdana" w:hAnsi="Verdana"/>
          <w:sz w:val="18"/>
          <w:szCs w:val="18"/>
          <w:b w:val="1"/>
          <w:bCs w:val="1"/>
          <w:color w:val="auto"/>
        </w:rPr>
        <w:t xml:space="preserve">Liquidity. </w:t>
      </w:r>
      <w:r>
        <w:rPr>
          <w:rFonts w:ascii="Verdana" w:cs="Verdana" w:eastAsia="Verdana" w:hAnsi="Verdana"/>
          <w:sz w:val="18"/>
          <w:szCs w:val="18"/>
          <w:color w:val="auto"/>
        </w:rPr>
        <w:t>Throughout the first quarter of 2002, the Company’s borrowings, net of repayments, decreased by $64.6 million,</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with the decrease primarily due to cash flows from operations.</w:t>
      </w:r>
    </w:p>
    <w:p>
      <w:pPr>
        <w:spacing w:after="0" w:line="221" w:lineRule="exact"/>
        <w:rPr>
          <w:sz w:val="20"/>
          <w:szCs w:val="20"/>
          <w:color w:val="auto"/>
        </w:rPr>
      </w:pPr>
    </w:p>
    <w:p>
      <w:pPr>
        <w:ind w:right="80" w:firstLine="124"/>
        <w:spacing w:after="0" w:line="236" w:lineRule="auto"/>
        <w:rPr>
          <w:sz w:val="20"/>
          <w:szCs w:val="20"/>
          <w:color w:val="auto"/>
        </w:rPr>
      </w:pPr>
      <w:r>
        <w:rPr>
          <w:rFonts w:ascii="Verdana" w:cs="Verdana" w:eastAsia="Verdana" w:hAnsi="Verdana"/>
          <w:sz w:val="18"/>
          <w:szCs w:val="18"/>
          <w:color w:val="auto"/>
        </w:rPr>
        <w:t>At March 31, 2002, the Company had $868.4 million in total debt outstanding, which was comprised of $464.8 million of commercial paper borrowings, $398.2 million of 5.5 percent unsecured notes due February 15, 2009, and $5.4 million in other debt. The Company’s five year $500 million revolving credit facility, which expires in March 2003, and one-year $250 million revolving credit facility, which expires in September 2002, support the issuance of the Company’s short-term commercial paper.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Verdana" w:cs="Verdana" w:eastAsia="Verdana" w:hAnsi="Verdana"/>
          <w:sz w:val="18"/>
          <w:szCs w:val="18"/>
          <w:color w:val="auto"/>
        </w:rPr>
        <w:t>16.</w:t>
      </w:r>
    </w:p>
    <w:p>
      <w:pPr>
        <w:spacing w:after="0" w:line="220" w:lineRule="exact"/>
        <w:rPr>
          <w:sz w:val="20"/>
          <w:szCs w:val="20"/>
          <w:color w:val="auto"/>
        </w:rPr>
      </w:pPr>
    </w:p>
    <w:p>
      <w:pPr>
        <w:ind w:right="40"/>
        <w:spacing w:after="0" w:line="236" w:lineRule="auto"/>
        <w:rPr>
          <w:sz w:val="20"/>
          <w:szCs w:val="20"/>
          <w:color w:val="auto"/>
        </w:rPr>
      </w:pPr>
      <w:r>
        <w:rPr>
          <w:rFonts w:ascii="Verdana" w:cs="Verdana" w:eastAsia="Verdana" w:hAnsi="Verdana"/>
          <w:sz w:val="18"/>
          <w:szCs w:val="18"/>
          <w:color w:val="auto"/>
        </w:rPr>
        <w:t>intends to extend or replace the revolving credit facility agreements prior to their expiration, at which time the Company will likely classify a portion of its commercial paper borrowings as “Long-Term Debt” in its Consolidated Balance Sheet. In early May 2002, Moody’s downgraded the Company’s long-term debt ratings to A1 from Aa3 and affirmed the Company’s short-term debt rating at P-1.</w:t>
      </w:r>
    </w:p>
    <w:p>
      <w:pPr>
        <w:spacing w:after="0" w:line="220" w:lineRule="exact"/>
        <w:rPr>
          <w:sz w:val="20"/>
          <w:szCs w:val="20"/>
          <w:color w:val="auto"/>
        </w:rPr>
      </w:pPr>
    </w:p>
    <w:p>
      <w:pPr>
        <w:ind w:right="140" w:firstLine="185"/>
        <w:spacing w:after="0" w:line="236" w:lineRule="auto"/>
        <w:rPr>
          <w:sz w:val="20"/>
          <w:szCs w:val="20"/>
          <w:color w:val="auto"/>
        </w:rPr>
      </w:pPr>
      <w:r>
        <w:rPr>
          <w:rFonts w:ascii="Verdana" w:cs="Verdana" w:eastAsia="Verdana" w:hAnsi="Verdana"/>
          <w:sz w:val="18"/>
          <w:szCs w:val="18"/>
          <w:color w:val="auto"/>
        </w:rPr>
        <w:t>During the first quarter of 2002 and 2001 the Company had average borrowings outstanding of approximately $888.3 million and $949.1 million, respectively, at average annual interest rates of approximately 3.5 percent and 5.8 percent, respectively. During the first quarter of 2002 and 2001, the Company incurred interest expense on borrowings of $8.7 million and $14.3 million, respectively.</w:t>
      </w:r>
    </w:p>
    <w:p>
      <w:pPr>
        <w:spacing w:after="0" w:line="220" w:lineRule="exact"/>
        <w:rPr>
          <w:sz w:val="20"/>
          <w:szCs w:val="20"/>
          <w:color w:val="auto"/>
        </w:rPr>
      </w:pPr>
    </w:p>
    <w:p>
      <w:pPr>
        <w:jc w:val="both"/>
        <w:ind w:right="40" w:firstLine="185"/>
        <w:spacing w:after="0" w:line="235" w:lineRule="auto"/>
        <w:rPr>
          <w:sz w:val="20"/>
          <w:szCs w:val="20"/>
          <w:color w:val="auto"/>
        </w:rPr>
      </w:pPr>
      <w:r>
        <w:rPr>
          <w:rFonts w:ascii="Verdana" w:cs="Verdana" w:eastAsia="Verdana" w:hAnsi="Verdana"/>
          <w:sz w:val="18"/>
          <w:szCs w:val="18"/>
          <w:color w:val="auto"/>
        </w:rPr>
        <w:t>The Company expects to fund its estimated capital needs primarily through internally generated funds, and to a lesser extent, commercial paper borrowings. In management’s opinion, the Company will have ample liquidity to meet its various cash needs throughout 2002.</w:t>
      </w:r>
    </w:p>
    <w:p>
      <w:pPr>
        <w:spacing w:after="0" w:line="215" w:lineRule="exact"/>
        <w:rPr>
          <w:sz w:val="20"/>
          <w:szCs w:val="20"/>
          <w:color w:val="auto"/>
        </w:rPr>
      </w:pPr>
    </w:p>
    <w:p>
      <w:pPr>
        <w:spacing w:after="0"/>
        <w:rPr>
          <w:sz w:val="20"/>
          <w:szCs w:val="20"/>
          <w:color w:val="auto"/>
        </w:rPr>
      </w:pPr>
      <w:r>
        <w:rPr>
          <w:rFonts w:ascii="Verdana" w:cs="Verdana" w:eastAsia="Verdana" w:hAnsi="Verdana"/>
          <w:sz w:val="18"/>
          <w:szCs w:val="18"/>
          <w:b w:val="1"/>
          <w:bCs w:val="1"/>
          <w:u w:val="single" w:color="auto"/>
          <w:color w:val="auto"/>
        </w:rPr>
        <w:t>Forward-Looking Statements</w:t>
      </w:r>
    </w:p>
    <w:p>
      <w:pPr>
        <w:spacing w:after="0" w:line="220" w:lineRule="exact"/>
        <w:rPr>
          <w:sz w:val="20"/>
          <w:szCs w:val="20"/>
          <w:color w:val="auto"/>
        </w:rPr>
      </w:pPr>
    </w:p>
    <w:p>
      <w:pPr>
        <w:ind w:right="20" w:firstLine="124"/>
        <w:spacing w:after="0" w:line="236" w:lineRule="auto"/>
        <w:rPr>
          <w:sz w:val="20"/>
          <w:szCs w:val="20"/>
          <w:color w:val="auto"/>
        </w:rPr>
      </w:pPr>
      <w:r>
        <w:rPr>
          <w:rFonts w:ascii="Verdana" w:cs="Verdana" w:eastAsia="Verdana" w:hAnsi="Verdana"/>
          <w:sz w:val="18"/>
          <w:szCs w:val="18"/>
          <w:color w:val="auto"/>
        </w:rPr>
        <w:t>This report contains certain forward-looking statements that are based largely on the Company’s current expectations. Forward-looking statements are subject to various risks and uncertainties that could cause actual results or events to differ materially from those anticipated in such statements. For more information about these forward-looking statements and related risks, please refer to the section titled “Forward-Looking Statements” in Part I of the Company’s Annual Report on Form 10-K for the year ended December 30,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Verdana" w:cs="Verdana" w:eastAsia="Verdana" w:hAnsi="Verdana"/>
          <w:sz w:val="18"/>
          <w:szCs w:val="18"/>
          <w:color w:val="auto"/>
        </w:rPr>
        <w:t>17.</w:t>
      </w:r>
    </w:p>
    <w:p>
      <w:pPr>
        <w:spacing w:after="0" w:line="213"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PART II - OTHER INFORMATION</w:t>
      </w:r>
    </w:p>
    <w:p>
      <w:pPr>
        <w:spacing w:after="0" w:line="213"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 xml:space="preserve">Item 6.  </w:t>
      </w:r>
      <w:r>
        <w:rPr>
          <w:rFonts w:ascii="Verdana" w:cs="Verdana" w:eastAsia="Verdana" w:hAnsi="Verdana"/>
          <w:sz w:val="18"/>
          <w:szCs w:val="18"/>
          <w:b w:val="1"/>
          <w:bCs w:val="1"/>
          <w:u w:val="single" w:color="auto"/>
          <w:color w:val="auto"/>
        </w:rPr>
        <w:t>Exhibits and Reports on Form 8-K</w:t>
      </w:r>
      <w:r>
        <w:rPr>
          <w:rFonts w:ascii="Verdana" w:cs="Verdana" w:eastAsia="Verdana" w:hAnsi="Verdana"/>
          <w:sz w:val="18"/>
          <w:szCs w:val="18"/>
          <w:b w:val="1"/>
          <w:bCs w:val="1"/>
          <w:color w:val="auto"/>
        </w:rPr>
        <w:t>.</w:t>
      </w:r>
    </w:p>
    <w:p>
      <w:pPr>
        <w:spacing w:after="0" w:line="213" w:lineRule="exact"/>
        <w:rPr>
          <w:sz w:val="20"/>
          <w:szCs w:val="20"/>
          <w:color w:val="auto"/>
        </w:rPr>
      </w:pPr>
    </w:p>
    <w:p>
      <w:pPr>
        <w:ind w:left="640" w:hanging="447"/>
        <w:spacing w:after="0"/>
        <w:tabs>
          <w:tab w:leader="none" w:pos="640" w:val="left"/>
        </w:tabs>
        <w:numPr>
          <w:ilvl w:val="0"/>
          <w:numId w:val="1"/>
        </w:numPr>
        <w:rPr>
          <w:rFonts w:ascii="Verdana" w:cs="Verdana" w:eastAsia="Verdana" w:hAnsi="Verdana"/>
          <w:sz w:val="18"/>
          <w:szCs w:val="18"/>
          <w:color w:val="auto"/>
        </w:rPr>
      </w:pPr>
      <w:r>
        <w:rPr>
          <w:rFonts w:ascii="Verdana" w:cs="Verdana" w:eastAsia="Verdana" w:hAnsi="Verdana"/>
          <w:sz w:val="18"/>
          <w:szCs w:val="18"/>
          <w:color w:val="auto"/>
        </w:rPr>
        <w:t>The following documents are filed as exhibits to this report:</w:t>
      </w:r>
    </w:p>
    <w:p>
      <w:pPr>
        <w:sectPr>
          <w:pgSz w:w="11900" w:h="16838" w:orient="portrait"/>
          <w:cols w:equalWidth="0" w:num="1">
            <w:col w:w="11420"/>
          </w:cols>
          <w:pgMar w:left="240" w:top="140" w:right="239" w:bottom="0" w:gutter="0" w:footer="0" w:header="0"/>
        </w:sectPr>
      </w:pPr>
    </w:p>
    <w:p>
      <w:pPr>
        <w:spacing w:after="0" w:line="321" w:lineRule="exact"/>
        <w:rPr>
          <w:sz w:val="20"/>
          <w:szCs w:val="20"/>
          <w:color w:val="auto"/>
        </w:rPr>
      </w:pPr>
    </w:p>
    <w:p>
      <w:pPr>
        <w:ind w:left="220"/>
        <w:spacing w:after="0"/>
        <w:rPr>
          <w:sz w:val="20"/>
          <w:szCs w:val="20"/>
          <w:color w:val="auto"/>
        </w:rPr>
      </w:pPr>
      <w:r>
        <w:rPr>
          <w:rFonts w:ascii="Verdana" w:cs="Verdana" w:eastAsia="Verdana" w:hAnsi="Verdana"/>
          <w:sz w:val="18"/>
          <w:szCs w:val="18"/>
          <w:b w:val="1"/>
          <w:bCs w:val="1"/>
          <w:color w:val="auto"/>
        </w:rPr>
        <w:t>Exhibit</w:t>
      </w:r>
    </w:p>
    <w:p>
      <w:pPr>
        <w:spacing w:after="0" w:line="4" w:lineRule="exact"/>
        <w:rPr>
          <w:sz w:val="20"/>
          <w:szCs w:val="20"/>
          <w:color w:val="auto"/>
        </w:rPr>
      </w:pPr>
    </w:p>
    <w:p>
      <w:pPr>
        <w:ind w:left="160"/>
        <w:spacing w:after="0"/>
        <w:rPr>
          <w:sz w:val="20"/>
          <w:szCs w:val="20"/>
          <w:color w:val="auto"/>
        </w:rPr>
      </w:pPr>
      <w:r>
        <w:rPr>
          <w:rFonts w:ascii="Verdana" w:cs="Verdana" w:eastAsia="Verdana" w:hAnsi="Verdana"/>
          <w:sz w:val="16"/>
          <w:szCs w:val="16"/>
          <w:b w:val="1"/>
          <w:bCs w:val="1"/>
          <w:color w:val="auto"/>
        </w:rPr>
        <w:t>Number</w:t>
      </w:r>
    </w:p>
    <w:p>
      <w:pPr>
        <w:spacing w:after="0" w:line="200" w:lineRule="exact"/>
        <w:rPr>
          <w:sz w:val="20"/>
          <w:szCs w:val="20"/>
          <w:color w:val="auto"/>
        </w:rPr>
      </w:pPr>
    </w:p>
    <w:p>
      <w:pPr>
        <w:spacing w:after="0" w:line="274" w:lineRule="exact"/>
        <w:rPr>
          <w:sz w:val="20"/>
          <w:szCs w:val="20"/>
          <w:color w:val="auto"/>
        </w:rPr>
      </w:pPr>
    </w:p>
    <w:p>
      <w:pPr>
        <w:ind w:left="420"/>
        <w:spacing w:after="0"/>
        <w:rPr>
          <w:sz w:val="20"/>
          <w:szCs w:val="20"/>
          <w:color w:val="auto"/>
        </w:rPr>
      </w:pPr>
      <w:r>
        <w:rPr>
          <w:rFonts w:ascii="Verdana" w:cs="Verdana" w:eastAsia="Verdana" w:hAnsi="Verdana"/>
          <w:sz w:val="18"/>
          <w:szCs w:val="18"/>
          <w:color w:val="auto"/>
        </w:rPr>
        <w:t>3.1</w:t>
      </w:r>
    </w:p>
    <w:p>
      <w:pPr>
        <w:spacing w:after="0" w:line="200" w:lineRule="exact"/>
        <w:rPr>
          <w:sz w:val="20"/>
          <w:szCs w:val="20"/>
          <w:color w:val="auto"/>
        </w:rPr>
      </w:pPr>
    </w:p>
    <w:p>
      <w:pPr>
        <w:spacing w:after="0" w:line="338" w:lineRule="exact"/>
        <w:rPr>
          <w:sz w:val="20"/>
          <w:szCs w:val="20"/>
          <w:color w:val="auto"/>
        </w:rPr>
      </w:pPr>
    </w:p>
    <w:p>
      <w:pPr>
        <w:ind w:left="420"/>
        <w:spacing w:after="0"/>
        <w:rPr>
          <w:sz w:val="20"/>
          <w:szCs w:val="20"/>
          <w:color w:val="auto"/>
        </w:rPr>
      </w:pPr>
      <w:r>
        <w:rPr>
          <w:rFonts w:ascii="Verdana" w:cs="Verdana" w:eastAsia="Verdana" w:hAnsi="Verdana"/>
          <w:sz w:val="18"/>
          <w:szCs w:val="18"/>
          <w:color w:val="auto"/>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left="4260"/>
        <w:spacing w:after="0"/>
        <w:rPr>
          <w:sz w:val="20"/>
          <w:szCs w:val="20"/>
          <w:color w:val="auto"/>
        </w:rPr>
      </w:pPr>
      <w:r>
        <w:rPr>
          <w:rFonts w:ascii="Verdana" w:cs="Verdana" w:eastAsia="Verdana" w:hAnsi="Verdana"/>
          <w:sz w:val="18"/>
          <w:szCs w:val="18"/>
          <w:b w:val="1"/>
          <w:bCs w:val="1"/>
          <w:color w:val="auto"/>
        </w:rPr>
        <w:t>Description</w:t>
      </w:r>
    </w:p>
    <w:p>
      <w:pPr>
        <w:spacing w:after="0" w:line="200" w:lineRule="exact"/>
        <w:rPr>
          <w:sz w:val="20"/>
          <w:szCs w:val="20"/>
          <w:color w:val="auto"/>
        </w:rPr>
      </w:pPr>
    </w:p>
    <w:p>
      <w:pPr>
        <w:spacing w:after="0" w:line="371" w:lineRule="exact"/>
        <w:rPr>
          <w:sz w:val="20"/>
          <w:szCs w:val="20"/>
          <w:color w:val="auto"/>
        </w:rPr>
      </w:pPr>
    </w:p>
    <w:p>
      <w:pPr>
        <w:ind w:right="140"/>
        <w:spacing w:after="0" w:line="277" w:lineRule="auto"/>
        <w:rPr>
          <w:sz w:val="20"/>
          <w:szCs w:val="20"/>
          <w:color w:val="auto"/>
        </w:rPr>
      </w:pPr>
      <w:r>
        <w:rPr>
          <w:rFonts w:ascii="Verdana" w:cs="Verdana" w:eastAsia="Verdana" w:hAnsi="Verdana"/>
          <w:sz w:val="16"/>
          <w:szCs w:val="16"/>
          <w:color w:val="auto"/>
        </w:rPr>
        <w:t>Certificate of Incorporation of the Company as amended through May 12, 1998, and the Certificate of Designation for the Company’s Series A Preferred Stock filed January 22, 1996 (incorporated by reference to Exhibit 3.1 to the Company’s Annual Report on Form 10-K for the fiscal year ended December 31, 1995).</w:t>
      </w:r>
    </w:p>
    <w:p>
      <w:pPr>
        <w:spacing w:after="0" w:line="83" w:lineRule="exact"/>
        <w:rPr>
          <w:sz w:val="20"/>
          <w:szCs w:val="20"/>
          <w:color w:val="auto"/>
        </w:rPr>
      </w:pPr>
    </w:p>
    <w:p>
      <w:pPr>
        <w:ind w:right="420"/>
        <w:spacing w:after="0" w:line="235" w:lineRule="auto"/>
        <w:rPr>
          <w:sz w:val="20"/>
          <w:szCs w:val="20"/>
          <w:color w:val="auto"/>
        </w:rPr>
      </w:pPr>
      <w:r>
        <w:rPr>
          <w:rFonts w:ascii="Verdana" w:cs="Verdana" w:eastAsia="Verdana" w:hAnsi="Verdana"/>
          <w:sz w:val="18"/>
          <w:szCs w:val="18"/>
          <w:color w:val="auto"/>
        </w:rPr>
        <w:t>By-Laws of the Company as amended through March 8, 2001 (incorporated by reference to Exhibit 3.2 to the Company’s Annual Report on Form 10-K for the fiscal year ended December 31, 2000).</w:t>
      </w:r>
    </w:p>
    <w:p>
      <w:pPr>
        <w:spacing w:after="0" w:line="105" w:lineRule="exact"/>
        <w:rPr>
          <w:sz w:val="20"/>
          <w:szCs w:val="20"/>
          <w:color w:val="auto"/>
        </w:rPr>
      </w:pPr>
    </w:p>
    <w:p>
      <w:pPr>
        <w:sectPr>
          <w:pgSz w:w="11900" w:h="16838" w:orient="portrait"/>
          <w:cols w:equalWidth="0" w:num="2">
            <w:col w:w="960" w:space="700"/>
            <w:col w:w="9760"/>
          </w:cols>
          <w:pgMar w:left="240" w:top="140" w:right="239" w:bottom="0" w:gutter="0" w:footer="0" w:header="0"/>
          <w:type w:val="continuous"/>
        </w:sectPr>
      </w:pPr>
    </w:p>
    <w:tbl>
      <w:tblPr>
        <w:tblLayout w:type="fixed"/>
        <w:tblInd w:w="420" w:type="dxa"/>
        <w:tblCellMar>
          <w:top w:w="0" w:type="dxa"/>
          <w:left w:w="0" w:type="dxa"/>
          <w:bottom w:w="0" w:type="dxa"/>
          <w:right w:w="0" w:type="dxa"/>
        </w:tblCellMar>
      </w:tblPr>
      <w:tr>
        <w:trPr>
          <w:trHeight w:val="219"/>
        </w:trPr>
        <w:tc>
          <w:tcPr>
            <w:tcW w:w="760" w:type="dxa"/>
            <w:vAlign w:val="bottom"/>
          </w:tcPr>
          <w:p>
            <w:pPr>
              <w:jc w:val="right"/>
              <w:ind w:right="392"/>
              <w:spacing w:after="0"/>
              <w:rPr>
                <w:sz w:val="20"/>
                <w:szCs w:val="20"/>
                <w:color w:val="auto"/>
              </w:rPr>
            </w:pPr>
            <w:r>
              <w:rPr>
                <w:rFonts w:ascii="Verdana" w:cs="Verdana" w:eastAsia="Verdana" w:hAnsi="Verdana"/>
                <w:sz w:val="18"/>
                <w:szCs w:val="18"/>
                <w:color w:val="auto"/>
                <w:w w:val="87"/>
              </w:rPr>
              <w:t>4.1</w:t>
            </w:r>
          </w:p>
        </w:tc>
        <w:tc>
          <w:tcPr>
            <w:tcW w:w="10100" w:type="dxa"/>
            <w:vAlign w:val="bottom"/>
          </w:tcPr>
          <w:p>
            <w:pPr>
              <w:ind w:left="480"/>
              <w:spacing w:after="0"/>
              <w:rPr>
                <w:sz w:val="20"/>
                <w:szCs w:val="20"/>
                <w:color w:val="auto"/>
              </w:rPr>
            </w:pPr>
            <w:r>
              <w:rPr>
                <w:rFonts w:ascii="Verdana" w:cs="Verdana" w:eastAsia="Verdana" w:hAnsi="Verdana"/>
                <w:sz w:val="18"/>
                <w:szCs w:val="18"/>
                <w:color w:val="auto"/>
              </w:rPr>
              <w:t>Credit Agreement dated as of March 17, 1998 among the Company, Citibank, N.A., Wachovia Bank of</w:t>
            </w:r>
          </w:p>
        </w:tc>
      </w:tr>
      <w:tr>
        <w:trPr>
          <w:trHeight w:val="216"/>
        </w:trPr>
        <w:tc>
          <w:tcPr>
            <w:tcW w:w="760" w:type="dxa"/>
            <w:vAlign w:val="bottom"/>
          </w:tcPr>
          <w:p>
            <w:pPr>
              <w:spacing w:after="0"/>
              <w:rPr>
                <w:sz w:val="18"/>
                <w:szCs w:val="18"/>
                <w:color w:val="auto"/>
              </w:rPr>
            </w:pPr>
          </w:p>
        </w:tc>
        <w:tc>
          <w:tcPr>
            <w:tcW w:w="10100" w:type="dxa"/>
            <w:vAlign w:val="bottom"/>
          </w:tcPr>
          <w:p>
            <w:pPr>
              <w:ind w:left="480"/>
              <w:spacing w:after="0" w:line="217" w:lineRule="exact"/>
              <w:rPr>
                <w:sz w:val="20"/>
                <w:szCs w:val="20"/>
                <w:color w:val="auto"/>
              </w:rPr>
            </w:pPr>
            <w:r>
              <w:rPr>
                <w:rFonts w:ascii="Verdana" w:cs="Verdana" w:eastAsia="Verdana" w:hAnsi="Verdana"/>
                <w:sz w:val="18"/>
                <w:szCs w:val="18"/>
                <w:color w:val="auto"/>
              </w:rPr>
              <w:t>Georgia, N.A., and the other Lenders named therein (incorporated by reference to Exhibit 4.1 to the</w:t>
            </w:r>
          </w:p>
        </w:tc>
      </w:tr>
      <w:tr>
        <w:trPr>
          <w:trHeight w:val="216"/>
        </w:trPr>
        <w:tc>
          <w:tcPr>
            <w:tcW w:w="760" w:type="dxa"/>
            <w:vAlign w:val="bottom"/>
          </w:tcPr>
          <w:p>
            <w:pPr>
              <w:spacing w:after="0"/>
              <w:rPr>
                <w:sz w:val="18"/>
                <w:szCs w:val="18"/>
                <w:color w:val="auto"/>
              </w:rPr>
            </w:pPr>
          </w:p>
        </w:tc>
        <w:tc>
          <w:tcPr>
            <w:tcW w:w="10100" w:type="dxa"/>
            <w:vAlign w:val="bottom"/>
          </w:tcPr>
          <w:p>
            <w:pPr>
              <w:ind w:left="480"/>
              <w:spacing w:after="0" w:line="217" w:lineRule="exact"/>
              <w:rPr>
                <w:sz w:val="20"/>
                <w:szCs w:val="20"/>
                <w:color w:val="auto"/>
              </w:rPr>
            </w:pPr>
            <w:r>
              <w:rPr>
                <w:rFonts w:ascii="Verdana" w:cs="Verdana" w:eastAsia="Verdana" w:hAnsi="Verdana"/>
                <w:sz w:val="18"/>
                <w:szCs w:val="18"/>
                <w:color w:val="auto"/>
              </w:rPr>
              <w:t>Company’s Annual Report on Form 10-K for the fiscal year ended December 28, 1997).</w:t>
            </w:r>
          </w:p>
        </w:tc>
      </w:tr>
      <w:tr>
        <w:trPr>
          <w:trHeight w:val="324"/>
        </w:trPr>
        <w:tc>
          <w:tcPr>
            <w:tcW w:w="760" w:type="dxa"/>
            <w:vAlign w:val="bottom"/>
          </w:tcPr>
          <w:p>
            <w:pPr>
              <w:jc w:val="right"/>
              <w:ind w:right="392"/>
              <w:spacing w:after="0"/>
              <w:rPr>
                <w:sz w:val="20"/>
                <w:szCs w:val="20"/>
                <w:color w:val="auto"/>
              </w:rPr>
            </w:pPr>
            <w:r>
              <w:rPr>
                <w:rFonts w:ascii="Verdana" w:cs="Verdana" w:eastAsia="Verdana" w:hAnsi="Verdana"/>
                <w:sz w:val="18"/>
                <w:szCs w:val="18"/>
                <w:color w:val="auto"/>
                <w:w w:val="87"/>
              </w:rPr>
              <w:t>4.2</w:t>
            </w:r>
          </w:p>
        </w:tc>
        <w:tc>
          <w:tcPr>
            <w:tcW w:w="10100" w:type="dxa"/>
            <w:vAlign w:val="bottom"/>
          </w:tcPr>
          <w:p>
            <w:pPr>
              <w:ind w:left="480"/>
              <w:spacing w:after="0"/>
              <w:rPr>
                <w:sz w:val="20"/>
                <w:szCs w:val="20"/>
                <w:color w:val="auto"/>
              </w:rPr>
            </w:pPr>
            <w:r>
              <w:rPr>
                <w:rFonts w:ascii="Verdana" w:cs="Verdana" w:eastAsia="Verdana" w:hAnsi="Verdana"/>
                <w:sz w:val="18"/>
                <w:szCs w:val="18"/>
                <w:color w:val="auto"/>
                <w:w w:val="99"/>
              </w:rPr>
              <w:t>Assignment and Acceptance Agreement and Assumption Agreement, each dated as of February 28, 2002,</w:t>
            </w:r>
          </w:p>
        </w:tc>
      </w:tr>
      <w:tr>
        <w:trPr>
          <w:trHeight w:val="216"/>
        </w:trPr>
        <w:tc>
          <w:tcPr>
            <w:tcW w:w="760" w:type="dxa"/>
            <w:vAlign w:val="bottom"/>
          </w:tcPr>
          <w:p>
            <w:pPr>
              <w:spacing w:after="0"/>
              <w:rPr>
                <w:sz w:val="18"/>
                <w:szCs w:val="18"/>
                <w:color w:val="auto"/>
              </w:rPr>
            </w:pPr>
          </w:p>
        </w:tc>
        <w:tc>
          <w:tcPr>
            <w:tcW w:w="10100" w:type="dxa"/>
            <w:vAlign w:val="bottom"/>
          </w:tcPr>
          <w:p>
            <w:pPr>
              <w:ind w:left="480"/>
              <w:spacing w:after="0" w:line="217" w:lineRule="exact"/>
              <w:rPr>
                <w:sz w:val="20"/>
                <w:szCs w:val="20"/>
                <w:color w:val="auto"/>
              </w:rPr>
            </w:pPr>
            <w:r>
              <w:rPr>
                <w:rFonts w:ascii="Verdana" w:cs="Verdana" w:eastAsia="Verdana" w:hAnsi="Verdana"/>
                <w:sz w:val="18"/>
                <w:szCs w:val="18"/>
                <w:color w:val="auto"/>
                <w:w w:val="97"/>
              </w:rPr>
              <w:t>pursuant to which GE Capital CFE, Inc. became an Assuming Lender under the Credit Agreement dated as of</w:t>
            </w:r>
          </w:p>
        </w:tc>
      </w:tr>
      <w:tr>
        <w:trPr>
          <w:trHeight w:val="216"/>
        </w:trPr>
        <w:tc>
          <w:tcPr>
            <w:tcW w:w="760" w:type="dxa"/>
            <w:vAlign w:val="bottom"/>
          </w:tcPr>
          <w:p>
            <w:pPr>
              <w:spacing w:after="0"/>
              <w:rPr>
                <w:sz w:val="18"/>
                <w:szCs w:val="18"/>
                <w:color w:val="auto"/>
              </w:rPr>
            </w:pPr>
          </w:p>
        </w:tc>
        <w:tc>
          <w:tcPr>
            <w:tcW w:w="10100" w:type="dxa"/>
            <w:vAlign w:val="bottom"/>
          </w:tcPr>
          <w:p>
            <w:pPr>
              <w:ind w:left="480"/>
              <w:spacing w:after="0" w:line="217" w:lineRule="exact"/>
              <w:rPr>
                <w:sz w:val="20"/>
                <w:szCs w:val="20"/>
                <w:color w:val="auto"/>
              </w:rPr>
            </w:pPr>
            <w:r>
              <w:rPr>
                <w:rFonts w:ascii="Verdana" w:cs="Verdana" w:eastAsia="Verdana" w:hAnsi="Verdana"/>
                <w:sz w:val="18"/>
                <w:szCs w:val="18"/>
                <w:color w:val="auto"/>
              </w:rPr>
              <w:t>March 17, 1998, among the Company, Citibank, N.A., Wachovia Bank of Georgia, N.A., and the other</w:t>
            </w:r>
          </w:p>
        </w:tc>
      </w:tr>
      <w:tr>
        <w:trPr>
          <w:trHeight w:val="216"/>
        </w:trPr>
        <w:tc>
          <w:tcPr>
            <w:tcW w:w="760" w:type="dxa"/>
            <w:vAlign w:val="bottom"/>
          </w:tcPr>
          <w:p>
            <w:pPr>
              <w:spacing w:after="0"/>
              <w:rPr>
                <w:sz w:val="18"/>
                <w:szCs w:val="18"/>
                <w:color w:val="auto"/>
              </w:rPr>
            </w:pPr>
          </w:p>
        </w:tc>
        <w:tc>
          <w:tcPr>
            <w:tcW w:w="10100" w:type="dxa"/>
            <w:vAlign w:val="bottom"/>
          </w:tcPr>
          <w:p>
            <w:pPr>
              <w:ind w:left="480"/>
              <w:spacing w:after="0" w:line="217" w:lineRule="exact"/>
              <w:rPr>
                <w:sz w:val="20"/>
                <w:szCs w:val="20"/>
                <w:color w:val="auto"/>
              </w:rPr>
            </w:pPr>
            <w:r>
              <w:rPr>
                <w:rFonts w:ascii="Verdana" w:cs="Verdana" w:eastAsia="Verdana" w:hAnsi="Verdana"/>
                <w:sz w:val="18"/>
                <w:szCs w:val="18"/>
                <w:color w:val="auto"/>
                <w:w w:val="99"/>
              </w:rPr>
              <w:t>Lenders named therein (incorporated by reference to Exhibit 4.2 to the Company’s Annual Report on Form</w:t>
            </w:r>
          </w:p>
        </w:tc>
      </w:tr>
      <w:tr>
        <w:trPr>
          <w:trHeight w:val="216"/>
        </w:trPr>
        <w:tc>
          <w:tcPr>
            <w:tcW w:w="760" w:type="dxa"/>
            <w:vAlign w:val="bottom"/>
          </w:tcPr>
          <w:p>
            <w:pPr>
              <w:spacing w:after="0"/>
              <w:rPr>
                <w:sz w:val="18"/>
                <w:szCs w:val="18"/>
                <w:color w:val="auto"/>
              </w:rPr>
            </w:pPr>
          </w:p>
        </w:tc>
        <w:tc>
          <w:tcPr>
            <w:tcW w:w="10100" w:type="dxa"/>
            <w:vAlign w:val="bottom"/>
          </w:tcPr>
          <w:p>
            <w:pPr>
              <w:ind w:left="480"/>
              <w:spacing w:after="0" w:line="217" w:lineRule="exact"/>
              <w:rPr>
                <w:sz w:val="20"/>
                <w:szCs w:val="20"/>
                <w:color w:val="auto"/>
              </w:rPr>
            </w:pPr>
            <w:r>
              <w:rPr>
                <w:rFonts w:ascii="Verdana" w:cs="Verdana" w:eastAsia="Verdana" w:hAnsi="Verdana"/>
                <w:sz w:val="18"/>
                <w:szCs w:val="18"/>
                <w:color w:val="auto"/>
              </w:rPr>
              <w:t>10-K for the fiscal year ended December 30, 2001).</w:t>
            </w:r>
          </w:p>
        </w:tc>
      </w:tr>
      <w:tr>
        <w:trPr>
          <w:trHeight w:val="324"/>
        </w:trPr>
        <w:tc>
          <w:tcPr>
            <w:tcW w:w="760" w:type="dxa"/>
            <w:vAlign w:val="bottom"/>
          </w:tcPr>
          <w:p>
            <w:pPr>
              <w:jc w:val="right"/>
              <w:ind w:right="392"/>
              <w:spacing w:after="0"/>
              <w:rPr>
                <w:sz w:val="20"/>
                <w:szCs w:val="20"/>
                <w:color w:val="auto"/>
              </w:rPr>
            </w:pPr>
            <w:r>
              <w:rPr>
                <w:rFonts w:ascii="Verdana" w:cs="Verdana" w:eastAsia="Verdana" w:hAnsi="Verdana"/>
                <w:sz w:val="18"/>
                <w:szCs w:val="18"/>
                <w:color w:val="auto"/>
                <w:w w:val="87"/>
              </w:rPr>
              <w:t>4.3</w:t>
            </w:r>
          </w:p>
        </w:tc>
        <w:tc>
          <w:tcPr>
            <w:tcW w:w="10100" w:type="dxa"/>
            <w:vAlign w:val="bottom"/>
          </w:tcPr>
          <w:p>
            <w:pPr>
              <w:ind w:left="480"/>
              <w:spacing w:after="0"/>
              <w:rPr>
                <w:sz w:val="20"/>
                <w:szCs w:val="20"/>
                <w:color w:val="auto"/>
              </w:rPr>
            </w:pPr>
            <w:r>
              <w:rPr>
                <w:rFonts w:ascii="Verdana" w:cs="Verdana" w:eastAsia="Verdana" w:hAnsi="Verdana"/>
                <w:sz w:val="18"/>
                <w:szCs w:val="18"/>
                <w:color w:val="auto"/>
              </w:rPr>
              <w:t>Form of the Company’s 5.50% Notes due February 15, 2009, issued under the Indenture dated as of</w:t>
            </w:r>
          </w:p>
        </w:tc>
      </w:tr>
      <w:tr>
        <w:trPr>
          <w:trHeight w:val="216"/>
        </w:trPr>
        <w:tc>
          <w:tcPr>
            <w:tcW w:w="760" w:type="dxa"/>
            <w:vAlign w:val="bottom"/>
          </w:tcPr>
          <w:p>
            <w:pPr>
              <w:spacing w:after="0"/>
              <w:rPr>
                <w:sz w:val="18"/>
                <w:szCs w:val="18"/>
                <w:color w:val="auto"/>
              </w:rPr>
            </w:pPr>
          </w:p>
        </w:tc>
        <w:tc>
          <w:tcPr>
            <w:tcW w:w="10100" w:type="dxa"/>
            <w:vAlign w:val="bottom"/>
          </w:tcPr>
          <w:p>
            <w:pPr>
              <w:ind w:left="480"/>
              <w:spacing w:after="0" w:line="217" w:lineRule="exact"/>
              <w:rPr>
                <w:sz w:val="20"/>
                <w:szCs w:val="20"/>
                <w:color w:val="auto"/>
              </w:rPr>
            </w:pPr>
            <w:r>
              <w:rPr>
                <w:rFonts w:ascii="Verdana" w:cs="Verdana" w:eastAsia="Verdana" w:hAnsi="Verdana"/>
                <w:sz w:val="18"/>
                <w:szCs w:val="18"/>
                <w:color w:val="auto"/>
                <w:w w:val="98"/>
              </w:rPr>
              <w:t>February 17, 1999, between the Company and The First National Bank of Chicago, as Trustee (incorporated</w:t>
            </w:r>
          </w:p>
        </w:tc>
      </w:tr>
      <w:tr>
        <w:trPr>
          <w:trHeight w:val="216"/>
        </w:trPr>
        <w:tc>
          <w:tcPr>
            <w:tcW w:w="760" w:type="dxa"/>
            <w:vAlign w:val="bottom"/>
          </w:tcPr>
          <w:p>
            <w:pPr>
              <w:spacing w:after="0"/>
              <w:rPr>
                <w:sz w:val="18"/>
                <w:szCs w:val="18"/>
                <w:color w:val="auto"/>
              </w:rPr>
            </w:pPr>
          </w:p>
        </w:tc>
        <w:tc>
          <w:tcPr>
            <w:tcW w:w="10100" w:type="dxa"/>
            <w:vAlign w:val="bottom"/>
          </w:tcPr>
          <w:p>
            <w:pPr>
              <w:ind w:left="480"/>
              <w:spacing w:after="0" w:line="217" w:lineRule="exact"/>
              <w:rPr>
                <w:sz w:val="20"/>
                <w:szCs w:val="20"/>
                <w:color w:val="auto"/>
              </w:rPr>
            </w:pPr>
            <w:r>
              <w:rPr>
                <w:rFonts w:ascii="Verdana" w:cs="Verdana" w:eastAsia="Verdana" w:hAnsi="Verdana"/>
                <w:sz w:val="18"/>
                <w:szCs w:val="18"/>
                <w:color w:val="auto"/>
                <w:w w:val="98"/>
              </w:rPr>
              <w:t>by reference to Exhibit 4.2 to the Company’s Annual Report on Form 10-K for the fiscal year ended January</w:t>
            </w:r>
          </w:p>
        </w:tc>
      </w:tr>
      <w:tr>
        <w:trPr>
          <w:trHeight w:val="216"/>
        </w:trPr>
        <w:tc>
          <w:tcPr>
            <w:tcW w:w="760" w:type="dxa"/>
            <w:vAlign w:val="bottom"/>
          </w:tcPr>
          <w:p>
            <w:pPr>
              <w:spacing w:after="0"/>
              <w:rPr>
                <w:sz w:val="18"/>
                <w:szCs w:val="18"/>
                <w:color w:val="auto"/>
              </w:rPr>
            </w:pPr>
          </w:p>
        </w:tc>
        <w:tc>
          <w:tcPr>
            <w:tcW w:w="10100" w:type="dxa"/>
            <w:vAlign w:val="bottom"/>
          </w:tcPr>
          <w:p>
            <w:pPr>
              <w:ind w:left="480"/>
              <w:spacing w:after="0" w:line="217" w:lineRule="exact"/>
              <w:rPr>
                <w:sz w:val="20"/>
                <w:szCs w:val="20"/>
                <w:color w:val="auto"/>
              </w:rPr>
            </w:pPr>
            <w:r>
              <w:rPr>
                <w:rFonts w:ascii="Verdana" w:cs="Verdana" w:eastAsia="Verdana" w:hAnsi="Verdana"/>
                <w:sz w:val="18"/>
                <w:szCs w:val="18"/>
                <w:color w:val="auto"/>
              </w:rPr>
              <w:t>3, 1999).</w:t>
            </w:r>
          </w:p>
        </w:tc>
      </w:tr>
      <w:tr>
        <w:trPr>
          <w:trHeight w:val="324"/>
        </w:trPr>
        <w:tc>
          <w:tcPr>
            <w:tcW w:w="760" w:type="dxa"/>
            <w:vAlign w:val="bottom"/>
          </w:tcPr>
          <w:p>
            <w:pPr>
              <w:jc w:val="right"/>
              <w:ind w:right="392"/>
              <w:spacing w:after="0"/>
              <w:rPr>
                <w:sz w:val="20"/>
                <w:szCs w:val="20"/>
                <w:color w:val="auto"/>
              </w:rPr>
            </w:pPr>
            <w:r>
              <w:rPr>
                <w:rFonts w:ascii="Verdana" w:cs="Verdana" w:eastAsia="Verdana" w:hAnsi="Verdana"/>
                <w:sz w:val="18"/>
                <w:szCs w:val="18"/>
                <w:color w:val="auto"/>
                <w:w w:val="87"/>
              </w:rPr>
              <w:t>4.4</w:t>
            </w:r>
          </w:p>
        </w:tc>
        <w:tc>
          <w:tcPr>
            <w:tcW w:w="10100" w:type="dxa"/>
            <w:vAlign w:val="bottom"/>
          </w:tcPr>
          <w:p>
            <w:pPr>
              <w:ind w:left="480"/>
              <w:spacing w:after="0"/>
              <w:rPr>
                <w:sz w:val="20"/>
                <w:szCs w:val="20"/>
                <w:color w:val="auto"/>
              </w:rPr>
            </w:pPr>
            <w:r>
              <w:rPr>
                <w:rFonts w:ascii="Verdana" w:cs="Verdana" w:eastAsia="Verdana" w:hAnsi="Verdana"/>
                <w:sz w:val="18"/>
                <w:szCs w:val="18"/>
                <w:color w:val="auto"/>
                <w:w w:val="97"/>
              </w:rPr>
              <w:t>Indenture dated as of February 17, 1999, between the Company and The First National Bank of Chicago, as</w:t>
            </w:r>
          </w:p>
        </w:tc>
      </w:tr>
      <w:tr>
        <w:trPr>
          <w:trHeight w:val="216"/>
        </w:trPr>
        <w:tc>
          <w:tcPr>
            <w:tcW w:w="760" w:type="dxa"/>
            <w:vAlign w:val="bottom"/>
          </w:tcPr>
          <w:p>
            <w:pPr>
              <w:spacing w:after="0"/>
              <w:rPr>
                <w:sz w:val="18"/>
                <w:szCs w:val="18"/>
                <w:color w:val="auto"/>
              </w:rPr>
            </w:pPr>
          </w:p>
        </w:tc>
        <w:tc>
          <w:tcPr>
            <w:tcW w:w="10100" w:type="dxa"/>
            <w:vAlign w:val="bottom"/>
          </w:tcPr>
          <w:p>
            <w:pPr>
              <w:ind w:left="480"/>
              <w:spacing w:after="0" w:line="217" w:lineRule="exact"/>
              <w:rPr>
                <w:sz w:val="20"/>
                <w:szCs w:val="20"/>
                <w:color w:val="auto"/>
              </w:rPr>
            </w:pPr>
            <w:r>
              <w:rPr>
                <w:rFonts w:ascii="Verdana" w:cs="Verdana" w:eastAsia="Verdana" w:hAnsi="Verdana"/>
                <w:sz w:val="18"/>
                <w:szCs w:val="18"/>
                <w:color w:val="auto"/>
              </w:rPr>
              <w:t>Trustee (incorporated by reference to Exhibit 4.3 to the Company’s Annual Report on Form 10-K for the</w:t>
            </w:r>
          </w:p>
        </w:tc>
      </w:tr>
      <w:tr>
        <w:trPr>
          <w:trHeight w:val="216"/>
        </w:trPr>
        <w:tc>
          <w:tcPr>
            <w:tcW w:w="760" w:type="dxa"/>
            <w:vAlign w:val="bottom"/>
          </w:tcPr>
          <w:p>
            <w:pPr>
              <w:spacing w:after="0"/>
              <w:rPr>
                <w:sz w:val="18"/>
                <w:szCs w:val="18"/>
                <w:color w:val="auto"/>
              </w:rPr>
            </w:pPr>
          </w:p>
        </w:tc>
        <w:tc>
          <w:tcPr>
            <w:tcW w:w="10100" w:type="dxa"/>
            <w:vAlign w:val="bottom"/>
          </w:tcPr>
          <w:p>
            <w:pPr>
              <w:ind w:left="480"/>
              <w:spacing w:after="0" w:line="217" w:lineRule="exact"/>
              <w:rPr>
                <w:sz w:val="20"/>
                <w:szCs w:val="20"/>
                <w:color w:val="auto"/>
              </w:rPr>
            </w:pPr>
            <w:r>
              <w:rPr>
                <w:rFonts w:ascii="Verdana" w:cs="Verdana" w:eastAsia="Verdana" w:hAnsi="Verdana"/>
                <w:sz w:val="18"/>
                <w:szCs w:val="18"/>
                <w:color w:val="auto"/>
              </w:rPr>
              <w:t>fiscal year ended January 3, 1999).</w:t>
            </w:r>
          </w:p>
        </w:tc>
      </w:tr>
      <w:tr>
        <w:trPr>
          <w:trHeight w:val="324"/>
        </w:trPr>
        <w:tc>
          <w:tcPr>
            <w:tcW w:w="760" w:type="dxa"/>
            <w:vAlign w:val="bottom"/>
          </w:tcPr>
          <w:p>
            <w:pPr>
              <w:jc w:val="right"/>
              <w:ind w:right="392"/>
              <w:spacing w:after="0"/>
              <w:rPr>
                <w:sz w:val="20"/>
                <w:szCs w:val="20"/>
                <w:color w:val="auto"/>
              </w:rPr>
            </w:pPr>
            <w:r>
              <w:rPr>
                <w:rFonts w:ascii="Verdana" w:cs="Verdana" w:eastAsia="Verdana" w:hAnsi="Verdana"/>
                <w:sz w:val="18"/>
                <w:szCs w:val="18"/>
                <w:color w:val="auto"/>
                <w:w w:val="87"/>
              </w:rPr>
              <w:t>4.5</w:t>
            </w:r>
          </w:p>
        </w:tc>
        <w:tc>
          <w:tcPr>
            <w:tcW w:w="10100" w:type="dxa"/>
            <w:vAlign w:val="bottom"/>
          </w:tcPr>
          <w:p>
            <w:pPr>
              <w:ind w:left="480"/>
              <w:spacing w:after="0"/>
              <w:rPr>
                <w:sz w:val="20"/>
                <w:szCs w:val="20"/>
                <w:color w:val="auto"/>
              </w:rPr>
            </w:pPr>
            <w:r>
              <w:rPr>
                <w:rFonts w:ascii="Verdana" w:cs="Verdana" w:eastAsia="Verdana" w:hAnsi="Verdana"/>
                <w:sz w:val="18"/>
                <w:szCs w:val="18"/>
                <w:color w:val="auto"/>
                <w:w w:val="98"/>
              </w:rPr>
              <w:t>364-Day Credit Agreement dated as of September 20, 2000, among the Company, Citibank, N.A., Suntrust</w:t>
            </w:r>
          </w:p>
        </w:tc>
      </w:tr>
      <w:tr>
        <w:trPr>
          <w:trHeight w:val="216"/>
        </w:trPr>
        <w:tc>
          <w:tcPr>
            <w:tcW w:w="760" w:type="dxa"/>
            <w:vAlign w:val="bottom"/>
          </w:tcPr>
          <w:p>
            <w:pPr>
              <w:spacing w:after="0"/>
              <w:rPr>
                <w:sz w:val="18"/>
                <w:szCs w:val="18"/>
                <w:color w:val="auto"/>
              </w:rPr>
            </w:pPr>
          </w:p>
        </w:tc>
        <w:tc>
          <w:tcPr>
            <w:tcW w:w="10100" w:type="dxa"/>
            <w:vAlign w:val="bottom"/>
          </w:tcPr>
          <w:p>
            <w:pPr>
              <w:ind w:left="480"/>
              <w:spacing w:after="0" w:line="217" w:lineRule="exact"/>
              <w:rPr>
                <w:sz w:val="20"/>
                <w:szCs w:val="20"/>
                <w:color w:val="auto"/>
              </w:rPr>
            </w:pPr>
            <w:r>
              <w:rPr>
                <w:rFonts w:ascii="Verdana" w:cs="Verdana" w:eastAsia="Verdana" w:hAnsi="Verdana"/>
                <w:sz w:val="18"/>
                <w:szCs w:val="18"/>
                <w:color w:val="auto"/>
                <w:w w:val="98"/>
              </w:rPr>
              <w:t>Bank and The Chase Manhattan Bank (incorporated by reference to Exhibit 4.4 to the Company’s Quarterly</w:t>
            </w:r>
          </w:p>
        </w:tc>
      </w:tr>
      <w:tr>
        <w:trPr>
          <w:trHeight w:val="216"/>
        </w:trPr>
        <w:tc>
          <w:tcPr>
            <w:tcW w:w="760" w:type="dxa"/>
            <w:vAlign w:val="bottom"/>
          </w:tcPr>
          <w:p>
            <w:pPr>
              <w:spacing w:after="0"/>
              <w:rPr>
                <w:sz w:val="18"/>
                <w:szCs w:val="18"/>
                <w:color w:val="auto"/>
              </w:rPr>
            </w:pPr>
          </w:p>
        </w:tc>
        <w:tc>
          <w:tcPr>
            <w:tcW w:w="10100" w:type="dxa"/>
            <w:vAlign w:val="bottom"/>
          </w:tcPr>
          <w:p>
            <w:pPr>
              <w:ind w:left="480"/>
              <w:spacing w:after="0" w:line="217" w:lineRule="exact"/>
              <w:rPr>
                <w:sz w:val="20"/>
                <w:szCs w:val="20"/>
                <w:color w:val="auto"/>
              </w:rPr>
            </w:pPr>
            <w:r>
              <w:rPr>
                <w:rFonts w:ascii="Verdana" w:cs="Verdana" w:eastAsia="Verdana" w:hAnsi="Verdana"/>
                <w:sz w:val="18"/>
                <w:szCs w:val="18"/>
                <w:color w:val="auto"/>
              </w:rPr>
              <w:t>Report on Form 10-Q for the quarter ended October 1, 2000).</w:t>
            </w:r>
          </w:p>
        </w:tc>
      </w:tr>
      <w:tr>
        <w:trPr>
          <w:trHeight w:val="324"/>
        </w:trPr>
        <w:tc>
          <w:tcPr>
            <w:tcW w:w="760" w:type="dxa"/>
            <w:vAlign w:val="bottom"/>
          </w:tcPr>
          <w:p>
            <w:pPr>
              <w:jc w:val="right"/>
              <w:ind w:right="392"/>
              <w:spacing w:after="0"/>
              <w:rPr>
                <w:sz w:val="20"/>
                <w:szCs w:val="20"/>
                <w:color w:val="auto"/>
              </w:rPr>
            </w:pPr>
            <w:r>
              <w:rPr>
                <w:rFonts w:ascii="Verdana" w:cs="Verdana" w:eastAsia="Verdana" w:hAnsi="Verdana"/>
                <w:sz w:val="18"/>
                <w:szCs w:val="18"/>
                <w:color w:val="auto"/>
                <w:w w:val="87"/>
              </w:rPr>
              <w:t>4.6</w:t>
            </w:r>
          </w:p>
        </w:tc>
        <w:tc>
          <w:tcPr>
            <w:tcW w:w="10100" w:type="dxa"/>
            <w:vAlign w:val="bottom"/>
          </w:tcPr>
          <w:p>
            <w:pPr>
              <w:ind w:left="480"/>
              <w:spacing w:after="0"/>
              <w:rPr>
                <w:sz w:val="20"/>
                <w:szCs w:val="20"/>
                <w:color w:val="auto"/>
              </w:rPr>
            </w:pPr>
            <w:r>
              <w:rPr>
                <w:rFonts w:ascii="Verdana" w:cs="Verdana" w:eastAsia="Verdana" w:hAnsi="Verdana"/>
                <w:sz w:val="18"/>
                <w:szCs w:val="18"/>
                <w:color w:val="auto"/>
                <w:w w:val="98"/>
              </w:rPr>
              <w:t>Amendment and Restatement dated as of September 19, 2001, to the 364-Day Credit Agreement dated as</w:t>
            </w:r>
          </w:p>
        </w:tc>
      </w:tr>
    </w:tbl>
    <w:p>
      <w:pPr>
        <w:sectPr>
          <w:pgSz w:w="11900" w:h="16838" w:orient="portrait"/>
          <w:cols w:equalWidth="0" w:num="1">
            <w:col w:w="11420"/>
          </w:cols>
          <w:pgMar w:left="240" w:top="140" w:right="239" w:bottom="0" w:gutter="0" w:footer="0" w:header="0"/>
          <w:type w:val="continuous"/>
        </w:sectPr>
      </w:pPr>
    </w:p>
    <w:bookmarkStart w:id="11" w:name="page12"/>
    <w:bookmarkEnd w:id="11"/>
    <w:p>
      <w:pPr>
        <w:ind w:left="1660" w:right="140"/>
        <w:spacing w:after="0" w:line="235" w:lineRule="auto"/>
        <w:rPr>
          <w:sz w:val="20"/>
          <w:szCs w:val="20"/>
          <w:color w:val="auto"/>
        </w:rPr>
      </w:pPr>
      <w:r>
        <w:rPr>
          <w:rFonts w:ascii="Verdana" w:cs="Verdana" w:eastAsia="Verdana" w:hAnsi="Verdana"/>
          <w:sz w:val="18"/>
          <w:szCs w:val="18"/>
          <w:color w:val="auto"/>
        </w:rPr>
        <w:t>of September 20, 2000, among the Company, Citibank, N.A., SunTrust Bank and The Chase Manhattan Bank (incorporated by reference to Exhibit 4.5 to the Company’s Quarterly Report on Form 10-Q for the quarter ended September 30, 2001).</w:t>
      </w:r>
    </w:p>
    <w:p>
      <w:pPr>
        <w:spacing w:after="0" w:line="120" w:lineRule="exact"/>
        <w:rPr>
          <w:sz w:val="20"/>
          <w:szCs w:val="20"/>
          <w:color w:val="auto"/>
        </w:rPr>
      </w:pPr>
    </w:p>
    <w:p>
      <w:pPr>
        <w:ind w:left="1660" w:hanging="1210"/>
        <w:spacing w:after="0"/>
        <w:tabs>
          <w:tab w:leader="none" w:pos="1660" w:val="left"/>
        </w:tabs>
        <w:numPr>
          <w:ilvl w:val="1"/>
          <w:numId w:val="2"/>
        </w:numPr>
        <w:rPr>
          <w:rFonts w:ascii="Verdana" w:cs="Verdana" w:eastAsia="Verdana" w:hAnsi="Verdana"/>
          <w:sz w:val="18"/>
          <w:szCs w:val="18"/>
          <w:color w:val="auto"/>
        </w:rPr>
      </w:pPr>
      <w:r>
        <w:rPr>
          <w:rFonts w:ascii="Verdana" w:cs="Verdana" w:eastAsia="Verdana" w:hAnsi="Verdana"/>
          <w:sz w:val="18"/>
          <w:szCs w:val="18"/>
          <w:color w:val="auto"/>
        </w:rPr>
        <w:t>Calculation of Earnings per Share of Common Stock.</w:t>
      </w:r>
    </w:p>
    <w:p>
      <w:pPr>
        <w:spacing w:after="0" w:line="334" w:lineRule="exact"/>
        <w:rPr>
          <w:rFonts w:ascii="Verdana" w:cs="Verdana" w:eastAsia="Verdana" w:hAnsi="Verdana"/>
          <w:sz w:val="18"/>
          <w:szCs w:val="18"/>
          <w:color w:val="auto"/>
        </w:rPr>
      </w:pPr>
    </w:p>
    <w:p>
      <w:pPr>
        <w:ind w:left="640" w:hanging="447"/>
        <w:spacing w:after="0"/>
        <w:tabs>
          <w:tab w:leader="none" w:pos="640"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No reports on Form 8-K were filed during the period covered by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Verdana" w:cs="Verdana" w:eastAsia="Verdana" w:hAnsi="Verdana"/>
          <w:sz w:val="18"/>
          <w:szCs w:val="18"/>
          <w:color w:val="auto"/>
        </w:rPr>
        <w:t>18.</w:t>
      </w:r>
    </w:p>
    <w:p>
      <w:pPr>
        <w:jc w:val="center"/>
        <w:ind w:right="1800"/>
        <w:spacing w:after="0" w:line="237" w:lineRule="auto"/>
        <w:rPr>
          <w:sz w:val="20"/>
          <w:szCs w:val="20"/>
          <w:color w:val="auto"/>
        </w:rPr>
      </w:pPr>
      <w:r>
        <w:rPr>
          <w:rFonts w:ascii="Verdana" w:cs="Verdana" w:eastAsia="Verdana" w:hAnsi="Verdana"/>
          <w:sz w:val="18"/>
          <w:szCs w:val="18"/>
          <w:b w:val="1"/>
          <w:bCs w:val="1"/>
          <w:color w:val="auto"/>
        </w:rPr>
        <w:t>SIGNATURES</w:t>
      </w:r>
    </w:p>
    <w:p>
      <w:pPr>
        <w:spacing w:after="0" w:line="220" w:lineRule="exact"/>
        <w:rPr>
          <w:sz w:val="20"/>
          <w:szCs w:val="20"/>
          <w:color w:val="auto"/>
        </w:rPr>
      </w:pPr>
    </w:p>
    <w:p>
      <w:pPr>
        <w:ind w:right="2140"/>
        <w:spacing w:after="0" w:line="235" w:lineRule="auto"/>
        <w:rPr>
          <w:sz w:val="20"/>
          <w:szCs w:val="20"/>
          <w:color w:val="auto"/>
        </w:rPr>
      </w:pPr>
      <w:r>
        <w:rPr>
          <w:rFonts w:ascii="Verdana" w:cs="Verdana" w:eastAsia="Verdana" w:hAnsi="Verdana"/>
          <w:sz w:val="18"/>
          <w:szCs w:val="18"/>
          <w:color w:val="auto"/>
        </w:rPr>
        <w:t>Pursuant to the requirements of the Securities Exchange Act of 1934, the registrant has duly caused this report to be signed on its behalf by the undersigned thereunto duly authorized.</w:t>
      </w:r>
    </w:p>
    <w:p>
      <w:pPr>
        <w:spacing w:after="0" w:line="241" w:lineRule="exact"/>
        <w:rPr>
          <w:sz w:val="20"/>
          <w:szCs w:val="20"/>
          <w:color w:val="auto"/>
        </w:rPr>
      </w:pPr>
    </w:p>
    <w:p>
      <w:pPr>
        <w:jc w:val="center"/>
        <w:ind w:left="1500"/>
        <w:spacing w:after="0"/>
        <w:rPr>
          <w:sz w:val="20"/>
          <w:szCs w:val="20"/>
          <w:color w:val="auto"/>
        </w:rPr>
      </w:pPr>
      <w:r>
        <w:rPr>
          <w:rFonts w:ascii="Verdana" w:cs="Verdana" w:eastAsia="Verdana" w:hAnsi="Verdana"/>
          <w:sz w:val="18"/>
          <w:szCs w:val="18"/>
          <w:color w:val="auto"/>
        </w:rPr>
        <w:t>THE WASHINGTON POST COMPANY</w:t>
      </w:r>
    </w:p>
    <w:p>
      <w:pPr>
        <w:ind w:left="6060"/>
        <w:spacing w:after="0" w:line="236" w:lineRule="auto"/>
        <w:rPr>
          <w:sz w:val="20"/>
          <w:szCs w:val="20"/>
          <w:color w:val="auto"/>
        </w:rPr>
      </w:pPr>
      <w:r>
        <w:rPr>
          <w:rFonts w:ascii="Verdana" w:cs="Verdana" w:eastAsia="Verdana" w:hAnsi="Verdana"/>
          <w:sz w:val="14"/>
          <w:szCs w:val="14"/>
          <w:color w:val="auto"/>
        </w:rPr>
        <w:t>(Registrant)</w:t>
      </w:r>
    </w:p>
    <w:p>
      <w:pPr>
        <w:spacing w:after="0" w:line="249" w:lineRule="exact"/>
        <w:rPr>
          <w:sz w:val="20"/>
          <w:szCs w:val="20"/>
          <w:color w:val="auto"/>
        </w:rPr>
      </w:pPr>
    </w:p>
    <w:p>
      <w:pPr>
        <w:spacing w:after="0"/>
        <w:tabs>
          <w:tab w:leader="none" w:pos="5480" w:val="left"/>
        </w:tabs>
        <w:rPr>
          <w:sz w:val="20"/>
          <w:szCs w:val="20"/>
          <w:color w:val="auto"/>
        </w:rPr>
      </w:pPr>
      <w:r>
        <w:rPr>
          <w:rFonts w:ascii="Verdana" w:cs="Verdana" w:eastAsia="Verdana" w:hAnsi="Verdana"/>
          <w:sz w:val="18"/>
          <w:szCs w:val="18"/>
          <w:color w:val="auto"/>
        </w:rPr>
        <w:t>Date: May 10, 2002</w:t>
      </w:r>
      <w:r>
        <w:rPr>
          <w:sz w:val="20"/>
          <w:szCs w:val="20"/>
          <w:color w:val="auto"/>
        </w:rPr>
        <w:tab/>
      </w:r>
      <w:r>
        <w:rPr>
          <w:rFonts w:ascii="Verdana" w:cs="Verdana" w:eastAsia="Verdana" w:hAnsi="Verdana"/>
          <w:sz w:val="16"/>
          <w:szCs w:val="16"/>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80010</wp:posOffset>
            </wp:positionV>
            <wp:extent cx="57543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34" w:lineRule="exact"/>
        <w:rPr>
          <w:sz w:val="20"/>
          <w:szCs w:val="20"/>
          <w:color w:val="auto"/>
        </w:rPr>
      </w:pPr>
    </w:p>
    <w:p>
      <w:pPr>
        <w:jc w:val="center"/>
        <w:ind w:left="1500"/>
        <w:spacing w:after="0"/>
        <w:rPr>
          <w:sz w:val="20"/>
          <w:szCs w:val="20"/>
          <w:color w:val="auto"/>
        </w:rPr>
      </w:pPr>
      <w:r>
        <w:rPr>
          <w:rFonts w:ascii="Verdana" w:cs="Verdana" w:eastAsia="Verdana" w:hAnsi="Verdana"/>
          <w:sz w:val="18"/>
          <w:szCs w:val="18"/>
          <w:color w:val="auto"/>
        </w:rPr>
        <w:t>Donald E. Graham, Chairman &amp; Chief Executive Officer</w:t>
      </w:r>
    </w:p>
    <w:p>
      <w:pPr>
        <w:ind w:left="5520"/>
        <w:spacing w:after="0" w:line="236" w:lineRule="auto"/>
        <w:rPr>
          <w:sz w:val="20"/>
          <w:szCs w:val="20"/>
          <w:color w:val="auto"/>
        </w:rPr>
      </w:pPr>
      <w:r>
        <w:rPr>
          <w:rFonts w:ascii="Verdana" w:cs="Verdana" w:eastAsia="Verdana" w:hAnsi="Verdana"/>
          <w:sz w:val="14"/>
          <w:szCs w:val="14"/>
          <w:color w:val="auto"/>
        </w:rPr>
        <w:t>(Principal Executive Officer)</w:t>
      </w:r>
    </w:p>
    <w:p>
      <w:pPr>
        <w:spacing w:after="0" w:line="200" w:lineRule="exact"/>
        <w:rPr>
          <w:sz w:val="20"/>
          <w:szCs w:val="20"/>
          <w:color w:val="auto"/>
        </w:rPr>
      </w:pPr>
    </w:p>
    <w:p>
      <w:pPr>
        <w:spacing w:after="0" w:line="292" w:lineRule="exact"/>
        <w:rPr>
          <w:sz w:val="20"/>
          <w:szCs w:val="20"/>
          <w:color w:val="auto"/>
        </w:rPr>
      </w:pPr>
    </w:p>
    <w:p>
      <w:pPr>
        <w:spacing w:after="0"/>
        <w:tabs>
          <w:tab w:leader="none" w:pos="5500" w:val="left"/>
        </w:tabs>
        <w:rPr>
          <w:sz w:val="20"/>
          <w:szCs w:val="20"/>
          <w:color w:val="auto"/>
        </w:rPr>
      </w:pPr>
      <w:r>
        <w:rPr>
          <w:rFonts w:ascii="Verdana" w:cs="Verdana" w:eastAsia="Verdana" w:hAnsi="Verdana"/>
          <w:sz w:val="18"/>
          <w:szCs w:val="18"/>
          <w:color w:val="auto"/>
        </w:rPr>
        <w:t>Date: May 10, 2002</w:t>
      </w:r>
      <w:r>
        <w:rPr>
          <w:sz w:val="20"/>
          <w:szCs w:val="20"/>
          <w:color w:val="auto"/>
        </w:rPr>
        <w:tab/>
      </w:r>
      <w:r>
        <w:rPr>
          <w:rFonts w:ascii="Verdana" w:cs="Verdana" w:eastAsia="Verdana" w:hAnsi="Verdana"/>
          <w:sz w:val="16"/>
          <w:szCs w:val="16"/>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80010</wp:posOffset>
            </wp:positionV>
            <wp:extent cx="57543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34" w:lineRule="exact"/>
        <w:rPr>
          <w:sz w:val="20"/>
          <w:szCs w:val="20"/>
          <w:color w:val="auto"/>
        </w:rPr>
      </w:pPr>
    </w:p>
    <w:p>
      <w:pPr>
        <w:jc w:val="center"/>
        <w:ind w:left="1500"/>
        <w:spacing w:after="0"/>
        <w:rPr>
          <w:sz w:val="20"/>
          <w:szCs w:val="20"/>
          <w:color w:val="auto"/>
        </w:rPr>
      </w:pPr>
      <w:r>
        <w:rPr>
          <w:rFonts w:ascii="Verdana" w:cs="Verdana" w:eastAsia="Verdana" w:hAnsi="Verdana"/>
          <w:sz w:val="18"/>
          <w:szCs w:val="18"/>
          <w:color w:val="auto"/>
        </w:rPr>
        <w:t>John B. Morse, Jr., Vice President-Finance</w:t>
      </w:r>
    </w:p>
    <w:p>
      <w:pPr>
        <w:ind w:left="5540"/>
        <w:spacing w:after="0" w:line="236" w:lineRule="auto"/>
        <w:rPr>
          <w:sz w:val="20"/>
          <w:szCs w:val="20"/>
          <w:color w:val="auto"/>
        </w:rPr>
      </w:pPr>
      <w:r>
        <w:rPr>
          <w:rFonts w:ascii="Verdana" w:cs="Verdana" w:eastAsia="Verdana" w:hAnsi="Verdana"/>
          <w:sz w:val="14"/>
          <w:szCs w:val="14"/>
          <w:color w:val="auto"/>
        </w:rPr>
        <w:t>(Principal Financial Officer)</w:t>
      </w:r>
    </w:p>
    <w:p>
      <w:pPr>
        <w:sectPr>
          <w:pgSz w:w="11900" w:h="16838" w:orient="portrait"/>
          <w:cols w:equalWidth="0" w:num="1">
            <w:col w:w="11420"/>
          </w:cols>
          <w:pgMar w:left="240" w:top="140" w:right="239" w:bottom="1440" w:gutter="0" w:footer="0" w:header="0"/>
        </w:sectPr>
      </w:pPr>
    </w:p>
    <w:bookmarkStart w:id="12" w:name="page13"/>
    <w:bookmarkEnd w:id="12"/>
    <w:p>
      <w:pPr>
        <w:ind w:left="3820"/>
        <w:spacing w:after="0"/>
        <w:rPr>
          <w:sz w:val="20"/>
          <w:szCs w:val="20"/>
          <w:color w:val="auto"/>
        </w:rPr>
      </w:pPr>
      <w:r>
        <w:rPr>
          <w:rFonts w:ascii="Times New Roman" w:cs="Times New Roman" w:eastAsia="Times New Roman" w:hAnsi="Times New Roman"/>
          <w:sz w:val="22"/>
          <w:szCs w:val="22"/>
          <w:b w:val="1"/>
          <w:bCs w:val="1"/>
          <w:color w:val="auto"/>
        </w:rPr>
        <w:t>THE WASHINGTON POST COMPANY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460" w:type="dxa"/>
            <w:vAlign w:val="bottom"/>
            <w:gridSpan w:val="8"/>
          </w:tcPr>
          <w:p>
            <w:pPr>
              <w:jc w:val="center"/>
              <w:ind w:left="692"/>
              <w:spacing w:after="0"/>
              <w:rPr>
                <w:sz w:val="20"/>
                <w:szCs w:val="20"/>
                <w:color w:val="auto"/>
              </w:rPr>
            </w:pPr>
            <w:r>
              <w:rPr>
                <w:rFonts w:ascii="Verdana" w:cs="Verdana" w:eastAsia="Verdana" w:hAnsi="Verdana"/>
                <w:sz w:val="18"/>
                <w:szCs w:val="18"/>
                <w:b w:val="1"/>
                <w:bCs w:val="1"/>
                <w:color w:val="auto"/>
                <w:w w:val="97"/>
              </w:rPr>
              <w:t>Exhibit 11</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680" w:type="dxa"/>
            <w:vAlign w:val="bottom"/>
            <w:gridSpan w:val="11"/>
          </w:tcPr>
          <w:p>
            <w:pPr>
              <w:jc w:val="center"/>
              <w:ind w:right="460"/>
              <w:spacing w:after="0"/>
              <w:rPr>
                <w:sz w:val="20"/>
                <w:szCs w:val="20"/>
                <w:color w:val="auto"/>
              </w:rPr>
            </w:pPr>
            <w:r>
              <w:rPr>
                <w:rFonts w:ascii="Verdana" w:cs="Verdana" w:eastAsia="Verdana" w:hAnsi="Verdana"/>
                <w:sz w:val="18"/>
                <w:szCs w:val="18"/>
                <w:b w:val="1"/>
                <w:bCs w:val="1"/>
                <w:color w:val="auto"/>
                <w:w w:val="97"/>
              </w:rPr>
              <w:t>CALCULATION OF EARNINGS PER SHARE OF COMMON 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460" w:type="dxa"/>
            <w:vAlign w:val="bottom"/>
            <w:gridSpan w:val="8"/>
          </w:tcPr>
          <w:p>
            <w:pPr>
              <w:jc w:val="center"/>
              <w:ind w:left="672"/>
              <w:spacing w:after="0" w:line="217" w:lineRule="exact"/>
              <w:rPr>
                <w:sz w:val="20"/>
                <w:szCs w:val="20"/>
                <w:color w:val="auto"/>
              </w:rPr>
            </w:pPr>
            <w:r>
              <w:rPr>
                <w:rFonts w:ascii="Verdana" w:cs="Verdana" w:eastAsia="Verdana" w:hAnsi="Verdana"/>
                <w:sz w:val="18"/>
                <w:szCs w:val="18"/>
                <w:color w:val="auto"/>
                <w:w w:val="97"/>
              </w:rPr>
              <w:t>(</w:t>
            </w:r>
            <w:r>
              <w:rPr>
                <w:rFonts w:ascii="Verdana" w:cs="Verdana" w:eastAsia="Verdana" w:hAnsi="Verdana"/>
                <w:sz w:val="18"/>
                <w:szCs w:val="18"/>
                <w:i w:val="1"/>
                <w:iCs w:val="1"/>
                <w:color w:val="auto"/>
                <w:w w:val="97"/>
              </w:rPr>
              <w:t>In thousands of shares</w:t>
            </w:r>
            <w:r>
              <w:rPr>
                <w:rFonts w:ascii="Verdana" w:cs="Verdana" w:eastAsia="Verdana" w:hAnsi="Verdana"/>
                <w:sz w:val="18"/>
                <w:szCs w:val="18"/>
                <w:color w:val="auto"/>
                <w:w w:val="97"/>
              </w:rPr>
              <w: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200" w:type="dxa"/>
            <w:vAlign w:val="bottom"/>
            <w:gridSpan w:val="10"/>
          </w:tcPr>
          <w:p>
            <w:pPr>
              <w:jc w:val="right"/>
              <w:ind w:right="620"/>
              <w:spacing w:after="0"/>
              <w:rPr>
                <w:sz w:val="20"/>
                <w:szCs w:val="20"/>
                <w:color w:val="auto"/>
              </w:rPr>
            </w:pPr>
            <w:r>
              <w:rPr>
                <w:rFonts w:ascii="Verdana" w:cs="Verdana" w:eastAsia="Verdana" w:hAnsi="Verdana"/>
                <w:sz w:val="18"/>
                <w:szCs w:val="18"/>
                <w:color w:val="auto"/>
              </w:rPr>
              <w:t>Thirteen Weeks Ended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98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600" w:type="dxa"/>
            <w:vAlign w:val="bottom"/>
            <w:tcBorders>
              <w:bottom w:val="single" w:sz="8" w:color="9A9A9A"/>
            </w:tcBorders>
            <w:gridSpan w:val="2"/>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980" w:type="dxa"/>
            <w:vAlign w:val="bottom"/>
            <w:gridSpan w:val="7"/>
          </w:tcPr>
          <w:p>
            <w:pPr>
              <w:ind w:left="720"/>
              <w:spacing w:after="0"/>
              <w:rPr>
                <w:sz w:val="20"/>
                <w:szCs w:val="20"/>
                <w:color w:val="auto"/>
              </w:rPr>
            </w:pPr>
            <w:r>
              <w:rPr>
                <w:rFonts w:ascii="Verdana" w:cs="Verdana" w:eastAsia="Verdana" w:hAnsi="Verdana"/>
                <w:sz w:val="18"/>
                <w:szCs w:val="18"/>
                <w:color w:val="auto"/>
              </w:rPr>
              <w:t>March 31,</w:t>
            </w:r>
          </w:p>
        </w:tc>
        <w:tc>
          <w:tcPr>
            <w:tcW w:w="4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Verdana" w:cs="Verdana" w:eastAsia="Verdana" w:hAnsi="Verdana"/>
                <w:sz w:val="18"/>
                <w:szCs w:val="18"/>
                <w:color w:val="auto"/>
              </w:rPr>
              <w:t>April 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460" w:type="dxa"/>
            <w:vAlign w:val="bottom"/>
            <w:gridSpan w:val="8"/>
          </w:tcPr>
          <w:p>
            <w:pPr>
              <w:jc w:val="right"/>
              <w:ind w:right="380"/>
              <w:spacing w:after="0" w:line="194" w:lineRule="exact"/>
              <w:rPr>
                <w:sz w:val="20"/>
                <w:szCs w:val="20"/>
                <w:color w:val="auto"/>
              </w:rPr>
            </w:pPr>
            <w:r>
              <w:rPr>
                <w:rFonts w:ascii="Verdana" w:cs="Verdana" w:eastAsia="Verdana" w:hAnsi="Verdana"/>
                <w:sz w:val="18"/>
                <w:szCs w:val="18"/>
                <w:color w:val="auto"/>
              </w:rPr>
              <w:t>2002</w:t>
            </w:r>
          </w:p>
        </w:tc>
        <w:tc>
          <w:tcPr>
            <w:tcW w:w="1220" w:type="dxa"/>
            <w:vAlign w:val="bottom"/>
            <w:gridSpan w:val="3"/>
          </w:tcPr>
          <w:p>
            <w:pPr>
              <w:jc w:val="right"/>
              <w:spacing w:after="0" w:line="194" w:lineRule="exact"/>
              <w:rPr>
                <w:sz w:val="20"/>
                <w:szCs w:val="20"/>
                <w:color w:val="auto"/>
              </w:rPr>
            </w:pPr>
            <w:r>
              <w:rPr>
                <w:rFonts w:ascii="Verdana" w:cs="Verdana" w:eastAsia="Verdana" w:hAnsi="Verdana"/>
                <w:sz w:val="18"/>
                <w:szCs w:val="18"/>
                <w:color w:val="auto"/>
              </w:rPr>
              <w:t>2001</w:t>
            </w:r>
          </w:p>
        </w:tc>
        <w:tc>
          <w:tcPr>
            <w:tcW w:w="0" w:type="dxa"/>
            <w:vAlign w:val="bottom"/>
          </w:tcPr>
          <w:p>
            <w:pPr>
              <w:spacing w:after="0"/>
              <w:rPr>
                <w:sz w:val="1"/>
                <w:szCs w:val="1"/>
                <w:color w:val="auto"/>
              </w:rPr>
            </w:pPr>
          </w:p>
        </w:tc>
      </w:tr>
      <w:tr>
        <w:trPr>
          <w:trHeight w:val="304"/>
        </w:trPr>
        <w:tc>
          <w:tcPr>
            <w:tcW w:w="20" w:type="dxa"/>
            <w:vAlign w:val="bottom"/>
            <w:vMerge w:val="restart"/>
          </w:tcPr>
          <w:p>
            <w:pPr>
              <w:spacing w:after="0"/>
              <w:rPr>
                <w:sz w:val="24"/>
                <w:szCs w:val="24"/>
                <w:color w:val="auto"/>
              </w:rPr>
            </w:pPr>
          </w:p>
        </w:tc>
        <w:tc>
          <w:tcPr>
            <w:tcW w:w="25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line="213" w:lineRule="exact"/>
              <w:rPr>
                <w:sz w:val="20"/>
                <w:szCs w:val="20"/>
                <w:color w:val="auto"/>
              </w:rPr>
            </w:pPr>
            <w:r>
              <w:rPr>
                <w:rFonts w:ascii="Verdana" w:cs="Verdana" w:eastAsia="Verdana" w:hAnsi="Verdana"/>
                <w:sz w:val="18"/>
                <w:szCs w:val="18"/>
                <w:color w:val="auto"/>
              </w:rPr>
              <w:t>Number of shares of</w:t>
            </w:r>
          </w:p>
        </w:tc>
        <w:tc>
          <w:tcPr>
            <w:tcW w:w="3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80" w:type="dxa"/>
            <w:vAlign w:val="bottom"/>
            <w:shd w:val="clear" w:color="auto" w:fill="CCEEFF"/>
          </w:tcPr>
          <w:p>
            <w:pPr>
              <w:spacing w:after="0"/>
              <w:rPr>
                <w:sz w:val="20"/>
                <w:szCs w:val="20"/>
                <w:color w:val="auto"/>
              </w:rPr>
            </w:pPr>
            <w:r>
              <w:rPr>
                <w:rFonts w:ascii="Verdana" w:cs="Verdana" w:eastAsia="Verdana" w:hAnsi="Verdana"/>
                <w:sz w:val="18"/>
                <w:szCs w:val="18"/>
                <w:color w:val="auto"/>
              </w:rPr>
              <w:t>Class A and Class B</w:t>
            </w:r>
          </w:p>
        </w:tc>
        <w:tc>
          <w:tcPr>
            <w:tcW w:w="34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80" w:type="dxa"/>
            <w:vAlign w:val="bottom"/>
            <w:shd w:val="clear" w:color="auto" w:fill="CCEEFF"/>
          </w:tcPr>
          <w:p>
            <w:pPr>
              <w:spacing w:after="0"/>
              <w:rPr>
                <w:sz w:val="20"/>
                <w:szCs w:val="20"/>
                <w:color w:val="auto"/>
              </w:rPr>
            </w:pPr>
            <w:r>
              <w:rPr>
                <w:rFonts w:ascii="Verdana" w:cs="Verdana" w:eastAsia="Verdana" w:hAnsi="Verdana"/>
                <w:sz w:val="18"/>
                <w:szCs w:val="18"/>
                <w:color w:val="auto"/>
              </w:rPr>
              <w:t>common stock outstanding</w:t>
            </w:r>
          </w:p>
        </w:tc>
        <w:tc>
          <w:tcPr>
            <w:tcW w:w="34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80" w:type="dxa"/>
            <w:vAlign w:val="bottom"/>
            <w:shd w:val="clear" w:color="auto" w:fill="CCEEFF"/>
          </w:tcPr>
          <w:p>
            <w:pPr>
              <w:spacing w:after="0"/>
              <w:rPr>
                <w:sz w:val="20"/>
                <w:szCs w:val="20"/>
                <w:color w:val="auto"/>
              </w:rPr>
            </w:pPr>
            <w:r>
              <w:rPr>
                <w:rFonts w:ascii="Verdana" w:cs="Verdana" w:eastAsia="Verdana" w:hAnsi="Verdana"/>
                <w:sz w:val="18"/>
                <w:szCs w:val="18"/>
                <w:color w:val="auto"/>
              </w:rPr>
              <w:t>at beginning of</w:t>
            </w:r>
          </w:p>
        </w:tc>
        <w:tc>
          <w:tcPr>
            <w:tcW w:w="34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80" w:type="dxa"/>
            <w:vAlign w:val="bottom"/>
            <w:shd w:val="clear" w:color="auto" w:fill="CCEEFF"/>
          </w:tcPr>
          <w:p>
            <w:pPr>
              <w:spacing w:after="0"/>
              <w:rPr>
                <w:sz w:val="20"/>
                <w:szCs w:val="20"/>
                <w:color w:val="auto"/>
              </w:rPr>
            </w:pPr>
            <w:r>
              <w:rPr>
                <w:rFonts w:ascii="Verdana" w:cs="Verdana" w:eastAsia="Verdana" w:hAnsi="Verdana"/>
                <w:sz w:val="18"/>
                <w:szCs w:val="18"/>
                <w:color w:val="auto"/>
              </w:rPr>
              <w:t>Period</w:t>
            </w:r>
          </w:p>
        </w:tc>
        <w:tc>
          <w:tcPr>
            <w:tcW w:w="3480" w:type="dxa"/>
            <w:vAlign w:val="bottom"/>
            <w:shd w:val="clear" w:color="auto" w:fill="CCEEFF"/>
          </w:tcPr>
          <w:p>
            <w:pPr>
              <w:spacing w:after="0"/>
              <w:rPr>
                <w:sz w:val="21"/>
                <w:szCs w:val="21"/>
                <w:color w:val="auto"/>
              </w:rPr>
            </w:pPr>
          </w:p>
        </w:tc>
        <w:tc>
          <w:tcPr>
            <w:tcW w:w="1600" w:type="dxa"/>
            <w:vAlign w:val="bottom"/>
            <w:gridSpan w:val="6"/>
            <w:shd w:val="clear" w:color="auto" w:fill="CCEEFF"/>
          </w:tcPr>
          <w:p>
            <w:pPr>
              <w:jc w:val="right"/>
              <w:spacing w:after="0"/>
              <w:rPr>
                <w:sz w:val="20"/>
                <w:szCs w:val="20"/>
                <w:color w:val="auto"/>
              </w:rPr>
            </w:pPr>
            <w:r>
              <w:rPr>
                <w:rFonts w:ascii="Verdana" w:cs="Verdana" w:eastAsia="Verdana" w:hAnsi="Verdana"/>
                <w:sz w:val="18"/>
                <w:szCs w:val="18"/>
                <w:color w:val="auto"/>
              </w:rPr>
              <w:t>9,495</w:t>
            </w:r>
          </w:p>
        </w:tc>
        <w:tc>
          <w:tcPr>
            <w:tcW w:w="3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spacing w:after="0"/>
              <w:rPr>
                <w:sz w:val="20"/>
                <w:szCs w:val="20"/>
                <w:color w:val="auto"/>
              </w:rPr>
            </w:pPr>
            <w:r>
              <w:rPr>
                <w:rFonts w:ascii="Verdana" w:cs="Verdana" w:eastAsia="Verdana" w:hAnsi="Verdana"/>
                <w:sz w:val="18"/>
                <w:szCs w:val="18"/>
                <w:color w:val="auto"/>
              </w:rPr>
              <w:t>9,460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58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line="213" w:lineRule="exact"/>
              <w:rPr>
                <w:sz w:val="20"/>
                <w:szCs w:val="20"/>
                <w:color w:val="auto"/>
              </w:rPr>
            </w:pPr>
            <w:r>
              <w:rPr>
                <w:rFonts w:ascii="Verdana" w:cs="Verdana" w:eastAsia="Verdana" w:hAnsi="Verdana"/>
                <w:sz w:val="18"/>
                <w:szCs w:val="18"/>
                <w:color w:val="auto"/>
              </w:rPr>
              <w:t>Issuance of shares of</w:t>
            </w:r>
          </w:p>
        </w:tc>
        <w:tc>
          <w:tcPr>
            <w:tcW w:w="3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80" w:type="dxa"/>
            <w:vAlign w:val="bottom"/>
            <w:shd w:val="clear" w:color="auto" w:fill="CCEEFF"/>
          </w:tcPr>
          <w:p>
            <w:pPr>
              <w:spacing w:after="0"/>
              <w:rPr>
                <w:sz w:val="20"/>
                <w:szCs w:val="20"/>
                <w:color w:val="auto"/>
              </w:rPr>
            </w:pPr>
            <w:r>
              <w:rPr>
                <w:rFonts w:ascii="Verdana" w:cs="Verdana" w:eastAsia="Verdana" w:hAnsi="Verdana"/>
                <w:sz w:val="18"/>
                <w:szCs w:val="18"/>
                <w:color w:val="auto"/>
              </w:rPr>
              <w:t>Class B common stock</w:t>
            </w:r>
          </w:p>
        </w:tc>
        <w:tc>
          <w:tcPr>
            <w:tcW w:w="34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80" w:type="dxa"/>
            <w:vAlign w:val="bottom"/>
            <w:shd w:val="clear" w:color="auto" w:fill="CCEEFF"/>
          </w:tcPr>
          <w:p>
            <w:pPr>
              <w:spacing w:after="0"/>
              <w:rPr>
                <w:sz w:val="20"/>
                <w:szCs w:val="20"/>
                <w:color w:val="auto"/>
              </w:rPr>
            </w:pPr>
            <w:r>
              <w:rPr>
                <w:rFonts w:ascii="Verdana" w:cs="Verdana" w:eastAsia="Verdana" w:hAnsi="Verdana"/>
                <w:sz w:val="18"/>
                <w:szCs w:val="18"/>
                <w:color w:val="auto"/>
              </w:rPr>
              <w:t>(weighted), net of</w:t>
            </w:r>
          </w:p>
        </w:tc>
        <w:tc>
          <w:tcPr>
            <w:tcW w:w="34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80" w:type="dxa"/>
            <w:vAlign w:val="bottom"/>
            <w:shd w:val="clear" w:color="auto" w:fill="CCEEFF"/>
          </w:tcPr>
          <w:p>
            <w:pPr>
              <w:spacing w:after="0"/>
              <w:rPr>
                <w:sz w:val="20"/>
                <w:szCs w:val="20"/>
                <w:color w:val="auto"/>
              </w:rPr>
            </w:pPr>
            <w:r>
              <w:rPr>
                <w:rFonts w:ascii="Verdana" w:cs="Verdana" w:eastAsia="Verdana" w:hAnsi="Verdana"/>
                <w:sz w:val="18"/>
                <w:szCs w:val="18"/>
                <w:color w:val="auto"/>
              </w:rPr>
              <w:t>forfeiture of restricted</w:t>
            </w:r>
          </w:p>
        </w:tc>
        <w:tc>
          <w:tcPr>
            <w:tcW w:w="34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80" w:type="dxa"/>
            <w:vAlign w:val="bottom"/>
            <w:shd w:val="clear" w:color="auto" w:fill="CCEEFF"/>
          </w:tcPr>
          <w:p>
            <w:pPr>
              <w:spacing w:after="0"/>
              <w:rPr>
                <w:sz w:val="20"/>
                <w:szCs w:val="20"/>
                <w:color w:val="auto"/>
              </w:rPr>
            </w:pPr>
            <w:r>
              <w:rPr>
                <w:rFonts w:ascii="Verdana" w:cs="Verdana" w:eastAsia="Verdana" w:hAnsi="Verdana"/>
                <w:sz w:val="18"/>
                <w:szCs w:val="18"/>
                <w:color w:val="auto"/>
              </w:rPr>
              <w:t>stock awards</w:t>
            </w:r>
          </w:p>
        </w:tc>
        <w:tc>
          <w:tcPr>
            <w:tcW w:w="3480" w:type="dxa"/>
            <w:vAlign w:val="bottom"/>
            <w:shd w:val="clear" w:color="auto" w:fill="CCEEFF"/>
          </w:tcPr>
          <w:p>
            <w:pPr>
              <w:spacing w:after="0"/>
              <w:rPr>
                <w:sz w:val="19"/>
                <w:szCs w:val="19"/>
                <w:color w:val="auto"/>
              </w:rPr>
            </w:pPr>
          </w:p>
        </w:tc>
        <w:tc>
          <w:tcPr>
            <w:tcW w:w="1600" w:type="dxa"/>
            <w:vAlign w:val="bottom"/>
            <w:gridSpan w:val="6"/>
            <w:shd w:val="clear" w:color="auto" w:fill="CCEEFF"/>
          </w:tcPr>
          <w:p>
            <w:pPr>
              <w:jc w:val="right"/>
              <w:spacing w:after="0"/>
              <w:rPr>
                <w:sz w:val="20"/>
                <w:szCs w:val="20"/>
                <w:color w:val="auto"/>
              </w:rPr>
            </w:pPr>
            <w:r>
              <w:rPr>
                <w:rFonts w:ascii="Verdana" w:cs="Verdana" w:eastAsia="Verdana" w:hAnsi="Verdana"/>
                <w:sz w:val="18"/>
                <w:szCs w:val="18"/>
                <w:color w:val="auto"/>
              </w:rPr>
              <w:t>3</w:t>
            </w:r>
          </w:p>
        </w:tc>
        <w:tc>
          <w:tcPr>
            <w:tcW w:w="3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Verdana" w:cs="Verdana" w:eastAsia="Verdana" w:hAnsi="Verdana"/>
                <w:sz w:val="18"/>
                <w:szCs w:val="18"/>
                <w:color w:val="auto"/>
              </w:rPr>
              <w:t>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580" w:type="dxa"/>
            <w:vAlign w:val="bottom"/>
            <w:tcBorders>
              <w:top w:val="single" w:sz="8" w:color="CCEEFF"/>
            </w:tcBorders>
          </w:tcPr>
          <w:p>
            <w:pPr>
              <w:spacing w:after="0"/>
              <w:rPr>
                <w:sz w:val="21"/>
                <w:szCs w:val="21"/>
                <w:color w:val="auto"/>
              </w:rPr>
            </w:pPr>
          </w:p>
        </w:tc>
        <w:tc>
          <w:tcPr>
            <w:tcW w:w="348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line="213" w:lineRule="exact"/>
              <w:rPr>
                <w:sz w:val="20"/>
                <w:szCs w:val="20"/>
                <w:color w:val="auto"/>
              </w:rPr>
            </w:pPr>
            <w:r>
              <w:rPr>
                <w:rFonts w:ascii="Verdana" w:cs="Verdana" w:eastAsia="Verdana" w:hAnsi="Verdana"/>
                <w:sz w:val="18"/>
                <w:szCs w:val="18"/>
                <w:color w:val="auto"/>
              </w:rPr>
              <w:t>Shares used in the</w:t>
            </w:r>
          </w:p>
        </w:tc>
        <w:tc>
          <w:tcPr>
            <w:tcW w:w="3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80" w:type="dxa"/>
            <w:vAlign w:val="bottom"/>
            <w:shd w:val="clear" w:color="auto" w:fill="CCEEFF"/>
          </w:tcPr>
          <w:p>
            <w:pPr>
              <w:spacing w:after="0"/>
              <w:rPr>
                <w:sz w:val="20"/>
                <w:szCs w:val="20"/>
                <w:color w:val="auto"/>
              </w:rPr>
            </w:pPr>
            <w:r>
              <w:rPr>
                <w:rFonts w:ascii="Verdana" w:cs="Verdana" w:eastAsia="Verdana" w:hAnsi="Verdana"/>
                <w:sz w:val="18"/>
                <w:szCs w:val="18"/>
                <w:color w:val="auto"/>
              </w:rPr>
              <w:t>computation of basic</w:t>
            </w:r>
          </w:p>
        </w:tc>
        <w:tc>
          <w:tcPr>
            <w:tcW w:w="34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80" w:type="dxa"/>
            <w:vAlign w:val="bottom"/>
            <w:shd w:val="clear" w:color="auto" w:fill="CCEEFF"/>
          </w:tcPr>
          <w:p>
            <w:pPr>
              <w:spacing w:after="0"/>
              <w:rPr>
                <w:sz w:val="20"/>
                <w:szCs w:val="20"/>
                <w:color w:val="auto"/>
              </w:rPr>
            </w:pPr>
            <w:r>
              <w:rPr>
                <w:rFonts w:ascii="Verdana" w:cs="Verdana" w:eastAsia="Verdana" w:hAnsi="Verdana"/>
                <w:sz w:val="18"/>
                <w:szCs w:val="18"/>
                <w:color w:val="auto"/>
              </w:rPr>
              <w:t>earnings per common share</w:t>
            </w:r>
          </w:p>
        </w:tc>
        <w:tc>
          <w:tcPr>
            <w:tcW w:w="3480" w:type="dxa"/>
            <w:vAlign w:val="bottom"/>
            <w:shd w:val="clear" w:color="auto" w:fill="CCEEFF"/>
          </w:tcPr>
          <w:p>
            <w:pPr>
              <w:spacing w:after="0"/>
              <w:rPr>
                <w:sz w:val="21"/>
                <w:szCs w:val="21"/>
                <w:color w:val="auto"/>
              </w:rPr>
            </w:pPr>
          </w:p>
        </w:tc>
        <w:tc>
          <w:tcPr>
            <w:tcW w:w="1600" w:type="dxa"/>
            <w:vAlign w:val="bottom"/>
            <w:gridSpan w:val="6"/>
            <w:shd w:val="clear" w:color="auto" w:fill="CCEEFF"/>
          </w:tcPr>
          <w:p>
            <w:pPr>
              <w:jc w:val="right"/>
              <w:spacing w:after="0"/>
              <w:rPr>
                <w:sz w:val="20"/>
                <w:szCs w:val="20"/>
                <w:color w:val="auto"/>
              </w:rPr>
            </w:pPr>
            <w:r>
              <w:rPr>
                <w:rFonts w:ascii="Verdana" w:cs="Verdana" w:eastAsia="Verdana" w:hAnsi="Verdana"/>
                <w:sz w:val="18"/>
                <w:szCs w:val="18"/>
                <w:color w:val="auto"/>
              </w:rPr>
              <w:t>9,498</w:t>
            </w:r>
          </w:p>
        </w:tc>
        <w:tc>
          <w:tcPr>
            <w:tcW w:w="3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spacing w:after="0"/>
              <w:rPr>
                <w:sz w:val="20"/>
                <w:szCs w:val="20"/>
                <w:color w:val="auto"/>
              </w:rPr>
            </w:pPr>
            <w:r>
              <w:rPr>
                <w:rFonts w:ascii="Verdana" w:cs="Verdana" w:eastAsia="Verdana" w:hAnsi="Verdana"/>
                <w:sz w:val="18"/>
                <w:szCs w:val="18"/>
                <w:color w:val="auto"/>
              </w:rPr>
              <w:t>9,479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58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line="213" w:lineRule="exact"/>
              <w:rPr>
                <w:sz w:val="20"/>
                <w:szCs w:val="20"/>
                <w:color w:val="auto"/>
              </w:rPr>
            </w:pPr>
            <w:r>
              <w:rPr>
                <w:rFonts w:ascii="Verdana" w:cs="Verdana" w:eastAsia="Verdana" w:hAnsi="Verdana"/>
                <w:sz w:val="18"/>
                <w:szCs w:val="18"/>
                <w:color w:val="auto"/>
              </w:rPr>
              <w:t>Adjustment to reflect</w:t>
            </w:r>
          </w:p>
        </w:tc>
        <w:tc>
          <w:tcPr>
            <w:tcW w:w="3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80" w:type="dxa"/>
            <w:vAlign w:val="bottom"/>
            <w:shd w:val="clear" w:color="auto" w:fill="CCEEFF"/>
          </w:tcPr>
          <w:p>
            <w:pPr>
              <w:spacing w:after="0"/>
              <w:rPr>
                <w:sz w:val="20"/>
                <w:szCs w:val="20"/>
                <w:color w:val="auto"/>
              </w:rPr>
            </w:pPr>
            <w:r>
              <w:rPr>
                <w:rFonts w:ascii="Verdana" w:cs="Verdana" w:eastAsia="Verdana" w:hAnsi="Verdana"/>
                <w:sz w:val="18"/>
                <w:szCs w:val="18"/>
                <w:color w:val="auto"/>
              </w:rPr>
              <w:t>dilution from common stock</w:t>
            </w:r>
          </w:p>
        </w:tc>
        <w:tc>
          <w:tcPr>
            <w:tcW w:w="34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80" w:type="dxa"/>
            <w:vAlign w:val="bottom"/>
            <w:shd w:val="clear" w:color="auto" w:fill="CCEEFF"/>
          </w:tcPr>
          <w:p>
            <w:pPr>
              <w:spacing w:after="0"/>
              <w:rPr>
                <w:sz w:val="20"/>
                <w:szCs w:val="20"/>
                <w:color w:val="auto"/>
              </w:rPr>
            </w:pPr>
            <w:r>
              <w:rPr>
                <w:rFonts w:ascii="Verdana" w:cs="Verdana" w:eastAsia="Verdana" w:hAnsi="Verdana"/>
                <w:sz w:val="18"/>
                <w:szCs w:val="18"/>
                <w:color w:val="auto"/>
              </w:rPr>
              <w:t>equivalents</w:t>
            </w:r>
          </w:p>
        </w:tc>
        <w:tc>
          <w:tcPr>
            <w:tcW w:w="3480" w:type="dxa"/>
            <w:vAlign w:val="bottom"/>
            <w:shd w:val="clear" w:color="auto" w:fill="CCEEFF"/>
          </w:tcPr>
          <w:p>
            <w:pPr>
              <w:spacing w:after="0"/>
              <w:rPr>
                <w:sz w:val="19"/>
                <w:szCs w:val="19"/>
                <w:color w:val="auto"/>
              </w:rPr>
            </w:pPr>
          </w:p>
        </w:tc>
        <w:tc>
          <w:tcPr>
            <w:tcW w:w="1600" w:type="dxa"/>
            <w:vAlign w:val="bottom"/>
            <w:gridSpan w:val="6"/>
            <w:shd w:val="clear" w:color="auto" w:fill="CCEEFF"/>
          </w:tcPr>
          <w:p>
            <w:pPr>
              <w:jc w:val="right"/>
              <w:spacing w:after="0"/>
              <w:rPr>
                <w:sz w:val="20"/>
                <w:szCs w:val="20"/>
                <w:color w:val="auto"/>
              </w:rPr>
            </w:pPr>
            <w:r>
              <w:rPr>
                <w:rFonts w:ascii="Verdana" w:cs="Verdana" w:eastAsia="Verdana" w:hAnsi="Verdana"/>
                <w:sz w:val="18"/>
                <w:szCs w:val="18"/>
                <w:color w:val="auto"/>
              </w:rPr>
              <w:t>14</w:t>
            </w:r>
          </w:p>
        </w:tc>
        <w:tc>
          <w:tcPr>
            <w:tcW w:w="3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Verdana" w:cs="Verdana" w:eastAsia="Verdana" w:hAnsi="Verdana"/>
                <w:sz w:val="18"/>
                <w:szCs w:val="18"/>
                <w:color w:val="auto"/>
              </w:rPr>
              <w:t>20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580" w:type="dxa"/>
            <w:vAlign w:val="bottom"/>
            <w:tcBorders>
              <w:top w:val="single" w:sz="8" w:color="CCEEFF"/>
            </w:tcBorders>
          </w:tcPr>
          <w:p>
            <w:pPr>
              <w:spacing w:after="0"/>
              <w:rPr>
                <w:sz w:val="21"/>
                <w:szCs w:val="21"/>
                <w:color w:val="auto"/>
              </w:rPr>
            </w:pPr>
          </w:p>
        </w:tc>
        <w:tc>
          <w:tcPr>
            <w:tcW w:w="348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line="213" w:lineRule="exact"/>
              <w:rPr>
                <w:sz w:val="20"/>
                <w:szCs w:val="20"/>
                <w:color w:val="auto"/>
              </w:rPr>
            </w:pPr>
            <w:r>
              <w:rPr>
                <w:rFonts w:ascii="Verdana" w:cs="Verdana" w:eastAsia="Verdana" w:hAnsi="Verdana"/>
                <w:sz w:val="18"/>
                <w:szCs w:val="18"/>
                <w:color w:val="auto"/>
              </w:rPr>
              <w:t>Shares used in the</w:t>
            </w:r>
          </w:p>
        </w:tc>
        <w:tc>
          <w:tcPr>
            <w:tcW w:w="3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80" w:type="dxa"/>
            <w:vAlign w:val="bottom"/>
            <w:shd w:val="clear" w:color="auto" w:fill="CCEEFF"/>
          </w:tcPr>
          <w:p>
            <w:pPr>
              <w:spacing w:after="0" w:line="216" w:lineRule="exact"/>
              <w:rPr>
                <w:sz w:val="20"/>
                <w:szCs w:val="20"/>
                <w:color w:val="auto"/>
              </w:rPr>
            </w:pPr>
            <w:r>
              <w:rPr>
                <w:rFonts w:ascii="Verdana" w:cs="Verdana" w:eastAsia="Verdana" w:hAnsi="Verdana"/>
                <w:sz w:val="18"/>
                <w:szCs w:val="18"/>
                <w:color w:val="auto"/>
              </w:rPr>
              <w:t>computation of diluted</w:t>
            </w:r>
          </w:p>
        </w:tc>
        <w:tc>
          <w:tcPr>
            <w:tcW w:w="3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80" w:type="dxa"/>
            <w:vAlign w:val="bottom"/>
            <w:shd w:val="clear" w:color="auto" w:fill="CCEEFF"/>
          </w:tcPr>
          <w:p>
            <w:pPr>
              <w:spacing w:after="0" w:line="194" w:lineRule="exact"/>
              <w:rPr>
                <w:sz w:val="20"/>
                <w:szCs w:val="20"/>
                <w:color w:val="auto"/>
              </w:rPr>
            </w:pPr>
            <w:r>
              <w:rPr>
                <w:rFonts w:ascii="Verdana" w:cs="Verdana" w:eastAsia="Verdana" w:hAnsi="Verdana"/>
                <w:sz w:val="18"/>
                <w:szCs w:val="18"/>
                <w:color w:val="auto"/>
              </w:rPr>
              <w:t>earnings per common share</w:t>
            </w:r>
          </w:p>
        </w:tc>
        <w:tc>
          <w:tcPr>
            <w:tcW w:w="5460" w:type="dxa"/>
            <w:vAlign w:val="bottom"/>
            <w:gridSpan w:val="8"/>
            <w:shd w:val="clear" w:color="auto" w:fill="CCEEFF"/>
          </w:tcPr>
          <w:p>
            <w:pPr>
              <w:jc w:val="right"/>
              <w:ind w:right="380"/>
              <w:spacing w:after="0" w:line="194" w:lineRule="exact"/>
              <w:rPr>
                <w:sz w:val="20"/>
                <w:szCs w:val="20"/>
                <w:color w:val="auto"/>
              </w:rPr>
            </w:pPr>
            <w:r>
              <w:rPr>
                <w:rFonts w:ascii="Verdana" w:cs="Verdana" w:eastAsia="Verdana" w:hAnsi="Verdana"/>
                <w:sz w:val="18"/>
                <w:szCs w:val="18"/>
                <w:color w:val="auto"/>
              </w:rPr>
              <w:t>9,512</w:t>
            </w:r>
          </w:p>
        </w:tc>
        <w:tc>
          <w:tcPr>
            <w:tcW w:w="1220" w:type="dxa"/>
            <w:vAlign w:val="bottom"/>
            <w:gridSpan w:val="3"/>
            <w:shd w:val="clear" w:color="auto" w:fill="CCEEFF"/>
          </w:tcPr>
          <w:p>
            <w:pPr>
              <w:jc w:val="right"/>
              <w:spacing w:after="0" w:line="194" w:lineRule="exact"/>
              <w:rPr>
                <w:sz w:val="20"/>
                <w:szCs w:val="20"/>
                <w:color w:val="auto"/>
              </w:rPr>
            </w:pPr>
            <w:r>
              <w:rPr>
                <w:rFonts w:ascii="Verdana" w:cs="Verdana" w:eastAsia="Verdana" w:hAnsi="Verdana"/>
                <w:sz w:val="18"/>
                <w:szCs w:val="18"/>
                <w:color w:val="auto"/>
              </w:rPr>
              <w:t>9,499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580" w:type="dxa"/>
            <w:vAlign w:val="bottom"/>
            <w:tcBorders>
              <w:top w:val="single" w:sz="8" w:color="CCEEFF"/>
            </w:tcBorders>
          </w:tcPr>
          <w:p>
            <w:pPr>
              <w:spacing w:after="0"/>
              <w:rPr>
                <w:sz w:val="21"/>
                <w:szCs w:val="21"/>
                <w:color w:val="auto"/>
              </w:rPr>
            </w:pPr>
          </w:p>
        </w:tc>
        <w:tc>
          <w:tcPr>
            <w:tcW w:w="348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line="213" w:lineRule="exact"/>
              <w:rPr>
                <w:sz w:val="20"/>
                <w:szCs w:val="20"/>
                <w:color w:val="auto"/>
              </w:rPr>
            </w:pPr>
            <w:r>
              <w:rPr>
                <w:rFonts w:ascii="Verdana" w:cs="Verdana" w:eastAsia="Verdana" w:hAnsi="Verdana"/>
                <w:sz w:val="18"/>
                <w:szCs w:val="18"/>
                <w:color w:val="auto"/>
              </w:rPr>
              <w:t>Net income available for</w:t>
            </w:r>
          </w:p>
        </w:tc>
        <w:tc>
          <w:tcPr>
            <w:tcW w:w="3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580" w:type="dxa"/>
            <w:vAlign w:val="bottom"/>
            <w:shd w:val="clear" w:color="auto" w:fill="CCEEFF"/>
          </w:tcPr>
          <w:p>
            <w:pPr>
              <w:spacing w:after="0"/>
              <w:rPr>
                <w:sz w:val="20"/>
                <w:szCs w:val="20"/>
                <w:color w:val="auto"/>
              </w:rPr>
            </w:pPr>
            <w:r>
              <w:rPr>
                <w:rFonts w:ascii="Verdana" w:cs="Verdana" w:eastAsia="Verdana" w:hAnsi="Verdana"/>
                <w:sz w:val="18"/>
                <w:szCs w:val="18"/>
                <w:color w:val="auto"/>
              </w:rPr>
              <w:t>common shares</w:t>
            </w:r>
          </w:p>
        </w:tc>
        <w:tc>
          <w:tcPr>
            <w:tcW w:w="3480" w:type="dxa"/>
            <w:vAlign w:val="bottom"/>
            <w:shd w:val="clear" w:color="auto" w:fill="CCEEFF"/>
          </w:tcPr>
          <w:p>
            <w:pPr>
              <w:spacing w:after="0"/>
              <w:rPr>
                <w:sz w:val="19"/>
                <w:szCs w:val="19"/>
                <w:color w:val="auto"/>
              </w:rPr>
            </w:pPr>
          </w:p>
        </w:tc>
        <w:tc>
          <w:tcPr>
            <w:tcW w:w="1980" w:type="dxa"/>
            <w:vAlign w:val="bottom"/>
            <w:gridSpan w:val="7"/>
            <w:shd w:val="clear" w:color="auto" w:fill="CCEEFF"/>
          </w:tcPr>
          <w:p>
            <w:pPr>
              <w:jc w:val="right"/>
              <w:ind w:right="380"/>
              <w:spacing w:after="0"/>
              <w:rPr>
                <w:sz w:val="20"/>
                <w:szCs w:val="20"/>
                <w:color w:val="auto"/>
              </w:rPr>
            </w:pPr>
            <w:r>
              <w:rPr>
                <w:rFonts w:ascii="Verdana" w:cs="Verdana" w:eastAsia="Verdana" w:hAnsi="Verdana"/>
                <w:sz w:val="18"/>
                <w:szCs w:val="18"/>
                <w:color w:val="auto"/>
              </w:rPr>
              <w:t>$23,181</w:t>
            </w:r>
          </w:p>
        </w:tc>
        <w:tc>
          <w:tcPr>
            <w:tcW w:w="1220" w:type="dxa"/>
            <w:vAlign w:val="bottom"/>
            <w:gridSpan w:val="3"/>
            <w:shd w:val="clear" w:color="auto" w:fill="CCEEFF"/>
          </w:tcPr>
          <w:p>
            <w:pPr>
              <w:jc w:val="right"/>
              <w:spacing w:after="0"/>
              <w:rPr>
                <w:sz w:val="20"/>
                <w:szCs w:val="20"/>
                <w:color w:val="auto"/>
              </w:rPr>
            </w:pPr>
            <w:r>
              <w:rPr>
                <w:rFonts w:ascii="Verdana" w:cs="Verdana" w:eastAsia="Verdana" w:hAnsi="Verdana"/>
                <w:sz w:val="18"/>
                <w:szCs w:val="18"/>
                <w:color w:val="auto"/>
              </w:rPr>
              <w:t>$198,527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580" w:type="dxa"/>
            <w:vAlign w:val="bottom"/>
            <w:tcBorders>
              <w:top w:val="single" w:sz="8" w:color="CCEEFF"/>
            </w:tcBorders>
          </w:tcPr>
          <w:p>
            <w:pPr>
              <w:spacing w:after="0"/>
              <w:rPr>
                <w:sz w:val="21"/>
                <w:szCs w:val="21"/>
                <w:color w:val="auto"/>
              </w:rPr>
            </w:pPr>
          </w:p>
        </w:tc>
        <w:tc>
          <w:tcPr>
            <w:tcW w:w="348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line="213" w:lineRule="exact"/>
              <w:rPr>
                <w:sz w:val="20"/>
                <w:szCs w:val="20"/>
                <w:color w:val="auto"/>
              </w:rPr>
            </w:pPr>
            <w:r>
              <w:rPr>
                <w:rFonts w:ascii="Verdana" w:cs="Verdana" w:eastAsia="Verdana" w:hAnsi="Verdana"/>
                <w:sz w:val="18"/>
                <w:szCs w:val="18"/>
                <w:color w:val="auto"/>
              </w:rPr>
              <w:t>Basic earnings per common</w:t>
            </w:r>
          </w:p>
        </w:tc>
        <w:tc>
          <w:tcPr>
            <w:tcW w:w="3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580" w:type="dxa"/>
            <w:vAlign w:val="bottom"/>
            <w:shd w:val="clear" w:color="auto" w:fill="CCEEFF"/>
          </w:tcPr>
          <w:p>
            <w:pPr>
              <w:spacing w:after="0"/>
              <w:rPr>
                <w:sz w:val="20"/>
                <w:szCs w:val="20"/>
                <w:color w:val="auto"/>
              </w:rPr>
            </w:pPr>
            <w:r>
              <w:rPr>
                <w:rFonts w:ascii="Verdana" w:cs="Verdana" w:eastAsia="Verdana" w:hAnsi="Verdana"/>
                <w:sz w:val="18"/>
                <w:szCs w:val="18"/>
                <w:color w:val="auto"/>
              </w:rPr>
              <w:t>Share</w:t>
            </w:r>
          </w:p>
        </w:tc>
        <w:tc>
          <w:tcPr>
            <w:tcW w:w="3480" w:type="dxa"/>
            <w:vAlign w:val="bottom"/>
            <w:shd w:val="clear" w:color="auto" w:fill="CCEEFF"/>
          </w:tcPr>
          <w:p>
            <w:pPr>
              <w:spacing w:after="0"/>
              <w:rPr>
                <w:sz w:val="19"/>
                <w:szCs w:val="19"/>
                <w:color w:val="auto"/>
              </w:rPr>
            </w:pPr>
          </w:p>
        </w:tc>
        <w:tc>
          <w:tcPr>
            <w:tcW w:w="1980" w:type="dxa"/>
            <w:vAlign w:val="bottom"/>
            <w:gridSpan w:val="7"/>
            <w:shd w:val="clear" w:color="auto" w:fill="CCEEFF"/>
          </w:tcPr>
          <w:p>
            <w:pPr>
              <w:jc w:val="right"/>
              <w:ind w:right="380"/>
              <w:spacing w:after="0"/>
              <w:rPr>
                <w:sz w:val="20"/>
                <w:szCs w:val="20"/>
                <w:color w:val="auto"/>
              </w:rPr>
            </w:pPr>
            <w:r>
              <w:rPr>
                <w:rFonts w:ascii="Verdana" w:cs="Verdana" w:eastAsia="Verdana" w:hAnsi="Verdana"/>
                <w:sz w:val="18"/>
                <w:szCs w:val="18"/>
                <w:color w:val="auto"/>
              </w:rPr>
              <w:t>$ 2.44</w:t>
            </w:r>
          </w:p>
        </w:tc>
        <w:tc>
          <w:tcPr>
            <w:tcW w:w="1220" w:type="dxa"/>
            <w:vAlign w:val="bottom"/>
            <w:gridSpan w:val="3"/>
            <w:shd w:val="clear" w:color="auto" w:fill="CCEEFF"/>
          </w:tcPr>
          <w:p>
            <w:pPr>
              <w:jc w:val="right"/>
              <w:spacing w:after="0"/>
              <w:rPr>
                <w:sz w:val="20"/>
                <w:szCs w:val="20"/>
                <w:color w:val="auto"/>
              </w:rPr>
            </w:pPr>
            <w:r>
              <w:rPr>
                <w:rFonts w:ascii="Verdana" w:cs="Verdana" w:eastAsia="Verdana" w:hAnsi="Verdana"/>
                <w:sz w:val="18"/>
                <w:szCs w:val="18"/>
                <w:color w:val="auto"/>
              </w:rPr>
              <w:t>$ 20.94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580" w:type="dxa"/>
            <w:vAlign w:val="bottom"/>
            <w:tcBorders>
              <w:top w:val="single" w:sz="8" w:color="CCEEFF"/>
            </w:tcBorders>
          </w:tcPr>
          <w:p>
            <w:pPr>
              <w:spacing w:after="0"/>
              <w:rPr>
                <w:sz w:val="21"/>
                <w:szCs w:val="21"/>
                <w:color w:val="auto"/>
              </w:rPr>
            </w:pPr>
          </w:p>
        </w:tc>
        <w:tc>
          <w:tcPr>
            <w:tcW w:w="348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line="213" w:lineRule="exact"/>
              <w:rPr>
                <w:sz w:val="20"/>
                <w:szCs w:val="20"/>
                <w:color w:val="auto"/>
              </w:rPr>
            </w:pPr>
            <w:r>
              <w:rPr>
                <w:rFonts w:ascii="Verdana" w:cs="Verdana" w:eastAsia="Verdana" w:hAnsi="Verdana"/>
                <w:sz w:val="18"/>
                <w:szCs w:val="18"/>
                <w:color w:val="auto"/>
              </w:rPr>
              <w:t>Diluted earnings per</w:t>
            </w:r>
          </w:p>
        </w:tc>
        <w:tc>
          <w:tcPr>
            <w:tcW w:w="3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80" w:type="dxa"/>
            <w:vAlign w:val="bottom"/>
            <w:shd w:val="clear" w:color="auto" w:fill="CCEEFF"/>
          </w:tcPr>
          <w:p>
            <w:pPr>
              <w:spacing w:after="0"/>
              <w:rPr>
                <w:sz w:val="20"/>
                <w:szCs w:val="20"/>
                <w:color w:val="auto"/>
              </w:rPr>
            </w:pPr>
            <w:r>
              <w:rPr>
                <w:rFonts w:ascii="Verdana" w:cs="Verdana" w:eastAsia="Verdana" w:hAnsi="Verdana"/>
                <w:sz w:val="18"/>
                <w:szCs w:val="18"/>
                <w:color w:val="auto"/>
              </w:rPr>
              <w:t>common share</w:t>
            </w:r>
          </w:p>
        </w:tc>
        <w:tc>
          <w:tcPr>
            <w:tcW w:w="3480" w:type="dxa"/>
            <w:vAlign w:val="bottom"/>
            <w:shd w:val="clear" w:color="auto" w:fill="CCEEFF"/>
          </w:tcPr>
          <w:p>
            <w:pPr>
              <w:spacing w:after="0"/>
              <w:rPr>
                <w:sz w:val="19"/>
                <w:szCs w:val="19"/>
                <w:color w:val="auto"/>
              </w:rPr>
            </w:pPr>
          </w:p>
        </w:tc>
        <w:tc>
          <w:tcPr>
            <w:tcW w:w="1980" w:type="dxa"/>
            <w:vAlign w:val="bottom"/>
            <w:gridSpan w:val="7"/>
            <w:shd w:val="clear" w:color="auto" w:fill="CCEEFF"/>
          </w:tcPr>
          <w:p>
            <w:pPr>
              <w:jc w:val="right"/>
              <w:ind w:right="380"/>
              <w:spacing w:after="0"/>
              <w:rPr>
                <w:sz w:val="20"/>
                <w:szCs w:val="20"/>
                <w:color w:val="auto"/>
              </w:rPr>
            </w:pPr>
            <w:r>
              <w:rPr>
                <w:rFonts w:ascii="Verdana" w:cs="Verdana" w:eastAsia="Verdana" w:hAnsi="Verdana"/>
                <w:sz w:val="18"/>
                <w:szCs w:val="18"/>
                <w:color w:val="auto"/>
              </w:rPr>
              <w:t>$ 2.44</w:t>
            </w:r>
          </w:p>
        </w:tc>
        <w:tc>
          <w:tcPr>
            <w:tcW w:w="1220" w:type="dxa"/>
            <w:vAlign w:val="bottom"/>
            <w:gridSpan w:val="3"/>
            <w:shd w:val="clear" w:color="auto" w:fill="CCEEFF"/>
          </w:tcPr>
          <w:p>
            <w:pPr>
              <w:jc w:val="right"/>
              <w:spacing w:after="0"/>
              <w:rPr>
                <w:sz w:val="20"/>
                <w:szCs w:val="20"/>
                <w:color w:val="auto"/>
              </w:rPr>
            </w:pPr>
            <w:r>
              <w:rPr>
                <w:rFonts w:ascii="Verdana" w:cs="Verdana" w:eastAsia="Verdana" w:hAnsi="Verdana"/>
                <w:sz w:val="18"/>
                <w:szCs w:val="18"/>
                <w:color w:val="auto"/>
              </w:rPr>
              <w:t>$ 20.90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60" w:type="dxa"/>
            <w:vAlign w:val="bottom"/>
            <w:tcBorders>
              <w:right w:val="single" w:sz="8" w:color="auto"/>
            </w:tcBorders>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5866765</wp:posOffset>
            </wp:positionH>
            <wp:positionV relativeFrom="paragraph">
              <wp:posOffset>-5320665</wp:posOffset>
            </wp:positionV>
            <wp:extent cx="3429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sectPr>
      <w:pgSz w:w="11900" w:h="16838" w:orient="portrait"/>
      <w:cols w:equalWidth="0" w:num="1">
        <w:col w:w="10219"/>
      </w:cols>
      <w:pgMar w:left="2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1"/>
    </w:lvl>
    <w:lvl w:ilvl="1">
      <w:lvlJc w:val="left"/>
      <w:lvlText w:val="%2"/>
      <w:numFmt w:val="decimal"/>
      <w:start w:val="11"/>
    </w:lvl>
  </w:abstractNum>
  <w:abstractNum w:abstractNumId="2">
    <w:nsid w:val="19495CFF"/>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2019-12-13T07:52:58Z</dcterms:created>
  <dcterms:modified xsi:type="dcterms:W3CDTF">2019-12-13T07:52:58Z</dcterms:modified>
</cp:coreProperties>
</file>