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October 29, 2025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Written communications pursuant to Rule 425 under the Securities Act (17 CFR 230.425)</w:t>
      </w:r>
    </w:p>
    <w:p>
      <w:pPr>
        <w:spacing w:after="0" w:line="179" w:lineRule="exact"/>
        <w:rPr>
          <w:rFonts w:ascii="MS PGothic" w:cs="MS PGothic" w:eastAsia="MS PGothic" w:hAnsi="MS PGothic"/>
          <w:sz w:val="36"/>
          <w:szCs w:val="36"/>
          <w:color w:val="auto"/>
          <w:vertAlign w:val="superscript"/>
        </w:rPr>
      </w:pPr>
    </w:p>
    <w:p>
      <w:pPr>
        <w:ind w:left="560" w:hanging="534"/>
        <w:spacing w:after="0" w:line="183" w:lineRule="auto"/>
        <w:tabs>
          <w:tab w:leader="none" w:pos="56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3"/>
          <w:szCs w:val="13"/>
          <w:color w:val="auto"/>
        </w:rPr>
        <w:t>Soliciting material pursuant to Rule 14a-12 under the Exchange Act (17 CFR 240.14a-12)</w:t>
      </w:r>
    </w:p>
    <w:p>
      <w:pPr>
        <w:spacing w:after="0" w:line="179" w:lineRule="exact"/>
        <w:rPr>
          <w:rFonts w:ascii="MS PGothic" w:cs="MS PGothic" w:eastAsia="MS PGothic" w:hAnsi="MS PGothic"/>
          <w:sz w:val="26"/>
          <w:szCs w:val="26"/>
          <w:color w:val="auto"/>
          <w:vertAlign w:val="superscript"/>
        </w:rPr>
      </w:pPr>
    </w:p>
    <w:p>
      <w:pPr>
        <w:ind w:left="560" w:hanging="534"/>
        <w:spacing w:after="0" w:line="183" w:lineRule="auto"/>
        <w:tabs>
          <w:tab w:leader="none" w:pos="56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3"/>
          <w:szCs w:val="13"/>
          <w:color w:val="auto"/>
        </w:rPr>
        <w:t>Pre-commencement communications pursuant to Rule 14d-2(b) under the Exchange Act (17 CFR 240.14d-2(b))</w:t>
      </w:r>
    </w:p>
    <w:p>
      <w:pPr>
        <w:spacing w:after="0" w:line="179" w:lineRule="exact"/>
        <w:rPr>
          <w:rFonts w:ascii="MS PGothic" w:cs="MS PGothic" w:eastAsia="MS PGothic" w:hAnsi="MS PGothic"/>
          <w:sz w:val="26"/>
          <w:szCs w:val="26"/>
          <w:color w:val="auto"/>
          <w:vertAlign w:val="superscript"/>
        </w:rPr>
      </w:pPr>
    </w:p>
    <w:p>
      <w:pPr>
        <w:ind w:right="2660" w:firstLine="26"/>
        <w:spacing w:after="0" w:line="317" w:lineRule="auto"/>
        <w:tabs>
          <w:tab w:leader="none" w:pos="544"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October 29, 2025, Graham Holdings Company issued a press release announcing the Company’s earnings for the third quarter ended September 30, 2025.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79" w:right="6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October 29, 2025.</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October 29,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October 29, 2025</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QUARTER EARNINGS</w:t>
      </w:r>
    </w:p>
    <w:p>
      <w:pPr>
        <w:sectPr>
          <w:pgSz w:w="11900" w:h="16838" w:orient="portrait"/>
          <w:cols w:equalWidth="0" w:num="1">
            <w:col w:w="11240"/>
          </w:cols>
          <w:pgMar w:left="320" w:top="1039" w:right="339" w:bottom="1440" w:gutter="0" w:footer="0" w:header="0"/>
          <w:type w:val="continuous"/>
        </w:sectPr>
      </w:pP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ARLINGTON, VA - Graham Holdings Company (NYSE: GHC) today reported its financial results for the third quarter of 2025. The Company also filed its Form 10-Q today for the quarter ended September 30, 2025 with the Securities and Exchange Commission.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third quarter of 2025 was $1,278.9 million, up 6% from $1,207.2 million in the third quarter of 2024. Revenues increased at</w:t>
      </w:r>
    </w:p>
    <w:p>
      <w:pPr>
        <w:spacing w:after="0" w:line="14"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education, manufacturing and healthcare, partially offset by declines at television broadcasting and automotive. The Company reported operating income of $67.1 million for the third quarter of 2025, compared to $81.6 million for the third quarter of 2024. The decrease in</w:t>
      </w:r>
    </w:p>
    <w:p>
      <w:pPr>
        <w:spacing w:after="0" w:line="236" w:lineRule="auto"/>
        <w:rPr>
          <w:sz w:val="20"/>
          <w:szCs w:val="20"/>
          <w:color w:val="auto"/>
        </w:rPr>
      </w:pPr>
      <w:r>
        <w:rPr>
          <w:rFonts w:ascii="Arial" w:cs="Arial" w:eastAsia="Arial" w:hAnsi="Arial"/>
          <w:sz w:val="18"/>
          <w:szCs w:val="18"/>
          <w:color w:val="auto"/>
        </w:rPr>
        <w:t>operating results is due to declines at television broadcasting and automotive, partially offset by improved results at education,</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manufacturing, healthcare and other businesses. The Company reported adjusted operating cash flow (non-GAAP) of $110.1 million for the third quarter of 2025, compared to $126.1 million for the third quarter of 2024. Adjusted operating cash flow declined at television</w:t>
      </w:r>
    </w:p>
    <w:p>
      <w:pPr>
        <w:spacing w:after="0" w:line="2" w:lineRule="exact"/>
        <w:rPr>
          <w:sz w:val="20"/>
          <w:szCs w:val="20"/>
          <w:color w:val="auto"/>
        </w:rPr>
      </w:pPr>
    </w:p>
    <w:p>
      <w:pPr>
        <w:ind w:right="1020"/>
        <w:spacing w:after="0" w:line="250" w:lineRule="auto"/>
        <w:rPr>
          <w:sz w:val="20"/>
          <w:szCs w:val="20"/>
          <w:color w:val="auto"/>
        </w:rPr>
      </w:pPr>
      <w:r>
        <w:rPr>
          <w:rFonts w:ascii="Arial" w:cs="Arial" w:eastAsia="Arial" w:hAnsi="Arial"/>
          <w:sz w:val="18"/>
          <w:szCs w:val="18"/>
          <w:color w:val="auto"/>
        </w:rPr>
        <w:t>broadcasting and automotive, partially offset by increases at education, manufacturing, healthcare and other businesses. Capital expenditures totaled $20.2 million and $23.8 million for the third quarter of 2025 and 2024, respectively.</w:t>
      </w:r>
    </w:p>
    <w:p>
      <w:pPr>
        <w:spacing w:after="0" w:line="104"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color w:val="auto"/>
        </w:rPr>
        <w:t>Revenue for the first nine months of 2025 was $3,660.5 million, up 3% from $3,545.1 million in the first nine months of 2024. Revenues increased at education, manufacturing, healthcare and other businesses, partially offset by declines at television broadcasting and</w:t>
      </w:r>
    </w:p>
    <w:p>
      <w:pPr>
        <w:ind w:right="200"/>
        <w:spacing w:after="0" w:line="226" w:lineRule="auto"/>
        <w:rPr>
          <w:sz w:val="20"/>
          <w:szCs w:val="20"/>
          <w:color w:val="auto"/>
        </w:rPr>
      </w:pPr>
      <w:r>
        <w:rPr>
          <w:rFonts w:ascii="Arial" w:cs="Arial" w:eastAsia="Arial" w:hAnsi="Arial"/>
          <w:sz w:val="18"/>
          <w:szCs w:val="18"/>
          <w:color w:val="auto"/>
        </w:rPr>
        <w:t>automotive. The Company reported operating income of $187.4 million for the first nine months of 2025, compared to $143.0 million for the first nine months of 2024. Excluding goodwill and other long-lived asset impairment charges, the improvement in operating results is due to</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increases at education, manufacturing and healthcare, partially offset by declines at television broadcasting and automotive. The Company reported adjusted operating cash flow (non-GAAP) of $309.5 million for the first nine months of 2025, compared to $307.4 million for the first</w:t>
      </w:r>
    </w:p>
    <w:p>
      <w:pPr>
        <w:spacing w:after="0" w:line="236" w:lineRule="auto"/>
        <w:rPr>
          <w:sz w:val="20"/>
          <w:szCs w:val="20"/>
          <w:color w:val="auto"/>
        </w:rPr>
      </w:pPr>
      <w:r>
        <w:rPr>
          <w:rFonts w:ascii="Arial" w:cs="Arial" w:eastAsia="Arial" w:hAnsi="Arial"/>
          <w:sz w:val="18"/>
          <w:szCs w:val="18"/>
          <w:color w:val="auto"/>
        </w:rPr>
        <w:t>nine months of 2024. Adjusted operating cash flow increased at education, manufacturing and healthcare, partially offset by declines at</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television broadcasting, automotive and other businesses. Capital expenditures totaled $54.1 million and $66.0 million for the first nine months of 2025 and 2024,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Dispositions of Businesses</w:t>
      </w:r>
    </w:p>
    <w:p>
      <w:pPr>
        <w:spacing w:after="0" w:line="15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the first half of 2025, the Company completed the sale of various websites and related businesses that made up World of Good Brands (WGB). All remaining WGB operations were substantially shut down by the end of the third quarter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On July 15, 2025, Hoover acquired Arconic Architectural Products, LLC, a wholly-owned subsidiary of Arconic Corporation, which</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manufactures aluminum cladding products and operates within the broader non-residential materials space from its facility in Eastman, GA. A significant portion of the purchase price was funded by the Company’s assumption of $107.4 million in net pension obligations.</w:t>
      </w:r>
    </w:p>
    <w:p>
      <w:pPr>
        <w:spacing w:after="0" w:line="12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Company recently decided to cease operations of the Ourisman Jeep of Bethesda dealership, which was closed in early September 2025.</w:t>
      </w:r>
    </w:p>
    <w:p>
      <w:pPr>
        <w:spacing w:after="0" w:line="86"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On October 21, 2025, the Company acquired a Honda automotive dealership in Woodbridge, VA, including the real property for the dealership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44"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At September 30, 2025, the Company had $731.9 million in borrowings outstanding at an average interest rate of 5.9%, including $67.2 million outstanding on its $300 million revolving credit facility. Cash, marketable equity securities and other investments totaled $1,242.9 million at September 30, 2025.</w:t>
      </w:r>
    </w:p>
    <w:p>
      <w:pPr>
        <w:spacing w:after="0" w:line="10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Overall, the Company recognized $84.8 million and $117.0 million in net gains on marketable equity securities in the third quarter and first nine months of 2025, respectively, compared to $30.5 million and $154.3 million in net gains on marketable equity securities in the third quarter and first nine months of 2024,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the first nine months of 2025, the Company purchased a total of 3,978 shares of its Class B common stock at a cost of $3.5 million. At September 30, 2025, there were 4,361,833 shares outstanding. On September 12, 2024, the Board of Directors authorized the Company to</w:t>
      </w:r>
    </w:p>
    <w:p>
      <w:pPr>
        <w:spacing w:after="0" w:line="1" w:lineRule="exact"/>
        <w:rPr>
          <w:sz w:val="20"/>
          <w:szCs w:val="20"/>
          <w:color w:val="auto"/>
        </w:rPr>
      </w:pPr>
    </w:p>
    <w:p>
      <w:pPr>
        <w:ind w:right="1180"/>
        <w:spacing w:after="0" w:line="250" w:lineRule="auto"/>
        <w:rPr>
          <w:sz w:val="20"/>
          <w:szCs w:val="20"/>
          <w:color w:val="auto"/>
        </w:rPr>
      </w:pPr>
      <w:r>
        <w:rPr>
          <w:rFonts w:ascii="Arial" w:cs="Arial" w:eastAsia="Arial" w:hAnsi="Arial"/>
          <w:sz w:val="18"/>
          <w:szCs w:val="18"/>
          <w:color w:val="auto"/>
        </w:rPr>
        <w:t>acquire up to 500,000 shares of its Class B common stock; the Company has remaining authorization for 462,482 shares as of September 30,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reported net income attributable to common shares of $122.9 million ($27.91 per share) for the third quarter of 2025,</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compared to $72.5 million ($16.42 per share) for the third quarter of 2024. For the first nine months of 2025, the Company reported net income attributable to common shares of $183.6 million ($41.75 per share), compared to $175.8 million ($39.49 per share) for the first nine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of 2024.</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results for the third quarter and first nine months of 2025 and 2024 were affected by a number of items as described in the Non-GAAP Financial Information schedule attached to this release. Excluding these items, net income attributable to common shares was $62.0 million</w:t>
      </w:r>
    </w:p>
    <w:p>
      <w:pPr>
        <w:spacing w:after="0" w:line="235" w:lineRule="auto"/>
        <w:rPr>
          <w:sz w:val="20"/>
          <w:szCs w:val="20"/>
          <w:color w:val="auto"/>
        </w:rPr>
      </w:pPr>
      <w:r>
        <w:rPr>
          <w:rFonts w:ascii="Arial" w:cs="Arial" w:eastAsia="Arial" w:hAnsi="Arial"/>
          <w:sz w:val="18"/>
          <w:szCs w:val="18"/>
          <w:color w:val="auto"/>
        </w:rPr>
        <w:t>($14.08 per share) for the third quarter of 2025, compared to $76.1 million ($17.25 per share) for the third quarter of 2024. Excluding these</w:t>
      </w:r>
    </w:p>
    <w:p>
      <w:pPr>
        <w:ind w:right="20"/>
        <w:spacing w:after="0" w:line="237" w:lineRule="auto"/>
        <w:rPr>
          <w:sz w:val="20"/>
          <w:szCs w:val="20"/>
          <w:color w:val="auto"/>
        </w:rPr>
      </w:pPr>
      <w:r>
        <w:rPr>
          <w:rFonts w:ascii="Arial" w:cs="Arial" w:eastAsia="Arial" w:hAnsi="Arial"/>
          <w:sz w:val="18"/>
          <w:szCs w:val="18"/>
          <w:color w:val="auto"/>
        </w:rPr>
        <w:t>items, net income attributable to common shares was $176.1 million ($40.05 per share) for the first nine months of 2025, compared to $183.5 million ($41.20 per share) for the first nine months of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for the fiscal year ended December 31, 2024 and in the Company’s 2024</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Annual Report to Stockholders, are “forward-looking statements” within the meaning of the Private Securities Litigation Reform Act of 1995. Forward-looking statements are based on expectations, forecasts, and assumptions by the Company’s management and involve a number of</w:t>
      </w:r>
    </w:p>
    <w:p>
      <w:pPr>
        <w:spacing w:after="0" w:line="236" w:lineRule="auto"/>
        <w:rPr>
          <w:sz w:val="20"/>
          <w:szCs w:val="20"/>
          <w:color w:val="auto"/>
        </w:rPr>
      </w:pPr>
      <w:r>
        <w:rPr>
          <w:rFonts w:ascii="Arial" w:cs="Arial" w:eastAsia="Arial" w:hAnsi="Arial"/>
          <w:sz w:val="18"/>
          <w:szCs w:val="18"/>
          <w:color w:val="auto"/>
        </w:rPr>
        <w:t>risks, uncertainties, and other factors that could cause actual results to differ from those stated, including, without limitation, comments about</w:t>
      </w:r>
    </w:p>
    <w:p>
      <w:pPr>
        <w:spacing w:after="0" w:line="1"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expectations related to acquisitions or dispositions or related business activities, the Company’s business strategies and objectives, the prospects for growth in the Company’s various business operations, the Company’s future financial performance, and the risks and</w:t>
      </w:r>
    </w:p>
    <w:p>
      <w:pPr>
        <w:spacing w:after="0" w:line="236" w:lineRule="auto"/>
        <w:rPr>
          <w:sz w:val="20"/>
          <w:szCs w:val="20"/>
          <w:color w:val="auto"/>
        </w:rPr>
      </w:pPr>
      <w:r>
        <w:rPr>
          <w:rFonts w:ascii="Arial" w:cs="Arial" w:eastAsia="Arial" w:hAnsi="Arial"/>
          <w:sz w:val="18"/>
          <w:szCs w:val="18"/>
          <w:color w:val="auto"/>
        </w:rPr>
        <w:t>uncertainties described in Item 1A of the Company’s Form 10-Q for the quarter ended September 30, 2025 and the Annual Report on Form</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10-K for the fiscal year ended December 31, 2024. Accordingly, undue reliance should not be placed on any forward-looking statement made by or on behalf of the Company. The Company assumes no obligation to update any forward-looking statement after the date on which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 is made, even if new information subsequently becomes available.</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1,278,859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1,207,162</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1,180,498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1,095,797</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19,298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21,332</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9,692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8,385</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intangible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2,235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67,136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81,648</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15,780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(13,361)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1,464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2,277</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(17,164)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(25,896)</w:t>
            </w: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31,047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38,307</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84,768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30,496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183,038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113,006</w:t>
            </w: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56,800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38,500</w:t>
            </w: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126,238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74,506</w:t>
            </w: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122,925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72,503</w:t>
            </w: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16.54</w:t>
            </w: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4,334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4,352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27.91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16.42</w:t>
            </w: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4,378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3" w:right="339" w:bottom="1440" w:gutter="0" w:footer="0" w:header="0"/>
        </w:sectPr>
      </w:pPr>
    </w:p>
    <w:bookmarkStart w:id="7" w:name="page8"/>
    <w:bookmarkEnd w:id="7"/>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3,660,546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3,545,104</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3,386,690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3,280,590</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59,504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66,032</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24,757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29,194</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2,235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26,287</w:t>
            </w:r>
          </w:p>
        </w:tc>
        <w:tc>
          <w:tcPr>
            <w:tcW w:w="7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187,360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143,001</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10,466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(8,470)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6,225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6,566</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(117,547)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(136,607)</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94,266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105,379</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117,026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154,276</w:t>
            </w: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(20,514)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277,282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267,118</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84,900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86,100</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192,382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181,018</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(8,814)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(5,175)</w:t>
            </w: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183,568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175,843</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39.74</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4,329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41.75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39.49</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4,370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4,423</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25"/>
        </w:trPr>
        <w:tc>
          <w:tcPr>
            <w:tcW w:w="4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jc w:val="right"/>
              <w:ind w:right="3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472,662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438,090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1,334,206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1,283,587</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105,087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145,422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314,625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373,958</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124,257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95,385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318,480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300,914</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208,415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155,413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584,375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431,142</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285,228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289,392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851,791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902,046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83,215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83,464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257,082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253,753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620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576</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1,861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1,727</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1"/>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1,278,859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1,207,162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3,660,546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3,545,104</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423,610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403,200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1,198,936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1,182,833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78,313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83,508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235,513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251,283</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117,562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90,890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298,739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289,085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187,423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141,153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519,969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398,054</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278,920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280,328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829,698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873,127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108,230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112,358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340,630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364,563</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18,290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14,657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51,575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45,181</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1,211,723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1,125,514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3,473,186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3,402,103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49,052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34,890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135,270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100,754</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26,774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61,914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79,112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122,675</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6,695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19,741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11,829</w:t>
            </w: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20,992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14,260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64,406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33,088</w:t>
            </w: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6,308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9,064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22,093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28,919</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(25,015)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(28,894)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(83,548)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(110,810)</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(17,670)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(14,081)</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(49,714)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(43,454)</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67,136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81,648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187,360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143,001</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61"/>
        </w:trPr>
        <w:tc>
          <w:tcPr>
            <w:tcW w:w="4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1,404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2,421</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5,222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8,267</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4,080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4,070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4,442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9,304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8,387</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1,095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1,330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560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3,066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6,486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33,354</w:t>
            </w: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11,927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26,992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55,481</w:t>
            </w: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161"/>
        </w:trPr>
        <w:tc>
          <w:tcPr>
            <w:tcW w:w="4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64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Assets and Impairment of Goodwill and Other Long-Lived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50,456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37,311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140,492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109,021</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28,134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63,274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83,192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126,745</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11,137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7,114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29,045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20,216</w:t>
            </w: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22,087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14,419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65,736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34,481</w:t>
            </w: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6,868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9,069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22,663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28,929</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(21,949)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(27,073)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(77,062)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(77,456)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(17,670)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(14,081)</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(49,714)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(43,454)</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6"/>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79,063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90,033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214,352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198,482</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716"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93" w:right="339" w:bottom="716"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7"/>
                <w:szCs w:val="17"/>
                <w:color w:val="auto"/>
              </w:rPr>
            </w:pPr>
          </w:p>
        </w:tc>
      </w:tr>
      <w:tr>
        <w:trPr>
          <w:trHeight w:val="225"/>
        </w:trPr>
        <w:tc>
          <w:tcPr>
            <w:tcW w:w="4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1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2024</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2024</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7,085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8,576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22,261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26,736</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2,597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7,850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8,494</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3,219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2,818</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8,576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8,227</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1,837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1,754</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5,346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5,031</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1,718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5,155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5,203</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2,671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9,813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11,909</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171</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503</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19,298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59,504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66,032</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4,318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4,445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12,954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13,267</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1,475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1,528</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4,426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4,583</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866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978</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2,596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1,897</w:t>
            </w: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2,496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4,804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7,488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14,413</w:t>
            </w: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1,857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5,868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5,577</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761</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2,284</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11,772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14,761</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35,663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42,866</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46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61,859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50,332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175,707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149,024</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32,206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67,558</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95,468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139,822</w:t>
            </w: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15,222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10,910</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40,217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30,340</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26,420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20,977</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78,570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53,925</w:t>
            </w: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8,585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10,872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27,865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34,218</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(17,421)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(21,588)</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(61,381)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(59,970)</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(16,738)</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(46,927)</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(39,979)</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6"/>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110,133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126,126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309,519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307,380</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260" w:hanging="271"/>
        <w:spacing w:after="0" w:line="28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Goodwill and Other Long-Lived Assets plus Depreciation Expense and Pension Expense.</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1102"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25"/>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59"/>
              <w:spacing w:after="0"/>
              <w:rPr>
                <w:sz w:val="20"/>
                <w:szCs w:val="20"/>
                <w:color w:val="auto"/>
              </w:rPr>
            </w:pPr>
            <w:r>
              <w:rPr>
                <w:rFonts w:ascii="Arial" w:cs="Arial" w:eastAsia="Arial" w:hAnsi="Arial"/>
                <w:sz w:val="14"/>
                <w:szCs w:val="14"/>
                <w:color w:val="auto"/>
              </w:rPr>
              <w:t>%</w:t>
            </w:r>
          </w:p>
        </w:tc>
      </w:tr>
      <w:tr>
        <w:trPr>
          <w:trHeight w:val="20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2024</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294,292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277,009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827,719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813,833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92,162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85,655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265,387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246,818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86,679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76,134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242,243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221,389</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280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5,739</w:t>
            </w: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31"/>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472,662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438,090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1,334,206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1,283,587</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2"/>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265,399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251,471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738,827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731,159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77,479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74,270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219,925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215,560</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71,700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64,948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213,890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199,951</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8,417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10,875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22,516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32,096</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1,404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5,222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8,267</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1"/>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(789)</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423,610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403,200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1,198,936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1,182,833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28,893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25,538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88,892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82,674</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14,683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45,462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31,258</w:t>
            </w: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14,979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11,186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28,353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21,438</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(8,137)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(10,717)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(22,201)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(26,357)</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(1,404)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(5,222)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(8,267)</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49,052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135,270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100,754</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61"/>
        </w:trPr>
        <w:tc>
          <w:tcPr>
            <w:tcW w:w="462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62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28,893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25,538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88,892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82,674</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14,683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45,462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31,258</w:t>
            </w: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14,979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11,186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28,353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21,438</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(8,137)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(10,717)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(22,201)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(26,357)</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50,456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37,311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140,492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109,021</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22"/>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6,072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7,202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19,014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21,735</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314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1,153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2,291</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692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2,076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2,653</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7,085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22,261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26,736</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2"/>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142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428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527</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1,849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1,903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5,546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5,729</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1,929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5,788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5,874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398</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1,192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4,318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12,954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46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35,107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32,938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108,334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104,936</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16,846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13,877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52,161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39,278</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17,600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13,925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36,217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29,965</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(7,732)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(10,327)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(20,991)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(25,163)</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61,859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50,332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175,707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149,024</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180" w:hanging="271"/>
        <w:spacing w:after="0" w:line="28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plus Depreciation Expense and Pension Expense.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140"/>
          </w:cols>
          <w:pgMar w:left="320" w:top="1093" w:right="439" w:bottom="689" w:gutter="0" w:footer="0" w:header="0"/>
        </w:sectPr>
      </w:pP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40"/>
          </w:cols>
          <w:pgMar w:left="320" w:top="1093" w:right="439" w:bottom="689"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2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noncontrolling interest are not directly related to the core performance of the Company’s business operations since these items do not directly relate to the sale of the Company’s services or products. GAAP requires that the Company include the gains and losses on</w:t>
      </w:r>
    </w:p>
    <w:p>
      <w:pPr>
        <w:spacing w:after="0" w:line="235" w:lineRule="auto"/>
        <w:rPr>
          <w:sz w:val="20"/>
          <w:szCs w:val="20"/>
          <w:color w:val="auto"/>
        </w:rPr>
      </w:pPr>
      <w:r>
        <w:rPr>
          <w:rFonts w:ascii="Arial" w:cs="Arial" w:eastAsia="Arial" w:hAnsi="Arial"/>
          <w:sz w:val="18"/>
          <w:szCs w:val="18"/>
          <w:color w:val="auto"/>
        </w:rPr>
        <w:t>marketable equity securities and net interest expense related to fair value adjustments of the mandatorily redeemable noncontrolling interest</w:t>
      </w:r>
    </w:p>
    <w:p>
      <w:pPr>
        <w:spacing w:after="0" w:line="226" w:lineRule="auto"/>
        <w:rPr>
          <w:sz w:val="20"/>
          <w:szCs w:val="20"/>
          <w:color w:val="auto"/>
        </w:rPr>
      </w:pPr>
      <w:r>
        <w:rPr>
          <w:rFonts w:ascii="Arial" w:cs="Arial" w:eastAsia="Arial" w:hAnsi="Arial"/>
          <w:sz w:val="18"/>
          <w:szCs w:val="18"/>
          <w:color w:val="auto"/>
        </w:rPr>
        <w:t>in net income on the Condensed Consolidated Statements of Operations. The Company excludes the gains and losses on marketable equity securities and net interest expense related to fair value adjustments of the mandatorily redeemable noncontrolling interest from the non-</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GAAP adjusted net income because these items are independent of the Company’s core operations and not indicative of the performance of the Company’s business operations.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039"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31"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Three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2024</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5"/>
                <w:szCs w:val="15"/>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line="162"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0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9"/>
                <w:szCs w:val="9"/>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183,038</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56,800</w:t>
            </w: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126,238</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113,006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38,500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74,506</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(3,313)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(2,003)</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122,925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72,503</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Intangible and other long-lived asset impairment charges</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2,235</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522</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1,713</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(626)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626</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2,546</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651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1,895</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3,665</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938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2,727</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718</w:t>
            </w:r>
          </w:p>
        </w:tc>
        <w:tc>
          <w:tcPr>
            <w:tcW w:w="200" w:type="dxa"/>
            <w:vAlign w:val="bottom"/>
          </w:tcPr>
          <w:p>
            <w:pPr>
              <w:spacing w:after="0"/>
              <w:rPr>
                <w:sz w:val="15"/>
                <w:szCs w:val="15"/>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(6,198)</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6,916</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9,730</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(3,501)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13,231</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(84,768)</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(21,735)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(63,033)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(30,496)</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(7,808)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(22,688)</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5,787</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1,484</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4,303</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2,307</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590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1,717</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(3,763)</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(1,197)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(2,566)</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non-operating (gain) loss from earnings, write-up and</w:t>
            </w:r>
          </w:p>
        </w:tc>
        <w:tc>
          <w:tcPr>
            <w:tcW w:w="16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(17,122)</w:t>
            </w:r>
          </w:p>
        </w:tc>
        <w:tc>
          <w:tcPr>
            <w:tcW w:w="200" w:type="dxa"/>
            <w:vAlign w:val="bottom"/>
          </w:tcPr>
          <w:p>
            <w:pPr>
              <w:spacing w:after="0"/>
              <w:rPr>
                <w:sz w:val="15"/>
                <w:szCs w:val="15"/>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(4,395)</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(12,727)</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impairment of equity and cost method investments</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14,236</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3,642</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10,594</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61,992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76,144</w:t>
            </w: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27.91</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16.42</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0.39</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Intangible and other long-lived asset impairment charges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0.43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0.62</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1.57</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(14.31)</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(5.14)</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0.98</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non-operating (gain) loss from earnings, write-up and</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(2.89)</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impairment of equity and cost method investments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14.08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17.25</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39" w:right="339" w:bottom="1440" w:gutter="0" w:footer="0" w:header="0"/>
        </w:sectPr>
      </w:pPr>
    </w:p>
    <w:bookmarkStart w:id="13" w:name="page14"/>
    <w:bookmarkEnd w:id="13"/>
    <w:p>
      <w:pPr>
        <w:ind w:left="6740"/>
        <w:spacing w:after="0"/>
        <w:rPr>
          <w:sz w:val="20"/>
          <w:szCs w:val="20"/>
          <w:color w:val="auto"/>
        </w:rPr>
      </w:pPr>
      <w:r>
        <w:rPr>
          <w:rFonts w:ascii="Arial" w:cs="Arial" w:eastAsia="Arial" w:hAnsi="Arial"/>
          <w:sz w:val="16"/>
          <w:szCs w:val="16"/>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44"/>
              <w:spacing w:after="0" w:line="169" w:lineRule="exact"/>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4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line="162" w:lineRule="exact"/>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6"/>
        </w:trPr>
        <w:tc>
          <w:tcPr>
            <w:tcW w:w="4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8"/>
                <w:szCs w:val="8"/>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88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10"/>
                <w:szCs w:val="10"/>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taxes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88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277,282</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84,900</w:t>
            </w: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192,382</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267,118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86,100</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181,018</w:t>
            </w:r>
          </w:p>
        </w:tc>
        <w:tc>
          <w:tcPr>
            <w:tcW w:w="0" w:type="dxa"/>
            <w:vAlign w:val="bottom"/>
          </w:tcPr>
          <w:p>
            <w:pPr>
              <w:spacing w:after="0"/>
              <w:rPr>
                <w:sz w:val="1"/>
                <w:szCs w:val="1"/>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(8,814)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(5,175)</w:t>
            </w: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183,568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175,843</w:t>
            </w:r>
          </w:p>
        </w:tc>
        <w:tc>
          <w:tcPr>
            <w:tcW w:w="0" w:type="dxa"/>
            <w:vAlign w:val="bottom"/>
          </w:tcPr>
          <w:p>
            <w:pPr>
              <w:spacing w:after="0"/>
              <w:rPr>
                <w:sz w:val="1"/>
                <w:szCs w:val="1"/>
                <w:color w:val="auto"/>
              </w:rPr>
            </w:pPr>
          </w:p>
        </w:tc>
      </w:tr>
      <w:tr>
        <w:trPr>
          <w:trHeight w:val="190"/>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2,235</w:t>
            </w:r>
          </w:p>
        </w:tc>
        <w:tc>
          <w:tcPr>
            <w:tcW w:w="200" w:type="dxa"/>
            <w:vAlign w:val="bottom"/>
          </w:tcPr>
          <w:p>
            <w:pPr>
              <w:spacing w:after="0"/>
              <w:rPr>
                <w:sz w:val="16"/>
                <w:szCs w:val="16"/>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522</w:t>
            </w: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1,713</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8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26,287</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5,067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21,220</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and Voluntary Retirement Incentive Program</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9,185</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2,351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6,834</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20,493</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5,246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15,247</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68,278</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7,496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60,782</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85,145</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8,740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76,405</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(117,026)</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(30,006)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(87,020)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(154,276)</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(39,502)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(114,774)</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18,110</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4,643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13,467</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4,922</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1,260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3,662</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(7,246)</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(1,956)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(5,290)</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Net non-operating (gain) loss from earnings, write-up and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520"/>
              <w:spacing w:after="0"/>
              <w:rPr>
                <w:sz w:val="20"/>
                <w:szCs w:val="20"/>
                <w:color w:val="auto"/>
              </w:rPr>
            </w:pPr>
            <w:r>
              <w:rPr>
                <w:rFonts w:ascii="Arial" w:cs="Arial" w:eastAsia="Arial" w:hAnsi="Arial"/>
                <w:sz w:val="15"/>
                <w:szCs w:val="15"/>
                <w:color w:val="auto"/>
              </w:rPr>
              <w:t>impairment of equity and cost method investments</w:t>
            </w:r>
          </w:p>
        </w:tc>
        <w:tc>
          <w:tcPr>
            <w:tcW w:w="16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(4,443)</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(1,189)</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(3,254)</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14,980</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3,833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11,147</w:t>
            </w: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176,090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183,460</w:t>
            </w:r>
          </w:p>
        </w:tc>
        <w:tc>
          <w:tcPr>
            <w:tcW w:w="0" w:type="dxa"/>
            <w:vAlign w:val="bottom"/>
          </w:tcPr>
          <w:p>
            <w:pPr>
              <w:spacing w:after="0"/>
              <w:rPr>
                <w:sz w:val="1"/>
                <w:szCs w:val="1"/>
                <w:color w:val="auto"/>
              </w:rPr>
            </w:pPr>
          </w:p>
        </w:tc>
      </w:tr>
      <w:tr>
        <w:trPr>
          <w:trHeight w:val="298"/>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41.75</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39.49</w:t>
            </w:r>
          </w:p>
        </w:tc>
        <w:tc>
          <w:tcPr>
            <w:tcW w:w="0" w:type="dxa"/>
            <w:vAlign w:val="bottom"/>
          </w:tcPr>
          <w:p>
            <w:pPr>
              <w:spacing w:after="0"/>
              <w:rPr>
                <w:sz w:val="1"/>
                <w:szCs w:val="1"/>
                <w:color w:val="auto"/>
              </w:rPr>
            </w:pPr>
          </w:p>
        </w:tc>
      </w:tr>
      <w:tr>
        <w:trPr>
          <w:trHeight w:val="190"/>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0.39</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8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4.77</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and Voluntary Retirement Incentive Program</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13.83</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17.16</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(19.79)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(25.77)</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3.06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0.82</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Net non-operating (gain) loss from earnings, write-up and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520"/>
              <w:spacing w:after="0"/>
              <w:rPr>
                <w:sz w:val="20"/>
                <w:szCs w:val="20"/>
                <w:color w:val="auto"/>
              </w:rPr>
            </w:pPr>
            <w:r>
              <w:rPr>
                <w:rFonts w:ascii="Arial" w:cs="Arial" w:eastAsia="Arial" w:hAnsi="Arial"/>
                <w:sz w:val="15"/>
                <w:szCs w:val="15"/>
                <w:color w:val="auto"/>
              </w:rPr>
              <w:t>impairment of equity and cost method investments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(0.74)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10"/>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40.05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41.20</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2025-10-29T07:41:45Z</dcterms:created>
  <dcterms:modified xsi:type="dcterms:W3CDTF">2025-10-29T07:41:45Z</dcterms:modified>
</cp:coreProperties>
</file>