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294005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333375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ind w:left="350" w:hanging="350"/>
        <w:spacing w:after="0"/>
        <w:tabs>
          <w:tab w:leader="none" w:pos="350" w:val="left"/>
        </w:tabs>
        <w:numPr>
          <w:ilvl w:val="0"/>
          <w:numId w:val="1"/>
        </w:numPr>
        <w:rPr>
          <w:rFonts w:ascii="Arial" w:cs="Arial" w:eastAsia="Arial" w:hAnsi="Arial"/>
          <w:sz w:val="17"/>
          <w:szCs w:val="17"/>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For the Quarterly Period Ended September 30, 2013</w:t>
      </w:r>
    </w:p>
    <w:p>
      <w:pPr>
        <w:spacing w:after="0" w:line="140"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or</w:t>
      </w:r>
    </w:p>
    <w:p>
      <w:pPr>
        <w:spacing w:after="0" w:line="130"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7"/>
          <w:szCs w:val="17"/>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1" w:lineRule="exact"/>
        <w:rPr>
          <w:sz w:val="24"/>
          <w:szCs w:val="24"/>
          <w:color w:val="auto"/>
        </w:rPr>
      </w:pPr>
    </w:p>
    <w:p>
      <w:pPr>
        <w:jc w:val="center"/>
        <w:ind w:left="1160"/>
        <w:spacing w:after="0"/>
        <w:rPr>
          <w:sz w:val="20"/>
          <w:szCs w:val="20"/>
          <w:color w:val="auto"/>
        </w:rPr>
      </w:pPr>
      <w:r>
        <w:rPr>
          <w:rFonts w:ascii="Arial" w:cs="Arial" w:eastAsia="Arial" w:hAnsi="Arial"/>
          <w:sz w:val="17"/>
          <w:szCs w:val="17"/>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109855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0"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7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88900</wp:posOffset>
            </wp:positionV>
            <wp:extent cx="27184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6" w:lineRule="exact"/>
        <w:rPr>
          <w:sz w:val="24"/>
          <w:szCs w:val="24"/>
          <w:color w:val="auto"/>
        </w:rPr>
      </w:pPr>
    </w:p>
    <w:tbl>
      <w:tblPr>
        <w:tblLayout w:type="fixed"/>
        <w:tblInd w:w="1290" w:type="dxa"/>
        <w:tblCellMar>
          <w:top w:w="0" w:type="dxa"/>
          <w:left w:w="0" w:type="dxa"/>
          <w:bottom w:w="0" w:type="dxa"/>
          <w:right w:w="0" w:type="dxa"/>
        </w:tblCellMar>
      </w:tblPr>
      <w:tr>
        <w:trPr>
          <w:trHeight w:val="195"/>
        </w:trPr>
        <w:tc>
          <w:tcPr>
            <w:tcW w:w="6380" w:type="dxa"/>
            <w:vAlign w:val="bottom"/>
          </w:tcPr>
          <w:p>
            <w:pPr>
              <w:jc w:val="center"/>
              <w:ind w:right="3169"/>
              <w:spacing w:after="0"/>
              <w:rPr>
                <w:sz w:val="20"/>
                <w:szCs w:val="20"/>
                <w:color w:val="auto"/>
              </w:rPr>
            </w:pPr>
            <w:r>
              <w:rPr>
                <w:rFonts w:ascii="Arial" w:cs="Arial" w:eastAsia="Arial" w:hAnsi="Arial"/>
                <w:sz w:val="17"/>
                <w:szCs w:val="17"/>
                <w:b w:val="1"/>
                <w:bCs w:val="1"/>
                <w:color w:val="auto"/>
                <w:w w:val="99"/>
              </w:rPr>
              <w:t>Delaware</w:t>
            </w:r>
          </w:p>
        </w:tc>
        <w:tc>
          <w:tcPr>
            <w:tcW w:w="1440" w:type="dxa"/>
            <w:vAlign w:val="bottom"/>
          </w:tcPr>
          <w:p>
            <w:pPr>
              <w:jc w:val="right"/>
              <w:ind w:right="3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6380" w:type="dxa"/>
            <w:vAlign w:val="bottom"/>
          </w:tcPr>
          <w:p>
            <w:pPr>
              <w:jc w:val="center"/>
              <w:ind w:right="3169"/>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1440" w:type="dxa"/>
            <w:vAlign w:val="bottom"/>
          </w:tcPr>
          <w:p>
            <w:pPr>
              <w:jc w:val="center"/>
              <w:ind w:left="31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6380" w:type="dxa"/>
            <w:vAlign w:val="bottom"/>
          </w:tcPr>
          <w:p>
            <w:pPr>
              <w:jc w:val="center"/>
              <w:ind w:right="3169"/>
              <w:spacing w:after="0"/>
              <w:rPr>
                <w:sz w:val="20"/>
                <w:szCs w:val="20"/>
                <w:color w:val="auto"/>
              </w:rPr>
            </w:pPr>
            <w:r>
              <w:rPr>
                <w:rFonts w:ascii="Arial" w:cs="Arial" w:eastAsia="Arial" w:hAnsi="Arial"/>
                <w:sz w:val="12"/>
                <w:szCs w:val="12"/>
                <w:b w:val="1"/>
                <w:bCs w:val="1"/>
                <w:color w:val="auto"/>
              </w:rPr>
              <w:t>incorporation or organization)</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380" w:type="dxa"/>
            <w:vAlign w:val="bottom"/>
          </w:tcPr>
          <w:p>
            <w:pPr>
              <w:jc w:val="center"/>
              <w:ind w:right="3169"/>
              <w:spacing w:after="0"/>
              <w:rPr>
                <w:sz w:val="20"/>
                <w:szCs w:val="20"/>
                <w:color w:val="auto"/>
              </w:rPr>
            </w:pPr>
            <w:r>
              <w:rPr>
                <w:rFonts w:ascii="Arial" w:cs="Arial" w:eastAsia="Arial" w:hAnsi="Arial"/>
                <w:sz w:val="17"/>
                <w:szCs w:val="17"/>
                <w:b w:val="1"/>
                <w:bCs w:val="1"/>
                <w:color w:val="auto"/>
                <w:w w:val="97"/>
              </w:rPr>
              <w:t>1150 15th Street, N.W. Washington, D.C.</w:t>
            </w:r>
          </w:p>
        </w:tc>
        <w:tc>
          <w:tcPr>
            <w:tcW w:w="144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380" w:type="dxa"/>
            <w:vAlign w:val="bottom"/>
          </w:tcPr>
          <w:p>
            <w:pPr>
              <w:jc w:val="center"/>
              <w:ind w:right="3169"/>
              <w:spacing w:after="0"/>
              <w:rPr>
                <w:sz w:val="20"/>
                <w:szCs w:val="20"/>
                <w:color w:val="auto"/>
              </w:rPr>
            </w:pPr>
            <w:r>
              <w:rPr>
                <w:rFonts w:ascii="Arial" w:cs="Arial" w:eastAsia="Arial" w:hAnsi="Arial"/>
                <w:sz w:val="12"/>
                <w:szCs w:val="12"/>
                <w:b w:val="1"/>
                <w:bCs w:val="1"/>
                <w:color w:val="auto"/>
              </w:rPr>
              <w:t>(Address of principal executive offices)</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6380" w:type="dxa"/>
            <w:vAlign w:val="bottom"/>
          </w:tcPr>
          <w:p>
            <w:pPr>
              <w:jc w:val="right"/>
              <w:ind w:right="1309"/>
              <w:spacing w:after="0"/>
              <w:rPr>
                <w:sz w:val="20"/>
                <w:szCs w:val="20"/>
                <w:color w:val="auto"/>
              </w:rPr>
            </w:pPr>
            <w:r>
              <w:rPr>
                <w:rFonts w:ascii="Arial" w:cs="Arial" w:eastAsia="Arial" w:hAnsi="Arial"/>
                <w:sz w:val="17"/>
                <w:szCs w:val="17"/>
                <w:b w:val="1"/>
                <w:bCs w:val="1"/>
                <w:color w:val="auto"/>
              </w:rPr>
              <w:t>(202) 334-6000</w:t>
            </w:r>
          </w:p>
        </w:tc>
        <w:tc>
          <w:tcPr>
            <w:tcW w:w="1440" w:type="dxa"/>
            <w:vAlign w:val="bottom"/>
          </w:tcPr>
          <w:p>
            <w:pPr>
              <w:spacing w:after="0"/>
              <w:rPr>
                <w:sz w:val="24"/>
                <w:szCs w:val="24"/>
                <w:color w:val="auto"/>
              </w:rPr>
            </w:pPr>
          </w:p>
        </w:tc>
      </w:tr>
      <w:tr>
        <w:trPr>
          <w:trHeight w:val="162"/>
        </w:trPr>
        <w:tc>
          <w:tcPr>
            <w:tcW w:w="6380" w:type="dxa"/>
            <w:vAlign w:val="bottom"/>
          </w:tcPr>
          <w:p>
            <w:pPr>
              <w:jc w:val="center"/>
              <w:ind w:left="2409"/>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14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2269490</wp:posOffset>
            </wp:positionH>
            <wp:positionV relativeFrom="paragraph">
              <wp:posOffset>95250</wp:posOffset>
            </wp:positionV>
            <wp:extent cx="2718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16" w:lineRule="exact"/>
        <w:rPr>
          <w:sz w:val="24"/>
          <w:szCs w:val="24"/>
          <w:color w:val="auto"/>
        </w:rPr>
      </w:pPr>
    </w:p>
    <w:p>
      <w:pPr>
        <w:jc w:val="both"/>
        <w:ind w:left="10" w:right="20"/>
        <w:spacing w:after="0" w:line="19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jc w:val="both"/>
        <w:ind w:left="10"/>
        <w:spacing w:after="0" w:line="19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 to be submitted and posted pursuant to Rule 405 of Regulation S-T (§232.405 of this chapter) during the preceding 12 months (or for such shorter per that the registrant was required to submit and post such files). Yes x.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ind w:left="1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2" w:lineRule="exact"/>
        <w:rPr>
          <w:sz w:val="24"/>
          <w:szCs w:val="24"/>
          <w:color w:val="auto"/>
        </w:rPr>
      </w:pPr>
    </w:p>
    <w:p>
      <w:pPr>
        <w:ind w:left="10"/>
        <w:spacing w:after="0"/>
        <w:rPr>
          <w:sz w:val="20"/>
          <w:szCs w:val="20"/>
          <w:color w:val="auto"/>
        </w:rPr>
      </w:pPr>
      <w:r>
        <w:rPr>
          <w:rFonts w:ascii="Arial" w:cs="Arial" w:eastAsia="Arial" w:hAnsi="Arial"/>
          <w:sz w:val="17"/>
          <w:szCs w:val="17"/>
          <w:color w:val="auto"/>
        </w:rPr>
        <w:t>definitions of “large accelerated filer,” accelerated filer” and “small reporting company” in Rule 12b-2 of the Exchange Act.</w:t>
      </w:r>
    </w:p>
    <w:p>
      <w:pPr>
        <w:spacing w:after="0" w:line="123" w:lineRule="exact"/>
        <w:rPr>
          <w:sz w:val="24"/>
          <w:szCs w:val="24"/>
          <w:color w:val="auto"/>
        </w:rPr>
      </w:pPr>
    </w:p>
    <w:p>
      <w:pPr>
        <w:ind w:left="10"/>
        <w:spacing w:after="0" w:line="196" w:lineRule="exact"/>
        <w:tabs>
          <w:tab w:leader="none" w:pos="2170" w:val="left"/>
          <w:tab w:leader="none" w:pos="3070" w:val="left"/>
          <w:tab w:leader="none" w:pos="4790" w:val="left"/>
          <w:tab w:leader="none" w:pos="5830" w:val="left"/>
          <w:tab w:leader="none" w:pos="7890" w:val="left"/>
          <w:tab w:leader="none" w:pos="857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Smaller reporting company</w:t>
      </w:r>
    </w:p>
    <w:p>
      <w:pPr>
        <w:spacing w:after="0" w:line="152" w:lineRule="exact"/>
        <w:rPr>
          <w:sz w:val="24"/>
          <w:szCs w:val="24"/>
          <w:color w:val="auto"/>
        </w:rPr>
      </w:pPr>
    </w:p>
    <w:p>
      <w:pPr>
        <w:ind w:left="10"/>
        <w:spacing w:after="0" w:line="184" w:lineRule="exact"/>
        <w:tabs>
          <w:tab w:leader="none" w:pos="7570" w:val="left"/>
          <w:tab w:leader="none" w:pos="825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5"/>
          <w:szCs w:val="15"/>
          <w:color w:val="auto"/>
        </w:rPr>
        <w:t>.</w:t>
        <w:tab/>
        <w:t xml:space="preserve">No </w:t>
      </w:r>
      <w:r>
        <w:rPr>
          <w:rFonts w:ascii="Arial" w:cs="Arial" w:eastAsia="Arial" w:hAnsi="Arial"/>
          <w:sz w:val="16"/>
          <w:szCs w:val="16"/>
          <w:color w:val="auto"/>
        </w:rPr>
        <w:t>x</w:t>
      </w:r>
      <w:r>
        <w:rPr>
          <w:rFonts w:ascii="Arial" w:cs="Arial" w:eastAsia="Arial" w:hAnsi="Arial"/>
          <w:sz w:val="15"/>
          <w:szCs w:val="15"/>
          <w:color w:val="auto"/>
        </w:rPr>
        <w:t>.</w:t>
      </w:r>
    </w:p>
    <w:p>
      <w:pPr>
        <w:spacing w:after="0" w:line="205" w:lineRule="exact"/>
        <w:rPr>
          <w:sz w:val="24"/>
          <w:szCs w:val="24"/>
          <w:color w:val="auto"/>
        </w:rPr>
      </w:pPr>
    </w:p>
    <w:p>
      <w:pPr>
        <w:ind w:left="10"/>
        <w:spacing w:after="0"/>
        <w:rPr>
          <w:sz w:val="20"/>
          <w:szCs w:val="20"/>
          <w:color w:val="auto"/>
        </w:rPr>
      </w:pPr>
      <w:r>
        <w:rPr>
          <w:rFonts w:ascii="Arial" w:cs="Arial" w:eastAsia="Arial" w:hAnsi="Arial"/>
          <w:sz w:val="17"/>
          <w:szCs w:val="17"/>
          <w:color w:val="auto"/>
        </w:rPr>
        <w:t>Shares outstanding at November 1, 2013:</w:t>
      </w:r>
    </w:p>
    <w:p>
      <w:pPr>
        <w:spacing w:after="0" w:line="81" w:lineRule="exact"/>
        <w:rPr>
          <w:sz w:val="24"/>
          <w:szCs w:val="24"/>
          <w:color w:val="auto"/>
        </w:rPr>
      </w:pPr>
    </w:p>
    <w:p>
      <w:pPr>
        <w:ind w:left="2390"/>
        <w:spacing w:after="0"/>
        <w:rPr>
          <w:sz w:val="20"/>
          <w:szCs w:val="20"/>
          <w:color w:val="auto"/>
        </w:rPr>
      </w:pPr>
      <w:r>
        <w:rPr>
          <w:rFonts w:ascii="Arial" w:cs="Arial" w:eastAsia="Arial" w:hAnsi="Arial"/>
          <w:sz w:val="17"/>
          <w:szCs w:val="17"/>
          <w:color w:val="auto"/>
        </w:rPr>
        <w:t>Class A Common Stock – 1,169,073 Shares</w:t>
      </w:r>
    </w:p>
    <w:p>
      <w:pPr>
        <w:ind w:left="2390"/>
        <w:spacing w:after="0"/>
        <w:rPr>
          <w:sz w:val="20"/>
          <w:szCs w:val="20"/>
          <w:color w:val="auto"/>
        </w:rPr>
      </w:pPr>
      <w:r>
        <w:rPr>
          <w:rFonts w:ascii="Arial" w:cs="Arial" w:eastAsia="Arial" w:hAnsi="Arial"/>
          <w:sz w:val="17"/>
          <w:szCs w:val="17"/>
          <w:color w:val="auto"/>
        </w:rPr>
        <w:t>Class B Common Stock – 6,214,516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953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441325</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614" w:right="139" w:bottom="1440" w:gutter="0" w:footer="0" w:header="0"/>
        </w:sectPr>
      </w:pPr>
    </w:p>
    <w:bookmarkStart w:id="1" w:name="page2"/>
    <w:bookmarkEnd w:id="1"/>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6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Index to Form 10-Q</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PART I. FINANCIAL INFORMATION</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4"/>
          <w:szCs w:val="14"/>
          <w:color w:val="auto"/>
        </w:rPr>
        <w:t>Financial Statements</w:t>
      </w:r>
    </w:p>
    <w:p>
      <w:pPr>
        <w:spacing w:after="0" w:line="175" w:lineRule="exact"/>
        <w:rPr>
          <w:sz w:val="20"/>
          <w:szCs w:val="20"/>
          <w:color w:val="auto"/>
        </w:rPr>
      </w:pPr>
    </w:p>
    <w:p>
      <w:pPr>
        <w:ind w:left="1000" w:right="840" w:hanging="314"/>
        <w:spacing w:after="0" w:line="250" w:lineRule="auto"/>
        <w:tabs>
          <w:tab w:leader="none" w:pos="1009"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Condensed Consolidated Statements of Operations (Unaudited) for the Three and Nine Months Ended September 30, 2013 and 2012</w:t>
      </w:r>
    </w:p>
    <w:p>
      <w:pPr>
        <w:spacing w:after="0" w:line="323" w:lineRule="exact"/>
        <w:rPr>
          <w:rFonts w:ascii="Arial" w:cs="Arial" w:eastAsia="Arial" w:hAnsi="Arial"/>
          <w:sz w:val="15"/>
          <w:szCs w:val="15"/>
          <w:color w:val="auto"/>
        </w:rPr>
      </w:pPr>
    </w:p>
    <w:p>
      <w:pPr>
        <w:ind w:left="1000" w:hanging="314"/>
        <w:spacing w:after="0" w:line="250" w:lineRule="auto"/>
        <w:tabs>
          <w:tab w:leader="none" w:pos="1014"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Condensed Consolidated Statements of Comprehensive Income (Unaudited) for the Three and Nine Months Ended September 30, 2013 and 2012</w:t>
      </w:r>
    </w:p>
    <w:p>
      <w:pPr>
        <w:spacing w:after="0" w:line="323" w:lineRule="exact"/>
        <w:rPr>
          <w:rFonts w:ascii="Arial" w:cs="Arial" w:eastAsia="Arial" w:hAnsi="Arial"/>
          <w:sz w:val="15"/>
          <w:szCs w:val="15"/>
          <w:color w:val="auto"/>
        </w:rPr>
      </w:pPr>
    </w:p>
    <w:p>
      <w:pPr>
        <w:ind w:left="1060" w:hanging="374"/>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Condensed Consolidated Balance Sheets at September 30, 2013 (Unaudited) and December 31, 2012</w:t>
      </w:r>
    </w:p>
    <w:p>
      <w:pPr>
        <w:spacing w:after="0" w:line="336" w:lineRule="exact"/>
        <w:rPr>
          <w:rFonts w:ascii="Arial" w:cs="Arial" w:eastAsia="Arial" w:hAnsi="Arial"/>
          <w:sz w:val="15"/>
          <w:szCs w:val="15"/>
          <w:color w:val="auto"/>
        </w:rPr>
      </w:pPr>
    </w:p>
    <w:p>
      <w:pPr>
        <w:ind w:left="1020" w:hanging="334"/>
        <w:spacing w:after="0"/>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Condensed Consolidated Statements of Cash Flows (Unaudited) for the Nine Months Ended September 30, 2013 and 2012</w:t>
      </w:r>
    </w:p>
    <w:p>
      <w:pPr>
        <w:spacing w:after="0" w:line="336" w:lineRule="exact"/>
        <w:rPr>
          <w:rFonts w:ascii="Arial" w:cs="Arial" w:eastAsia="Arial" w:hAnsi="Arial"/>
          <w:sz w:val="15"/>
          <w:szCs w:val="15"/>
          <w:color w:val="auto"/>
        </w:rPr>
      </w:pPr>
    </w:p>
    <w:p>
      <w:pPr>
        <w:ind w:left="1020" w:hanging="334"/>
        <w:spacing w:after="0"/>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Notes to Condensed Consolidated Financial Statements (Unaudited)</w:t>
      </w:r>
    </w:p>
    <w:p>
      <w:pPr>
        <w:spacing w:after="0" w:line="336"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4"/>
          <w:szCs w:val="14"/>
          <w:color w:val="auto"/>
        </w:rPr>
        <w:t>Management’s Discussion and Analysis of Results of Operations and Financial Condition</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4"/>
          <w:szCs w:val="14"/>
          <w:color w:val="auto"/>
        </w:rPr>
        <w:t>Quantitative and Qualitative Disclosures about Market Risk</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Item 4.</w:t>
        <w:tab/>
        <w:t>Controls and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PART II. OTHER INFORMATION</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4"/>
          <w:szCs w:val="14"/>
          <w:color w:val="auto"/>
        </w:rPr>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320675</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300"/>
          </w:cols>
          <w:pgMar w:left="820" w:top="565" w:right="779" w:bottom="1440" w:gutter="0" w:footer="0" w:header="0"/>
        </w:sectPr>
      </w:pPr>
    </w:p>
    <w:bookmarkStart w:id="2" w:name="page3"/>
    <w:bookmarkEnd w:id="2"/>
    <w:p>
      <w:pPr>
        <w:ind w:left="4340"/>
        <w:spacing w:after="0"/>
        <w:rPr>
          <w:sz w:val="20"/>
          <w:szCs w:val="20"/>
          <w:color w:val="auto"/>
        </w:rPr>
      </w:pPr>
      <w:r>
        <w:rPr>
          <w:rFonts w:ascii="Arial" w:cs="Arial" w:eastAsia="Arial" w:hAnsi="Arial"/>
          <w:sz w:val="17"/>
          <w:szCs w:val="17"/>
          <w:b w:val="1"/>
          <w:bCs w:val="1"/>
          <w:color w:val="auto"/>
        </w:rPr>
        <w:t>PART I. FINANCIAL INFORMATION</w:t>
      </w:r>
    </w:p>
    <w:p>
      <w:pPr>
        <w:spacing w:after="0" w:line="10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3"/>
          </w:tcPr>
          <w:p>
            <w:pPr>
              <w:jc w:val="right"/>
              <w:ind w:right="746"/>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4"/>
                <w:szCs w:val="14"/>
                <w:color w:val="auto"/>
              </w:rPr>
            </w:pPr>
          </w:p>
        </w:tc>
        <w:tc>
          <w:tcPr>
            <w:tcW w:w="1760" w:type="dxa"/>
            <w:vAlign w:val="bottom"/>
            <w:gridSpan w:val="3"/>
          </w:tcPr>
          <w:p>
            <w:pPr>
              <w:jc w:val="right"/>
              <w:ind w:right="166"/>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67"/>
              <w:spacing w:after="0" w:line="129" w:lineRule="exact"/>
              <w:rPr>
                <w:sz w:val="20"/>
                <w:szCs w:val="20"/>
                <w:color w:val="auto"/>
              </w:rPr>
            </w:pPr>
            <w:r>
              <w:rPr>
                <w:rFonts w:ascii="Arial" w:cs="Arial" w:eastAsia="Arial" w:hAnsi="Arial"/>
                <w:sz w:val="12"/>
                <w:szCs w:val="12"/>
                <w:b w:val="1"/>
                <w:bCs w:val="1"/>
                <w:color w:val="auto"/>
              </w:rPr>
              <w:t>2013</w:t>
            </w:r>
          </w:p>
        </w:tc>
        <w:tc>
          <w:tcPr>
            <w:tcW w:w="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line="129" w:lineRule="exact"/>
              <w:rPr>
                <w:sz w:val="20"/>
                <w:szCs w:val="20"/>
                <w:color w:val="auto"/>
              </w:rPr>
            </w:pPr>
            <w:r>
              <w:rPr>
                <w:rFonts w:ascii="Arial" w:cs="Arial" w:eastAsia="Arial" w:hAnsi="Arial"/>
                <w:sz w:val="12"/>
                <w:szCs w:val="12"/>
                <w:color w:val="auto"/>
              </w:rPr>
              <w:t>2012</w:t>
            </w: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47"/>
              <w:spacing w:after="0" w:line="129" w:lineRule="exact"/>
              <w:rPr>
                <w:sz w:val="20"/>
                <w:szCs w:val="20"/>
                <w:color w:val="auto"/>
              </w:rPr>
            </w:pPr>
            <w:r>
              <w:rPr>
                <w:rFonts w:ascii="Arial" w:cs="Arial" w:eastAsia="Arial" w:hAnsi="Arial"/>
                <w:sz w:val="12"/>
                <w:szCs w:val="12"/>
                <w:b w:val="1"/>
                <w:bCs w:val="1"/>
                <w:color w:val="auto"/>
              </w:rPr>
              <w:t>2013</w:t>
            </w: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8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546,452</w:t>
            </w:r>
          </w:p>
        </w:tc>
        <w:tc>
          <w:tcPr>
            <w:tcW w:w="4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551,696</w:t>
            </w:r>
          </w:p>
        </w:tc>
        <w:tc>
          <w:tcPr>
            <w:tcW w:w="3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1,622,497</w:t>
            </w:r>
          </w:p>
        </w:tc>
        <w:tc>
          <w:tcPr>
            <w:tcW w:w="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84,444</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105,855</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264,108</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Subscriber and circulation</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190,302</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185,326</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569,365</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2"/>
        </w:trPr>
        <w:tc>
          <w:tcPr>
            <w:tcW w:w="608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81,281</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34,760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172,945</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902,479</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877,637</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2,628,915</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40" w:type="dxa"/>
            <w:vAlign w:val="bottom"/>
          </w:tcPr>
          <w:p>
            <w:pPr>
              <w:spacing w:after="0"/>
              <w:rPr>
                <w:sz w:val="16"/>
                <w:szCs w:val="16"/>
                <w:color w:val="auto"/>
              </w:rPr>
            </w:pPr>
          </w:p>
        </w:tc>
        <w:tc>
          <w:tcPr>
            <w:tcW w:w="104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430,889</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1,213,369</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407,364</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331,247</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314,359</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992,294</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55,633</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57,588</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173,344</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0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2,837</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5,090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9,867</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820,606</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784,401</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2,388,874</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40" w:type="dxa"/>
            <w:vAlign w:val="bottom"/>
          </w:tcPr>
          <w:p>
            <w:pPr>
              <w:spacing w:after="0"/>
              <w:rPr>
                <w:sz w:val="16"/>
                <w:szCs w:val="16"/>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81,873</w:t>
            </w:r>
          </w:p>
        </w:tc>
        <w:tc>
          <w:tcPr>
            <w:tcW w:w="42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93,236</w:t>
            </w:r>
          </w:p>
        </w:tc>
        <w:tc>
          <w:tcPr>
            <w:tcW w:w="36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240,041</w:t>
            </w: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608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5,892</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4,099</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13,178</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642</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648</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1,674</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(9,221)</w:t>
            </w:r>
          </w:p>
        </w:tc>
        <w:tc>
          <w:tcPr>
            <w:tcW w:w="420" w:type="dxa"/>
            <w:vAlign w:val="bottom"/>
          </w:tcPr>
          <w:p>
            <w:pPr>
              <w:spacing w:after="0"/>
              <w:rPr>
                <w:sz w:val="17"/>
                <w:szCs w:val="17"/>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(8,738)</w:t>
            </w:r>
          </w:p>
        </w:tc>
        <w:tc>
          <w:tcPr>
            <w:tcW w:w="36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(27,229)</w:t>
            </w:r>
          </w:p>
        </w:tc>
        <w:tc>
          <w:tcPr>
            <w:tcW w:w="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6080" w:type="dxa"/>
            <w:vAlign w:val="bottom"/>
          </w:tcPr>
          <w:p>
            <w:pPr>
              <w:ind w:left="220"/>
              <w:spacing w:after="0"/>
              <w:rPr>
                <w:sz w:val="20"/>
                <w:szCs w:val="20"/>
                <w:color w:val="auto"/>
              </w:rPr>
            </w:pPr>
            <w:r>
              <w:rPr>
                <w:rFonts w:ascii="Arial" w:cs="Arial" w:eastAsia="Arial" w:hAnsi="Arial"/>
                <w:sz w:val="15"/>
                <w:szCs w:val="15"/>
                <w:color w:val="auto"/>
              </w:rPr>
              <w:t>Other income (expense), net</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8,110</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4,163</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(8,831)</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Pr>
          <w:p>
            <w:pPr>
              <w:spacing w:after="0"/>
              <w:rPr>
                <w:sz w:val="16"/>
                <w:szCs w:val="16"/>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87,296</w:t>
            </w:r>
          </w:p>
        </w:tc>
        <w:tc>
          <w:tcPr>
            <w:tcW w:w="42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93,408</w:t>
            </w:r>
          </w:p>
        </w:tc>
        <w:tc>
          <w:tcPr>
            <w:tcW w:w="36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218,833</w:t>
            </w: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31,000</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37,000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83,300</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40" w:type="dxa"/>
            <w:vAlign w:val="bottom"/>
          </w:tcPr>
          <w:p>
            <w:pPr>
              <w:spacing w:after="0"/>
              <w:rPr>
                <w:sz w:val="16"/>
                <w:szCs w:val="16"/>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56,296</w:t>
            </w:r>
          </w:p>
        </w:tc>
        <w:tc>
          <w:tcPr>
            <w:tcW w:w="42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56,408</w:t>
            </w:r>
          </w:p>
        </w:tc>
        <w:tc>
          <w:tcPr>
            <w:tcW w:w="36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135,533</w:t>
            </w: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(Loss) Income from Discontinued Operations, Net of Tax</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(25,872)</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37,539</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(54,716)</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340" w:type="dxa"/>
            <w:vAlign w:val="bottom"/>
          </w:tcPr>
          <w:p>
            <w:pPr>
              <w:spacing w:after="0"/>
              <w:rPr>
                <w:sz w:val="16"/>
                <w:szCs w:val="16"/>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30,424</w:t>
            </w:r>
          </w:p>
        </w:tc>
        <w:tc>
          <w:tcPr>
            <w:tcW w:w="42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93,947</w:t>
            </w:r>
          </w:p>
        </w:tc>
        <w:tc>
          <w:tcPr>
            <w:tcW w:w="36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80,817</w:t>
            </w: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(75)</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(425)</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 Attributable to The Washington Post Company</w:t>
            </w:r>
          </w:p>
        </w:tc>
        <w:tc>
          <w:tcPr>
            <w:tcW w:w="340" w:type="dxa"/>
            <w:vAlign w:val="bottom"/>
          </w:tcPr>
          <w:p>
            <w:pPr>
              <w:spacing w:after="0"/>
              <w:rPr>
                <w:sz w:val="16"/>
                <w:szCs w:val="16"/>
                <w:color w:val="auto"/>
              </w:rPr>
            </w:pP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30,349</w:t>
            </w:r>
          </w:p>
        </w:tc>
        <w:tc>
          <w:tcPr>
            <w:tcW w:w="420" w:type="dxa"/>
            <w:vAlign w:val="bottom"/>
          </w:tcPr>
          <w:p>
            <w:pPr>
              <w:spacing w:after="0"/>
              <w:rPr>
                <w:sz w:val="16"/>
                <w:szCs w:val="16"/>
                <w:color w:val="auto"/>
              </w:rPr>
            </w:pP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94,018</w:t>
            </w:r>
          </w:p>
        </w:tc>
        <w:tc>
          <w:tcPr>
            <w:tcW w:w="36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80,392</w:t>
            </w:r>
          </w:p>
        </w:tc>
        <w:tc>
          <w:tcPr>
            <w:tcW w:w="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(205)</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(855)</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 Attributable to The Washington Post</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30,144</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79,537</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ind w:left="220"/>
              <w:spacing w:after="0"/>
              <w:rPr>
                <w:sz w:val="20"/>
                <w:szCs w:val="20"/>
                <w:color w:val="auto"/>
              </w:rPr>
            </w:pPr>
            <w:r>
              <w:rPr>
                <w:rFonts w:ascii="Arial" w:cs="Arial" w:eastAsia="Arial" w:hAnsi="Arial"/>
                <w:sz w:val="15"/>
                <w:szCs w:val="15"/>
                <w:b w:val="1"/>
                <w:bCs w:val="1"/>
                <w:color w:val="auto"/>
              </w:rPr>
              <w:t>Company Common Stockholders</w:t>
            </w:r>
          </w:p>
        </w:tc>
        <w:tc>
          <w:tcPr>
            <w:tcW w:w="3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93,796</w:t>
            </w:r>
          </w:p>
        </w:tc>
        <w:tc>
          <w:tcPr>
            <w:tcW w:w="3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3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56,016</w:t>
            </w:r>
          </w:p>
        </w:tc>
        <w:tc>
          <w:tcPr>
            <w:tcW w:w="4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56,257</w:t>
            </w:r>
          </w:p>
        </w:tc>
        <w:tc>
          <w:tcPr>
            <w:tcW w:w="3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134,253</w:t>
            </w:r>
          </w:p>
        </w:tc>
        <w:tc>
          <w:tcPr>
            <w:tcW w:w="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5"/>
                <w:szCs w:val="15"/>
                <w:color w:val="auto"/>
              </w:rPr>
              <w:t>(Loss) income from discontinued operations, net of tax</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(25,872)</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37,539</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(54,716)</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color w:val="auto"/>
              </w:rPr>
              <w:t>Net income attributable to The Washington Post Company</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30,144</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79,537</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ind w:left="220"/>
              <w:spacing w:after="0"/>
              <w:rPr>
                <w:sz w:val="20"/>
                <w:szCs w:val="20"/>
                <w:color w:val="auto"/>
              </w:rPr>
            </w:pPr>
            <w:r>
              <w:rPr>
                <w:rFonts w:ascii="Arial" w:cs="Arial" w:eastAsia="Arial" w:hAnsi="Arial"/>
                <w:sz w:val="15"/>
                <w:szCs w:val="15"/>
                <w:color w:val="auto"/>
              </w:rPr>
              <w:t>common stockholders</w:t>
            </w:r>
          </w:p>
        </w:tc>
        <w:tc>
          <w:tcPr>
            <w:tcW w:w="3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93,796</w:t>
            </w:r>
          </w:p>
        </w:tc>
        <w:tc>
          <w:tcPr>
            <w:tcW w:w="3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20"/>
              <w:spacing w:after="0"/>
              <w:rPr>
                <w:sz w:val="20"/>
                <w:szCs w:val="20"/>
                <w:color w:val="auto"/>
              </w:rPr>
            </w:pPr>
            <w:r>
              <w:rPr>
                <w:rFonts w:ascii="Arial" w:cs="Arial" w:eastAsia="Arial" w:hAnsi="Arial"/>
                <w:sz w:val="15"/>
                <w:szCs w:val="15"/>
                <w:b w:val="1"/>
                <w:bCs w:val="1"/>
                <w:color w:val="auto"/>
              </w:rPr>
              <w:t>Post Company Common Stockholders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87"/>
              <w:spacing w:after="0"/>
              <w:rPr>
                <w:sz w:val="20"/>
                <w:szCs w:val="20"/>
                <w:color w:val="auto"/>
              </w:rPr>
            </w:pPr>
            <w:r>
              <w:rPr>
                <w:rFonts w:ascii="Arial" w:cs="Arial" w:eastAsia="Arial" w:hAnsi="Arial"/>
                <w:sz w:val="15"/>
                <w:szCs w:val="15"/>
                <w:b w:val="1"/>
                <w:bCs w:val="1"/>
                <w:color w:val="auto"/>
              </w:rPr>
              <w:t>7.55</w:t>
            </w:r>
          </w:p>
        </w:tc>
        <w:tc>
          <w:tcPr>
            <w:tcW w:w="4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6"/>
              <w:spacing w:after="0"/>
              <w:rPr>
                <w:sz w:val="20"/>
                <w:szCs w:val="20"/>
                <w:color w:val="auto"/>
              </w:rPr>
            </w:pPr>
            <w:r>
              <w:rPr>
                <w:rFonts w:ascii="Arial" w:cs="Arial" w:eastAsia="Arial" w:hAnsi="Arial"/>
                <w:sz w:val="15"/>
                <w:szCs w:val="15"/>
                <w:color w:val="auto"/>
              </w:rPr>
              <w:t>7.58</w:t>
            </w:r>
          </w:p>
        </w:tc>
        <w:tc>
          <w:tcPr>
            <w:tcW w:w="3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18.09</w:t>
            </w:r>
          </w:p>
        </w:tc>
        <w:tc>
          <w:tcPr>
            <w:tcW w:w="4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5"/>
                <w:szCs w:val="15"/>
                <w:color w:val="auto"/>
              </w:rPr>
              <w:t>Basic (loss) income per common share from discontinued operations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(3.48)</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5.06</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(7.37)</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080" w:type="dxa"/>
            <w:vAlign w:val="bottom"/>
          </w:tcPr>
          <w:p>
            <w:pPr>
              <w:spacing w:after="0" w:line="167" w:lineRule="exact"/>
              <w:rPr>
                <w:sz w:val="20"/>
                <w:szCs w:val="20"/>
                <w:color w:val="auto"/>
              </w:rPr>
            </w:pPr>
            <w:r>
              <w:rPr>
                <w:rFonts w:ascii="Arial" w:cs="Arial" w:eastAsia="Arial" w:hAnsi="Arial"/>
                <w:sz w:val="15"/>
                <w:szCs w:val="15"/>
                <w:color w:val="auto"/>
              </w:rPr>
              <w:t>Basic net income per common share</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4.07</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12.64</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10.72</w:t>
            </w:r>
          </w:p>
        </w:tc>
        <w:tc>
          <w:tcPr>
            <w:tcW w:w="4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80" w:type="dxa"/>
            <w:vAlign w:val="bottom"/>
          </w:tcPr>
          <w:p>
            <w:pPr>
              <w:spacing w:after="0" w:line="151" w:lineRule="exact"/>
              <w:rPr>
                <w:sz w:val="20"/>
                <w:szCs w:val="20"/>
                <w:color w:val="auto"/>
              </w:rPr>
            </w:pPr>
            <w:r>
              <w:rPr>
                <w:rFonts w:ascii="Arial" w:cs="Arial" w:eastAsia="Arial" w:hAnsi="Arial"/>
                <w:sz w:val="15"/>
                <w:szCs w:val="15"/>
                <w:color w:val="auto"/>
              </w:rPr>
              <w:t>Basic average number of common shares outstanding</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7"/>
              <w:spacing w:after="0" w:line="151" w:lineRule="exact"/>
              <w:rPr>
                <w:sz w:val="20"/>
                <w:szCs w:val="20"/>
                <w:color w:val="auto"/>
              </w:rPr>
            </w:pPr>
            <w:r>
              <w:rPr>
                <w:rFonts w:ascii="Arial" w:cs="Arial" w:eastAsia="Arial" w:hAnsi="Arial"/>
                <w:sz w:val="15"/>
                <w:szCs w:val="15"/>
                <w:b w:val="1"/>
                <w:bCs w:val="1"/>
                <w:color w:val="auto"/>
              </w:rPr>
              <w:t>7,231</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color w:val="auto"/>
              </w:rPr>
              <w:t>7,272</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7"/>
              <w:spacing w:after="0" w:line="151" w:lineRule="exact"/>
              <w:rPr>
                <w:sz w:val="20"/>
                <w:szCs w:val="20"/>
                <w:color w:val="auto"/>
              </w:rPr>
            </w:pPr>
            <w:r>
              <w:rPr>
                <w:rFonts w:ascii="Arial" w:cs="Arial" w:eastAsia="Arial" w:hAnsi="Arial"/>
                <w:sz w:val="15"/>
                <w:szCs w:val="15"/>
                <w:b w:val="1"/>
                <w:bCs w:val="1"/>
                <w:color w:val="auto"/>
              </w:rPr>
              <w:t>7,229</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80" w:type="dxa"/>
            <w:vAlign w:val="bottom"/>
            <w:vMerge w:val="continue"/>
          </w:tcPr>
          <w:p>
            <w:pPr>
              <w:spacing w:after="0"/>
              <w:rPr>
                <w:sz w:val="13"/>
                <w:szCs w:val="13"/>
                <w:color w:val="auto"/>
              </w:rPr>
            </w:pPr>
          </w:p>
        </w:tc>
        <w:tc>
          <w:tcPr>
            <w:tcW w:w="340" w:type="dxa"/>
            <w:vAlign w:val="bottom"/>
          </w:tcPr>
          <w:p>
            <w:pPr>
              <w:jc w:val="right"/>
              <w:ind w:right="46"/>
              <w:spacing w:after="0" w:line="159" w:lineRule="exact"/>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87"/>
              <w:spacing w:after="0" w:line="159" w:lineRule="exact"/>
              <w:rPr>
                <w:sz w:val="20"/>
                <w:szCs w:val="20"/>
                <w:color w:val="auto"/>
              </w:rPr>
            </w:pPr>
            <w:r>
              <w:rPr>
                <w:rFonts w:ascii="Arial" w:cs="Arial" w:eastAsia="Arial" w:hAnsi="Arial"/>
                <w:sz w:val="15"/>
                <w:szCs w:val="15"/>
                <w:b w:val="1"/>
                <w:bCs w:val="1"/>
                <w:color w:val="auto"/>
              </w:rPr>
              <w:t>7.53</w:t>
            </w:r>
          </w:p>
        </w:tc>
        <w:tc>
          <w:tcPr>
            <w:tcW w:w="42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66"/>
              <w:spacing w:after="0" w:line="159" w:lineRule="exact"/>
              <w:rPr>
                <w:sz w:val="20"/>
                <w:szCs w:val="20"/>
                <w:color w:val="auto"/>
              </w:rPr>
            </w:pPr>
            <w:r>
              <w:rPr>
                <w:rFonts w:ascii="Arial" w:cs="Arial" w:eastAsia="Arial" w:hAnsi="Arial"/>
                <w:sz w:val="15"/>
                <w:szCs w:val="15"/>
                <w:color w:val="auto"/>
              </w:rPr>
              <w:t>7.58</w:t>
            </w:r>
          </w:p>
        </w:tc>
        <w:tc>
          <w:tcPr>
            <w:tcW w:w="360" w:type="dxa"/>
            <w:vAlign w:val="bottom"/>
          </w:tcPr>
          <w:p>
            <w:pPr>
              <w:jc w:val="right"/>
              <w:ind w:right="66"/>
              <w:spacing w:after="0" w:line="159" w:lineRule="exact"/>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87"/>
              <w:spacing w:after="0" w:line="159" w:lineRule="exact"/>
              <w:rPr>
                <w:sz w:val="20"/>
                <w:szCs w:val="20"/>
                <w:color w:val="auto"/>
              </w:rPr>
            </w:pPr>
            <w:r>
              <w:rPr>
                <w:rFonts w:ascii="Arial" w:cs="Arial" w:eastAsia="Arial" w:hAnsi="Arial"/>
                <w:sz w:val="15"/>
                <w:szCs w:val="15"/>
                <w:b w:val="1"/>
                <w:bCs w:val="1"/>
                <w:color w:val="auto"/>
              </w:rPr>
              <w:t>18.07</w:t>
            </w:r>
          </w:p>
        </w:tc>
        <w:tc>
          <w:tcPr>
            <w:tcW w:w="420" w:type="dxa"/>
            <w:vAlign w:val="bottom"/>
          </w:tcPr>
          <w:p>
            <w:pPr>
              <w:jc w:val="right"/>
              <w:ind w:right="126"/>
              <w:spacing w:after="0" w:line="15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color w:val="auto"/>
              </w:rPr>
              <w:t>Diluted (loss) income per common share from discontinued operations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(3.48)</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5.06</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(7.37)</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08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4.05</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12.64</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10.70</w:t>
            </w:r>
          </w:p>
        </w:tc>
        <w:tc>
          <w:tcPr>
            <w:tcW w:w="4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80" w:type="dxa"/>
            <w:vAlign w:val="bottom"/>
          </w:tcPr>
          <w:p>
            <w:pPr>
              <w:spacing w:after="0" w:line="151" w:lineRule="exact"/>
              <w:rPr>
                <w:sz w:val="20"/>
                <w:szCs w:val="20"/>
                <w:color w:val="auto"/>
              </w:rPr>
            </w:pPr>
            <w:r>
              <w:rPr>
                <w:rFonts w:ascii="Arial" w:cs="Arial" w:eastAsia="Arial" w:hAnsi="Arial"/>
                <w:sz w:val="15"/>
                <w:szCs w:val="15"/>
                <w:color w:val="auto"/>
              </w:rPr>
              <w:t>Diluted average number of common shares outstanding</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7"/>
              <w:spacing w:after="0" w:line="151" w:lineRule="exact"/>
              <w:rPr>
                <w:sz w:val="20"/>
                <w:szCs w:val="20"/>
                <w:color w:val="auto"/>
              </w:rPr>
            </w:pPr>
            <w:r>
              <w:rPr>
                <w:rFonts w:ascii="Arial" w:cs="Arial" w:eastAsia="Arial" w:hAnsi="Arial"/>
                <w:sz w:val="15"/>
                <w:szCs w:val="15"/>
                <w:b w:val="1"/>
                <w:bCs w:val="1"/>
                <w:color w:val="auto"/>
              </w:rPr>
              <w:t>7,337</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color w:val="auto"/>
              </w:rPr>
              <w:t>7,376</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7"/>
              <w:spacing w:after="0" w:line="151" w:lineRule="exact"/>
              <w:rPr>
                <w:sz w:val="20"/>
                <w:szCs w:val="20"/>
                <w:color w:val="auto"/>
              </w:rPr>
            </w:pPr>
            <w:r>
              <w:rPr>
                <w:rFonts w:ascii="Arial" w:cs="Arial" w:eastAsia="Arial" w:hAnsi="Arial"/>
                <w:sz w:val="15"/>
                <w:szCs w:val="15"/>
                <w:b w:val="1"/>
                <w:bCs w:val="1"/>
                <w:color w:val="auto"/>
              </w:rPr>
              <w:t>7,316</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18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3" w:name="page4"/>
    <w:bookmarkEnd w:id="3"/>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2"/>
                <w:szCs w:val="12"/>
                <w:b w:val="1"/>
                <w:bCs w:val="1"/>
                <w:color w:val="auto"/>
              </w:rPr>
              <w:t>Three Months Ended</w:t>
            </w:r>
          </w:p>
        </w:tc>
        <w:tc>
          <w:tcPr>
            <w:tcW w:w="1740" w:type="dxa"/>
            <w:vAlign w:val="bottom"/>
            <w:gridSpan w:val="2"/>
          </w:tcPr>
          <w:p>
            <w:pPr>
              <w:jc w:val="center"/>
              <w:ind w:left="478"/>
              <w:spacing w:after="0"/>
              <w:rPr>
                <w:sz w:val="20"/>
                <w:szCs w:val="20"/>
                <w:color w:val="auto"/>
              </w:rPr>
            </w:pPr>
            <w:r>
              <w:rPr>
                <w:rFonts w:ascii="Arial" w:cs="Arial" w:eastAsia="Arial" w:hAnsi="Arial"/>
                <w:sz w:val="12"/>
                <w:szCs w:val="12"/>
                <w:b w:val="1"/>
                <w:bCs w:val="1"/>
                <w:color w:val="auto"/>
              </w:rPr>
              <w:t>Nine Months Ended</w:t>
            </w:r>
          </w:p>
        </w:tc>
      </w:tr>
      <w:tr>
        <w:trPr>
          <w:trHeight w:val="175"/>
        </w:trPr>
        <w:tc>
          <w:tcPr>
            <w:tcW w:w="67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738"/>
              <w:spacing w:after="0"/>
              <w:rPr>
                <w:sz w:val="20"/>
                <w:szCs w:val="20"/>
                <w:color w:val="auto"/>
              </w:rPr>
            </w:pPr>
            <w:r>
              <w:rPr>
                <w:rFonts w:ascii="Arial" w:cs="Arial" w:eastAsia="Arial" w:hAnsi="Arial"/>
                <w:sz w:val="12"/>
                <w:szCs w:val="12"/>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rPr>
              <w:t>September 30,</w:t>
            </w:r>
          </w:p>
        </w:tc>
      </w:tr>
      <w:tr>
        <w:trPr>
          <w:trHeight w:val="129"/>
        </w:trPr>
        <w:tc>
          <w:tcPr>
            <w:tcW w:w="67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1680" w:type="dxa"/>
            <w:vAlign w:val="bottom"/>
            <w:tcBorders>
              <w:bottom w:val="single" w:sz="8" w:color="auto"/>
            </w:tcBorders>
          </w:tcPr>
          <w:p>
            <w:pPr>
              <w:jc w:val="right"/>
              <w:ind w:right="358"/>
              <w:spacing w:after="0" w:line="129" w:lineRule="exact"/>
              <w:rPr>
                <w:sz w:val="20"/>
                <w:szCs w:val="20"/>
                <w:color w:val="auto"/>
              </w:rPr>
            </w:pPr>
            <w:r>
              <w:rPr>
                <w:rFonts w:ascii="Arial" w:cs="Arial" w:eastAsia="Arial" w:hAnsi="Arial"/>
                <w:sz w:val="12"/>
                <w:szCs w:val="12"/>
                <w:color w:val="auto"/>
              </w:rPr>
              <w:t>2012</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bl>
    <w:p>
      <w:pPr>
        <w:spacing w:after="0" w:line="1" w:lineRule="exact"/>
        <w:rPr>
          <w:sz w:val="20"/>
          <w:szCs w:val="20"/>
          <w:color w:val="auto"/>
        </w:rPr>
      </w:pPr>
    </w:p>
    <w:p>
      <w:pPr>
        <w:sectPr>
          <w:pgSz w:w="11900" w:h="16838" w:orient="portrait"/>
          <w:cols w:equalWidth="0" w:num="1">
            <w:col w:w="10940"/>
          </w:cols>
          <w:pgMar w:left="820" w:top="565" w:right="139" w:bottom="1440" w:gutter="0" w:footer="0" w:header="0"/>
        </w:sectPr>
      </w:pPr>
    </w:p>
    <w:p>
      <w:pPr>
        <w:spacing w:after="0"/>
        <w:rPr>
          <w:sz w:val="20"/>
          <w:szCs w:val="20"/>
          <w:color w:val="auto"/>
        </w:rPr>
      </w:pPr>
      <w:r>
        <w:rPr>
          <w:rFonts w:ascii="Arial" w:cs="Arial" w:eastAsia="Arial" w:hAnsi="Arial"/>
          <w:sz w:val="15"/>
          <w:szCs w:val="15"/>
          <w:b w:val="1"/>
          <w:bCs w:val="1"/>
          <w:color w:val="auto"/>
        </w:rPr>
        <w:t>Net Income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(Loss), Before Tax</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Foreign currency translation adjustments:</w:t>
      </w:r>
    </w:p>
    <w:p>
      <w:pPr>
        <w:spacing w:after="0" w:line="26" w:lineRule="exact"/>
        <w:rPr>
          <w:sz w:val="20"/>
          <w:szCs w:val="20"/>
          <w:color w:val="auto"/>
        </w:rPr>
      </w:pPr>
    </w:p>
    <w:p>
      <w:pPr>
        <w:ind w:left="460" w:right="1740"/>
        <w:spacing w:after="0" w:line="322" w:lineRule="auto"/>
        <w:rPr>
          <w:sz w:val="20"/>
          <w:szCs w:val="20"/>
          <w:color w:val="auto"/>
        </w:rPr>
      </w:pPr>
      <w:r>
        <w:rPr>
          <w:rFonts w:ascii="Arial" w:cs="Arial" w:eastAsia="Arial" w:hAnsi="Arial"/>
          <w:sz w:val="14"/>
          <w:szCs w:val="14"/>
          <w:color w:val="auto"/>
        </w:rPr>
        <w:t>Translation adjustments arising during the period Adjustment for sales of businesses with foreign operations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Unrealized gains (losses) on available-for-sale securities: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Unrealized gains (losses) for the period</w:t>
      </w:r>
    </w:p>
    <w:p>
      <w:pPr>
        <w:spacing w:after="0" w:line="26" w:lineRule="exact"/>
        <w:rPr>
          <w:sz w:val="20"/>
          <w:szCs w:val="20"/>
          <w:color w:val="auto"/>
        </w:rPr>
      </w:pPr>
    </w:p>
    <w:p>
      <w:pPr>
        <w:ind w:left="700" w:right="1180" w:hanging="235"/>
        <w:spacing w:after="0" w:line="285" w:lineRule="auto"/>
        <w:rPr>
          <w:sz w:val="20"/>
          <w:szCs w:val="20"/>
          <w:color w:val="auto"/>
        </w:rPr>
      </w:pPr>
      <w:r>
        <w:rPr>
          <w:rFonts w:ascii="Arial" w:cs="Arial" w:eastAsia="Arial" w:hAnsi="Arial"/>
          <w:sz w:val="15"/>
          <w:szCs w:val="15"/>
          <w:color w:val="auto"/>
        </w:rPr>
        <w:t>Reclassification adjustment for gain on available-for-sale securities included in net income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Pension and other postretirement plans: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Amortization of net prior service credit included in net income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Amortization of net actuarial loss included in net income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Settlement gain included in net income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Cash flow hedge gain (loss)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Before Tax</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Income tax (expense) benefit related to items of other comprehensive income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Net of Tax</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Comprehensive Income</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Comprehensive (income) loss attributable to noncontrolling interests</w:t>
      </w:r>
    </w:p>
    <w:p>
      <w:pPr>
        <w:spacing w:after="0" w:line="8" w:lineRule="exact"/>
        <w:rPr>
          <w:sz w:val="20"/>
          <w:szCs w:val="20"/>
          <w:color w:val="auto"/>
        </w:rPr>
      </w:pPr>
    </w:p>
    <w:p>
      <w:pPr>
        <w:ind w:left="220" w:right="1740" w:hanging="235"/>
        <w:spacing w:after="0" w:line="310" w:lineRule="auto"/>
        <w:rPr>
          <w:sz w:val="20"/>
          <w:szCs w:val="20"/>
          <w:color w:val="auto"/>
        </w:rPr>
      </w:pPr>
      <w:r>
        <w:rPr>
          <w:rFonts w:ascii="Arial" w:cs="Arial" w:eastAsia="Arial" w:hAnsi="Arial"/>
          <w:sz w:val="15"/>
          <w:szCs w:val="15"/>
          <w:b w:val="1"/>
          <w:bCs w:val="1"/>
          <w:color w:val="auto"/>
        </w:rPr>
        <w:t>Total Comprehensive Income Attributable to The Washington Post Company</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30,424</w:t>
            </w:r>
          </w:p>
        </w:tc>
        <w:tc>
          <w:tcPr>
            <w:tcW w:w="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93,947</w:t>
            </w:r>
          </w:p>
        </w:tc>
        <w:tc>
          <w:tcPr>
            <w:tcW w:w="3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80,817</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Pr>
          <w:p>
            <w:pPr>
              <w:jc w:val="center"/>
              <w:ind w:left="86"/>
              <w:spacing w:after="0"/>
              <w:rPr>
                <w:sz w:val="20"/>
                <w:szCs w:val="20"/>
                <w:color w:val="auto"/>
              </w:rPr>
            </w:pPr>
            <w:r>
              <w:rPr>
                <w:rFonts w:ascii="Arial" w:cs="Arial" w:eastAsia="Arial" w:hAnsi="Arial"/>
                <w:sz w:val="15"/>
                <w:szCs w:val="15"/>
                <w:color w:val="auto"/>
                <w:w w:val="95"/>
              </w:rPr>
              <w:t>1</w:t>
            </w:r>
          </w:p>
        </w:tc>
      </w:tr>
      <w:tr>
        <w:trPr>
          <w:trHeight w:val="592"/>
        </w:trPr>
        <w:tc>
          <w:tcPr>
            <w:tcW w:w="50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5,639</w:t>
            </w:r>
          </w:p>
        </w:tc>
        <w:tc>
          <w:tcPr>
            <w:tcW w:w="3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5,321</w:t>
            </w:r>
          </w:p>
        </w:tc>
        <w:tc>
          <w:tcPr>
            <w:tcW w:w="32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(2,061)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(1,409)</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5,639</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3,912</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(2,061)</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384"/>
        </w:trPr>
        <w:tc>
          <w:tcPr>
            <w:tcW w:w="50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938</w:t>
            </w:r>
          </w:p>
        </w:tc>
        <w:tc>
          <w:tcPr>
            <w:tcW w:w="3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(5,966)</w:t>
            </w:r>
          </w:p>
        </w:tc>
        <w:tc>
          <w:tcPr>
            <w:tcW w:w="32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81,439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0"/>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(884)</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938</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(5,966)</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80,555</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384"/>
        </w:trPr>
        <w:tc>
          <w:tcPr>
            <w:tcW w:w="50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(384)</w:t>
            </w:r>
          </w:p>
        </w:tc>
        <w:tc>
          <w:tcPr>
            <w:tcW w:w="3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(469)</w:t>
            </w:r>
          </w:p>
        </w:tc>
        <w:tc>
          <w:tcPr>
            <w:tcW w:w="32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(1,205)</w:t>
            </w:r>
          </w:p>
        </w:tc>
        <w:tc>
          <w:tcPr>
            <w:tcW w:w="3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500" w:type="dxa"/>
            <w:vAlign w:val="bottom"/>
          </w:tcPr>
          <w:p>
            <w:pPr>
              <w:spacing w:after="0"/>
              <w:rPr>
                <w:sz w:val="17"/>
                <w:szCs w:val="17"/>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2,004</w:t>
            </w:r>
          </w:p>
        </w:tc>
        <w:tc>
          <w:tcPr>
            <w:tcW w:w="380" w:type="dxa"/>
            <w:vAlign w:val="bottom"/>
          </w:tcPr>
          <w:p>
            <w:pPr>
              <w:spacing w:after="0"/>
              <w:rPr>
                <w:sz w:val="17"/>
                <w:szCs w:val="17"/>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2,592</w:t>
            </w:r>
          </w:p>
        </w:tc>
        <w:tc>
          <w:tcPr>
            <w:tcW w:w="320" w:type="dxa"/>
            <w:vAlign w:val="bottom"/>
          </w:tcPr>
          <w:p>
            <w:pPr>
              <w:spacing w:after="0"/>
              <w:rPr>
                <w:sz w:val="17"/>
                <w:szCs w:val="17"/>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6,325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2"/>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(3,471)</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1,620</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2,123</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1,649</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15</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217</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259</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500" w:type="dxa"/>
            <w:vAlign w:val="bottom"/>
          </w:tcPr>
          <w:p>
            <w:pPr>
              <w:spacing w:after="0"/>
              <w:rPr>
                <w:sz w:val="16"/>
                <w:szCs w:val="16"/>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8,212</w:t>
            </w:r>
          </w:p>
        </w:tc>
        <w:tc>
          <w:tcPr>
            <w:tcW w:w="380" w:type="dxa"/>
            <w:vAlign w:val="bottom"/>
          </w:tcPr>
          <w:p>
            <w:pPr>
              <w:spacing w:after="0"/>
              <w:rPr>
                <w:sz w:val="16"/>
                <w:szCs w:val="16"/>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286</w:t>
            </w:r>
          </w:p>
        </w:tc>
        <w:tc>
          <w:tcPr>
            <w:tcW w:w="32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80,402</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(1,028)</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1,451</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(32,985)</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89"/>
              </w:rPr>
              <w:t>(1</w:t>
            </w: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7,184</w:t>
            </w: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1,737</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47,417</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87"/>
        </w:trPr>
        <w:tc>
          <w:tcPr>
            <w:tcW w:w="500" w:type="dxa"/>
            <w:vAlign w:val="bottom"/>
          </w:tcPr>
          <w:p>
            <w:pPr>
              <w:spacing w:after="0"/>
              <w:rPr>
                <w:sz w:val="16"/>
                <w:szCs w:val="16"/>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37,608</w:t>
            </w:r>
          </w:p>
        </w:tc>
        <w:tc>
          <w:tcPr>
            <w:tcW w:w="380" w:type="dxa"/>
            <w:vAlign w:val="bottom"/>
          </w:tcPr>
          <w:p>
            <w:pPr>
              <w:spacing w:after="0"/>
              <w:rPr>
                <w:sz w:val="16"/>
                <w:szCs w:val="16"/>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95,684</w:t>
            </w:r>
          </w:p>
        </w:tc>
        <w:tc>
          <w:tcPr>
            <w:tcW w:w="32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128,234</w:t>
            </w:r>
          </w:p>
        </w:tc>
        <w:tc>
          <w:tcPr>
            <w:tcW w:w="320" w:type="dxa"/>
            <w:vAlign w:val="bottom"/>
          </w:tcPr>
          <w:p>
            <w:pPr>
              <w:spacing w:after="0"/>
              <w:rPr>
                <w:sz w:val="16"/>
                <w:szCs w:val="16"/>
                <w:color w:val="auto"/>
              </w:rPr>
            </w:pPr>
          </w:p>
        </w:tc>
        <w:tc>
          <w:tcPr>
            <w:tcW w:w="280" w:type="dxa"/>
            <w:vAlign w:val="bottom"/>
          </w:tcPr>
          <w:p>
            <w:pPr>
              <w:jc w:val="center"/>
              <w:ind w:left="86"/>
              <w:spacing w:after="0"/>
              <w:rPr>
                <w:sz w:val="20"/>
                <w:szCs w:val="20"/>
                <w:color w:val="auto"/>
              </w:rPr>
            </w:pPr>
            <w:r>
              <w:rPr>
                <w:rFonts w:ascii="Arial" w:cs="Arial" w:eastAsia="Arial" w:hAnsi="Arial"/>
                <w:sz w:val="15"/>
                <w:szCs w:val="15"/>
                <w:color w:val="auto"/>
                <w:w w:val="95"/>
              </w:rPr>
              <w:t>2</w:t>
            </w:r>
          </w:p>
        </w:tc>
      </w:tr>
      <w:tr>
        <w:trPr>
          <w:trHeight w:val="190"/>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(75)</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76</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(447)</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365"/>
        </w:trPr>
        <w:tc>
          <w:tcPr>
            <w:tcW w:w="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37,533</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95,760</w:t>
            </w:r>
          </w:p>
        </w:tc>
        <w:tc>
          <w:tcPr>
            <w:tcW w:w="3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127,787</w:t>
            </w:r>
          </w:p>
        </w:tc>
        <w:tc>
          <w:tcPr>
            <w:tcW w:w="3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center"/>
              <w:ind w:left="86"/>
              <w:spacing w:after="0"/>
              <w:rPr>
                <w:sz w:val="20"/>
                <w:szCs w:val="20"/>
                <w:color w:val="auto"/>
              </w:rPr>
            </w:pPr>
            <w:r>
              <w:rPr>
                <w:rFonts w:ascii="Arial" w:cs="Arial" w:eastAsia="Arial" w:hAnsi="Arial"/>
                <w:sz w:val="15"/>
                <w:szCs w:val="15"/>
                <w:color w:val="auto"/>
                <w:w w:val="95"/>
              </w:rPr>
              <w:t>2</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557" w:lineRule="exact"/>
        <w:rPr>
          <w:sz w:val="20"/>
          <w:szCs w:val="20"/>
          <w:color w:val="auto"/>
        </w:rPr>
      </w:pPr>
    </w:p>
    <w:p>
      <w:pPr>
        <w:sectPr>
          <w:pgSz w:w="11900" w:h="16838" w:orient="portrait"/>
          <w:cols w:equalWidth="0" w:num="2">
            <w:col w:w="6040" w:space="720"/>
            <w:col w:w="4180"/>
          </w:cols>
          <w:pgMar w:left="820" w:top="565" w:right="139" w:bottom="1440" w:gutter="0" w:footer="0" w:header="0"/>
          <w:type w:val="continuous"/>
        </w:sect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type w:val="continuous"/>
        </w:sectPr>
      </w:pPr>
    </w:p>
    <w:bookmarkStart w:id="4" w:name="page5"/>
    <w:bookmarkEnd w:id="4"/>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286"/>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63"/>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26"/>
              <w:spacing w:after="0"/>
              <w:rPr>
                <w:sz w:val="20"/>
                <w:szCs w:val="20"/>
                <w:color w:val="auto"/>
              </w:rPr>
            </w:pPr>
            <w:r>
              <w:rPr>
                <w:rFonts w:ascii="Arial" w:cs="Arial" w:eastAsia="Arial" w:hAnsi="Arial"/>
                <w:sz w:val="12"/>
                <w:szCs w:val="12"/>
                <w:b w:val="1"/>
                <w:bCs w:val="1"/>
                <w:color w:val="auto"/>
              </w:rPr>
              <w:t>2013</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5"/>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4"/>
                <w:szCs w:val="14"/>
                <w:color w:val="auto"/>
              </w:rPr>
            </w:pPr>
          </w:p>
        </w:tc>
        <w:tc>
          <w:tcPr>
            <w:tcW w:w="1440" w:type="dxa"/>
            <w:vAlign w:val="bottom"/>
          </w:tcPr>
          <w:p>
            <w:pPr>
              <w:jc w:val="center"/>
              <w:ind w:right="286"/>
              <w:spacing w:after="0"/>
              <w:rPr>
                <w:sz w:val="20"/>
                <w:szCs w:val="20"/>
                <w:color w:val="auto"/>
              </w:rPr>
            </w:pPr>
            <w:r>
              <w:rPr>
                <w:rFonts w:ascii="Arial" w:cs="Arial" w:eastAsia="Arial" w:hAnsi="Arial"/>
                <w:sz w:val="12"/>
                <w:szCs w:val="12"/>
                <w:b w:val="1"/>
                <w:bCs w:val="1"/>
                <w:color w:val="auto"/>
              </w:rPr>
              <w:t>(Unaudited)</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4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440,810</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220"/>
              <w:spacing w:after="0" w:line="156" w:lineRule="exact"/>
              <w:rPr>
                <w:sz w:val="20"/>
                <w:szCs w:val="20"/>
                <w:color w:val="auto"/>
              </w:rPr>
            </w:pPr>
            <w:r>
              <w:rPr>
                <w:rFonts w:ascii="Arial" w:cs="Arial" w:eastAsia="Arial" w:hAnsi="Arial"/>
                <w:sz w:val="15"/>
                <w:szCs w:val="15"/>
                <w:color w:val="auto"/>
              </w:rPr>
              <w:t>Cash and cash equivalents</w:t>
            </w:r>
          </w:p>
        </w:tc>
        <w:tc>
          <w:tcPr>
            <w:tcW w:w="2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47,205</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497,662</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375,223</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2,484</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Other current assets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76,936</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220"/>
              <w:spacing w:after="0"/>
              <w:rPr>
                <w:sz w:val="20"/>
                <w:szCs w:val="20"/>
                <w:color w:val="auto"/>
              </w:rPr>
            </w:pPr>
            <w:r>
              <w:rPr>
                <w:rFonts w:ascii="Arial" w:cs="Arial" w:eastAsia="Arial" w:hAnsi="Arial"/>
                <w:sz w:val="15"/>
                <w:szCs w:val="15"/>
                <w:color w:val="auto"/>
              </w:rPr>
              <w:t>Current assets of discontinued operations (includes $849 in cash)</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70,360</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240" w:type="dxa"/>
            <w:vAlign w:val="bottom"/>
          </w:tcPr>
          <w:p>
            <w:pPr>
              <w:ind w:left="460"/>
              <w:spacing w:after="0" w:line="150" w:lineRule="exact"/>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3"/>
                <w:szCs w:val="13"/>
                <w:color w:val="auto"/>
              </w:rPr>
            </w:pPr>
          </w:p>
        </w:tc>
        <w:tc>
          <w:tcPr>
            <w:tcW w:w="1440" w:type="dxa"/>
            <w:vAlign w:val="bottom"/>
          </w:tcPr>
          <w:p>
            <w:pPr>
              <w:jc w:val="right"/>
              <w:ind w:right="126"/>
              <w:spacing w:after="0" w:line="150" w:lineRule="exact"/>
              <w:rPr>
                <w:sz w:val="20"/>
                <w:szCs w:val="20"/>
                <w:color w:val="auto"/>
              </w:rPr>
            </w:pPr>
            <w:r>
              <w:rPr>
                <w:rFonts w:ascii="Arial" w:cs="Arial" w:eastAsia="Arial" w:hAnsi="Arial"/>
                <w:sz w:val="15"/>
                <w:szCs w:val="15"/>
                <w:b w:val="1"/>
                <w:bCs w:val="1"/>
                <w:color w:val="auto"/>
              </w:rPr>
              <w:t>1,510,680</w:t>
            </w:r>
          </w:p>
        </w:tc>
        <w:tc>
          <w:tcPr>
            <w:tcW w:w="34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910,636</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32,997</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1,293,482</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 Net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541,478</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43,542</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529,165</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49,161</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20"/>
                <w:szCs w:val="20"/>
                <w:color w:val="auto"/>
              </w:rPr>
            </w:pPr>
            <w:r>
              <w:rPr>
                <w:rFonts w:ascii="Arial" w:cs="Arial" w:eastAsia="Arial" w:hAnsi="Arial"/>
                <w:sz w:val="15"/>
                <w:szCs w:val="15"/>
                <w:b w:val="1"/>
                <w:bCs w:val="1"/>
                <w:color w:val="auto"/>
              </w:rPr>
              <w:t>Noncurrent Assets of Discontinued Operations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184,740</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5,095,881</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4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478,827</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220"/>
              <w:spacing w:after="0" w:line="156" w:lineRule="exact"/>
              <w:rPr>
                <w:sz w:val="20"/>
                <w:szCs w:val="20"/>
                <w:color w:val="auto"/>
              </w:rPr>
            </w:pPr>
            <w:r>
              <w:rPr>
                <w:rFonts w:ascii="Arial" w:cs="Arial" w:eastAsia="Arial" w:hAnsi="Arial"/>
                <w:sz w:val="15"/>
                <w:szCs w:val="15"/>
                <w:color w:val="auto"/>
              </w:rPr>
              <w:t>Accounts payable and accrued liabilities</w:t>
            </w:r>
          </w:p>
        </w:tc>
        <w:tc>
          <w:tcPr>
            <w:tcW w:w="2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3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22,341</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29,669</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402,074</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Dividends declared</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206</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Short-term borrowings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3,022</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8240" w:type="dxa"/>
            <w:vAlign w:val="bottom"/>
          </w:tcPr>
          <w:p>
            <w:pPr>
              <w:ind w:left="220"/>
              <w:spacing w:after="0"/>
              <w:rPr>
                <w:sz w:val="20"/>
                <w:szCs w:val="20"/>
                <w:color w:val="auto"/>
              </w:rPr>
            </w:pPr>
            <w:r>
              <w:rPr>
                <w:rFonts w:ascii="Arial" w:cs="Arial" w:eastAsia="Arial" w:hAnsi="Arial"/>
                <w:sz w:val="15"/>
                <w:szCs w:val="15"/>
                <w:color w:val="auto"/>
              </w:rPr>
              <w:t>Current liabilities of discontinued operations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57,823</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240" w:type="dxa"/>
            <w:vAlign w:val="bottom"/>
          </w:tcPr>
          <w:p>
            <w:pPr>
              <w:ind w:left="460"/>
              <w:spacing w:after="0" w:line="150" w:lineRule="exact"/>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3"/>
                <w:szCs w:val="13"/>
                <w:color w:val="auto"/>
              </w:rPr>
            </w:pPr>
          </w:p>
        </w:tc>
        <w:tc>
          <w:tcPr>
            <w:tcW w:w="1440" w:type="dxa"/>
            <w:vAlign w:val="bottom"/>
          </w:tcPr>
          <w:p>
            <w:pPr>
              <w:jc w:val="right"/>
              <w:ind w:right="126"/>
              <w:spacing w:after="0" w:line="150" w:lineRule="exact"/>
              <w:rPr>
                <w:sz w:val="20"/>
                <w:szCs w:val="20"/>
                <w:color w:val="auto"/>
              </w:rPr>
            </w:pPr>
            <w:r>
              <w:rPr>
                <w:rFonts w:ascii="Arial" w:cs="Arial" w:eastAsia="Arial" w:hAnsi="Arial"/>
                <w:sz w:val="15"/>
                <w:szCs w:val="15"/>
                <w:b w:val="1"/>
                <w:bCs w:val="1"/>
                <w:color w:val="auto"/>
              </w:rPr>
              <w:t>993,962</w:t>
            </w:r>
          </w:p>
        </w:tc>
        <w:tc>
          <w:tcPr>
            <w:tcW w:w="34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Postretirement Benefits Other Than Pensions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36,301</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215,649</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86,021</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521,489</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448,067</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20"/>
                <w:szCs w:val="20"/>
                <w:color w:val="auto"/>
              </w:rPr>
            </w:pPr>
            <w:r>
              <w:rPr>
                <w:rFonts w:ascii="Arial" w:cs="Arial" w:eastAsia="Arial" w:hAnsi="Arial"/>
                <w:sz w:val="15"/>
                <w:szCs w:val="15"/>
                <w:b w:val="1"/>
                <w:bCs w:val="1"/>
                <w:color w:val="auto"/>
              </w:rPr>
              <w:t>Noncurrent Liabilities of Discontinued Operations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45,732</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2,347,221</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b w:val="1"/>
                <w:bCs w:val="1"/>
                <w:color w:val="auto"/>
              </w:rPr>
              <w:t>Redeemable Noncontrolling Interest</w:t>
            </w:r>
          </w:p>
        </w:tc>
        <w:tc>
          <w:tcPr>
            <w:tcW w:w="200" w:type="dxa"/>
            <w:vAlign w:val="bottom"/>
          </w:tcPr>
          <w:p>
            <w:pPr>
              <w:spacing w:after="0"/>
              <w:rPr>
                <w:sz w:val="13"/>
                <w:szCs w:val="13"/>
                <w:color w:val="auto"/>
              </w:rPr>
            </w:pPr>
          </w:p>
        </w:tc>
        <w:tc>
          <w:tcPr>
            <w:tcW w:w="1440" w:type="dxa"/>
            <w:vAlign w:val="bottom"/>
          </w:tcPr>
          <w:p>
            <w:pPr>
              <w:jc w:val="right"/>
              <w:ind w:right="126"/>
              <w:spacing w:after="0" w:line="150" w:lineRule="exact"/>
              <w:rPr>
                <w:sz w:val="20"/>
                <w:szCs w:val="20"/>
                <w:color w:val="auto"/>
              </w:rPr>
            </w:pPr>
            <w:r>
              <w:rPr>
                <w:rFonts w:ascii="Arial" w:cs="Arial" w:eastAsia="Arial" w:hAnsi="Arial"/>
                <w:sz w:val="15"/>
                <w:szCs w:val="15"/>
                <w:b w:val="1"/>
                <w:bCs w:val="1"/>
                <w:color w:val="auto"/>
              </w:rPr>
              <w:t>5,982</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240" w:type="dxa"/>
            <w:vAlign w:val="bottom"/>
          </w:tcPr>
          <w:p>
            <w:pPr>
              <w:spacing w:after="0"/>
              <w:rPr>
                <w:sz w:val="20"/>
                <w:szCs w:val="20"/>
                <w:color w:val="auto"/>
              </w:rPr>
            </w:pPr>
            <w:r>
              <w:rPr>
                <w:rFonts w:ascii="Arial" w:cs="Arial" w:eastAsia="Arial" w:hAnsi="Arial"/>
                <w:sz w:val="15"/>
                <w:szCs w:val="15"/>
                <w:b w:val="1"/>
                <w:bCs w:val="1"/>
                <w:color w:val="auto"/>
              </w:rPr>
              <w:t>Redeemable Preferred Stock</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10,665</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40" w:type="dxa"/>
            <w:vAlign w:val="bottom"/>
          </w:tcPr>
          <w:p>
            <w:pPr>
              <w:spacing w:after="0" w:line="167" w:lineRule="exact"/>
              <w:rPr>
                <w:sz w:val="20"/>
                <w:szCs w:val="20"/>
                <w:color w:val="auto"/>
              </w:rPr>
            </w:pPr>
            <w:r>
              <w:rPr>
                <w:rFonts w:ascii="Arial" w:cs="Arial" w:eastAsia="Arial" w:hAnsi="Arial"/>
                <w:sz w:val="15"/>
                <w:szCs w:val="15"/>
                <w:b w:val="1"/>
                <w:bCs w:val="1"/>
                <w:color w:val="auto"/>
              </w:rPr>
              <w:t>Preferred Stock</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40" w:type="dxa"/>
            <w:vAlign w:val="bottom"/>
          </w:tcPr>
          <w:p>
            <w:pPr>
              <w:spacing w:after="0" w:line="168" w:lineRule="exact"/>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4"/>
                <w:szCs w:val="14"/>
                <w:color w:val="auto"/>
              </w:rPr>
            </w:pPr>
          </w:p>
        </w:tc>
        <w:tc>
          <w:tcPr>
            <w:tcW w:w="14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20,000</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220"/>
              <w:spacing w:after="0" w:line="156" w:lineRule="exact"/>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261,751</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824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6"/>
                <w:szCs w:val="16"/>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4,626,311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4"/>
        </w:trPr>
        <w:tc>
          <w:tcPr>
            <w:tcW w:w="8240" w:type="dxa"/>
            <w:vAlign w:val="bottom"/>
          </w:tcPr>
          <w:p>
            <w:pPr>
              <w:ind w:left="220"/>
              <w:spacing w:after="0"/>
              <w:rPr>
                <w:sz w:val="20"/>
                <w:szCs w:val="20"/>
                <w:color w:val="auto"/>
              </w:rPr>
            </w:pPr>
            <w:r>
              <w:rPr>
                <w:rFonts w:ascii="Arial" w:cs="Arial" w:eastAsia="Arial" w:hAnsi="Arial"/>
                <w:sz w:val="15"/>
                <w:szCs w:val="15"/>
                <w:color w:val="auto"/>
              </w:rPr>
              <w:t>Accumulated other comprehensive income, net of tax</w:t>
            </w:r>
          </w:p>
        </w:tc>
        <w:tc>
          <w:tcPr>
            <w:tcW w:w="200" w:type="dxa"/>
            <w:vAlign w:val="bottom"/>
          </w:tcPr>
          <w:p>
            <w:pPr>
              <w:spacing w:after="0"/>
              <w:rPr>
                <w:sz w:val="15"/>
                <w:szCs w:val="15"/>
                <w:color w:val="auto"/>
              </w:rPr>
            </w:pPr>
          </w:p>
        </w:tc>
        <w:tc>
          <w:tcPr>
            <w:tcW w:w="14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24,011</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460"/>
              <w:spacing w:after="0" w:line="156" w:lineRule="exact"/>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240" w:type="dxa"/>
            <w:vAlign w:val="bottom"/>
          </w:tcPr>
          <w:p>
            <w:pPr>
              <w:ind w:left="460"/>
              <w:spacing w:after="0"/>
              <w:rPr>
                <w:sz w:val="20"/>
                <w:szCs w:val="20"/>
                <w:color w:val="auto"/>
              </w:rPr>
            </w:pPr>
            <w:r>
              <w:rPr>
                <w:rFonts w:ascii="Arial" w:cs="Arial" w:eastAsia="Arial" w:hAnsi="Arial"/>
                <w:sz w:val="15"/>
                <w:szCs w:val="15"/>
                <w:color w:val="auto"/>
              </w:rPr>
              <w:t>Unrealized gain on available-for-sale securities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158,886</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824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118,159</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8240" w:type="dxa"/>
            <w:vAlign w:val="bottom"/>
          </w:tcPr>
          <w:p>
            <w:pPr>
              <w:ind w:left="460"/>
              <w:spacing w:after="0"/>
              <w:rPr>
                <w:sz w:val="20"/>
                <w:szCs w:val="20"/>
                <w:color w:val="auto"/>
              </w:rPr>
            </w:pPr>
            <w:r>
              <w:rPr>
                <w:rFonts w:ascii="Arial" w:cs="Arial" w:eastAsia="Arial" w:hAnsi="Arial"/>
                <w:sz w:val="15"/>
                <w:szCs w:val="15"/>
                <w:color w:val="auto"/>
              </w:rPr>
              <w:t>Cash flow hedge</w:t>
            </w:r>
          </w:p>
        </w:tc>
        <w:tc>
          <w:tcPr>
            <w:tcW w:w="200" w:type="dxa"/>
            <w:vAlign w:val="bottom"/>
          </w:tcPr>
          <w:p>
            <w:pPr>
              <w:spacing w:after="0"/>
              <w:rPr>
                <w:sz w:val="15"/>
                <w:szCs w:val="15"/>
                <w:color w:val="auto"/>
              </w:rPr>
            </w:pPr>
          </w:p>
        </w:tc>
        <w:tc>
          <w:tcPr>
            <w:tcW w:w="1440" w:type="dxa"/>
            <w:vAlign w:val="bottom"/>
          </w:tcPr>
          <w:p>
            <w:pPr>
              <w:jc w:val="right"/>
              <w:ind w:right="126"/>
              <w:spacing w:after="0"/>
              <w:rPr>
                <w:sz w:val="20"/>
                <w:szCs w:val="20"/>
                <w:color w:val="auto"/>
              </w:rPr>
            </w:pPr>
            <w:r>
              <w:rPr>
                <w:rFonts w:ascii="Arial" w:cs="Arial" w:eastAsia="Arial" w:hAnsi="Arial"/>
                <w:sz w:val="15"/>
                <w:szCs w:val="15"/>
                <w:b w:val="1"/>
                <w:bCs w:val="1"/>
                <w:color w:val="auto"/>
              </w:rPr>
              <w:t>(785)</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220"/>
              <w:spacing w:after="0"/>
              <w:rPr>
                <w:sz w:val="20"/>
                <w:szCs w:val="20"/>
                <w:color w:val="auto"/>
              </w:rPr>
            </w:pPr>
            <w:r>
              <w:rPr>
                <w:rFonts w:ascii="Arial" w:cs="Arial" w:eastAsia="Arial" w:hAnsi="Arial"/>
                <w:sz w:val="15"/>
                <w:szCs w:val="15"/>
                <w:color w:val="auto"/>
              </w:rPr>
              <w:t>Cost of Class B common stock held in treasury</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(2,476,613)</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166"/>
        </w:trPr>
        <w:tc>
          <w:tcPr>
            <w:tcW w:w="824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2,731,720</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66"/>
        </w:trPr>
        <w:tc>
          <w:tcPr>
            <w:tcW w:w="8240" w:type="dxa"/>
            <w:vAlign w:val="bottom"/>
          </w:tcPr>
          <w:p>
            <w:pPr>
              <w:spacing w:after="0" w:line="167" w:lineRule="exact"/>
              <w:rPr>
                <w:sz w:val="20"/>
                <w:szCs w:val="20"/>
                <w:color w:val="auto"/>
              </w:rPr>
            </w:pPr>
            <w:r>
              <w:rPr>
                <w:rFonts w:ascii="Arial" w:cs="Arial" w:eastAsia="Arial" w:hAnsi="Arial"/>
                <w:sz w:val="15"/>
                <w:szCs w:val="15"/>
                <w:color w:val="auto"/>
              </w:rPr>
              <w:t>Noncontrolling Interests</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293</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4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2,732,013</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66"/>
        </w:trPr>
        <w:tc>
          <w:tcPr>
            <w:tcW w:w="8240" w:type="dxa"/>
            <w:vAlign w:val="bottom"/>
          </w:tcPr>
          <w:p>
            <w:pPr>
              <w:ind w:left="700"/>
              <w:spacing w:after="0" w:line="167" w:lineRule="exact"/>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5,095,881</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5" w:name="page6"/>
    <w:bookmarkEnd w:id="5"/>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13" w:lineRule="exact"/>
        <w:rPr>
          <w:sz w:val="20"/>
          <w:szCs w:val="20"/>
          <w:color w:val="auto"/>
        </w:rPr>
      </w:pPr>
    </w:p>
    <w:p>
      <w:pPr>
        <w:jc w:val="center"/>
        <w:ind w:left="9980"/>
        <w:spacing w:after="0"/>
        <w:rPr>
          <w:sz w:val="20"/>
          <w:szCs w:val="20"/>
          <w:color w:val="auto"/>
        </w:rPr>
      </w:pPr>
      <w:r>
        <w:rPr>
          <w:rFonts w:ascii="Arial" w:cs="Arial" w:eastAsia="Arial" w:hAnsi="Arial"/>
          <w:sz w:val="12"/>
          <w:szCs w:val="12"/>
          <w:b w:val="1"/>
          <w:bCs w:val="1"/>
          <w:color w:val="auto"/>
        </w:rPr>
        <w:t>Nine Months Ended</w:t>
      </w:r>
    </w:p>
    <w:p>
      <w:pPr>
        <w:spacing w:after="0" w:line="48" w:lineRule="exact"/>
        <w:rPr>
          <w:sz w:val="20"/>
          <w:szCs w:val="20"/>
          <w:color w:val="auto"/>
        </w:rPr>
      </w:pPr>
    </w:p>
    <w:p>
      <w:pPr>
        <w:jc w:val="center"/>
        <w:ind w:left="998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8255</wp:posOffset>
            </wp:positionV>
            <wp:extent cx="13423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Arial" w:cs="Arial" w:eastAsia="Arial" w:hAnsi="Arial"/>
                <w:sz w:val="12"/>
                <w:szCs w:val="12"/>
                <w:color w:val="auto"/>
              </w:rPr>
              <w:t>(in thousands)</w:t>
            </w:r>
          </w:p>
        </w:tc>
        <w:tc>
          <w:tcPr>
            <w:tcW w:w="5100" w:type="dxa"/>
            <w:vAlign w:val="bottom"/>
          </w:tcPr>
          <w:p>
            <w:pPr>
              <w:jc w:val="right"/>
              <w:ind w:right="518"/>
              <w:spacing w:after="0"/>
              <w:rPr>
                <w:sz w:val="20"/>
                <w:szCs w:val="20"/>
                <w:color w:val="auto"/>
              </w:rPr>
            </w:pPr>
            <w:r>
              <w:rPr>
                <w:rFonts w:ascii="Arial" w:cs="Arial" w:eastAsia="Arial" w:hAnsi="Arial"/>
                <w:sz w:val="12"/>
                <w:szCs w:val="12"/>
                <w:b w:val="1"/>
                <w:bCs w:val="1"/>
                <w:color w:val="auto"/>
              </w:rPr>
              <w:t>2013</w:t>
            </w:r>
          </w:p>
        </w:tc>
        <w:tc>
          <w:tcPr>
            <w:tcW w:w="760" w:type="dxa"/>
            <w:vAlign w:val="bottom"/>
          </w:tcPr>
          <w:p>
            <w:pPr>
              <w:jc w:val="right"/>
              <w:spacing w:after="0"/>
              <w:rPr>
                <w:sz w:val="20"/>
                <w:szCs w:val="20"/>
                <w:color w:val="auto"/>
              </w:rPr>
            </w:pPr>
            <w:r>
              <w:rPr>
                <w:rFonts w:ascii="Arial" w:cs="Arial" w:eastAsia="Arial" w:hAnsi="Arial"/>
                <w:sz w:val="12"/>
                <w:szCs w:val="12"/>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p>
      <w:pPr>
        <w:spacing w:after="0" w:line="229" w:lineRule="auto"/>
        <w:rPr>
          <w:sz w:val="20"/>
          <w:szCs w:val="20"/>
          <w:color w:val="auto"/>
        </w:rPr>
      </w:pPr>
      <w:r>
        <w:rPr>
          <w:rFonts w:ascii="Arial" w:cs="Arial" w:eastAsia="Arial" w:hAnsi="Arial"/>
          <w:sz w:val="17"/>
          <w:szCs w:val="17"/>
          <w:b w:val="1"/>
          <w:bCs w:val="1"/>
          <w:color w:val="auto"/>
        </w:rPr>
        <w:t>Cash Flows from Operating Activities</w:t>
      </w:r>
    </w:p>
    <w:p>
      <w:pPr>
        <w:spacing w:after="0" w:line="228" w:lineRule="auto"/>
        <w:rPr>
          <w:sz w:val="20"/>
          <w:szCs w:val="20"/>
          <w:color w:val="auto"/>
        </w:rPr>
      </w:pPr>
      <w:r>
        <w:rPr>
          <w:rFonts w:ascii="Arial" w:cs="Arial" w:eastAsia="Arial" w:hAnsi="Arial"/>
          <w:sz w:val="17"/>
          <w:szCs w:val="17"/>
          <w:b w:val="1"/>
          <w:bCs w:val="1"/>
          <w:color w:val="auto"/>
        </w:rPr>
        <w:t>Net Income</w:t>
      </w:r>
    </w:p>
    <w:p>
      <w:pPr>
        <w:spacing w:after="0" w:line="229" w:lineRule="auto"/>
        <w:rPr>
          <w:sz w:val="20"/>
          <w:szCs w:val="20"/>
          <w:color w:val="auto"/>
        </w:rPr>
      </w:pPr>
      <w:r>
        <w:rPr>
          <w:rFonts w:ascii="Arial" w:cs="Arial" w:eastAsia="Arial" w:hAnsi="Arial"/>
          <w:sz w:val="17"/>
          <w:szCs w:val="17"/>
          <w:color w:val="auto"/>
        </w:rPr>
        <w:t>Adjustments to reconcile net income to net cash provided by operating activities:</w:t>
      </w:r>
    </w:p>
    <w:p>
      <w:pPr>
        <w:ind w:left="220"/>
        <w:spacing w:after="0" w:line="228" w:lineRule="auto"/>
        <w:rPr>
          <w:sz w:val="20"/>
          <w:szCs w:val="20"/>
          <w:color w:val="auto"/>
        </w:rPr>
      </w:pPr>
      <w:r>
        <w:rPr>
          <w:rFonts w:ascii="Arial" w:cs="Arial" w:eastAsia="Arial" w:hAnsi="Arial"/>
          <w:sz w:val="17"/>
          <w:szCs w:val="17"/>
          <w:color w:val="auto"/>
        </w:rPr>
        <w:t>Depreciation of property, plant and equipment</w:t>
      </w:r>
    </w:p>
    <w:p>
      <w:pPr>
        <w:ind w:left="220"/>
        <w:spacing w:after="0" w:line="229" w:lineRule="auto"/>
        <w:rPr>
          <w:sz w:val="20"/>
          <w:szCs w:val="20"/>
          <w:color w:val="auto"/>
        </w:rPr>
      </w:pPr>
      <w:r>
        <w:rPr>
          <w:rFonts w:ascii="Arial" w:cs="Arial" w:eastAsia="Arial" w:hAnsi="Arial"/>
          <w:sz w:val="17"/>
          <w:szCs w:val="17"/>
          <w:color w:val="auto"/>
        </w:rPr>
        <w:t>Amortization of intangible assets</w:t>
      </w:r>
    </w:p>
    <w:p>
      <w:pPr>
        <w:ind w:left="220"/>
        <w:spacing w:after="0" w:line="228" w:lineRule="auto"/>
        <w:rPr>
          <w:sz w:val="20"/>
          <w:szCs w:val="20"/>
          <w:color w:val="auto"/>
        </w:rPr>
      </w:pPr>
      <w:r>
        <w:rPr>
          <w:rFonts w:ascii="Arial" w:cs="Arial" w:eastAsia="Arial" w:hAnsi="Arial"/>
          <w:sz w:val="17"/>
          <w:szCs w:val="17"/>
          <w:color w:val="auto"/>
        </w:rPr>
        <w:t>Net pension expense</w:t>
      </w:r>
    </w:p>
    <w:p>
      <w:pPr>
        <w:ind w:left="220"/>
        <w:spacing w:after="0" w:line="229" w:lineRule="auto"/>
        <w:rPr>
          <w:sz w:val="20"/>
          <w:szCs w:val="20"/>
          <w:color w:val="auto"/>
        </w:rPr>
      </w:pPr>
      <w:r>
        <w:rPr>
          <w:rFonts w:ascii="Arial" w:cs="Arial" w:eastAsia="Arial" w:hAnsi="Arial"/>
          <w:sz w:val="17"/>
          <w:szCs w:val="17"/>
          <w:color w:val="auto"/>
        </w:rPr>
        <w:t>Early retirement program expense</w:t>
      </w:r>
    </w:p>
    <w:p>
      <w:pPr>
        <w:ind w:left="220"/>
        <w:spacing w:after="0" w:line="228" w:lineRule="auto"/>
        <w:rPr>
          <w:sz w:val="20"/>
          <w:szCs w:val="20"/>
          <w:color w:val="auto"/>
        </w:rPr>
      </w:pPr>
      <w:r>
        <w:rPr>
          <w:rFonts w:ascii="Arial" w:cs="Arial" w:eastAsia="Arial" w:hAnsi="Arial"/>
          <w:sz w:val="17"/>
          <w:szCs w:val="17"/>
          <w:color w:val="auto"/>
        </w:rPr>
        <w:t>Stock-based compensation expense</w:t>
      </w:r>
    </w:p>
    <w:p>
      <w:pPr>
        <w:ind w:left="220"/>
        <w:spacing w:after="0" w:line="229" w:lineRule="auto"/>
        <w:rPr>
          <w:sz w:val="20"/>
          <w:szCs w:val="20"/>
          <w:color w:val="auto"/>
        </w:rPr>
      </w:pPr>
      <w:r>
        <w:rPr>
          <w:rFonts w:ascii="Arial" w:cs="Arial" w:eastAsia="Arial" w:hAnsi="Arial"/>
          <w:sz w:val="17"/>
          <w:szCs w:val="17"/>
          <w:color w:val="auto"/>
        </w:rPr>
        <w:t>Foreign exchange loss (gain)</w:t>
      </w:r>
    </w:p>
    <w:p>
      <w:pPr>
        <w:ind w:left="220"/>
        <w:spacing w:after="0" w:line="229" w:lineRule="auto"/>
        <w:rPr>
          <w:sz w:val="20"/>
          <w:szCs w:val="20"/>
          <w:color w:val="auto"/>
        </w:rPr>
      </w:pPr>
      <w:r>
        <w:rPr>
          <w:rFonts w:ascii="Arial" w:cs="Arial" w:eastAsia="Arial" w:hAnsi="Arial"/>
          <w:sz w:val="17"/>
          <w:szCs w:val="17"/>
          <w:color w:val="auto"/>
        </w:rPr>
        <w:t>Net loss (gain) on sales and disposition of businesses</w:t>
      </w:r>
    </w:p>
    <w:p>
      <w:pPr>
        <w:ind w:left="220"/>
        <w:spacing w:after="0"/>
        <w:rPr>
          <w:sz w:val="20"/>
          <w:szCs w:val="20"/>
          <w:color w:val="auto"/>
        </w:rPr>
      </w:pPr>
      <w:r>
        <w:rPr>
          <w:rFonts w:ascii="Arial" w:cs="Arial" w:eastAsia="Arial" w:hAnsi="Arial"/>
          <w:sz w:val="16"/>
          <w:szCs w:val="16"/>
          <w:color w:val="auto"/>
        </w:rPr>
        <w:t>Net gain on sales or write-downs of marketable equity securities and cost method investments</w:t>
      </w:r>
    </w:p>
    <w:p>
      <w:pPr>
        <w:ind w:left="220"/>
        <w:spacing w:after="0" w:line="231" w:lineRule="auto"/>
        <w:rPr>
          <w:sz w:val="20"/>
          <w:szCs w:val="20"/>
          <w:color w:val="auto"/>
        </w:rPr>
      </w:pPr>
      <w:r>
        <w:rPr>
          <w:rFonts w:ascii="Arial" w:cs="Arial" w:eastAsia="Arial" w:hAnsi="Arial"/>
          <w:sz w:val="17"/>
          <w:szCs w:val="17"/>
          <w:color w:val="auto"/>
        </w:rPr>
        <w:t>Equity in earnings of affiliates, net of distributions</w:t>
      </w:r>
    </w:p>
    <w:p>
      <w:pPr>
        <w:ind w:left="220"/>
        <w:spacing w:after="0" w:line="228" w:lineRule="auto"/>
        <w:rPr>
          <w:sz w:val="20"/>
          <w:szCs w:val="20"/>
          <w:color w:val="auto"/>
        </w:rPr>
      </w:pPr>
      <w:r>
        <w:rPr>
          <w:rFonts w:ascii="Arial" w:cs="Arial" w:eastAsia="Arial" w:hAnsi="Arial"/>
          <w:sz w:val="17"/>
          <w:szCs w:val="17"/>
          <w:color w:val="auto"/>
        </w:rPr>
        <w:t>Benefit for deferred income taxes</w:t>
      </w:r>
    </w:p>
    <w:p>
      <w:pPr>
        <w:spacing w:after="0" w:line="1" w:lineRule="exact"/>
        <w:rPr>
          <w:sz w:val="20"/>
          <w:szCs w:val="20"/>
          <w:color w:val="auto"/>
        </w:rPr>
      </w:pPr>
    </w:p>
    <w:p>
      <w:pPr>
        <w:ind w:left="460" w:right="2120" w:hanging="235"/>
        <w:spacing w:after="0" w:line="228" w:lineRule="auto"/>
        <w:rPr>
          <w:sz w:val="20"/>
          <w:szCs w:val="20"/>
          <w:color w:val="auto"/>
        </w:rPr>
      </w:pPr>
      <w:r>
        <w:rPr>
          <w:rFonts w:ascii="Arial" w:cs="Arial" w:eastAsia="Arial" w:hAnsi="Arial"/>
          <w:sz w:val="17"/>
          <w:szCs w:val="17"/>
          <w:color w:val="auto"/>
        </w:rPr>
        <w:t>Net loss on sale or write-down of property, plant and equipment and other assets Increase in accounts receivable, net</w:t>
      </w:r>
    </w:p>
    <w:p>
      <w:pPr>
        <w:ind w:left="460"/>
        <w:spacing w:after="0" w:line="229" w:lineRule="auto"/>
        <w:rPr>
          <w:sz w:val="20"/>
          <w:szCs w:val="20"/>
          <w:color w:val="auto"/>
        </w:rPr>
      </w:pPr>
      <w:r>
        <w:rPr>
          <w:rFonts w:ascii="Arial" w:cs="Arial" w:eastAsia="Arial" w:hAnsi="Arial"/>
          <w:sz w:val="17"/>
          <w:szCs w:val="17"/>
          <w:color w:val="auto"/>
        </w:rPr>
        <w:t>Decrease in inventories</w:t>
      </w:r>
    </w:p>
    <w:p>
      <w:pPr>
        <w:spacing w:after="0" w:line="1" w:lineRule="exact"/>
        <w:rPr>
          <w:sz w:val="20"/>
          <w:szCs w:val="20"/>
          <w:color w:val="auto"/>
        </w:rPr>
      </w:pPr>
    </w:p>
    <w:p>
      <w:pPr>
        <w:ind w:left="460" w:right="3180"/>
        <w:spacing w:after="0" w:line="228" w:lineRule="auto"/>
        <w:rPr>
          <w:sz w:val="20"/>
          <w:szCs w:val="20"/>
          <w:color w:val="auto"/>
        </w:rPr>
      </w:pPr>
      <w:r>
        <w:rPr>
          <w:rFonts w:ascii="Arial" w:cs="Arial" w:eastAsia="Arial" w:hAnsi="Arial"/>
          <w:sz w:val="17"/>
          <w:szCs w:val="17"/>
          <w:color w:val="auto"/>
        </w:rPr>
        <w:t>Increase (decrease) in accounts payable and accrued liabilities Increase in deferred revenue</w:t>
      </w:r>
    </w:p>
    <w:p>
      <w:pPr>
        <w:ind w:left="460"/>
        <w:spacing w:after="0" w:line="229" w:lineRule="auto"/>
        <w:rPr>
          <w:sz w:val="20"/>
          <w:szCs w:val="20"/>
          <w:color w:val="auto"/>
        </w:rPr>
      </w:pPr>
      <w:r>
        <w:rPr>
          <w:rFonts w:ascii="Arial" w:cs="Arial" w:eastAsia="Arial" w:hAnsi="Arial"/>
          <w:sz w:val="17"/>
          <w:szCs w:val="17"/>
          <w:color w:val="auto"/>
        </w:rPr>
        <w:t>Increase (decrease) in income taxes payable</w:t>
      </w:r>
    </w:p>
    <w:p>
      <w:pPr>
        <w:ind w:left="460"/>
        <w:spacing w:after="0" w:line="229" w:lineRule="auto"/>
        <w:rPr>
          <w:sz w:val="20"/>
          <w:szCs w:val="20"/>
          <w:color w:val="auto"/>
        </w:rPr>
      </w:pPr>
      <w:r>
        <w:rPr>
          <w:rFonts w:ascii="Arial" w:cs="Arial" w:eastAsia="Arial" w:hAnsi="Arial"/>
          <w:sz w:val="17"/>
          <w:szCs w:val="17"/>
          <w:color w:val="auto"/>
        </w:rPr>
        <w:t>Increase in other assets and other liabilities, net</w:t>
      </w:r>
    </w:p>
    <w:p>
      <w:pPr>
        <w:ind w:left="22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170" w:lineRule="exact"/>
        <w:rPr>
          <w:sz w:val="20"/>
          <w:szCs w:val="20"/>
          <w:color w:val="auto"/>
        </w:rPr>
      </w:pPr>
    </w:p>
    <w:p>
      <w:pPr>
        <w:ind w:left="220" w:right="3280" w:hanging="235"/>
        <w:spacing w:after="0" w:line="234" w:lineRule="auto"/>
        <w:rPr>
          <w:sz w:val="20"/>
          <w:szCs w:val="20"/>
          <w:color w:val="auto"/>
        </w:rPr>
      </w:pPr>
      <w:r>
        <w:rPr>
          <w:rFonts w:ascii="Arial" w:cs="Arial" w:eastAsia="Arial" w:hAnsi="Arial"/>
          <w:sz w:val="17"/>
          <w:szCs w:val="17"/>
          <w:b w:val="1"/>
          <w:bCs w:val="1"/>
          <w:color w:val="auto"/>
        </w:rPr>
        <w:t xml:space="preserve">Cash Flows from Investing Activities </w:t>
      </w:r>
      <w:r>
        <w:rPr>
          <w:rFonts w:ascii="Arial" w:cs="Arial" w:eastAsia="Arial" w:hAnsi="Arial"/>
          <w:sz w:val="17"/>
          <w:szCs w:val="17"/>
          <w:color w:val="auto"/>
        </w:rPr>
        <w:t>Purchases of property, plant and equipment Investments in certain businesses, net of cash acquired Purchases of marketable equity securities and other investments</w:t>
      </w:r>
    </w:p>
    <w:p>
      <w:pPr>
        <w:spacing w:after="0" w:line="2" w:lineRule="exact"/>
        <w:rPr>
          <w:sz w:val="20"/>
          <w:szCs w:val="20"/>
          <w:color w:val="auto"/>
        </w:rPr>
      </w:pPr>
    </w:p>
    <w:p>
      <w:pPr>
        <w:ind w:left="220" w:right="1620"/>
        <w:spacing w:after="0" w:line="235" w:lineRule="auto"/>
        <w:rPr>
          <w:sz w:val="20"/>
          <w:szCs w:val="20"/>
          <w:color w:val="auto"/>
        </w:rPr>
      </w:pPr>
      <w:r>
        <w:rPr>
          <w:rFonts w:ascii="Arial" w:cs="Arial" w:eastAsia="Arial" w:hAnsi="Arial"/>
          <w:sz w:val="17"/>
          <w:szCs w:val="17"/>
          <w:color w:val="auto"/>
        </w:rPr>
        <w:t>Net proceeds from sales of businesses, property, plant and equipment and other assets Other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Repayment of short-term borrowing</w:t>
      </w:r>
    </w:p>
    <w:p>
      <w:pPr>
        <w:ind w:left="220"/>
        <w:spacing w:after="0" w:line="228" w:lineRule="auto"/>
        <w:rPr>
          <w:sz w:val="20"/>
          <w:szCs w:val="20"/>
          <w:color w:val="auto"/>
        </w:rPr>
      </w:pPr>
      <w:r>
        <w:rPr>
          <w:rFonts w:ascii="Arial" w:cs="Arial" w:eastAsia="Arial" w:hAnsi="Arial"/>
          <w:sz w:val="17"/>
          <w:szCs w:val="17"/>
          <w:color w:val="auto"/>
        </w:rPr>
        <w:t>Common shares repurchased</w:t>
      </w:r>
    </w:p>
    <w:p>
      <w:pPr>
        <w:ind w:left="220"/>
        <w:spacing w:after="0" w:line="229" w:lineRule="auto"/>
        <w:rPr>
          <w:sz w:val="20"/>
          <w:szCs w:val="20"/>
          <w:color w:val="auto"/>
        </w:rPr>
      </w:pPr>
      <w:r>
        <w:rPr>
          <w:rFonts w:ascii="Arial" w:cs="Arial" w:eastAsia="Arial" w:hAnsi="Arial"/>
          <w:sz w:val="17"/>
          <w:szCs w:val="17"/>
          <w:color w:val="auto"/>
        </w:rPr>
        <w:t>Purchase of shares from a noncontrolling interest</w:t>
      </w:r>
    </w:p>
    <w:p>
      <w:pPr>
        <w:ind w:left="220"/>
        <w:spacing w:after="0" w:line="228" w:lineRule="auto"/>
        <w:rPr>
          <w:sz w:val="20"/>
          <w:szCs w:val="20"/>
          <w:color w:val="auto"/>
        </w:rPr>
      </w:pPr>
      <w:r>
        <w:rPr>
          <w:rFonts w:ascii="Arial" w:cs="Arial" w:eastAsia="Arial" w:hAnsi="Arial"/>
          <w:sz w:val="17"/>
          <w:szCs w:val="17"/>
          <w:color w:val="auto"/>
        </w:rPr>
        <w:t>Dividends paid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Net Cash Used in Financing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Currency Exchange Rate Change</w:t>
      </w:r>
    </w:p>
    <w:p>
      <w:pPr>
        <w:spacing w:after="0" w:line="233" w:lineRule="auto"/>
        <w:rPr>
          <w:sz w:val="20"/>
          <w:szCs w:val="20"/>
          <w:color w:val="auto"/>
        </w:rPr>
      </w:pPr>
      <w:r>
        <w:rPr>
          <w:rFonts w:ascii="Arial" w:cs="Arial" w:eastAsia="Arial" w:hAnsi="Arial"/>
          <w:sz w:val="17"/>
          <w:szCs w:val="17"/>
          <w:b w:val="1"/>
          <w:bCs w:val="1"/>
          <w:color w:val="auto"/>
        </w:rPr>
        <w:t>Net Decrease in Cash and Cash Equivalents</w:t>
      </w:r>
    </w:p>
    <w:p>
      <w:pPr>
        <w:spacing w:after="0"/>
        <w:rPr>
          <w:sz w:val="20"/>
          <w:szCs w:val="20"/>
          <w:color w:val="auto"/>
        </w:rPr>
      </w:pPr>
      <w:r>
        <w:rPr>
          <w:rFonts w:ascii="Arial" w:cs="Arial" w:eastAsia="Arial" w:hAnsi="Arial"/>
          <w:sz w:val="17"/>
          <w:szCs w:val="17"/>
          <w:b w:val="1"/>
          <w:bCs w:val="1"/>
          <w:color w:val="auto"/>
        </w:rPr>
        <w:t>Beginning Cash and Cash Equivalents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Ending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540" w:val="left"/>
          <w:tab w:leader="none" w:pos="1440" w:val="left"/>
          <w:tab w:leader="none" w:pos="180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80,817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17</w:t>
      </w:r>
    </w:p>
    <w:p>
      <w:pPr>
        <w:spacing w:after="0" w:line="167" w:lineRule="exact"/>
        <w:rPr>
          <w:sz w:val="20"/>
          <w:szCs w:val="20"/>
          <w:color w:val="auto"/>
        </w:rPr>
      </w:pPr>
    </w:p>
    <w:p>
      <w:pPr>
        <w:jc w:val="both"/>
        <w:ind w:left="460"/>
        <w:spacing w:after="0"/>
        <w:tabs>
          <w:tab w:leader="none" w:pos="1800" w:val="left"/>
        </w:tabs>
        <w:rPr>
          <w:sz w:val="20"/>
          <w:szCs w:val="20"/>
          <w:color w:val="auto"/>
        </w:rPr>
      </w:pPr>
      <w:r>
        <w:rPr>
          <w:rFonts w:ascii="Arial" w:cs="Arial" w:eastAsia="Arial" w:hAnsi="Arial"/>
          <w:sz w:val="17"/>
          <w:szCs w:val="17"/>
          <w:b w:val="1"/>
          <w:bCs w:val="1"/>
          <w:color w:val="auto"/>
        </w:rPr>
        <w:t>191,388</w:t>
      </w:r>
      <w:r>
        <w:rPr>
          <w:sz w:val="20"/>
          <w:szCs w:val="20"/>
          <w:color w:val="auto"/>
        </w:rPr>
        <w:tab/>
      </w:r>
      <w:r>
        <w:rPr>
          <w:rFonts w:ascii="Arial" w:cs="Arial" w:eastAsia="Arial" w:hAnsi="Arial"/>
          <w:sz w:val="17"/>
          <w:szCs w:val="17"/>
          <w:color w:val="auto"/>
        </w:rPr>
        <w:t>19</w:t>
      </w:r>
    </w:p>
    <w:p>
      <w:pPr>
        <w:spacing w:after="0" w:line="11" w:lineRule="exact"/>
        <w:rPr>
          <w:sz w:val="20"/>
          <w:szCs w:val="20"/>
          <w:color w:val="auto"/>
        </w:rPr>
      </w:pPr>
    </w:p>
    <w:p>
      <w:pPr>
        <w:jc w:val="both"/>
        <w:ind w:left="640"/>
        <w:spacing w:after="0"/>
        <w:tabs>
          <w:tab w:leader="none" w:pos="1880" w:val="left"/>
        </w:tabs>
        <w:rPr>
          <w:sz w:val="20"/>
          <w:szCs w:val="20"/>
          <w:color w:val="auto"/>
        </w:rPr>
      </w:pPr>
      <w:r>
        <w:rPr>
          <w:rFonts w:ascii="Arial" w:cs="Arial" w:eastAsia="Arial" w:hAnsi="Arial"/>
          <w:sz w:val="17"/>
          <w:szCs w:val="17"/>
          <w:b w:val="1"/>
          <w:bCs w:val="1"/>
          <w:color w:val="auto"/>
        </w:rPr>
        <w:t>9,867</w:t>
      </w:r>
      <w:r>
        <w:rPr>
          <w:sz w:val="20"/>
          <w:szCs w:val="20"/>
          <w:color w:val="auto"/>
        </w:rPr>
        <w:tab/>
      </w:r>
      <w:r>
        <w:rPr>
          <w:rFonts w:ascii="Arial" w:cs="Arial" w:eastAsia="Arial" w:hAnsi="Arial"/>
          <w:sz w:val="17"/>
          <w:szCs w:val="17"/>
          <w:color w:val="auto"/>
        </w:rPr>
        <w:t>1</w:t>
      </w:r>
    </w:p>
    <w:p>
      <w:pPr>
        <w:ind w:left="560"/>
        <w:spacing w:after="0" w:line="228" w:lineRule="auto"/>
        <w:rPr>
          <w:sz w:val="20"/>
          <w:szCs w:val="20"/>
          <w:color w:val="auto"/>
        </w:rPr>
      </w:pPr>
      <w:r>
        <w:rPr>
          <w:rFonts w:ascii="Arial" w:cs="Arial" w:eastAsia="Arial" w:hAnsi="Arial"/>
          <w:sz w:val="17"/>
          <w:szCs w:val="17"/>
          <w:b w:val="1"/>
          <w:bCs w:val="1"/>
          <w:color w:val="auto"/>
        </w:rPr>
        <w:t>11,425</w:t>
      </w:r>
    </w:p>
    <w:p>
      <w:pPr>
        <w:ind w:left="560"/>
        <w:spacing w:after="0" w:line="229" w:lineRule="auto"/>
        <w:rPr>
          <w:sz w:val="20"/>
          <w:szCs w:val="20"/>
          <w:color w:val="auto"/>
        </w:rPr>
      </w:pPr>
      <w:r>
        <w:rPr>
          <w:rFonts w:ascii="Arial" w:cs="Arial" w:eastAsia="Arial" w:hAnsi="Arial"/>
          <w:sz w:val="17"/>
          <w:szCs w:val="17"/>
          <w:b w:val="1"/>
          <w:bCs w:val="1"/>
          <w:color w:val="auto"/>
        </w:rPr>
        <w:t>22,700</w:t>
      </w:r>
    </w:p>
    <w:p>
      <w:pPr>
        <w:jc w:val="both"/>
        <w:ind w:left="560"/>
        <w:spacing w:after="0" w:line="228" w:lineRule="auto"/>
        <w:tabs>
          <w:tab w:leader="none" w:pos="1880" w:val="left"/>
        </w:tabs>
        <w:rPr>
          <w:sz w:val="20"/>
          <w:szCs w:val="20"/>
          <w:color w:val="auto"/>
        </w:rPr>
      </w:pPr>
      <w:r>
        <w:rPr>
          <w:rFonts w:ascii="Arial" w:cs="Arial" w:eastAsia="Arial" w:hAnsi="Arial"/>
          <w:sz w:val="17"/>
          <w:szCs w:val="17"/>
          <w:b w:val="1"/>
          <w:bCs w:val="1"/>
          <w:color w:val="auto"/>
        </w:rPr>
        <w:t>34,429</w:t>
      </w:r>
      <w:r>
        <w:rPr>
          <w:sz w:val="20"/>
          <w:szCs w:val="20"/>
          <w:color w:val="auto"/>
        </w:rPr>
        <w:tab/>
      </w:r>
      <w:r>
        <w:rPr>
          <w:rFonts w:ascii="Arial" w:cs="Arial" w:eastAsia="Arial" w:hAnsi="Arial"/>
          <w:sz w:val="17"/>
          <w:szCs w:val="17"/>
          <w:color w:val="auto"/>
        </w:rPr>
        <w:t>1</w:t>
      </w:r>
    </w:p>
    <w:p>
      <w:pPr>
        <w:jc w:val="both"/>
        <w:ind w:left="640"/>
        <w:spacing w:after="0" w:line="229" w:lineRule="auto"/>
        <w:tabs>
          <w:tab w:leader="none" w:pos="1920" w:val="left"/>
        </w:tabs>
        <w:rPr>
          <w:sz w:val="20"/>
          <w:szCs w:val="20"/>
          <w:color w:val="auto"/>
        </w:rPr>
      </w:pPr>
      <w:r>
        <w:rPr>
          <w:rFonts w:ascii="Arial" w:cs="Arial" w:eastAsia="Arial" w:hAnsi="Arial"/>
          <w:sz w:val="17"/>
          <w:szCs w:val="17"/>
          <w:b w:val="1"/>
          <w:bCs w:val="1"/>
          <w:color w:val="auto"/>
        </w:rPr>
        <w:t>9,350</w:t>
      </w:r>
      <w:r>
        <w:rPr>
          <w:sz w:val="20"/>
          <w:szCs w:val="20"/>
          <w:color w:val="auto"/>
        </w:rPr>
        <w:tab/>
      </w:r>
      <w:r>
        <w:rPr>
          <w:rFonts w:ascii="Arial" w:cs="Arial" w:eastAsia="Arial" w:hAnsi="Arial"/>
          <w:sz w:val="17"/>
          <w:szCs w:val="17"/>
          <w:color w:val="auto"/>
        </w:rPr>
        <w:t>(</w:t>
      </w:r>
    </w:p>
    <w:p>
      <w:pPr>
        <w:ind w:left="1840" w:hanging="962"/>
        <w:spacing w:after="0"/>
        <w:tabs>
          <w:tab w:leader="none" w:pos="18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(2</w:t>
      </w:r>
    </w:p>
    <w:p>
      <w:pPr>
        <w:spacing w:after="0" w:line="25" w:lineRule="exact"/>
        <w:rPr>
          <w:sz w:val="20"/>
          <w:szCs w:val="20"/>
          <w:color w:val="auto"/>
        </w:rPr>
      </w:pPr>
    </w:p>
    <w:p>
      <w:pPr>
        <w:ind w:left="1940" w:hanging="1219"/>
        <w:spacing w:after="0"/>
        <w:tabs>
          <w:tab w:leader="none" w:pos="194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w:t>
      </w:r>
    </w:p>
    <w:p>
      <w:pPr>
        <w:spacing w:after="0" w:line="48" w:lineRule="exact"/>
        <w:rPr>
          <w:rFonts w:ascii="Arial" w:cs="Arial" w:eastAsia="Arial" w:hAnsi="Arial"/>
          <w:sz w:val="12"/>
          <w:szCs w:val="12"/>
          <w:b w:val="1"/>
          <w:bCs w:val="1"/>
          <w:color w:val="auto"/>
        </w:rPr>
      </w:pPr>
    </w:p>
    <w:p>
      <w:pPr>
        <w:ind w:left="50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(13,168)</w:t>
      </w:r>
      <w:r>
        <w:rPr>
          <w:rFonts w:ascii="Arial" w:cs="Arial" w:eastAsia="Arial" w:hAnsi="Arial"/>
          <w:sz w:val="14"/>
          <w:szCs w:val="14"/>
          <w:color w:val="auto"/>
        </w:rPr>
        <w:t>(1</w:t>
      </w:r>
    </w:p>
    <w:p>
      <w:pPr>
        <w:ind w:left="58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(8,802)</w:t>
      </w:r>
      <w:r>
        <w:rPr>
          <w:rFonts w:ascii="Arial" w:cs="Arial" w:eastAsia="Arial" w:hAnsi="Arial"/>
          <w:sz w:val="14"/>
          <w:szCs w:val="14"/>
          <w:color w:val="auto"/>
        </w:rPr>
        <w:t>(1</w:t>
      </w:r>
    </w:p>
    <w:p>
      <w:pPr>
        <w:ind w:left="640"/>
        <w:spacing w:after="0" w:line="228" w:lineRule="auto"/>
        <w:rPr>
          <w:rFonts w:ascii="Arial" w:cs="Arial" w:eastAsia="Arial" w:hAnsi="Arial"/>
          <w:sz w:val="12"/>
          <w:szCs w:val="12"/>
          <w:b w:val="1"/>
          <w:bCs w:val="1"/>
          <w:color w:val="auto"/>
        </w:rPr>
      </w:pPr>
      <w:r>
        <w:rPr>
          <w:rFonts w:ascii="Arial" w:cs="Arial" w:eastAsia="Arial" w:hAnsi="Arial"/>
          <w:sz w:val="17"/>
          <w:szCs w:val="17"/>
          <w:b w:val="1"/>
          <w:bCs w:val="1"/>
          <w:color w:val="auto"/>
        </w:rPr>
        <w:t>1,476</w:t>
      </w:r>
    </w:p>
    <w:p>
      <w:pPr>
        <w:ind w:left="50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(32,717)</w:t>
      </w:r>
      <w:r>
        <w:rPr>
          <w:rFonts w:ascii="Arial" w:cs="Arial" w:eastAsia="Arial" w:hAnsi="Arial"/>
          <w:sz w:val="14"/>
          <w:szCs w:val="14"/>
          <w:color w:val="auto"/>
        </w:rPr>
        <w:t>(1</w:t>
      </w:r>
    </w:p>
    <w:p>
      <w:pPr>
        <w:ind w:left="640"/>
        <w:spacing w:after="0" w:line="228" w:lineRule="auto"/>
        <w:rPr>
          <w:rFonts w:ascii="Arial" w:cs="Arial" w:eastAsia="Arial" w:hAnsi="Arial"/>
          <w:sz w:val="12"/>
          <w:szCs w:val="12"/>
          <w:b w:val="1"/>
          <w:bCs w:val="1"/>
          <w:color w:val="auto"/>
        </w:rPr>
      </w:pPr>
      <w:r>
        <w:rPr>
          <w:rFonts w:ascii="Arial" w:cs="Arial" w:eastAsia="Arial" w:hAnsi="Arial"/>
          <w:sz w:val="17"/>
          <w:szCs w:val="17"/>
          <w:b w:val="1"/>
          <w:bCs w:val="1"/>
          <w:color w:val="auto"/>
        </w:rPr>
        <w:t>1,138</w:t>
      </w:r>
    </w:p>
    <w:p>
      <w:pPr>
        <w:ind w:left="64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8,587</w:t>
      </w:r>
      <w:r>
        <w:rPr>
          <w:rFonts w:ascii="Arial" w:cs="Arial" w:eastAsia="Arial" w:hAnsi="Arial"/>
          <w:sz w:val="14"/>
          <w:szCs w:val="14"/>
          <w:color w:val="auto"/>
        </w:rPr>
        <w:t>(2</w:t>
      </w:r>
    </w:p>
    <w:p>
      <w:pPr>
        <w:ind w:left="56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31,885</w:t>
      </w:r>
      <w:r>
        <w:rPr>
          <w:rFonts w:ascii="Arial" w:cs="Arial" w:eastAsia="Arial" w:hAnsi="Arial"/>
          <w:sz w:val="14"/>
          <w:szCs w:val="14"/>
          <w:color w:val="auto"/>
        </w:rPr>
        <w:t>2</w:t>
      </w:r>
    </w:p>
    <w:p>
      <w:pPr>
        <w:ind w:left="56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21,884</w:t>
      </w:r>
      <w:r>
        <w:rPr>
          <w:rFonts w:ascii="Arial" w:cs="Arial" w:eastAsia="Arial" w:hAnsi="Arial"/>
          <w:sz w:val="14"/>
          <w:szCs w:val="14"/>
          <w:color w:val="auto"/>
        </w:rPr>
        <w:t>(3</w:t>
      </w:r>
    </w:p>
    <w:p>
      <w:pPr>
        <w:ind w:left="50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(23,329)</w:t>
      </w:r>
      <w:r>
        <w:rPr>
          <w:rFonts w:ascii="Arial" w:cs="Arial" w:eastAsia="Arial" w:hAnsi="Arial"/>
          <w:sz w:val="12"/>
          <w:szCs w:val="12"/>
          <w:color w:val="auto"/>
        </w:rPr>
        <w:t>(</w:t>
      </w:r>
    </w:p>
    <w:p>
      <w:pPr>
        <w:ind w:left="64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1,340</w:t>
      </w:r>
    </w:p>
    <w:p>
      <w:pPr>
        <w:spacing w:after="0" w:line="2" w:lineRule="exact"/>
        <w:rPr>
          <w:rFonts w:ascii="Arial" w:cs="Arial" w:eastAsia="Arial" w:hAnsi="Arial"/>
          <w:sz w:val="12"/>
          <w:szCs w:val="12"/>
          <w:b w:val="1"/>
          <w:bCs w:val="1"/>
          <w:color w:val="auto"/>
        </w:rPr>
      </w:pPr>
    </w:p>
    <w:p>
      <w:pPr>
        <w:ind w:left="460"/>
        <w:spacing w:after="0"/>
        <w:rPr>
          <w:rFonts w:ascii="Arial" w:cs="Arial" w:eastAsia="Arial" w:hAnsi="Arial"/>
          <w:sz w:val="12"/>
          <w:szCs w:val="12"/>
          <w:b w:val="1"/>
          <w:bCs w:val="1"/>
          <w:color w:val="auto"/>
        </w:rPr>
      </w:pPr>
      <w:r>
        <w:rPr>
          <w:rFonts w:ascii="Arial" w:cs="Arial" w:eastAsia="Arial" w:hAnsi="Arial"/>
          <w:sz w:val="17"/>
          <w:szCs w:val="17"/>
          <w:b w:val="1"/>
          <w:bCs w:val="1"/>
          <w:color w:val="auto"/>
        </w:rPr>
        <w:t>347,626</w:t>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-4445</wp:posOffset>
            </wp:positionV>
            <wp:extent cx="13423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2390" cy="762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-130175</wp:posOffset>
            </wp:positionV>
            <wp:extent cx="13423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line="327"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7"/>
          <w:szCs w:val="17"/>
          <w:b w:val="1"/>
          <w:bCs w:val="1"/>
          <w:color w:val="auto"/>
        </w:rPr>
        <w:t>(143,298)</w:t>
      </w:r>
      <w:r>
        <w:rPr>
          <w:sz w:val="20"/>
          <w:szCs w:val="20"/>
          <w:color w:val="auto"/>
        </w:rPr>
        <w:tab/>
      </w:r>
      <w:r>
        <w:rPr>
          <w:rFonts w:ascii="Arial" w:cs="Arial" w:eastAsia="Arial" w:hAnsi="Arial"/>
          <w:sz w:val="17"/>
          <w:szCs w:val="17"/>
          <w:color w:val="auto"/>
        </w:rPr>
        <w:t>(15</w:t>
      </w:r>
    </w:p>
    <w:p>
      <w:pPr>
        <w:spacing w:after="0" w:line="11" w:lineRule="exact"/>
        <w:rPr>
          <w:sz w:val="20"/>
          <w:szCs w:val="20"/>
          <w:color w:val="auto"/>
        </w:rPr>
      </w:pPr>
    </w:p>
    <w:p>
      <w:pPr>
        <w:ind w:left="440"/>
        <w:spacing w:after="0"/>
        <w:tabs>
          <w:tab w:leader="none" w:pos="1880" w:val="left"/>
        </w:tabs>
        <w:rPr>
          <w:sz w:val="20"/>
          <w:szCs w:val="20"/>
          <w:color w:val="auto"/>
        </w:rPr>
      </w:pPr>
      <w:r>
        <w:rPr>
          <w:rFonts w:ascii="Arial" w:cs="Arial" w:eastAsia="Arial" w:hAnsi="Arial"/>
          <w:sz w:val="17"/>
          <w:szCs w:val="17"/>
          <w:b w:val="1"/>
          <w:bCs w:val="1"/>
          <w:color w:val="auto"/>
        </w:rPr>
        <w:t>(19,927)</w:t>
      </w:r>
      <w:r>
        <w:rPr>
          <w:sz w:val="20"/>
          <w:szCs w:val="20"/>
          <w:color w:val="auto"/>
        </w:rPr>
        <w:tab/>
      </w:r>
      <w:r>
        <w:rPr>
          <w:rFonts w:ascii="Arial" w:cs="Arial" w:eastAsia="Arial" w:hAnsi="Arial"/>
          <w:sz w:val="17"/>
          <w:szCs w:val="17"/>
          <w:color w:val="auto"/>
        </w:rPr>
        <w:t>(</w:t>
      </w:r>
    </w:p>
    <w:p>
      <w:pPr>
        <w:ind w:left="440"/>
        <w:spacing w:after="0" w:line="228" w:lineRule="auto"/>
        <w:tabs>
          <w:tab w:leader="none" w:pos="1780" w:val="left"/>
        </w:tabs>
        <w:rPr>
          <w:sz w:val="20"/>
          <w:szCs w:val="20"/>
          <w:color w:val="auto"/>
        </w:rPr>
      </w:pPr>
      <w:r>
        <w:rPr>
          <w:rFonts w:ascii="Arial" w:cs="Arial" w:eastAsia="Arial" w:hAnsi="Arial"/>
          <w:sz w:val="17"/>
          <w:szCs w:val="17"/>
          <w:b w:val="1"/>
          <w:bCs w:val="1"/>
          <w:color w:val="auto"/>
        </w:rPr>
        <w:t>(12,029)</w:t>
      </w:r>
      <w:r>
        <w:rPr>
          <w:sz w:val="20"/>
          <w:szCs w:val="20"/>
          <w:color w:val="auto"/>
        </w:rPr>
        <w:tab/>
      </w:r>
      <w:r>
        <w:rPr>
          <w:rFonts w:ascii="Arial" w:cs="Arial" w:eastAsia="Arial" w:hAnsi="Arial"/>
          <w:sz w:val="17"/>
          <w:szCs w:val="17"/>
          <w:color w:val="auto"/>
        </w:rPr>
        <w:t>(4</w:t>
      </w:r>
    </w:p>
    <w:p>
      <w:pPr>
        <w:jc w:val="both"/>
        <w:ind w:left="640"/>
        <w:spacing w:after="0" w:line="229" w:lineRule="auto"/>
        <w:tabs>
          <w:tab w:leader="none" w:pos="1880" w:val="left"/>
        </w:tabs>
        <w:rPr>
          <w:sz w:val="20"/>
          <w:szCs w:val="20"/>
          <w:color w:val="auto"/>
        </w:rPr>
      </w:pPr>
      <w:r>
        <w:rPr>
          <w:rFonts w:ascii="Arial" w:cs="Arial" w:eastAsia="Arial" w:hAnsi="Arial"/>
          <w:sz w:val="17"/>
          <w:szCs w:val="17"/>
          <w:b w:val="1"/>
          <w:bCs w:val="1"/>
          <w:color w:val="auto"/>
        </w:rPr>
        <w:t>5,800</w:t>
      </w:r>
      <w:r>
        <w:rPr>
          <w:sz w:val="20"/>
          <w:szCs w:val="20"/>
          <w:color w:val="auto"/>
        </w:rPr>
        <w:tab/>
      </w:r>
      <w:r>
        <w:rPr>
          <w:rFonts w:ascii="Arial" w:cs="Arial" w:eastAsia="Arial" w:hAnsi="Arial"/>
          <w:sz w:val="17"/>
          <w:szCs w:val="17"/>
          <w:color w:val="auto"/>
        </w:rPr>
        <w:t>7</w:t>
      </w:r>
    </w:p>
    <w:p>
      <w:pPr>
        <w:ind w:left="860"/>
        <w:spacing w:after="0"/>
        <w:rPr>
          <w:sz w:val="20"/>
          <w:szCs w:val="20"/>
          <w:color w:val="auto"/>
        </w:rPr>
      </w:pP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-5080</wp:posOffset>
            </wp:positionV>
            <wp:extent cx="1342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ind w:left="360"/>
        <w:spacing w:after="0"/>
        <w:tabs>
          <w:tab w:leader="none" w:pos="1680" w:val="left"/>
        </w:tabs>
        <w:rPr>
          <w:sz w:val="20"/>
          <w:szCs w:val="20"/>
          <w:color w:val="auto"/>
        </w:rPr>
      </w:pPr>
      <w:r>
        <w:rPr>
          <w:rFonts w:ascii="Arial" w:cs="Arial" w:eastAsia="Arial" w:hAnsi="Arial"/>
          <w:sz w:val="17"/>
          <w:szCs w:val="17"/>
          <w:b w:val="1"/>
          <w:bCs w:val="1"/>
          <w:color w:val="auto"/>
        </w:rPr>
        <w:t>(169,457)</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-4445</wp:posOffset>
            </wp:positionV>
            <wp:extent cx="1342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line="327"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7"/>
          <w:szCs w:val="17"/>
          <w:b w:val="1"/>
          <w:bCs w:val="1"/>
          <w:color w:val="auto"/>
        </w:rPr>
        <w:t>(240,121)</w:t>
      </w:r>
      <w:r>
        <w:rPr>
          <w:sz w:val="20"/>
          <w:szCs w:val="20"/>
          <w:color w:val="auto"/>
        </w:rPr>
        <w:tab/>
      </w:r>
      <w:r>
        <w:rPr>
          <w:rFonts w:ascii="Arial" w:cs="Arial" w:eastAsia="Arial" w:hAnsi="Arial"/>
          <w:sz w:val="17"/>
          <w:szCs w:val="17"/>
          <w:color w:val="auto"/>
        </w:rPr>
        <w:t>(10</w:t>
      </w:r>
    </w:p>
    <w:p>
      <w:pPr>
        <w:spacing w:after="0" w:line="11" w:lineRule="exact"/>
        <w:rPr>
          <w:sz w:val="20"/>
          <w:szCs w:val="20"/>
          <w:color w:val="auto"/>
        </w:rPr>
      </w:pPr>
    </w:p>
    <w:p>
      <w:pPr>
        <w:ind w:left="540"/>
        <w:spacing w:after="0"/>
        <w:tabs>
          <w:tab w:leader="none" w:pos="1780" w:val="left"/>
        </w:tabs>
        <w:rPr>
          <w:sz w:val="20"/>
          <w:szCs w:val="20"/>
          <w:color w:val="auto"/>
        </w:rPr>
      </w:pPr>
      <w:r>
        <w:rPr>
          <w:rFonts w:ascii="Arial" w:cs="Arial" w:eastAsia="Arial" w:hAnsi="Arial"/>
          <w:sz w:val="17"/>
          <w:szCs w:val="17"/>
          <w:b w:val="1"/>
          <w:bCs w:val="1"/>
          <w:color w:val="auto"/>
        </w:rPr>
        <w:t>(4,196)</w:t>
      </w:r>
      <w:r>
        <w:rPr>
          <w:sz w:val="20"/>
          <w:szCs w:val="20"/>
          <w:color w:val="auto"/>
        </w:rPr>
        <w:tab/>
      </w:r>
      <w:r>
        <w:rPr>
          <w:rFonts w:ascii="Arial" w:cs="Arial" w:eastAsia="Arial" w:hAnsi="Arial"/>
          <w:sz w:val="17"/>
          <w:szCs w:val="17"/>
          <w:color w:val="auto"/>
        </w:rPr>
        <w:t>(9</w:t>
      </w:r>
    </w:p>
    <w:p>
      <w:pPr>
        <w:ind w:left="540"/>
        <w:spacing w:after="0" w:line="228" w:lineRule="auto"/>
        <w:rPr>
          <w:sz w:val="20"/>
          <w:szCs w:val="20"/>
          <w:color w:val="auto"/>
        </w:rPr>
      </w:pPr>
      <w:r>
        <w:rPr>
          <w:rFonts w:ascii="Arial" w:cs="Arial" w:eastAsia="Arial" w:hAnsi="Arial"/>
          <w:sz w:val="17"/>
          <w:szCs w:val="17"/>
          <w:b w:val="1"/>
          <w:bCs w:val="1"/>
          <w:color w:val="auto"/>
        </w:rPr>
        <w:t>(3,115)</w:t>
      </w:r>
    </w:p>
    <w:p>
      <w:pPr>
        <w:ind w:left="1800" w:hanging="1125"/>
        <w:spacing w:after="0" w:line="229" w:lineRule="auto"/>
        <w:tabs>
          <w:tab w:leader="none" w:pos="180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(5</w:t>
      </w:r>
    </w:p>
    <w:p>
      <w:pPr>
        <w:ind w:left="7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536</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-5080</wp:posOffset>
            </wp:positionV>
            <wp:extent cx="13423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ind w:left="360"/>
        <w:spacing w:after="0"/>
        <w:tabs>
          <w:tab w:leader="none" w:pos="1680" w:val="left"/>
        </w:tabs>
        <w:rPr>
          <w:sz w:val="20"/>
          <w:szCs w:val="20"/>
          <w:color w:val="auto"/>
        </w:rPr>
      </w:pPr>
      <w:r>
        <w:rPr>
          <w:rFonts w:ascii="Arial" w:cs="Arial" w:eastAsia="Arial" w:hAnsi="Arial"/>
          <w:sz w:val="17"/>
          <w:szCs w:val="17"/>
          <w:b w:val="1"/>
          <w:bCs w:val="1"/>
          <w:color w:val="auto"/>
        </w:rPr>
        <w:t>(247,545)</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-4445</wp:posOffset>
            </wp:positionV>
            <wp:extent cx="13423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b w:val="1"/>
          <w:bCs w:val="1"/>
          <w:color w:val="auto"/>
        </w:rPr>
        <w:t>(1,396)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-4445</wp:posOffset>
            </wp:positionV>
            <wp:extent cx="13423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ind w:left="440"/>
        <w:spacing w:after="0" w:line="232" w:lineRule="auto"/>
        <w:tabs>
          <w:tab w:leader="none" w:pos="1780" w:val="left"/>
        </w:tabs>
        <w:rPr>
          <w:sz w:val="20"/>
          <w:szCs w:val="20"/>
          <w:color w:val="auto"/>
        </w:rPr>
      </w:pPr>
      <w:r>
        <w:rPr>
          <w:rFonts w:ascii="Arial" w:cs="Arial" w:eastAsia="Arial" w:hAnsi="Arial"/>
          <w:sz w:val="17"/>
          <w:szCs w:val="17"/>
          <w:b w:val="1"/>
          <w:bCs w:val="1"/>
          <w:color w:val="auto"/>
        </w:rPr>
        <w:t>(70,772)</w:t>
      </w:r>
      <w:r>
        <w:rPr>
          <w:sz w:val="20"/>
          <w:szCs w:val="20"/>
          <w:color w:val="auto"/>
        </w:rPr>
        <w:tab/>
      </w:r>
      <w:r>
        <w:rPr>
          <w:rFonts w:ascii="Arial" w:cs="Arial" w:eastAsia="Arial" w:hAnsi="Arial"/>
          <w:sz w:val="17"/>
          <w:szCs w:val="17"/>
          <w:color w:val="auto"/>
        </w:rPr>
        <w:t>(7</w:t>
      </w:r>
    </w:p>
    <w:p>
      <w:pPr>
        <w:spacing w:after="0" w:line="1" w:lineRule="exact"/>
        <w:rPr>
          <w:sz w:val="20"/>
          <w:szCs w:val="20"/>
          <w:color w:val="auto"/>
        </w:rPr>
      </w:pPr>
    </w:p>
    <w:p>
      <w:pPr>
        <w:jc w:val="both"/>
        <w:ind w:left="460"/>
        <w:spacing w:after="0"/>
        <w:tabs>
          <w:tab w:leader="none" w:pos="1800" w:val="left"/>
        </w:tabs>
        <w:rPr>
          <w:sz w:val="20"/>
          <w:szCs w:val="20"/>
          <w:color w:val="auto"/>
        </w:rPr>
      </w:pPr>
      <w:r>
        <w:rPr>
          <w:rFonts w:ascii="Arial" w:cs="Arial" w:eastAsia="Arial" w:hAnsi="Arial"/>
          <w:sz w:val="17"/>
          <w:szCs w:val="17"/>
          <w:b w:val="1"/>
          <w:bCs w:val="1"/>
          <w:color w:val="auto"/>
        </w:rPr>
        <w:t>512,431</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-5080</wp:posOffset>
            </wp:positionV>
            <wp:extent cx="13423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tabs>
          <w:tab w:leader="none" w:pos="440" w:val="left"/>
          <w:tab w:leader="none" w:pos="1440" w:val="left"/>
          <w:tab w:leader="none" w:pos="180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441,659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-4445</wp:posOffset>
            </wp:positionV>
            <wp:extent cx="13423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2390" cy="762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10795</wp:posOffset>
            </wp:positionV>
            <wp:extent cx="13423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ectPr>
          <w:pgSz w:w="11900" w:h="16838" w:orient="portrait"/>
          <w:cols w:equalWidth="0" w:num="2">
            <w:col w:w="8240" w:space="720"/>
            <w:col w:w="1980"/>
          </w:cols>
          <w:pgMar w:left="820" w:top="565" w:right="139" w:bottom="1440" w:gutter="0" w:footer="0" w:header="0"/>
          <w:type w:val="continuous"/>
        </w:sectPr>
      </w:pPr>
    </w:p>
    <w:bookmarkStart w:id="6" w:name="page7"/>
    <w:bookmarkEnd w:id="6"/>
    <w:p>
      <w:pPr>
        <w:ind w:left="4260"/>
        <w:spacing w:after="0"/>
        <w:rPr>
          <w:sz w:val="20"/>
          <w:szCs w:val="20"/>
          <w:color w:val="auto"/>
        </w:rPr>
      </w:pPr>
      <w:r>
        <w:rPr>
          <w:rFonts w:ascii="Arial" w:cs="Arial" w:eastAsia="Arial" w:hAnsi="Arial"/>
          <w:sz w:val="17"/>
          <w:szCs w:val="17"/>
          <w:b w:val="1"/>
          <w:bCs w:val="1"/>
          <w:color w:val="auto"/>
        </w:rPr>
        <w:t>THE WASHINGTON POST COMPANY</w:t>
      </w:r>
    </w:p>
    <w:p>
      <w:pPr>
        <w:spacing w:after="0" w:line="177"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BASIS OF PRESENTATION AND RECENT ACCOUNTING PRONOUNCEMENTS</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 cable television systems and television broadcasting (through the ownership and operation of six television broadcast stations).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announced on August 5, 2013 that it had entered into an agreement to sell The Washington Post, and some other newspaper publishin entities. On October 1, 2013, the Company completed such sale. The operating results of The Washington Post and publishing businesses sold have presented in (loss) income from discontinued operations, net of tax, for all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Periods </w:t>
      </w:r>
      <w:r>
        <w:rPr>
          <w:rFonts w:ascii="Arial" w:cs="Arial" w:eastAsia="Arial" w:hAnsi="Arial"/>
          <w:sz w:val="17"/>
          <w:szCs w:val="17"/>
          <w:color w:val="auto"/>
        </w:rPr>
        <w:t>– The Company and its subsidiaries report on a calendar-quarter basis.</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consolidated financial statements have been prepared in accordance with: (i) generally acce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in the United States of America (GAAP) for interim financial information; (ii) the instructions to Form 10-Q; and (iii) the guidance Rule 10-01 of Regulation S-X under the Securities and Exchange Act of 1934, as amended, for financial statements required to be filed with the Secur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flows as of and for the periods presented herein. The Company’s results of operations for the three and nine months ended September 30, 2013 and 2 may not be indicative of the Company’s future results. These condensed consolidated financial statements are unaudited and should be read in conju with the Company’s audited consolidated financial statements and the notes thereto included in the Company’s Annual Report on Form 10-K for the fis year ended December 31, 2012.</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GAAP.</w:t>
      </w:r>
    </w:p>
    <w:p>
      <w:pPr>
        <w:spacing w:after="0" w:line="176"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 its estimates and assumptions on historical experience and on various other factors that are believed to be reasonable under the circumstances. Due inherent uncertainty involved in making estimates, actual results reported in future periods may be affected by changes in those estimates.</w:t>
      </w:r>
    </w:p>
    <w:p>
      <w:pPr>
        <w:spacing w:after="0" w:line="14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 xml:space="preserve">Assets Held for Sale </w:t>
      </w:r>
      <w:r>
        <w:rPr>
          <w:rFonts w:ascii="Arial" w:cs="Arial" w:eastAsia="Arial" w:hAnsi="Arial"/>
          <w:sz w:val="16"/>
          <w:szCs w:val="16"/>
          <w:color w:val="auto"/>
        </w:rPr>
        <w:t>– An asset or business is classified as held for sale when (i) management commits to a plan to sell the asset or business; (ii) th</w:t>
      </w:r>
      <w:r>
        <w:rPr>
          <w:rFonts w:ascii="Arial" w:cs="Arial" w:eastAsia="Arial" w:hAnsi="Arial"/>
          <w:sz w:val="16"/>
          <w:szCs w:val="16"/>
          <w:b w:val="1"/>
          <w:bCs w:val="1"/>
          <w:color w:val="auto"/>
        </w:rPr>
        <w:t xml:space="preserve"> </w:t>
      </w:r>
      <w:r>
        <w:rPr>
          <w:rFonts w:ascii="Arial" w:cs="Arial" w:eastAsia="Arial" w:hAnsi="Arial"/>
          <w:sz w:val="16"/>
          <w:szCs w:val="16"/>
          <w:color w:val="auto"/>
        </w:rPr>
        <w:t>asset or business is available for immediate sale in its present condition; (iii) the asset or business is actively marketed for sale at a reasonable price; the sale is expected to be completed within one year; and (v) it is unlikely significant changes to the plan will be made or that the plan will be withdraw assets and related liabilities are aggregated and reported separately in the Company’s condensed consolidated balance sheet.</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 In February 2013, the Financial Accounting Standards Board (FASB) issued final</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on the presentation of reclassifications out of other comprehensive income to net income. The amendment requires an entity to provide information about the amounts reclassified out of other comprehensive income by component. In addition, an entity is required to present, either on th of the income statement or in a footnote, significant amounts reclassified out of accumulated other comprehensive income by the respective line items income, only if the amount reclassified is required by GAAP to be reclassified to net income in its entirety in the same reporting period. For other amou that are not required under GAAP to be reclassified in their</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7" w:name="page8"/>
    <w:bookmarkEnd w:id="7"/>
    <w:p>
      <w:pPr>
        <w:spacing w:after="0" w:line="233" w:lineRule="auto"/>
        <w:rPr>
          <w:sz w:val="20"/>
          <w:szCs w:val="20"/>
          <w:color w:val="auto"/>
        </w:rPr>
      </w:pPr>
      <w:r>
        <w:rPr>
          <w:rFonts w:ascii="Arial" w:cs="Arial" w:eastAsia="Arial" w:hAnsi="Arial"/>
          <w:sz w:val="17"/>
          <w:szCs w:val="17"/>
          <w:color w:val="auto"/>
        </w:rPr>
        <w:t>entirety to net income, an entity is required to cross-reference to other disclosures required under GAAP that provide detail about those amounts. This amendment is effective for interim and fiscal years beginning after December 15, 2012. The adoption of the amendment in the first quarter of 2013 is reflected in the Company's Notes to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DISCONTINUED OPERATIONS</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 xml:space="preserve">On August 5, 2013, after approval by the Company’s Board of Directors on the same day, the Company announced that it had entered into a binding l agreement (the Letter Agreement) with Nash Holdings LLC, a Delaware limited liability company (the Purchaser), and Explore Holdings LLC, a Washi limited liability company, as guarantor (the Guarantor), to sell all the issued and outstanding equity securities of each of WP Company LLC, Express Publications Company, LLC, El Tiempo Latino, LLC, Robinson Terminal Warehouse, LLC, Greater Washington Publishing, LLC and Post-Newsweek M LLC (the Publishing Subsidiaries). The Publishing Subsidiaries together conducted most of the Company’s publishing businesses, including publishing </w:t>
      </w:r>
      <w:r>
        <w:rPr>
          <w:rFonts w:ascii="Arial" w:cs="Arial" w:eastAsia="Arial" w:hAnsi="Arial"/>
          <w:sz w:val="16"/>
          <w:szCs w:val="16"/>
          <w:i w:val="1"/>
          <w:iCs w:val="1"/>
          <w:color w:val="auto"/>
        </w:rPr>
        <w:t>Washington Post</w:t>
      </w:r>
      <w:r>
        <w:rPr>
          <w:rFonts w:ascii="Arial" w:cs="Arial" w:eastAsia="Arial" w:hAnsi="Arial"/>
          <w:sz w:val="16"/>
          <w:szCs w:val="16"/>
          <w:color w:val="auto"/>
        </w:rPr>
        <w:t>,</w:t>
      </w:r>
      <w:r>
        <w:rPr>
          <w:rFonts w:ascii="Arial" w:cs="Arial" w:eastAsia="Arial" w:hAnsi="Arial"/>
          <w:sz w:val="16"/>
          <w:szCs w:val="16"/>
          <w:i w:val="1"/>
          <w:iCs w:val="1"/>
          <w:color w:val="auto"/>
        </w:rPr>
        <w:t xml:space="preserve"> Express</w:t>
      </w:r>
      <w:r>
        <w:rPr>
          <w:rFonts w:ascii="Arial" w:cs="Arial" w:eastAsia="Arial" w:hAnsi="Arial"/>
          <w:sz w:val="16"/>
          <w:szCs w:val="16"/>
          <w:color w:val="auto"/>
        </w:rPr>
        <w:t>,</w:t>
      </w:r>
      <w:r>
        <w:rPr>
          <w:rFonts w:ascii="Arial" w:cs="Arial" w:eastAsia="Arial" w:hAnsi="Arial"/>
          <w:sz w:val="16"/>
          <w:szCs w:val="16"/>
          <w:i w:val="1"/>
          <w:iCs w:val="1"/>
          <w:color w:val="auto"/>
        </w:rPr>
        <w:t xml:space="preserve"> The Gazette Newspapers</w:t>
      </w:r>
      <w:r>
        <w:rPr>
          <w:rFonts w:ascii="Arial" w:cs="Arial" w:eastAsia="Arial" w:hAnsi="Arial"/>
          <w:sz w:val="16"/>
          <w:szCs w:val="16"/>
          <w:color w:val="auto"/>
        </w:rPr>
        <w:t>,</w:t>
      </w:r>
      <w:r>
        <w:rPr>
          <w:rFonts w:ascii="Arial" w:cs="Arial" w:eastAsia="Arial" w:hAnsi="Arial"/>
          <w:sz w:val="16"/>
          <w:szCs w:val="16"/>
          <w:i w:val="1"/>
          <w:iCs w:val="1"/>
          <w:color w:val="auto"/>
        </w:rPr>
        <w:t xml:space="preserve"> Southern Maryland Newspapers</w:t>
      </w:r>
      <w:r>
        <w:rPr>
          <w:rFonts w:ascii="Arial" w:cs="Arial" w:eastAsia="Arial" w:hAnsi="Arial"/>
          <w:sz w:val="16"/>
          <w:szCs w:val="16"/>
          <w:color w:val="auto"/>
        </w:rPr>
        <w:t>,</w:t>
      </w:r>
      <w:r>
        <w:rPr>
          <w:rFonts w:ascii="Arial" w:cs="Arial" w:eastAsia="Arial" w:hAnsi="Arial"/>
          <w:sz w:val="16"/>
          <w:szCs w:val="16"/>
          <w:i w:val="1"/>
          <w:iCs w:val="1"/>
          <w:color w:val="auto"/>
        </w:rPr>
        <w:t xml:space="preserve"> Fairfax County Times </w:t>
      </w:r>
      <w:r>
        <w:rPr>
          <w:rFonts w:ascii="Arial" w:cs="Arial" w:eastAsia="Arial" w:hAnsi="Arial"/>
          <w:sz w:val="16"/>
          <w:szCs w:val="16"/>
          <w:color w:val="auto"/>
        </w:rPr>
        <w:t>and</w:t>
      </w:r>
      <w:r>
        <w:rPr>
          <w:rFonts w:ascii="Arial" w:cs="Arial" w:eastAsia="Arial" w:hAnsi="Arial"/>
          <w:sz w:val="16"/>
          <w:szCs w:val="16"/>
          <w:i w:val="1"/>
          <w:iCs w:val="1"/>
          <w:color w:val="auto"/>
        </w:rPr>
        <w:t xml:space="preserve"> El Tiempo Latino </w:t>
      </w:r>
      <w:r>
        <w:rPr>
          <w:rFonts w:ascii="Arial" w:cs="Arial" w:eastAsia="Arial" w:hAnsi="Arial"/>
          <w:sz w:val="16"/>
          <w:szCs w:val="16"/>
          <w:color w:val="auto"/>
        </w:rPr>
        <w:t>and related webs</w:t>
      </w:r>
      <w:r>
        <w:rPr>
          <w:rFonts w:ascii="Arial" w:cs="Arial" w:eastAsia="Arial" w:hAnsi="Arial"/>
          <w:sz w:val="16"/>
          <w:szCs w:val="16"/>
          <w:i w:val="1"/>
          <w:iCs w:val="1"/>
          <w:color w:val="auto"/>
        </w:rPr>
        <w:t xml:space="preserve"> </w:t>
      </w:r>
      <w:r>
        <w:rPr>
          <w:rFonts w:ascii="Arial" w:cs="Arial" w:eastAsia="Arial" w:hAnsi="Arial"/>
          <w:sz w:val="16"/>
          <w:szCs w:val="16"/>
          <w:color w:val="auto"/>
        </w:rPr>
        <w:t>and operating Washington Post Live and Washington Post News Media Services and the Company’s commercial printing and distribution business an paper handling and storage business (collectively, the Publishing Business), subject to satisfying certain conditions.</w:t>
      </w:r>
    </w:p>
    <w:p>
      <w:pPr>
        <w:spacing w:after="0" w:line="17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On October 1, 2013, the Company entered into a Purchase Agreement and completed the sale. Under the terms of the Purchase Agreement, the Purc acquired all the issued and outstanding equity securities of each of the entities that comprise the Publishing Subsidiaries for $250 million, subject to customary adjustment for cash, debt and working capital of the Publishing Subsidiaries at closing. The Purchaser also acquired all other assets of the Company primarily related to the Publishing Business, including all of the Company’s rights in the name “The Washington Post”. The Company will ch its corporate name within 60 days of the October 1 closing. The Company retained its interest in Classified Ventures, LLC, Slate magazine, TheRoot.c and Foreign Policy, as well as the WaPo Labs and SocialCode business and certain real estate, including the headquarters building in downtown Washington, DC and certain land and property in Alexandria, VA. The liabilities under the Retirement Plan for The Washington Post Companies relatin the active employees of the Publishing Business will be transferred to the Purchaser, along with pension assets that have a value equal to the projecte benefit obligation in respect of these active employees plus an additional $50 million. The results of operations of Publishing Subsidiaries for the three nine months ended September 30, 2013 and 2012, are included in the Company’s Condensed Consolidated Statements of Operations as Income (Lo from Discontinued Operations, Net of Tax.</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will not record the gain or the net proceeds on the sale until the fourth quarter of 2013; however, the Company recognized $28.4 million tax impact of $18.3 million) in expenses related to the sale that are included in discontinued operations in the third quarter of 2013. These costs includ net impact of accelerated vesting provisions and forfeitures of restricted stock awards and stock options that were made in contemplation of the sale, certain other transaction-related expenses. Also included in discontinued operations is $22.7 million (after-tax basis of $14.5 million) in early retiremen program expense for the first nine months of 2013 and $7.5 million (after-tax basis of $4.6 million) and $8.5 million (after-tax basis of $5.3 million) for t third quarter and first nine months of 2012, respectively. The historical pension and postretirement benefits expense for retirees has been excluded fro reclassification of the Publishing Subsidiaries’ results to discontinued operations, since the associated assets and liabilities will be retained by the Com Although the Company has retained ownership of certain real estate assets, including the headquarters building in downtown Washington, DC, related operating costs are included in the reclassification of the Publishing Subsidiaries’ results to discontinued operations since the Purchase Agreement inc a lease to the buyer for the real estate assets that provides for recovery of operating costs by the Company.</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corresponding prior period operating results presented in the Company’s Condensed Consolidated Financial Statements and the accompanying no have been reclassified to reflect the discontinued operations presented. The assets and liabilities of the Publishing Subsidiaries have been classified o Company’s condensed consolidated balance sheet as assets and liabilities of discontinued operations as of September 30, 2013. The Company did n reclassify its Statements of Cash Flows or prior Condensed Consolidated Balance Sheets to reflect the discontinued operations.</w:t>
      </w: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8" w:name="page9"/>
    <w:bookmarkEnd w:id="8"/>
    <w:p>
      <w:pPr>
        <w:ind w:right="20"/>
        <w:spacing w:after="0" w:line="235" w:lineRule="auto"/>
        <w:rPr>
          <w:sz w:val="20"/>
          <w:szCs w:val="20"/>
          <w:color w:val="auto"/>
        </w:rPr>
      </w:pPr>
      <w:r>
        <w:rPr>
          <w:rFonts w:ascii="Arial" w:cs="Arial" w:eastAsia="Arial" w:hAnsi="Arial"/>
          <w:sz w:val="17"/>
          <w:szCs w:val="17"/>
          <w:color w:val="auto"/>
        </w:rPr>
        <w:t>The carrying amounts of the major classes of assets and liabilities of the Publishing Subsidiaries included in discontinued operations at September 30 are as follows:</w:t>
      </w:r>
    </w:p>
    <w:p>
      <w:pPr>
        <w:sectPr>
          <w:pgSz w:w="11900" w:h="16838" w:orient="portrait"/>
          <w:cols w:equalWidth="0" w:num="1">
            <w:col w:w="10940"/>
          </w:cols>
          <w:pgMar w:left="820" w:top="585" w:right="1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9532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Accounts receivable, net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Inventories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Other current assets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Current Assets of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Property, plant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Goodwill, net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Prepaid pension cost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Deferred charges and other assets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Noncurrent Assets of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and accrued liabilities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Deferred revenue</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Current Liabilities of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Postretirement benefits other than pensions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Accrued compensation and related benefits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Other liabilities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Noncurrent Liabilities of Discontinued Operations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September 30,</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2"/>
          <w:szCs w:val="12"/>
          <w:b w:val="1"/>
          <w:bCs w:val="1"/>
          <w:color w:val="auto"/>
        </w:rPr>
        <w:t>2013</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458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582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8458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18" w:lineRule="exact"/>
        <w:rPr>
          <w:sz w:val="20"/>
          <w:szCs w:val="20"/>
          <w:color w:val="auto"/>
        </w:rPr>
      </w:pPr>
    </w:p>
    <w:p>
      <w:pPr>
        <w:ind w:left="1240" w:hanging="1232"/>
        <w:spacing w:after="0"/>
        <w:tabs>
          <w:tab w:leader="none" w:pos="124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458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40" w:hanging="1232"/>
        <w:spacing w:after="0"/>
        <w:tabs>
          <w:tab w:leader="none" w:pos="124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1</w:t>
      </w:r>
    </w:p>
    <w:p>
      <w:pPr>
        <w:spacing w:after="0" w:line="38" w:lineRule="exact"/>
        <w:rPr>
          <w:rFonts w:ascii="Arial" w:cs="Arial" w:eastAsia="Arial" w:hAnsi="Arial"/>
          <w:sz w:val="15"/>
          <w:szCs w:val="15"/>
          <w:b w:val="1"/>
          <w:bCs w:val="1"/>
          <w:color w:val="auto"/>
        </w:rPr>
      </w:pPr>
    </w:p>
    <w:p>
      <w:pPr>
        <w:spacing w:after="0"/>
        <w:tabs>
          <w:tab w:leader="none" w:pos="0" w:val="left"/>
        </w:tabs>
        <w:numPr>
          <w:ilvl w:val="0"/>
          <w:numId w:val="8"/>
        </w:numPr>
        <w:rPr>
          <w:rFonts w:ascii="Arial" w:cs="Arial" w:eastAsia="Arial" w:hAnsi="Arial"/>
          <w:sz w:val="15"/>
          <w:szCs w:val="15"/>
          <w:b w:val="1"/>
          <w:bCs w:val="1"/>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458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582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8458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582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8458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458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582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8458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4582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458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582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8458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582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84582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8880" w:space="720"/>
            <w:col w:w="1340"/>
          </w:cols>
          <w:pgMar w:left="820" w:top="585" w:right="139" w:bottom="1440" w:gutter="0" w:footer="0" w:header="0"/>
          <w:type w:val="continuous"/>
        </w:sectPr>
      </w:pPr>
    </w:p>
    <w:p>
      <w:pPr>
        <w:spacing w:after="0" w:line="2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Under the terms of the agreement, the purchaser received most of the assets and liabilities; however, certain land and buildings and other assets and liabilities were retained Company. The results of operations of The Herald for the three and nine months ended September 30, 2013 and 2012, are included in the Company’s Condensed Consolidated Statements of Operations as Income (Loss) from Discontinued Operations, Net of Tax.</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August 2012, the Company completed the sale of Kidum and recorded a pre-tax gain of $3.6 million and an after-tax gain of $10.2 million related to sale in the third quarter of 2012. On July 31, 2012, the Company disposed of its interest in Avenue100 Media Solutions, Inc. and recorded a pre-tax lo $5.7 million related to the disposition. An income tax benefit of $44.5 million was also recorded in the third quarter of 2012 as the Company determine Avenue100 had no value. The income tax benefit was due to the Company’s tax basis in the stock of Avenue100 exceeding its net book value, as a re goodwill and other intangible asset impairment charges recorded in 2008, 2010 and 2011 for which no tax benefit was previously recorded. In April 20 the Company completed the sale of Kaplan EduNeering. Under the terms of the agreement, the purchaser acquired the stock of EduNeering and rece substantially all the assets and liabilities. In the second quarter of 2012, the Company recorded an after-tax gain of $18.5 million related to this sale. In February 2012, Kaplan completed the stock sale of Kaplan Learning Technologies (KLT) and recorded an after-tax loss on the sale of $1.9 million. The Company recorded $23.2 million of income tax benefits in the first quarter of 2012 in connection with the sale of its stock in EduNeering and KLT relate the excess of the outside stock tax basis over the net book value of the net assets disposed. The results of operations of Kidum, Avenue100, EduNeer and KLT, for the three and nine months ended September 30, 2012 are included in the Company’s Condensed Consolidated Statement of Operations Income (Loss) from Discontinued Operations, Net of Tax.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summarized income (loss) from discontinued operations, net of tax,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3"/>
          </w:tcPr>
          <w:p>
            <w:pPr>
              <w:jc w:val="right"/>
              <w:ind w:right="627"/>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Pr>
          <w:p>
            <w:pPr>
              <w:spacing w:after="0"/>
              <w:rPr>
                <w:sz w:val="12"/>
                <w:szCs w:val="12"/>
                <w:color w:val="auto"/>
              </w:rPr>
            </w:pPr>
          </w:p>
        </w:tc>
        <w:tc>
          <w:tcPr>
            <w:tcW w:w="158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Nine Months Ended</w:t>
            </w:r>
          </w:p>
        </w:tc>
      </w:tr>
      <w:tr>
        <w:trPr>
          <w:trHeight w:val="151"/>
        </w:trPr>
        <w:tc>
          <w:tcPr>
            <w:tcW w:w="65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Borders>
              <w:bottom w:val="single" w:sz="8" w:color="auto"/>
            </w:tcBorders>
          </w:tcPr>
          <w:p>
            <w:pPr>
              <w:spacing w:after="0"/>
              <w:rPr>
                <w:sz w:val="13"/>
                <w:szCs w:val="13"/>
                <w:color w:val="auto"/>
              </w:rPr>
            </w:pPr>
          </w:p>
        </w:tc>
      </w:tr>
      <w:tr>
        <w:trPr>
          <w:trHeight w:val="129"/>
        </w:trPr>
        <w:tc>
          <w:tcPr>
            <w:tcW w:w="65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09"/>
              <w:spacing w:after="0" w:line="129"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67"/>
              <w:spacing w:after="0" w:line="129" w:lineRule="exact"/>
              <w:rPr>
                <w:sz w:val="20"/>
                <w:szCs w:val="20"/>
                <w:color w:val="auto"/>
              </w:rPr>
            </w:pPr>
            <w:r>
              <w:rPr>
                <w:rFonts w:ascii="Arial" w:cs="Arial" w:eastAsia="Arial" w:hAnsi="Arial"/>
                <w:sz w:val="12"/>
                <w:szCs w:val="12"/>
                <w:color w:val="auto"/>
              </w:rPr>
              <w:t>2012</w:t>
            </w: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9"/>
              <w:spacing w:after="0" w:line="129" w:lineRule="exact"/>
              <w:rPr>
                <w:sz w:val="20"/>
                <w:szCs w:val="20"/>
                <w:color w:val="auto"/>
              </w:rPr>
            </w:pPr>
            <w:r>
              <w:rPr>
                <w:rFonts w:ascii="Arial" w:cs="Arial" w:eastAsia="Arial" w:hAnsi="Arial"/>
                <w:sz w:val="12"/>
                <w:szCs w:val="12"/>
                <w:b w:val="1"/>
                <w:bCs w:val="1"/>
                <w:color w:val="auto"/>
              </w:rPr>
              <w:t>2013</w:t>
            </w: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9"/>
              </w:rPr>
              <w:t>201</w:t>
            </w: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32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89"/>
              <w:spacing w:after="0" w:line="150" w:lineRule="exact"/>
              <w:rPr>
                <w:sz w:val="20"/>
                <w:szCs w:val="20"/>
                <w:color w:val="auto"/>
              </w:rPr>
            </w:pPr>
            <w:r>
              <w:rPr>
                <w:rFonts w:ascii="Arial" w:cs="Arial" w:eastAsia="Arial" w:hAnsi="Arial"/>
                <w:sz w:val="15"/>
                <w:szCs w:val="15"/>
                <w:b w:val="1"/>
                <w:bCs w:val="1"/>
                <w:color w:val="auto"/>
              </w:rPr>
              <w:t>124,725</w:t>
            </w:r>
          </w:p>
        </w:tc>
        <w:tc>
          <w:tcPr>
            <w:tcW w:w="38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67"/>
              <w:spacing w:after="0" w:line="150" w:lineRule="exact"/>
              <w:rPr>
                <w:sz w:val="20"/>
                <w:szCs w:val="20"/>
                <w:color w:val="auto"/>
              </w:rPr>
            </w:pPr>
            <w:r>
              <w:rPr>
                <w:rFonts w:ascii="Arial" w:cs="Arial" w:eastAsia="Arial" w:hAnsi="Arial"/>
                <w:sz w:val="15"/>
                <w:szCs w:val="15"/>
                <w:color w:val="auto"/>
              </w:rPr>
              <w:t>137,668</w:t>
            </w:r>
          </w:p>
        </w:tc>
        <w:tc>
          <w:tcPr>
            <w:tcW w:w="32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382,705</w:t>
            </w:r>
          </w:p>
        </w:tc>
        <w:tc>
          <w:tcPr>
            <w:tcW w:w="40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260" w:type="dxa"/>
            <w:vAlign w:val="bottom"/>
          </w:tcPr>
          <w:p>
            <w:pPr>
              <w:jc w:val="right"/>
              <w:spacing w:after="0" w:line="150" w:lineRule="exact"/>
              <w:rPr>
                <w:sz w:val="20"/>
                <w:szCs w:val="20"/>
                <w:color w:val="auto"/>
              </w:rPr>
            </w:pPr>
            <w:r>
              <w:rPr>
                <w:rFonts w:ascii="Arial" w:cs="Arial" w:eastAsia="Arial" w:hAnsi="Arial"/>
                <w:sz w:val="15"/>
                <w:szCs w:val="15"/>
                <w:color w:val="auto"/>
              </w:rPr>
              <w:t>4</w:t>
            </w:r>
          </w:p>
        </w:tc>
      </w:tr>
      <w:tr>
        <w:trPr>
          <w:trHeight w:val="190"/>
        </w:trPr>
        <w:tc>
          <w:tcPr>
            <w:tcW w:w="654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b w:val="1"/>
                <w:bCs w:val="1"/>
                <w:color w:val="auto"/>
              </w:rPr>
              <w:t>(165,380)</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(155,701)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(467,434)</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20" w:type="dxa"/>
            <w:vAlign w:val="bottom"/>
          </w:tcPr>
          <w:p>
            <w:pPr>
              <w:spacing w:after="0"/>
              <w:rPr>
                <w:sz w:val="13"/>
                <w:szCs w:val="13"/>
                <w:color w:val="auto"/>
              </w:rPr>
            </w:pPr>
          </w:p>
        </w:tc>
        <w:tc>
          <w:tcPr>
            <w:tcW w:w="940" w:type="dxa"/>
            <w:vAlign w:val="bottom"/>
          </w:tcPr>
          <w:p>
            <w:pPr>
              <w:jc w:val="right"/>
              <w:ind w:right="89"/>
              <w:spacing w:after="0" w:line="150" w:lineRule="exact"/>
              <w:rPr>
                <w:sz w:val="20"/>
                <w:szCs w:val="20"/>
                <w:color w:val="auto"/>
              </w:rPr>
            </w:pPr>
            <w:r>
              <w:rPr>
                <w:rFonts w:ascii="Arial" w:cs="Arial" w:eastAsia="Arial" w:hAnsi="Arial"/>
                <w:sz w:val="15"/>
                <w:szCs w:val="15"/>
                <w:b w:val="1"/>
                <w:bCs w:val="1"/>
                <w:color w:val="auto"/>
              </w:rPr>
              <w:t>(40,655)</w:t>
            </w:r>
          </w:p>
        </w:tc>
        <w:tc>
          <w:tcPr>
            <w:tcW w:w="380" w:type="dxa"/>
            <w:vAlign w:val="bottom"/>
          </w:tcPr>
          <w:p>
            <w:pPr>
              <w:spacing w:after="0"/>
              <w:rPr>
                <w:sz w:val="13"/>
                <w:szCs w:val="13"/>
                <w:color w:val="auto"/>
              </w:rPr>
            </w:pPr>
          </w:p>
        </w:tc>
        <w:tc>
          <w:tcPr>
            <w:tcW w:w="860" w:type="dxa"/>
            <w:vAlign w:val="bottom"/>
          </w:tcPr>
          <w:p>
            <w:pPr>
              <w:jc w:val="right"/>
              <w:ind w:right="67"/>
              <w:spacing w:after="0" w:line="150" w:lineRule="exact"/>
              <w:rPr>
                <w:sz w:val="20"/>
                <w:szCs w:val="20"/>
                <w:color w:val="auto"/>
              </w:rPr>
            </w:pPr>
            <w:r>
              <w:rPr>
                <w:rFonts w:ascii="Arial" w:cs="Arial" w:eastAsia="Arial" w:hAnsi="Arial"/>
                <w:sz w:val="15"/>
                <w:szCs w:val="15"/>
                <w:color w:val="auto"/>
              </w:rPr>
              <w:t>(18,033)</w:t>
            </w:r>
          </w:p>
        </w:tc>
        <w:tc>
          <w:tcPr>
            <w:tcW w:w="320" w:type="dxa"/>
            <w:vAlign w:val="bottom"/>
          </w:tcPr>
          <w:p>
            <w:pPr>
              <w:spacing w:after="0"/>
              <w:rPr>
                <w:sz w:val="13"/>
                <w:szCs w:val="13"/>
                <w:color w:val="auto"/>
              </w:rPr>
            </w:pPr>
          </w:p>
        </w:tc>
        <w:tc>
          <w:tcPr>
            <w:tcW w:w="92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(84,729)</w:t>
            </w:r>
          </w:p>
        </w:tc>
        <w:tc>
          <w:tcPr>
            <w:tcW w:w="400" w:type="dxa"/>
            <w:vAlign w:val="bottom"/>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Arial" w:cs="Arial" w:eastAsia="Arial" w:hAnsi="Arial"/>
                <w:sz w:val="15"/>
                <w:szCs w:val="15"/>
                <w:color w:val="auto"/>
              </w:rPr>
              <w:t>(5</w:t>
            </w:r>
          </w:p>
        </w:tc>
      </w:tr>
      <w:tr>
        <w:trPr>
          <w:trHeight w:val="190"/>
        </w:trPr>
        <w:tc>
          <w:tcPr>
            <w:tcW w:w="6540" w:type="dxa"/>
            <w:vAlign w:val="bottom"/>
          </w:tcPr>
          <w:p>
            <w:pPr>
              <w:spacing w:after="0"/>
              <w:rPr>
                <w:sz w:val="20"/>
                <w:szCs w:val="20"/>
                <w:color w:val="auto"/>
              </w:rPr>
            </w:pPr>
            <w:r>
              <w:rPr>
                <w:rFonts w:ascii="Arial" w:cs="Arial" w:eastAsia="Arial" w:hAnsi="Arial"/>
                <w:sz w:val="15"/>
                <w:szCs w:val="15"/>
                <w:color w:val="auto"/>
              </w:rPr>
              <w:t>Benefit from income taxes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b w:val="1"/>
                <w:bCs w:val="1"/>
                <w:color w:val="auto"/>
              </w:rPr>
              <w:t>(14,783)</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(5,568)</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(30,059)</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Net Loss from Discontinued Operations</w:t>
            </w:r>
          </w:p>
        </w:tc>
        <w:tc>
          <w:tcPr>
            <w:tcW w:w="320" w:type="dxa"/>
            <w:vAlign w:val="bottom"/>
          </w:tcPr>
          <w:p>
            <w:pPr>
              <w:spacing w:after="0"/>
              <w:rPr>
                <w:sz w:val="13"/>
                <w:szCs w:val="13"/>
                <w:color w:val="auto"/>
              </w:rPr>
            </w:pPr>
          </w:p>
        </w:tc>
        <w:tc>
          <w:tcPr>
            <w:tcW w:w="940" w:type="dxa"/>
            <w:vAlign w:val="bottom"/>
          </w:tcPr>
          <w:p>
            <w:pPr>
              <w:jc w:val="right"/>
              <w:ind w:right="89"/>
              <w:spacing w:after="0" w:line="150" w:lineRule="exact"/>
              <w:rPr>
                <w:sz w:val="20"/>
                <w:szCs w:val="20"/>
                <w:color w:val="auto"/>
              </w:rPr>
            </w:pPr>
            <w:r>
              <w:rPr>
                <w:rFonts w:ascii="Arial" w:cs="Arial" w:eastAsia="Arial" w:hAnsi="Arial"/>
                <w:sz w:val="15"/>
                <w:szCs w:val="15"/>
                <w:b w:val="1"/>
                <w:bCs w:val="1"/>
                <w:color w:val="auto"/>
              </w:rPr>
              <w:t>(25,872)</w:t>
            </w:r>
          </w:p>
        </w:tc>
        <w:tc>
          <w:tcPr>
            <w:tcW w:w="380" w:type="dxa"/>
            <w:vAlign w:val="bottom"/>
          </w:tcPr>
          <w:p>
            <w:pPr>
              <w:spacing w:after="0"/>
              <w:rPr>
                <w:sz w:val="13"/>
                <w:szCs w:val="13"/>
                <w:color w:val="auto"/>
              </w:rPr>
            </w:pPr>
          </w:p>
        </w:tc>
        <w:tc>
          <w:tcPr>
            <w:tcW w:w="860" w:type="dxa"/>
            <w:vAlign w:val="bottom"/>
          </w:tcPr>
          <w:p>
            <w:pPr>
              <w:jc w:val="right"/>
              <w:ind w:right="67"/>
              <w:spacing w:after="0" w:line="150" w:lineRule="exact"/>
              <w:rPr>
                <w:sz w:val="20"/>
                <w:szCs w:val="20"/>
                <w:color w:val="auto"/>
              </w:rPr>
            </w:pPr>
            <w:r>
              <w:rPr>
                <w:rFonts w:ascii="Arial" w:cs="Arial" w:eastAsia="Arial" w:hAnsi="Arial"/>
                <w:sz w:val="15"/>
                <w:szCs w:val="15"/>
                <w:color w:val="auto"/>
              </w:rPr>
              <w:t>(12,465)</w:t>
            </w:r>
          </w:p>
        </w:tc>
        <w:tc>
          <w:tcPr>
            <w:tcW w:w="320" w:type="dxa"/>
            <w:vAlign w:val="bottom"/>
          </w:tcPr>
          <w:p>
            <w:pPr>
              <w:spacing w:after="0"/>
              <w:rPr>
                <w:sz w:val="13"/>
                <w:szCs w:val="13"/>
                <w:color w:val="auto"/>
              </w:rPr>
            </w:pPr>
          </w:p>
        </w:tc>
        <w:tc>
          <w:tcPr>
            <w:tcW w:w="92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(54,670)</w:t>
            </w:r>
          </w:p>
        </w:tc>
        <w:tc>
          <w:tcPr>
            <w:tcW w:w="400" w:type="dxa"/>
            <w:vAlign w:val="bottom"/>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(Loss) gain on sales of discontinued operations</w:t>
            </w:r>
          </w:p>
        </w:tc>
        <w:tc>
          <w:tcPr>
            <w:tcW w:w="32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5"/>
                <w:szCs w:val="15"/>
                <w:color w:val="auto"/>
              </w:rPr>
            </w:pPr>
          </w:p>
        </w:tc>
        <w:tc>
          <w:tcPr>
            <w:tcW w:w="860" w:type="dxa"/>
            <w:vAlign w:val="bottom"/>
          </w:tcPr>
          <w:p>
            <w:pPr>
              <w:jc w:val="right"/>
              <w:ind w:right="67"/>
              <w:spacing w:after="0"/>
              <w:rPr>
                <w:sz w:val="20"/>
                <w:szCs w:val="20"/>
                <w:color w:val="auto"/>
              </w:rPr>
            </w:pPr>
            <w:r>
              <w:rPr>
                <w:rFonts w:ascii="Arial" w:cs="Arial" w:eastAsia="Arial" w:hAnsi="Arial"/>
                <w:sz w:val="15"/>
                <w:szCs w:val="15"/>
                <w:color w:val="auto"/>
              </w:rPr>
              <w:t>(2,174)</w:t>
            </w:r>
          </w:p>
        </w:tc>
        <w:tc>
          <w:tcPr>
            <w:tcW w:w="320" w:type="dxa"/>
            <w:vAlign w:val="bottom"/>
          </w:tcPr>
          <w:p>
            <w:pPr>
              <w:spacing w:after="0"/>
              <w:rPr>
                <w:sz w:val="15"/>
                <w:szCs w:val="15"/>
                <w:color w:val="auto"/>
              </w:rPr>
            </w:pPr>
          </w:p>
        </w:tc>
        <w:tc>
          <w:tcPr>
            <w:tcW w:w="920" w:type="dxa"/>
            <w:vAlign w:val="bottom"/>
          </w:tcPr>
          <w:p>
            <w:pPr>
              <w:jc w:val="right"/>
              <w:ind w:right="69"/>
              <w:spacing w:after="0"/>
              <w:rPr>
                <w:sz w:val="20"/>
                <w:szCs w:val="20"/>
                <w:color w:val="auto"/>
              </w:rPr>
            </w:pPr>
            <w:r>
              <w:rPr>
                <w:rFonts w:ascii="Arial" w:cs="Arial" w:eastAsia="Arial" w:hAnsi="Arial"/>
                <w:sz w:val="15"/>
                <w:szCs w:val="15"/>
                <w:b w:val="1"/>
                <w:bCs w:val="1"/>
                <w:color w:val="auto"/>
              </w:rPr>
              <w:t>(70)</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color w:val="auto"/>
              </w:rPr>
              <w:t>Benefit from income taxes on sales of discontinued operations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(52,178)</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(24)</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b w:val="1"/>
                <w:bCs w:val="1"/>
                <w:color w:val="auto"/>
              </w:rPr>
              <w:t>(Loss) Income from Discontinued Operations, Net of Tax</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9"/>
              <w:spacing w:after="0" w:line="167" w:lineRule="exact"/>
              <w:rPr>
                <w:sz w:val="20"/>
                <w:szCs w:val="20"/>
                <w:color w:val="auto"/>
              </w:rPr>
            </w:pPr>
            <w:r>
              <w:rPr>
                <w:rFonts w:ascii="Arial" w:cs="Arial" w:eastAsia="Arial" w:hAnsi="Arial"/>
                <w:sz w:val="15"/>
                <w:szCs w:val="15"/>
                <w:b w:val="1"/>
                <w:bCs w:val="1"/>
                <w:color w:val="auto"/>
              </w:rPr>
              <w:t>(25,872)</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37,539</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(54,716)</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type w:val="continuous"/>
        </w:sectPr>
      </w:pPr>
    </w:p>
    <w:bookmarkStart w:id="9" w:name="page10"/>
    <w:bookmarkEnd w:id="9"/>
    <w:p>
      <w:pPr>
        <w:spacing w:after="0" w:line="235" w:lineRule="auto"/>
        <w:rPr>
          <w:sz w:val="20"/>
          <w:szCs w:val="20"/>
          <w:color w:val="auto"/>
        </w:rPr>
      </w:pPr>
      <w:r>
        <w:rPr>
          <w:rFonts w:ascii="Arial" w:cs="Arial" w:eastAsia="Arial" w:hAnsi="Arial"/>
          <w:sz w:val="17"/>
          <w:szCs w:val="17"/>
          <w:color w:val="auto"/>
        </w:rPr>
        <w:t>The following table summarizes the 2013 quarterly operating results of the Company following the reclassification of the operations discussed above a discontinued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2"/>
                <w:szCs w:val="12"/>
                <w:b w:val="1"/>
                <w:bCs w:val="1"/>
                <w:color w:val="auto"/>
              </w:rPr>
              <w:t>March 31,</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51"/>
        </w:trPr>
        <w:tc>
          <w:tcPr>
            <w:tcW w:w="8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6"/>
              <w:spacing w:after="0"/>
              <w:rPr>
                <w:sz w:val="20"/>
                <w:szCs w:val="20"/>
                <w:color w:val="auto"/>
              </w:rPr>
            </w:pPr>
            <w:r>
              <w:rPr>
                <w:rFonts w:ascii="Arial" w:cs="Arial" w:eastAsia="Arial" w:hAnsi="Arial"/>
                <w:sz w:val="12"/>
                <w:szCs w:val="12"/>
                <w:b w:val="1"/>
                <w:bCs w:val="1"/>
                <w:color w:val="auto"/>
              </w:rPr>
              <w:t>2013</w:t>
            </w: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2013</w:t>
            </w:r>
          </w:p>
        </w:tc>
        <w:tc>
          <w:tcPr>
            <w:tcW w:w="0" w:type="dxa"/>
            <w:vAlign w:val="bottom"/>
          </w:tcPr>
          <w:p>
            <w:pPr>
              <w:spacing w:after="0"/>
              <w:rPr>
                <w:sz w:val="1"/>
                <w:szCs w:val="1"/>
                <w:color w:val="auto"/>
              </w:rPr>
            </w:pPr>
          </w:p>
        </w:tc>
      </w:tr>
      <w:tr>
        <w:trPr>
          <w:trHeight w:val="168"/>
        </w:trPr>
        <w:tc>
          <w:tcPr>
            <w:tcW w:w="836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527,815</w:t>
            </w:r>
          </w:p>
        </w:tc>
        <w:tc>
          <w:tcPr>
            <w:tcW w:w="4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82,994</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Subscriber and circulation</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186,790</w:t>
            </w:r>
          </w:p>
        </w:tc>
        <w:tc>
          <w:tcPr>
            <w:tcW w:w="400" w:type="dxa"/>
            <w:vAlign w:val="bottom"/>
          </w:tcPr>
          <w:p>
            <w:pPr>
              <w:spacing w:after="0"/>
              <w:rPr>
                <w:sz w:val="15"/>
                <w:szCs w:val="15"/>
                <w:color w:val="auto"/>
              </w:rPr>
            </w:pP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2"/>
        </w:trPr>
        <w:tc>
          <w:tcPr>
            <w:tcW w:w="83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39,241</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836,840</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427"/>
              <w:spacing w:after="0" w:line="167" w:lineRule="exact"/>
              <w:rPr>
                <w:sz w:val="20"/>
                <w:szCs w:val="20"/>
                <w:color w:val="auto"/>
              </w:rPr>
            </w:pP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r>
        <w:trPr>
          <w:trHeight w:val="168"/>
        </w:trPr>
        <w:tc>
          <w:tcPr>
            <w:tcW w:w="8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381,965</w:t>
            </w:r>
          </w:p>
        </w:tc>
        <w:tc>
          <w:tcPr>
            <w:tcW w:w="400" w:type="dxa"/>
            <w:vAlign w:val="bottom"/>
          </w:tcPr>
          <w:p>
            <w:pPr>
              <w:spacing w:after="0"/>
              <w:rPr>
                <w:sz w:val="15"/>
                <w:szCs w:val="15"/>
                <w:color w:val="auto"/>
              </w:rPr>
            </w:pP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337,865</w:t>
            </w:r>
          </w:p>
        </w:tc>
        <w:tc>
          <w:tcPr>
            <w:tcW w:w="400" w:type="dxa"/>
            <w:vAlign w:val="bottom"/>
          </w:tcPr>
          <w:p>
            <w:pPr>
              <w:spacing w:after="0"/>
              <w:rPr>
                <w:sz w:val="15"/>
                <w:szCs w:val="15"/>
                <w:color w:val="auto"/>
              </w:rPr>
            </w:pP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59,895</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3,717</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783,442</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427"/>
              <w:spacing w:after="0" w:line="167" w:lineRule="exact"/>
              <w:rPr>
                <w:sz w:val="20"/>
                <w:szCs w:val="20"/>
                <w:color w:val="auto"/>
              </w:rPr>
            </w:pPr>
            <w:r>
              <w:rPr>
                <w:rFonts w:ascii="Arial" w:cs="Arial" w:eastAsia="Arial" w:hAnsi="Arial"/>
                <w:sz w:val="15"/>
                <w:szCs w:val="15"/>
                <w:color w:val="auto"/>
                <w:w w:val="95"/>
              </w:rPr>
              <w:t>7</w:t>
            </w:r>
          </w:p>
        </w:tc>
        <w:tc>
          <w:tcPr>
            <w:tcW w:w="0" w:type="dxa"/>
            <w:vAlign w:val="bottom"/>
          </w:tcPr>
          <w:p>
            <w:pPr>
              <w:spacing w:after="0"/>
              <w:rPr>
                <w:sz w:val="1"/>
                <w:szCs w:val="1"/>
                <w:color w:val="auto"/>
              </w:rPr>
            </w:pPr>
          </w:p>
        </w:tc>
      </w:tr>
      <w:tr>
        <w:trPr>
          <w:trHeight w:val="168"/>
        </w:trPr>
        <w:tc>
          <w:tcPr>
            <w:tcW w:w="8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46"/>
              <w:spacing w:after="0" w:line="168" w:lineRule="exact"/>
              <w:rPr>
                <w:sz w:val="20"/>
                <w:szCs w:val="20"/>
                <w:color w:val="auto"/>
              </w:rPr>
            </w:pPr>
            <w:r>
              <w:rPr>
                <w:rFonts w:ascii="Arial" w:cs="Arial" w:eastAsia="Arial" w:hAnsi="Arial"/>
                <w:sz w:val="15"/>
                <w:szCs w:val="15"/>
                <w:color w:val="auto"/>
              </w:rPr>
              <w:t>53,398</w:t>
            </w:r>
          </w:p>
        </w:tc>
        <w:tc>
          <w:tcPr>
            <w:tcW w:w="400" w:type="dxa"/>
            <w:vAlign w:val="bottom"/>
          </w:tcPr>
          <w:p>
            <w:pPr>
              <w:spacing w:after="0"/>
              <w:rPr>
                <w:sz w:val="14"/>
                <w:szCs w:val="14"/>
                <w:color w:val="auto"/>
              </w:rPr>
            </w:pPr>
          </w:p>
        </w:tc>
        <w:tc>
          <w:tcPr>
            <w:tcW w:w="620" w:type="dxa"/>
            <w:vAlign w:val="bottom"/>
          </w:tcPr>
          <w:p>
            <w:pPr>
              <w:jc w:val="center"/>
              <w:ind w:left="427"/>
              <w:spacing w:after="0" w:line="168" w:lineRule="exact"/>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3,418</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510</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60" w:type="dxa"/>
            <w:vAlign w:val="bottom"/>
          </w:tcPr>
          <w:p>
            <w:pPr>
              <w:spacing w:after="0"/>
              <w:rPr>
                <w:sz w:val="15"/>
                <w:szCs w:val="15"/>
                <w:color w:val="auto"/>
              </w:rPr>
            </w:pP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(8,960)</w:t>
            </w:r>
          </w:p>
        </w:tc>
        <w:tc>
          <w:tcPr>
            <w:tcW w:w="4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836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(4,083)</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427"/>
              <w:spacing w:after="0"/>
              <w:rPr>
                <w:sz w:val="20"/>
                <w:szCs w:val="20"/>
                <w:color w:val="auto"/>
              </w:rPr>
            </w:pPr>
            <w:r>
              <w:rPr>
                <w:rFonts w:ascii="Arial" w:cs="Arial" w:eastAsia="Arial" w:hAnsi="Arial"/>
                <w:sz w:val="15"/>
                <w:szCs w:val="15"/>
                <w:color w:val="auto"/>
                <w:w w:val="89"/>
              </w:rPr>
              <w:t>(1</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260" w:type="dxa"/>
            <w:vAlign w:val="bottom"/>
          </w:tcPr>
          <w:p>
            <w:pPr>
              <w:spacing w:after="0"/>
              <w:rPr>
                <w:sz w:val="13"/>
                <w:szCs w:val="13"/>
                <w:color w:val="auto"/>
              </w:rPr>
            </w:pPr>
          </w:p>
        </w:tc>
        <w:tc>
          <w:tcPr>
            <w:tcW w:w="1300" w:type="dxa"/>
            <w:vAlign w:val="bottom"/>
          </w:tcPr>
          <w:p>
            <w:pPr>
              <w:jc w:val="right"/>
              <w:ind w:right="46"/>
              <w:spacing w:after="0" w:line="150" w:lineRule="exact"/>
              <w:rPr>
                <w:sz w:val="20"/>
                <w:szCs w:val="20"/>
                <w:color w:val="auto"/>
              </w:rPr>
            </w:pPr>
            <w:r>
              <w:rPr>
                <w:rFonts w:ascii="Arial" w:cs="Arial" w:eastAsia="Arial" w:hAnsi="Arial"/>
                <w:sz w:val="15"/>
                <w:szCs w:val="15"/>
                <w:color w:val="auto"/>
              </w:rPr>
              <w:t>44,283</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17,800</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w:t>
            </w:r>
          </w:p>
        </w:tc>
        <w:tc>
          <w:tcPr>
            <w:tcW w:w="260" w:type="dxa"/>
            <w:vAlign w:val="bottom"/>
          </w:tcPr>
          <w:p>
            <w:pPr>
              <w:spacing w:after="0"/>
              <w:rPr>
                <w:sz w:val="13"/>
                <w:szCs w:val="13"/>
                <w:color w:val="auto"/>
              </w:rPr>
            </w:pPr>
          </w:p>
        </w:tc>
        <w:tc>
          <w:tcPr>
            <w:tcW w:w="1300" w:type="dxa"/>
            <w:vAlign w:val="bottom"/>
          </w:tcPr>
          <w:p>
            <w:pPr>
              <w:jc w:val="right"/>
              <w:ind w:right="46"/>
              <w:spacing w:after="0" w:line="150" w:lineRule="exact"/>
              <w:rPr>
                <w:sz w:val="20"/>
                <w:szCs w:val="20"/>
                <w:color w:val="auto"/>
              </w:rPr>
            </w:pPr>
            <w:r>
              <w:rPr>
                <w:rFonts w:ascii="Arial" w:cs="Arial" w:eastAsia="Arial" w:hAnsi="Arial"/>
                <w:sz w:val="15"/>
                <w:szCs w:val="15"/>
                <w:color w:val="auto"/>
              </w:rPr>
              <w:t>26,483</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Loss from Discontinued Operations, Net of Tax</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(21,224)</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13"/>
                <w:szCs w:val="13"/>
                <w:color w:val="auto"/>
              </w:rPr>
            </w:pPr>
          </w:p>
        </w:tc>
        <w:tc>
          <w:tcPr>
            <w:tcW w:w="1300" w:type="dxa"/>
            <w:vAlign w:val="bottom"/>
          </w:tcPr>
          <w:p>
            <w:pPr>
              <w:jc w:val="right"/>
              <w:ind w:right="46"/>
              <w:spacing w:after="0" w:line="150" w:lineRule="exact"/>
              <w:rPr>
                <w:sz w:val="20"/>
                <w:szCs w:val="20"/>
                <w:color w:val="auto"/>
              </w:rPr>
            </w:pPr>
            <w:r>
              <w:rPr>
                <w:rFonts w:ascii="Arial" w:cs="Arial" w:eastAsia="Arial" w:hAnsi="Arial"/>
                <w:sz w:val="15"/>
                <w:szCs w:val="15"/>
                <w:color w:val="auto"/>
              </w:rPr>
              <w:t>5,259</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Net Income Attributable to Noncontrolling Interests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(97)</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Attributable to The Washington Post Company</w:t>
            </w:r>
          </w:p>
        </w:tc>
        <w:tc>
          <w:tcPr>
            <w:tcW w:w="260" w:type="dxa"/>
            <w:vAlign w:val="bottom"/>
          </w:tcPr>
          <w:p>
            <w:pPr>
              <w:spacing w:after="0"/>
              <w:rPr>
                <w:sz w:val="13"/>
                <w:szCs w:val="13"/>
                <w:color w:val="auto"/>
              </w:rPr>
            </w:pPr>
          </w:p>
        </w:tc>
        <w:tc>
          <w:tcPr>
            <w:tcW w:w="1300" w:type="dxa"/>
            <w:vAlign w:val="bottom"/>
          </w:tcPr>
          <w:p>
            <w:pPr>
              <w:jc w:val="right"/>
              <w:ind w:right="46"/>
              <w:spacing w:after="0" w:line="150" w:lineRule="exact"/>
              <w:rPr>
                <w:sz w:val="20"/>
                <w:szCs w:val="20"/>
                <w:color w:val="auto"/>
              </w:rPr>
            </w:pPr>
            <w:r>
              <w:rPr>
                <w:rFonts w:ascii="Arial" w:cs="Arial" w:eastAsia="Arial" w:hAnsi="Arial"/>
                <w:sz w:val="15"/>
                <w:szCs w:val="15"/>
                <w:color w:val="auto"/>
              </w:rPr>
              <w:t>5,162</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(444)</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b w:val="1"/>
                <w:bCs w:val="1"/>
                <w:color w:val="auto"/>
              </w:rPr>
              <w:t>Net Income Attributable to The Washington Post Company Common Stockholders</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4,718</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 Common Stockholders</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25,942</w:t>
            </w:r>
          </w:p>
        </w:tc>
        <w:tc>
          <w:tcPr>
            <w:tcW w:w="4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360" w:type="dxa"/>
            <w:vAlign w:val="bottom"/>
          </w:tcPr>
          <w:p>
            <w:pPr>
              <w:spacing w:after="0"/>
              <w:rPr>
                <w:sz w:val="20"/>
                <w:szCs w:val="20"/>
                <w:color w:val="auto"/>
              </w:rPr>
            </w:pPr>
            <w:r>
              <w:rPr>
                <w:rFonts w:ascii="Arial" w:cs="Arial" w:eastAsia="Arial" w:hAnsi="Arial"/>
                <w:sz w:val="15"/>
                <w:szCs w:val="15"/>
                <w:color w:val="auto"/>
              </w:rPr>
              <w:t>Loss from discontinued operations, net of tax</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(21,224)</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Net income attributable to the Washington Post Company common stockholders</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4,718</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6"/>
              <w:spacing w:after="0"/>
              <w:rPr>
                <w:sz w:val="20"/>
                <w:szCs w:val="20"/>
                <w:color w:val="auto"/>
              </w:rPr>
            </w:pPr>
            <w:r>
              <w:rPr>
                <w:rFonts w:ascii="Arial" w:cs="Arial" w:eastAsia="Arial" w:hAnsi="Arial"/>
                <w:sz w:val="15"/>
                <w:szCs w:val="15"/>
                <w:color w:val="auto"/>
              </w:rPr>
              <w:t>3.50</w:t>
            </w:r>
          </w:p>
        </w:tc>
        <w:tc>
          <w:tcPr>
            <w:tcW w:w="4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360" w:type="dxa"/>
            <w:vAlign w:val="bottom"/>
          </w:tcPr>
          <w:p>
            <w:pPr>
              <w:spacing w:after="0"/>
              <w:rPr>
                <w:sz w:val="20"/>
                <w:szCs w:val="20"/>
                <w:color w:val="auto"/>
              </w:rPr>
            </w:pPr>
            <w:r>
              <w:rPr>
                <w:rFonts w:ascii="Arial" w:cs="Arial" w:eastAsia="Arial" w:hAnsi="Arial"/>
                <w:sz w:val="15"/>
                <w:szCs w:val="15"/>
                <w:color w:val="auto"/>
              </w:rPr>
              <w:t>Basic loss per common share from discontinued operations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(2.86)</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Basic net income per common share</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0.64</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60" w:type="dxa"/>
            <w:vAlign w:val="bottom"/>
            <w:vMerge w:val="continue"/>
          </w:tcPr>
          <w:p>
            <w:pPr>
              <w:spacing w:after="0"/>
              <w:rPr>
                <w:sz w:val="13"/>
                <w:szCs w:val="13"/>
                <w:color w:val="auto"/>
              </w:rPr>
            </w:pPr>
          </w:p>
        </w:tc>
        <w:tc>
          <w:tcPr>
            <w:tcW w:w="260" w:type="dxa"/>
            <w:vAlign w:val="bottom"/>
          </w:tcPr>
          <w:p>
            <w:pPr>
              <w:jc w:val="right"/>
              <w:ind w:right="106"/>
              <w:spacing w:after="0" w:line="153"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6"/>
              <w:spacing w:after="0" w:line="153" w:lineRule="exact"/>
              <w:rPr>
                <w:sz w:val="20"/>
                <w:szCs w:val="20"/>
                <w:color w:val="auto"/>
              </w:rPr>
            </w:pPr>
            <w:r>
              <w:rPr>
                <w:rFonts w:ascii="Arial" w:cs="Arial" w:eastAsia="Arial" w:hAnsi="Arial"/>
                <w:sz w:val="15"/>
                <w:szCs w:val="15"/>
                <w:color w:val="auto"/>
              </w:rPr>
              <w:t>3.50</w:t>
            </w:r>
          </w:p>
        </w:tc>
        <w:tc>
          <w:tcPr>
            <w:tcW w:w="400" w:type="dxa"/>
            <w:vAlign w:val="bottom"/>
          </w:tcPr>
          <w:p>
            <w:pPr>
              <w:jc w:val="right"/>
              <w:ind w:right="106"/>
              <w:spacing w:after="0" w:line="153"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tcPr>
          <w:p>
            <w:pPr>
              <w:spacing w:after="0"/>
              <w:rPr>
                <w:sz w:val="20"/>
                <w:szCs w:val="20"/>
                <w:color w:val="auto"/>
              </w:rPr>
            </w:pPr>
            <w:r>
              <w:rPr>
                <w:rFonts w:ascii="Arial" w:cs="Arial" w:eastAsia="Arial" w:hAnsi="Arial"/>
                <w:sz w:val="15"/>
                <w:szCs w:val="15"/>
                <w:color w:val="auto"/>
              </w:rPr>
              <w:t>Diluted loss per common share from discontinued operations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(2.86)</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0.64</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235" w:lineRule="auto"/>
        <w:rPr>
          <w:sz w:val="20"/>
          <w:szCs w:val="20"/>
          <w:color w:val="auto"/>
        </w:rPr>
      </w:pPr>
      <w:r>
        <w:rPr>
          <w:rFonts w:ascii="Arial" w:cs="Arial" w:eastAsia="Arial" w:hAnsi="Arial"/>
          <w:sz w:val="17"/>
          <w:szCs w:val="17"/>
          <w:color w:val="auto"/>
        </w:rPr>
        <w:t>The following table summarizes the 2012 quarterly operating results of the Company following the reclassification of the operations discussed above a discontinued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446"/>
              <w:spacing w:after="0"/>
              <w:rPr>
                <w:sz w:val="20"/>
                <w:szCs w:val="20"/>
                <w:color w:val="auto"/>
              </w:rPr>
            </w:pPr>
            <w:r>
              <w:rPr>
                <w:rFonts w:ascii="Arial" w:cs="Arial" w:eastAsia="Arial" w:hAnsi="Arial"/>
                <w:sz w:val="12"/>
                <w:szCs w:val="12"/>
                <w:color w:val="auto"/>
              </w:rPr>
              <w:t>March 31,</w:t>
            </w:r>
          </w:p>
        </w:tc>
        <w:tc>
          <w:tcPr>
            <w:tcW w:w="340" w:type="dxa"/>
            <w:vAlign w:val="bottom"/>
          </w:tcPr>
          <w:p>
            <w:pPr>
              <w:spacing w:after="0"/>
              <w:rPr>
                <w:sz w:val="12"/>
                <w:szCs w:val="12"/>
                <w:color w:val="auto"/>
              </w:rPr>
            </w:pPr>
          </w:p>
        </w:tc>
        <w:tc>
          <w:tcPr>
            <w:tcW w:w="1140" w:type="dxa"/>
            <w:vAlign w:val="bottom"/>
          </w:tcPr>
          <w:p>
            <w:pPr>
              <w:jc w:val="right"/>
              <w:ind w:right="486"/>
              <w:spacing w:after="0"/>
              <w:rPr>
                <w:sz w:val="20"/>
                <w:szCs w:val="20"/>
                <w:color w:val="auto"/>
              </w:rPr>
            </w:pPr>
            <w:r>
              <w:rPr>
                <w:rFonts w:ascii="Arial" w:cs="Arial" w:eastAsia="Arial" w:hAnsi="Arial"/>
                <w:sz w:val="12"/>
                <w:szCs w:val="12"/>
                <w:color w:val="auto"/>
              </w:rPr>
              <w:t>June 30,</w:t>
            </w:r>
          </w:p>
        </w:tc>
        <w:tc>
          <w:tcPr>
            <w:tcW w:w="260" w:type="dxa"/>
            <w:vAlign w:val="bottom"/>
          </w:tcPr>
          <w:p>
            <w:pPr>
              <w:spacing w:after="0"/>
              <w:rPr>
                <w:sz w:val="12"/>
                <w:szCs w:val="12"/>
                <w:color w:val="auto"/>
              </w:rPr>
            </w:pPr>
          </w:p>
        </w:tc>
        <w:tc>
          <w:tcPr>
            <w:tcW w:w="1220" w:type="dxa"/>
            <w:vAlign w:val="bottom"/>
          </w:tcPr>
          <w:p>
            <w:pPr>
              <w:jc w:val="right"/>
              <w:ind w:right="306"/>
              <w:spacing w:after="0"/>
              <w:rPr>
                <w:sz w:val="20"/>
                <w:szCs w:val="20"/>
                <w:color w:val="auto"/>
              </w:rPr>
            </w:pPr>
            <w:r>
              <w:rPr>
                <w:rFonts w:ascii="Arial" w:cs="Arial" w:eastAsia="Arial" w:hAnsi="Arial"/>
                <w:sz w:val="12"/>
                <w:szCs w:val="12"/>
                <w:color w:val="auto"/>
              </w:rPr>
              <w:t>September 30,</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Decembe</w:t>
            </w:r>
          </w:p>
        </w:tc>
        <w:tc>
          <w:tcPr>
            <w:tcW w:w="0" w:type="dxa"/>
            <w:vAlign w:val="bottom"/>
          </w:tcPr>
          <w:p>
            <w:pPr>
              <w:spacing w:after="0"/>
              <w:rPr>
                <w:sz w:val="1"/>
                <w:szCs w:val="1"/>
                <w:color w:val="auto"/>
              </w:rPr>
            </w:pPr>
          </w:p>
        </w:tc>
      </w:tr>
      <w:tr>
        <w:trPr>
          <w:trHeight w:val="137"/>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2012</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2012</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2012</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546,685</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551,774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551,696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center"/>
              <w:ind w:left="347"/>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82,600</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94,649</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105,855</w:t>
            </w:r>
          </w:p>
        </w:tc>
        <w:tc>
          <w:tcPr>
            <w:tcW w:w="220" w:type="dxa"/>
            <w:vAlign w:val="bottom"/>
          </w:tcPr>
          <w:p>
            <w:pPr>
              <w:spacing w:after="0"/>
              <w:rPr>
                <w:sz w:val="15"/>
                <w:szCs w:val="15"/>
                <w:color w:val="auto"/>
              </w:rPr>
            </w:pPr>
          </w:p>
        </w:tc>
        <w:tc>
          <w:tcPr>
            <w:tcW w:w="540" w:type="dxa"/>
            <w:vAlign w:val="bottom"/>
          </w:tcPr>
          <w:p>
            <w:pPr>
              <w:jc w:val="center"/>
              <w:ind w:left="34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Subscriber and circulation</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178,022</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182,639</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185,326</w:t>
            </w:r>
          </w:p>
        </w:tc>
        <w:tc>
          <w:tcPr>
            <w:tcW w:w="220" w:type="dxa"/>
            <w:vAlign w:val="bottom"/>
          </w:tcPr>
          <w:p>
            <w:pPr>
              <w:spacing w:after="0"/>
              <w:rPr>
                <w:sz w:val="15"/>
                <w:szCs w:val="15"/>
                <w:color w:val="auto"/>
              </w:rPr>
            </w:pPr>
          </w:p>
        </w:tc>
        <w:tc>
          <w:tcPr>
            <w:tcW w:w="540" w:type="dxa"/>
            <w:vAlign w:val="bottom"/>
          </w:tcPr>
          <w:p>
            <w:pPr>
              <w:jc w:val="center"/>
              <w:ind w:left="34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20,305</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25,368</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34,760</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827,612</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854,430</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877,637</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347"/>
              <w:spacing w:after="0" w:line="167" w:lineRule="exact"/>
              <w:rPr>
                <w:sz w:val="20"/>
                <w:szCs w:val="20"/>
                <w:color w:val="auto"/>
              </w:rPr>
            </w:pP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382,106</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387,167</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407,364</w:t>
            </w:r>
          </w:p>
        </w:tc>
        <w:tc>
          <w:tcPr>
            <w:tcW w:w="220" w:type="dxa"/>
            <w:vAlign w:val="bottom"/>
          </w:tcPr>
          <w:p>
            <w:pPr>
              <w:spacing w:after="0"/>
              <w:rPr>
                <w:sz w:val="15"/>
                <w:szCs w:val="15"/>
                <w:color w:val="auto"/>
              </w:rPr>
            </w:pPr>
          </w:p>
        </w:tc>
        <w:tc>
          <w:tcPr>
            <w:tcW w:w="540" w:type="dxa"/>
            <w:vAlign w:val="bottom"/>
          </w:tcPr>
          <w:p>
            <w:pPr>
              <w:jc w:val="center"/>
              <w:ind w:left="347"/>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347,841</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335,054</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314,359</w:t>
            </w:r>
          </w:p>
        </w:tc>
        <w:tc>
          <w:tcPr>
            <w:tcW w:w="220" w:type="dxa"/>
            <w:vAlign w:val="bottom"/>
          </w:tcPr>
          <w:p>
            <w:pPr>
              <w:spacing w:after="0"/>
              <w:rPr>
                <w:sz w:val="15"/>
                <w:szCs w:val="15"/>
                <w:color w:val="auto"/>
              </w:rPr>
            </w:pPr>
          </w:p>
        </w:tc>
        <w:tc>
          <w:tcPr>
            <w:tcW w:w="540" w:type="dxa"/>
            <w:vAlign w:val="bottom"/>
          </w:tcPr>
          <w:p>
            <w:pPr>
              <w:jc w:val="center"/>
              <w:ind w:left="347"/>
              <w:spacing w:after="0"/>
              <w:rPr>
                <w:sz w:val="20"/>
                <w:szCs w:val="20"/>
                <w:color w:val="auto"/>
              </w:rPr>
            </w:pP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56,165</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56,594</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57,588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3,839</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4,407</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5,090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rPr>
                <w:sz w:val="20"/>
                <w:szCs w:val="20"/>
                <w:color w:val="auto"/>
              </w:rPr>
            </w:pPr>
            <w:r>
              <w:rPr>
                <w:rFonts w:ascii="Arial" w:cs="Arial" w:eastAsia="Arial" w:hAnsi="Arial"/>
                <w:sz w:val="15"/>
                <w:szCs w:val="15"/>
                <w:color w:val="auto"/>
              </w:rPr>
              <w:t>Impairment of goodwill and other long-lived assets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34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789,951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783,222</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784,401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347"/>
              <w:spacing w:after="0" w:line="167" w:lineRule="exact"/>
              <w:rPr>
                <w:sz w:val="20"/>
                <w:szCs w:val="20"/>
                <w:color w:val="auto"/>
              </w:rPr>
            </w:pPr>
            <w:r>
              <w:rPr>
                <w:rFonts w:ascii="Arial" w:cs="Arial" w:eastAsia="Arial" w:hAnsi="Arial"/>
                <w:sz w:val="15"/>
                <w:szCs w:val="15"/>
                <w:color w:val="auto"/>
                <w:w w:val="95"/>
              </w:rPr>
              <w:t>9</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66"/>
              <w:spacing w:after="0" w:line="168" w:lineRule="exact"/>
              <w:rPr>
                <w:sz w:val="20"/>
                <w:szCs w:val="20"/>
                <w:color w:val="auto"/>
              </w:rPr>
            </w:pPr>
            <w:r>
              <w:rPr>
                <w:rFonts w:ascii="Arial" w:cs="Arial" w:eastAsia="Arial" w:hAnsi="Arial"/>
                <w:sz w:val="15"/>
                <w:szCs w:val="15"/>
                <w:color w:val="auto"/>
              </w:rPr>
              <w:t>37,661</w:t>
            </w:r>
          </w:p>
        </w:tc>
        <w:tc>
          <w:tcPr>
            <w:tcW w:w="340" w:type="dxa"/>
            <w:vAlign w:val="bottom"/>
          </w:tcPr>
          <w:p>
            <w:pPr>
              <w:spacing w:after="0"/>
              <w:rPr>
                <w:sz w:val="14"/>
                <w:szCs w:val="14"/>
                <w:color w:val="auto"/>
              </w:rPr>
            </w:pPr>
          </w:p>
        </w:tc>
        <w:tc>
          <w:tcPr>
            <w:tcW w:w="1140" w:type="dxa"/>
            <w:vAlign w:val="bottom"/>
          </w:tcPr>
          <w:p>
            <w:pPr>
              <w:jc w:val="right"/>
              <w:ind w:right="86"/>
              <w:spacing w:after="0" w:line="168" w:lineRule="exact"/>
              <w:rPr>
                <w:sz w:val="20"/>
                <w:szCs w:val="20"/>
                <w:color w:val="auto"/>
              </w:rPr>
            </w:pPr>
            <w:r>
              <w:rPr>
                <w:rFonts w:ascii="Arial" w:cs="Arial" w:eastAsia="Arial" w:hAnsi="Arial"/>
                <w:sz w:val="15"/>
                <w:szCs w:val="15"/>
                <w:color w:val="auto"/>
              </w:rPr>
              <w:t>71,208</w:t>
            </w:r>
          </w:p>
        </w:tc>
        <w:tc>
          <w:tcPr>
            <w:tcW w:w="260" w:type="dxa"/>
            <w:vAlign w:val="bottom"/>
          </w:tcPr>
          <w:p>
            <w:pPr>
              <w:spacing w:after="0"/>
              <w:rPr>
                <w:sz w:val="14"/>
                <w:szCs w:val="14"/>
                <w:color w:val="auto"/>
              </w:rPr>
            </w:pPr>
          </w:p>
        </w:tc>
        <w:tc>
          <w:tcPr>
            <w:tcW w:w="1220" w:type="dxa"/>
            <w:vAlign w:val="bottom"/>
          </w:tcPr>
          <w:p>
            <w:pPr>
              <w:jc w:val="right"/>
              <w:ind w:right="86"/>
              <w:spacing w:after="0" w:line="168" w:lineRule="exact"/>
              <w:rPr>
                <w:sz w:val="20"/>
                <w:szCs w:val="20"/>
                <w:color w:val="auto"/>
              </w:rPr>
            </w:pPr>
            <w:r>
              <w:rPr>
                <w:rFonts w:ascii="Arial" w:cs="Arial" w:eastAsia="Arial" w:hAnsi="Arial"/>
                <w:sz w:val="15"/>
                <w:szCs w:val="15"/>
                <w:color w:val="auto"/>
              </w:rPr>
              <w:t>93,236</w:t>
            </w:r>
          </w:p>
        </w:tc>
        <w:tc>
          <w:tcPr>
            <w:tcW w:w="220" w:type="dxa"/>
            <w:vAlign w:val="bottom"/>
          </w:tcPr>
          <w:p>
            <w:pPr>
              <w:spacing w:after="0"/>
              <w:rPr>
                <w:sz w:val="14"/>
                <w:szCs w:val="14"/>
                <w:color w:val="auto"/>
              </w:rPr>
            </w:pPr>
          </w:p>
        </w:tc>
        <w:tc>
          <w:tcPr>
            <w:tcW w:w="540" w:type="dxa"/>
            <w:vAlign w:val="bottom"/>
          </w:tcPr>
          <w:p>
            <w:pPr>
              <w:jc w:val="center"/>
              <w:ind w:left="347"/>
              <w:spacing w:after="0" w:line="168" w:lineRule="exact"/>
              <w:rPr>
                <w:sz w:val="20"/>
                <w:szCs w:val="20"/>
                <w:color w:val="auto"/>
              </w:rPr>
            </w:pPr>
            <w:r>
              <w:rPr>
                <w:rFonts w:ascii="Arial" w:cs="Arial" w:eastAsia="Arial" w:hAnsi="Arial"/>
                <w:sz w:val="15"/>
                <w:szCs w:val="15"/>
                <w:color w:val="auto"/>
                <w:w w:val="89"/>
              </w:rPr>
              <w:t>(2</w:t>
            </w: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3,888</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3,314</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4,099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1,069</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775</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648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(9,163)</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(8,979)</w:t>
            </w:r>
          </w:p>
        </w:tc>
        <w:tc>
          <w:tcPr>
            <w:tcW w:w="260" w:type="dxa"/>
            <w:vAlign w:val="bottom"/>
          </w:tcPr>
          <w:p>
            <w:pPr>
              <w:spacing w:after="0"/>
              <w:rPr>
                <w:sz w:val="15"/>
                <w:szCs w:val="15"/>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(8,738)</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8,588</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(635)</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4,163</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347"/>
              <w:spacing w:after="0"/>
              <w:rPr>
                <w:sz w:val="20"/>
                <w:szCs w:val="20"/>
                <w:color w:val="auto"/>
              </w:rPr>
            </w:pPr>
            <w:r>
              <w:rPr>
                <w:rFonts w:ascii="Arial" w:cs="Arial" w:eastAsia="Arial" w:hAnsi="Arial"/>
                <w:sz w:val="15"/>
                <w:szCs w:val="15"/>
                <w:color w:val="auto"/>
                <w:w w:val="89"/>
              </w:rPr>
              <w:t>(1</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(Loss) from Continuing Operations before Income Taxes</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42,043</w:t>
            </w:r>
          </w:p>
        </w:tc>
        <w:tc>
          <w:tcPr>
            <w:tcW w:w="340" w:type="dxa"/>
            <w:vAlign w:val="bottom"/>
          </w:tcPr>
          <w:p>
            <w:pPr>
              <w:spacing w:after="0"/>
              <w:rPr>
                <w:sz w:val="13"/>
                <w:szCs w:val="13"/>
                <w:color w:val="auto"/>
              </w:rPr>
            </w:pPr>
          </w:p>
        </w:tc>
        <w:tc>
          <w:tcPr>
            <w:tcW w:w="1140" w:type="dxa"/>
            <w:vAlign w:val="bottom"/>
          </w:tcPr>
          <w:p>
            <w:pPr>
              <w:jc w:val="right"/>
              <w:ind w:right="86"/>
              <w:spacing w:after="0" w:line="150" w:lineRule="exact"/>
              <w:rPr>
                <w:sz w:val="20"/>
                <w:szCs w:val="20"/>
                <w:color w:val="auto"/>
              </w:rPr>
            </w:pPr>
            <w:r>
              <w:rPr>
                <w:rFonts w:ascii="Arial" w:cs="Arial" w:eastAsia="Arial" w:hAnsi="Arial"/>
                <w:sz w:val="15"/>
                <w:szCs w:val="15"/>
                <w:color w:val="auto"/>
              </w:rPr>
              <w:t>65,683</w:t>
            </w:r>
          </w:p>
        </w:tc>
        <w:tc>
          <w:tcPr>
            <w:tcW w:w="260" w:type="dxa"/>
            <w:vAlign w:val="bottom"/>
          </w:tcPr>
          <w:p>
            <w:pPr>
              <w:spacing w:after="0"/>
              <w:rPr>
                <w:sz w:val="13"/>
                <w:szCs w:val="13"/>
                <w:color w:val="auto"/>
              </w:rPr>
            </w:pPr>
          </w:p>
        </w:tc>
        <w:tc>
          <w:tcPr>
            <w:tcW w:w="12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93,408</w:t>
            </w:r>
          </w:p>
        </w:tc>
        <w:tc>
          <w:tcPr>
            <w:tcW w:w="220" w:type="dxa"/>
            <w:vAlign w:val="bottom"/>
          </w:tcPr>
          <w:p>
            <w:pPr>
              <w:spacing w:after="0"/>
              <w:rPr>
                <w:sz w:val="13"/>
                <w:szCs w:val="13"/>
                <w:color w:val="auto"/>
              </w:rPr>
            </w:pPr>
          </w:p>
        </w:tc>
        <w:tc>
          <w:tcPr>
            <w:tcW w:w="540" w:type="dxa"/>
            <w:vAlign w:val="bottom"/>
          </w:tcPr>
          <w:p>
            <w:pPr>
              <w:jc w:val="center"/>
              <w:ind w:left="347"/>
              <w:spacing w:after="0" w:line="150" w:lineRule="exact"/>
              <w:rPr>
                <w:sz w:val="20"/>
                <w:szCs w:val="20"/>
                <w:color w:val="auto"/>
              </w:rPr>
            </w:pP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17,200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23,900</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37,000</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(Loss) from Continuing Operations</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24,843</w:t>
            </w:r>
          </w:p>
        </w:tc>
        <w:tc>
          <w:tcPr>
            <w:tcW w:w="340" w:type="dxa"/>
            <w:vAlign w:val="bottom"/>
          </w:tcPr>
          <w:p>
            <w:pPr>
              <w:spacing w:after="0"/>
              <w:rPr>
                <w:sz w:val="13"/>
                <w:szCs w:val="13"/>
                <w:color w:val="auto"/>
              </w:rPr>
            </w:pPr>
          </w:p>
        </w:tc>
        <w:tc>
          <w:tcPr>
            <w:tcW w:w="1140" w:type="dxa"/>
            <w:vAlign w:val="bottom"/>
          </w:tcPr>
          <w:p>
            <w:pPr>
              <w:jc w:val="right"/>
              <w:ind w:right="86"/>
              <w:spacing w:after="0" w:line="150" w:lineRule="exact"/>
              <w:rPr>
                <w:sz w:val="20"/>
                <w:szCs w:val="20"/>
                <w:color w:val="auto"/>
              </w:rPr>
            </w:pPr>
            <w:r>
              <w:rPr>
                <w:rFonts w:ascii="Arial" w:cs="Arial" w:eastAsia="Arial" w:hAnsi="Arial"/>
                <w:sz w:val="15"/>
                <w:szCs w:val="15"/>
                <w:color w:val="auto"/>
              </w:rPr>
              <w:t>41,783</w:t>
            </w:r>
          </w:p>
        </w:tc>
        <w:tc>
          <w:tcPr>
            <w:tcW w:w="260" w:type="dxa"/>
            <w:vAlign w:val="bottom"/>
          </w:tcPr>
          <w:p>
            <w:pPr>
              <w:spacing w:after="0"/>
              <w:rPr>
                <w:sz w:val="13"/>
                <w:szCs w:val="13"/>
                <w:color w:val="auto"/>
              </w:rPr>
            </w:pPr>
          </w:p>
        </w:tc>
        <w:tc>
          <w:tcPr>
            <w:tcW w:w="12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56,408</w:t>
            </w:r>
          </w:p>
        </w:tc>
        <w:tc>
          <w:tcPr>
            <w:tcW w:w="220" w:type="dxa"/>
            <w:vAlign w:val="bottom"/>
          </w:tcPr>
          <w:p>
            <w:pPr>
              <w:spacing w:after="0"/>
              <w:rPr>
                <w:sz w:val="13"/>
                <w:szCs w:val="13"/>
                <w:color w:val="auto"/>
              </w:rPr>
            </w:pPr>
          </w:p>
        </w:tc>
        <w:tc>
          <w:tcPr>
            <w:tcW w:w="540" w:type="dxa"/>
            <w:vAlign w:val="bottom"/>
          </w:tcPr>
          <w:p>
            <w:pPr>
              <w:jc w:val="center"/>
              <w:ind w:left="347"/>
              <w:spacing w:after="0" w:line="150" w:lineRule="exact"/>
              <w:rPr>
                <w:sz w:val="20"/>
                <w:szCs w:val="20"/>
                <w:color w:val="auto"/>
              </w:rPr>
            </w:pPr>
            <w:r>
              <w:rPr>
                <w:rFonts w:ascii="Arial" w:cs="Arial" w:eastAsia="Arial" w:hAnsi="Arial"/>
                <w:sz w:val="15"/>
                <w:szCs w:val="15"/>
                <w:color w:val="auto"/>
                <w:w w:val="89"/>
              </w:rPr>
              <w:t>(5</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Income from Discontinued Operations, Net of Tax</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6,725</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10,264</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37,539</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31,568</w:t>
            </w:r>
          </w:p>
        </w:tc>
        <w:tc>
          <w:tcPr>
            <w:tcW w:w="340" w:type="dxa"/>
            <w:vAlign w:val="bottom"/>
          </w:tcPr>
          <w:p>
            <w:pPr>
              <w:spacing w:after="0"/>
              <w:rPr>
                <w:sz w:val="13"/>
                <w:szCs w:val="13"/>
                <w:color w:val="auto"/>
              </w:rPr>
            </w:pPr>
          </w:p>
        </w:tc>
        <w:tc>
          <w:tcPr>
            <w:tcW w:w="1140" w:type="dxa"/>
            <w:vAlign w:val="bottom"/>
          </w:tcPr>
          <w:p>
            <w:pPr>
              <w:jc w:val="right"/>
              <w:ind w:right="86"/>
              <w:spacing w:after="0" w:line="150" w:lineRule="exact"/>
              <w:rPr>
                <w:sz w:val="20"/>
                <w:szCs w:val="20"/>
                <w:color w:val="auto"/>
              </w:rPr>
            </w:pPr>
            <w:r>
              <w:rPr>
                <w:rFonts w:ascii="Arial" w:cs="Arial" w:eastAsia="Arial" w:hAnsi="Arial"/>
                <w:sz w:val="15"/>
                <w:szCs w:val="15"/>
                <w:color w:val="auto"/>
              </w:rPr>
              <w:t>52,047</w:t>
            </w:r>
          </w:p>
        </w:tc>
        <w:tc>
          <w:tcPr>
            <w:tcW w:w="260" w:type="dxa"/>
            <w:vAlign w:val="bottom"/>
          </w:tcPr>
          <w:p>
            <w:pPr>
              <w:spacing w:after="0"/>
              <w:rPr>
                <w:sz w:val="13"/>
                <w:szCs w:val="13"/>
                <w:color w:val="auto"/>
              </w:rPr>
            </w:pPr>
          </w:p>
        </w:tc>
        <w:tc>
          <w:tcPr>
            <w:tcW w:w="12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93,947</w:t>
            </w:r>
          </w:p>
        </w:tc>
        <w:tc>
          <w:tcPr>
            <w:tcW w:w="220" w:type="dxa"/>
            <w:vAlign w:val="bottom"/>
          </w:tcPr>
          <w:p>
            <w:pPr>
              <w:spacing w:after="0"/>
              <w:rPr>
                <w:sz w:val="13"/>
                <w:szCs w:val="13"/>
                <w:color w:val="auto"/>
              </w:rPr>
            </w:pPr>
          </w:p>
        </w:tc>
        <w:tc>
          <w:tcPr>
            <w:tcW w:w="540" w:type="dxa"/>
            <w:vAlign w:val="bottom"/>
          </w:tcPr>
          <w:p>
            <w:pPr>
              <w:jc w:val="center"/>
              <w:ind w:left="347"/>
              <w:spacing w:after="0" w:line="150" w:lineRule="exact"/>
              <w:rPr>
                <w:sz w:val="20"/>
                <w:szCs w:val="20"/>
                <w:color w:val="auto"/>
              </w:rPr>
            </w:pP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(70)</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71</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31,498</w:t>
            </w:r>
          </w:p>
        </w:tc>
        <w:tc>
          <w:tcPr>
            <w:tcW w:w="340" w:type="dxa"/>
            <w:vAlign w:val="bottom"/>
          </w:tcPr>
          <w:p>
            <w:pPr>
              <w:spacing w:after="0"/>
              <w:rPr>
                <w:sz w:val="13"/>
                <w:szCs w:val="13"/>
                <w:color w:val="auto"/>
              </w:rPr>
            </w:pPr>
          </w:p>
        </w:tc>
        <w:tc>
          <w:tcPr>
            <w:tcW w:w="1140" w:type="dxa"/>
            <w:vAlign w:val="bottom"/>
          </w:tcPr>
          <w:p>
            <w:pPr>
              <w:jc w:val="right"/>
              <w:ind w:right="86"/>
              <w:spacing w:after="0" w:line="150" w:lineRule="exact"/>
              <w:rPr>
                <w:sz w:val="20"/>
                <w:szCs w:val="20"/>
                <w:color w:val="auto"/>
              </w:rPr>
            </w:pPr>
            <w:r>
              <w:rPr>
                <w:rFonts w:ascii="Arial" w:cs="Arial" w:eastAsia="Arial" w:hAnsi="Arial"/>
                <w:sz w:val="15"/>
                <w:szCs w:val="15"/>
                <w:color w:val="auto"/>
              </w:rPr>
              <w:t>52,036</w:t>
            </w:r>
          </w:p>
        </w:tc>
        <w:tc>
          <w:tcPr>
            <w:tcW w:w="260" w:type="dxa"/>
            <w:vAlign w:val="bottom"/>
          </w:tcPr>
          <w:p>
            <w:pPr>
              <w:spacing w:after="0"/>
              <w:rPr>
                <w:sz w:val="13"/>
                <w:szCs w:val="13"/>
                <w:color w:val="auto"/>
              </w:rPr>
            </w:pPr>
          </w:p>
        </w:tc>
        <w:tc>
          <w:tcPr>
            <w:tcW w:w="12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94,018</w:t>
            </w:r>
          </w:p>
        </w:tc>
        <w:tc>
          <w:tcPr>
            <w:tcW w:w="220" w:type="dxa"/>
            <w:vAlign w:val="bottom"/>
          </w:tcPr>
          <w:p>
            <w:pPr>
              <w:spacing w:after="0"/>
              <w:rPr>
                <w:sz w:val="13"/>
                <w:szCs w:val="13"/>
                <w:color w:val="auto"/>
              </w:rPr>
            </w:pPr>
          </w:p>
        </w:tc>
        <w:tc>
          <w:tcPr>
            <w:tcW w:w="540" w:type="dxa"/>
            <w:vAlign w:val="bottom"/>
          </w:tcPr>
          <w:p>
            <w:pPr>
              <w:jc w:val="center"/>
              <w:ind w:left="347"/>
              <w:spacing w:after="0" w:line="150" w:lineRule="exact"/>
              <w:rPr>
                <w:sz w:val="20"/>
                <w:szCs w:val="20"/>
                <w:color w:val="auto"/>
              </w:rPr>
            </w:pP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(451)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(222)</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(222)</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31,047</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51,814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93,796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center"/>
              <w:ind w:left="347"/>
              <w:spacing w:after="0"/>
              <w:rPr>
                <w:sz w:val="20"/>
                <w:szCs w:val="20"/>
                <w:color w:val="auto"/>
              </w:rPr>
            </w:pP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Income (loss) from continuing operations</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24,322</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41,550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56,257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center"/>
              <w:ind w:left="347"/>
              <w:spacing w:after="0"/>
              <w:rPr>
                <w:sz w:val="20"/>
                <w:szCs w:val="20"/>
                <w:color w:val="auto"/>
              </w:rPr>
            </w:pPr>
            <w:r>
              <w:rPr>
                <w:rFonts w:ascii="Arial" w:cs="Arial" w:eastAsia="Arial" w:hAnsi="Arial"/>
                <w:sz w:val="15"/>
                <w:szCs w:val="15"/>
                <w:color w:val="auto"/>
                <w:w w:val="89"/>
              </w:rPr>
              <w:t>(5</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Income from discontinued operations, net of tax</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6,725</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10,264</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37,539</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Arial" w:cs="Arial" w:eastAsia="Arial" w:hAnsi="Arial"/>
                <w:sz w:val="15"/>
                <w:szCs w:val="15"/>
                <w:color w:val="auto"/>
              </w:rPr>
              <w:t>Net income (loss) attributable to the Washington Post</w:t>
            </w: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6"/>
              <w:spacing w:after="0"/>
              <w:rPr>
                <w:sz w:val="20"/>
                <w:szCs w:val="20"/>
                <w:color w:val="auto"/>
              </w:rPr>
            </w:pPr>
            <w:r>
              <w:rPr>
                <w:rFonts w:ascii="Arial" w:cs="Arial" w:eastAsia="Arial" w:hAnsi="Arial"/>
                <w:sz w:val="15"/>
                <w:szCs w:val="15"/>
                <w:color w:val="auto"/>
              </w:rPr>
              <w:t>31,047</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86"/>
              <w:spacing w:after="0"/>
              <w:rPr>
                <w:sz w:val="20"/>
                <w:szCs w:val="20"/>
                <w:color w:val="auto"/>
              </w:rPr>
            </w:pPr>
            <w:r>
              <w:rPr>
                <w:rFonts w:ascii="Arial" w:cs="Arial" w:eastAsia="Arial" w:hAnsi="Arial"/>
                <w:sz w:val="15"/>
                <w:szCs w:val="15"/>
                <w:color w:val="auto"/>
              </w:rPr>
              <w:t>51,814</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20" w:type="dxa"/>
            <w:vAlign w:val="bottom"/>
            <w:vMerge w:val="restart"/>
          </w:tcPr>
          <w:p>
            <w:pPr>
              <w:jc w:val="right"/>
              <w:ind w:right="86"/>
              <w:spacing w:after="0"/>
              <w:rPr>
                <w:sz w:val="20"/>
                <w:szCs w:val="20"/>
                <w:color w:val="auto"/>
              </w:rPr>
            </w:pPr>
            <w:r>
              <w:rPr>
                <w:rFonts w:ascii="Arial" w:cs="Arial" w:eastAsia="Arial" w:hAnsi="Arial"/>
                <w:sz w:val="15"/>
                <w:szCs w:val="15"/>
                <w:color w:val="auto"/>
              </w:rPr>
              <w:t>93,796</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center"/>
              <w:ind w:left="347"/>
              <w:spacing w:after="0"/>
              <w:rPr>
                <w:sz w:val="20"/>
                <w:szCs w:val="20"/>
                <w:color w:val="auto"/>
              </w:rPr>
            </w:pP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172"/>
        </w:trPr>
        <w:tc>
          <w:tcPr>
            <w:tcW w:w="5740" w:type="dxa"/>
            <w:vAlign w:val="bottom"/>
          </w:tcPr>
          <w:p>
            <w:pPr>
              <w:ind w:left="220"/>
              <w:spacing w:after="0" w:line="167" w:lineRule="exact"/>
              <w:rPr>
                <w:sz w:val="20"/>
                <w:szCs w:val="20"/>
                <w:color w:val="auto"/>
              </w:rPr>
            </w:pPr>
            <w:r>
              <w:rPr>
                <w:rFonts w:ascii="Arial" w:cs="Arial" w:eastAsia="Arial" w:hAnsi="Arial"/>
                <w:sz w:val="15"/>
                <w:szCs w:val="15"/>
                <w:color w:val="auto"/>
              </w:rPr>
              <w:t>Company common stockholders</w:t>
            </w:r>
          </w:p>
        </w:tc>
        <w:tc>
          <w:tcPr>
            <w:tcW w:w="3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20"/>
              <w:spacing w:after="0"/>
              <w:rPr>
                <w:sz w:val="20"/>
                <w:szCs w:val="20"/>
                <w:color w:val="auto"/>
              </w:rPr>
            </w:pPr>
            <w:r>
              <w:rPr>
                <w:rFonts w:ascii="Arial" w:cs="Arial" w:eastAsia="Arial" w:hAnsi="Arial"/>
                <w:sz w:val="15"/>
                <w:szCs w:val="15"/>
                <w:b w:val="1"/>
                <w:bCs w:val="1"/>
                <w:color w:val="auto"/>
              </w:rPr>
              <w:t>Company Common Stockholders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Basic income (loss) per common share from continuing operations</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3.17</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5.48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7.58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Basic income per common share from discontinued operations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0.90</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1.36</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5.06</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Basic net income (loss) per common share</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4.07</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6.84</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12.64</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Diluted income (loss) per common share from continuing operations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320" w:type="dxa"/>
            <w:vAlign w:val="bottom"/>
          </w:tcPr>
          <w:p>
            <w:pPr>
              <w:jc w:val="right"/>
              <w:ind w:right="6"/>
              <w:spacing w:after="0" w:line="153"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line="153" w:lineRule="exact"/>
              <w:rPr>
                <w:sz w:val="20"/>
                <w:szCs w:val="20"/>
                <w:color w:val="auto"/>
              </w:rPr>
            </w:pPr>
            <w:r>
              <w:rPr>
                <w:rFonts w:ascii="Arial" w:cs="Arial" w:eastAsia="Arial" w:hAnsi="Arial"/>
                <w:sz w:val="15"/>
                <w:szCs w:val="15"/>
                <w:color w:val="auto"/>
              </w:rPr>
              <w:t>3.17</w:t>
            </w:r>
          </w:p>
        </w:tc>
        <w:tc>
          <w:tcPr>
            <w:tcW w:w="340" w:type="dxa"/>
            <w:vAlign w:val="bottom"/>
          </w:tcPr>
          <w:p>
            <w:pPr>
              <w:jc w:val="right"/>
              <w:ind w:right="46"/>
              <w:spacing w:after="0" w:line="153"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line="153" w:lineRule="exact"/>
              <w:rPr>
                <w:sz w:val="20"/>
                <w:szCs w:val="20"/>
                <w:color w:val="auto"/>
              </w:rPr>
            </w:pPr>
            <w:r>
              <w:rPr>
                <w:rFonts w:ascii="Arial" w:cs="Arial" w:eastAsia="Arial" w:hAnsi="Arial"/>
                <w:sz w:val="15"/>
                <w:szCs w:val="15"/>
                <w:color w:val="auto"/>
              </w:rPr>
              <w:t>5.48</w:t>
            </w:r>
          </w:p>
        </w:tc>
        <w:tc>
          <w:tcPr>
            <w:tcW w:w="26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line="153" w:lineRule="exact"/>
              <w:rPr>
                <w:sz w:val="20"/>
                <w:szCs w:val="20"/>
                <w:color w:val="auto"/>
              </w:rPr>
            </w:pPr>
            <w:r>
              <w:rPr>
                <w:rFonts w:ascii="Arial" w:cs="Arial" w:eastAsia="Arial" w:hAnsi="Arial"/>
                <w:sz w:val="15"/>
                <w:szCs w:val="15"/>
                <w:color w:val="auto"/>
              </w:rPr>
              <w:t>7.58</w:t>
            </w:r>
          </w:p>
        </w:tc>
        <w:tc>
          <w:tcPr>
            <w:tcW w:w="22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Diluted income per common share from discontinued operations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0.90</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1.36</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5.06</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Diluted net income (loss) per common share</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4.07</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6.84</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12.64</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40" w:right="139" w:bottom="1440" w:gutter="0" w:footer="0" w:header="0"/>
        </w:sectPr>
      </w:pPr>
    </w:p>
    <w:bookmarkStart w:id="12" w:name="page13"/>
    <w:bookmarkEnd w:id="12"/>
    <w:p>
      <w:pPr>
        <w:ind w:right="40"/>
        <w:spacing w:after="0" w:line="235" w:lineRule="auto"/>
        <w:rPr>
          <w:sz w:val="20"/>
          <w:szCs w:val="20"/>
          <w:color w:val="auto"/>
        </w:rPr>
      </w:pPr>
      <w:r>
        <w:rPr>
          <w:rFonts w:ascii="Arial" w:cs="Arial" w:eastAsia="Arial" w:hAnsi="Arial"/>
          <w:sz w:val="17"/>
          <w:szCs w:val="17"/>
          <w:color w:val="auto"/>
        </w:rPr>
        <w:t>The following table summarizes the annual operating results of the Company following the reclassification of operations discussed above as discontin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66"/>
              <w:spacing w:after="0"/>
              <w:rPr>
                <w:sz w:val="20"/>
                <w:szCs w:val="20"/>
                <w:color w:val="auto"/>
              </w:rPr>
            </w:pPr>
            <w:r>
              <w:rPr>
                <w:rFonts w:ascii="Arial" w:cs="Arial" w:eastAsia="Arial" w:hAnsi="Arial"/>
                <w:sz w:val="12"/>
                <w:szCs w:val="12"/>
                <w:color w:val="auto"/>
              </w:rPr>
              <w:t>2012</w:t>
            </w: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46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2,196,496</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400,800</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Subscriber and circulation</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732,370</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2"/>
        </w:trPr>
        <w:tc>
          <w:tcPr>
            <w:tcW w:w="8460" w:type="dxa"/>
            <w:vAlign w:val="bottom"/>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125,904</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46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3,455,570</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8"/>
        </w:trPr>
        <w:tc>
          <w:tcPr>
            <w:tcW w:w="8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1,566,257</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1,333,516</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244,078</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20,946</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460" w:type="dxa"/>
            <w:vAlign w:val="bottom"/>
          </w:tcPr>
          <w:p>
            <w:pPr>
              <w:ind w:left="220"/>
              <w:spacing w:after="0"/>
              <w:rPr>
                <w:sz w:val="20"/>
                <w:szCs w:val="20"/>
                <w:color w:val="auto"/>
              </w:rPr>
            </w:pPr>
            <w:r>
              <w:rPr>
                <w:rFonts w:ascii="Arial" w:cs="Arial" w:eastAsia="Arial" w:hAnsi="Arial"/>
                <w:sz w:val="15"/>
                <w:szCs w:val="15"/>
                <w:color w:val="auto"/>
              </w:rPr>
              <w:t>Impairment of goodwill and other long-lived assets</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111,593</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46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3,276,390</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8"/>
        </w:trPr>
        <w:tc>
          <w:tcPr>
            <w:tcW w:w="8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179,180</w:t>
            </w:r>
          </w:p>
        </w:tc>
        <w:tc>
          <w:tcPr>
            <w:tcW w:w="44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14,086</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3,393</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6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(35,944)</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2"/>
        </w:trPr>
        <w:tc>
          <w:tcPr>
            <w:tcW w:w="846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(5,456)</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80" w:type="dxa"/>
            <w:vAlign w:val="bottom"/>
          </w:tcPr>
          <w:p>
            <w:pPr>
              <w:spacing w:after="0"/>
              <w:rPr>
                <w:sz w:val="13"/>
                <w:szCs w:val="13"/>
                <w:color w:val="auto"/>
              </w:rPr>
            </w:pPr>
          </w:p>
        </w:tc>
        <w:tc>
          <w:tcPr>
            <w:tcW w:w="11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155,259</w:t>
            </w:r>
          </w:p>
        </w:tc>
        <w:tc>
          <w:tcPr>
            <w:tcW w:w="44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83,200</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w:t>
            </w:r>
          </w:p>
        </w:tc>
        <w:tc>
          <w:tcPr>
            <w:tcW w:w="380" w:type="dxa"/>
            <w:vAlign w:val="bottom"/>
          </w:tcPr>
          <w:p>
            <w:pPr>
              <w:spacing w:after="0"/>
              <w:rPr>
                <w:sz w:val="13"/>
                <w:szCs w:val="13"/>
                <w:color w:val="auto"/>
              </w:rPr>
            </w:pPr>
          </w:p>
        </w:tc>
        <w:tc>
          <w:tcPr>
            <w:tcW w:w="11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72,059</w:t>
            </w:r>
          </w:p>
        </w:tc>
        <w:tc>
          <w:tcPr>
            <w:tcW w:w="44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b w:val="1"/>
                <w:bCs w:val="1"/>
                <w:color w:val="auto"/>
              </w:rPr>
              <w:t>Income (Loss) from Discontinued Operations, Net of Tax</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60,128</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w:t>
            </w:r>
          </w:p>
        </w:tc>
        <w:tc>
          <w:tcPr>
            <w:tcW w:w="380" w:type="dxa"/>
            <w:vAlign w:val="bottom"/>
          </w:tcPr>
          <w:p>
            <w:pPr>
              <w:spacing w:after="0"/>
              <w:rPr>
                <w:sz w:val="13"/>
                <w:szCs w:val="13"/>
                <w:color w:val="auto"/>
              </w:rPr>
            </w:pPr>
          </w:p>
        </w:tc>
        <w:tc>
          <w:tcPr>
            <w:tcW w:w="11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132,187</w:t>
            </w:r>
          </w:p>
        </w:tc>
        <w:tc>
          <w:tcPr>
            <w:tcW w:w="44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b w:val="1"/>
                <w:bCs w:val="1"/>
                <w:color w:val="auto"/>
              </w:rPr>
              <w:t>Net Income Attributable to Noncontrolling Interests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(74)</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Attributable to The Washington Post Company</w:t>
            </w:r>
          </w:p>
        </w:tc>
        <w:tc>
          <w:tcPr>
            <w:tcW w:w="380" w:type="dxa"/>
            <w:vAlign w:val="bottom"/>
          </w:tcPr>
          <w:p>
            <w:pPr>
              <w:spacing w:after="0"/>
              <w:rPr>
                <w:sz w:val="13"/>
                <w:szCs w:val="13"/>
                <w:color w:val="auto"/>
              </w:rPr>
            </w:pPr>
          </w:p>
        </w:tc>
        <w:tc>
          <w:tcPr>
            <w:tcW w:w="11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132,113</w:t>
            </w:r>
          </w:p>
        </w:tc>
        <w:tc>
          <w:tcPr>
            <w:tcW w:w="44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(895)</w:t>
            </w: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b w:val="1"/>
                <w:bCs w:val="1"/>
                <w:color w:val="auto"/>
              </w:rPr>
              <w:t>Net Income Attributable to The Washington Post Company Common Stockholders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131,218</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 Common Stockholders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71,090</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2"/>
        </w:trPr>
        <w:tc>
          <w:tcPr>
            <w:tcW w:w="8460" w:type="dxa"/>
            <w:vAlign w:val="bottom"/>
          </w:tcPr>
          <w:p>
            <w:pPr>
              <w:spacing w:after="0"/>
              <w:rPr>
                <w:sz w:val="20"/>
                <w:szCs w:val="20"/>
                <w:color w:val="auto"/>
              </w:rPr>
            </w:pPr>
            <w:r>
              <w:rPr>
                <w:rFonts w:ascii="Arial" w:cs="Arial" w:eastAsia="Arial" w:hAnsi="Arial"/>
                <w:sz w:val="15"/>
                <w:szCs w:val="15"/>
                <w:color w:val="auto"/>
              </w:rPr>
              <w:t>Income (loss) from discontinued operations, net of tax</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60,128</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color w:val="auto"/>
              </w:rPr>
              <w:t>Net income attributable to the Washington Post Company common stockholders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131,218</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460" w:type="dxa"/>
            <w:vAlign w:val="bottom"/>
          </w:tcPr>
          <w:p>
            <w:pPr>
              <w:ind w:left="220"/>
              <w:spacing w:after="0"/>
              <w:rPr>
                <w:sz w:val="20"/>
                <w:szCs w:val="20"/>
                <w:color w:val="auto"/>
              </w:rPr>
            </w:pPr>
            <w:r>
              <w:rPr>
                <w:rFonts w:ascii="Arial" w:cs="Arial" w:eastAsia="Arial" w:hAnsi="Arial"/>
                <w:sz w:val="15"/>
                <w:szCs w:val="15"/>
                <w:b w:val="1"/>
                <w:bCs w:val="1"/>
                <w:color w:val="auto"/>
              </w:rPr>
              <w:t>Stockholders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26"/>
              <w:spacing w:after="0"/>
              <w:rPr>
                <w:sz w:val="20"/>
                <w:szCs w:val="20"/>
                <w:color w:val="auto"/>
              </w:rPr>
            </w:pPr>
            <w:r>
              <w:rPr>
                <w:rFonts w:ascii="Arial" w:cs="Arial" w:eastAsia="Arial" w:hAnsi="Arial"/>
                <w:sz w:val="15"/>
                <w:szCs w:val="15"/>
                <w:color w:val="auto"/>
              </w:rPr>
              <w:t>9.22</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460" w:type="dxa"/>
            <w:vAlign w:val="bottom"/>
          </w:tcPr>
          <w:p>
            <w:pPr>
              <w:spacing w:after="0"/>
              <w:rPr>
                <w:sz w:val="20"/>
                <w:szCs w:val="20"/>
                <w:color w:val="auto"/>
              </w:rPr>
            </w:pPr>
            <w:r>
              <w:rPr>
                <w:rFonts w:ascii="Arial" w:cs="Arial" w:eastAsia="Arial" w:hAnsi="Arial"/>
                <w:sz w:val="15"/>
                <w:szCs w:val="15"/>
                <w:color w:val="auto"/>
              </w:rPr>
              <w:t>Basic income (loss) per common share from discontinued operations</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8.17</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color w:val="auto"/>
              </w:rPr>
              <w:t>Basic net income per common share</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17.39</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60" w:type="dxa"/>
            <w:vAlign w:val="bottom"/>
            <w:vMerge w:val="continue"/>
          </w:tcPr>
          <w:p>
            <w:pPr>
              <w:spacing w:after="0"/>
              <w:rPr>
                <w:sz w:val="13"/>
                <w:szCs w:val="13"/>
                <w:color w:val="auto"/>
              </w:rPr>
            </w:pPr>
          </w:p>
        </w:tc>
        <w:tc>
          <w:tcPr>
            <w:tcW w:w="380" w:type="dxa"/>
            <w:vAlign w:val="bottom"/>
          </w:tcPr>
          <w:p>
            <w:pPr>
              <w:jc w:val="right"/>
              <w:ind w:right="66"/>
              <w:spacing w:after="0" w:line="153"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126"/>
              <w:spacing w:after="0" w:line="153" w:lineRule="exact"/>
              <w:rPr>
                <w:sz w:val="20"/>
                <w:szCs w:val="20"/>
                <w:color w:val="auto"/>
              </w:rPr>
            </w:pPr>
            <w:r>
              <w:rPr>
                <w:rFonts w:ascii="Arial" w:cs="Arial" w:eastAsia="Arial" w:hAnsi="Arial"/>
                <w:sz w:val="15"/>
                <w:szCs w:val="15"/>
                <w:color w:val="auto"/>
              </w:rPr>
              <w:t>9.22</w:t>
            </w:r>
          </w:p>
        </w:tc>
        <w:tc>
          <w:tcPr>
            <w:tcW w:w="440" w:type="dxa"/>
            <w:vAlign w:val="bottom"/>
          </w:tcPr>
          <w:p>
            <w:pPr>
              <w:jc w:val="right"/>
              <w:ind w:right="86"/>
              <w:spacing w:after="0" w:line="153"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460" w:type="dxa"/>
            <w:vAlign w:val="bottom"/>
          </w:tcPr>
          <w:p>
            <w:pPr>
              <w:spacing w:after="0"/>
              <w:rPr>
                <w:sz w:val="20"/>
                <w:szCs w:val="20"/>
                <w:color w:val="auto"/>
              </w:rPr>
            </w:pPr>
            <w:r>
              <w:rPr>
                <w:rFonts w:ascii="Arial" w:cs="Arial" w:eastAsia="Arial" w:hAnsi="Arial"/>
                <w:sz w:val="15"/>
                <w:szCs w:val="15"/>
                <w:color w:val="auto"/>
              </w:rPr>
              <w:t>Diluted income (loss) per common share from discontinued operations</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8.17</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17.39</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3.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marketable equity securities comprised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14"/>
        </w:trPr>
        <w:tc>
          <w:tcPr>
            <w:tcW w:w="8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jc w:val="right"/>
              <w:ind w:right="492"/>
              <w:spacing w:after="0" w:line="114" w:lineRule="exact"/>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2"/>
                <w:szCs w:val="12"/>
                <w:color w:val="auto"/>
              </w:rPr>
              <w:t>December</w:t>
            </w:r>
          </w:p>
        </w:tc>
      </w:t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12"/>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color w:val="auto"/>
              </w:rPr>
              <w:t>2012</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Total cost</w:t>
            </w:r>
          </w:p>
        </w:tc>
        <w:tc>
          <w:tcPr>
            <w:tcW w:w="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440" w:type="dxa"/>
            <w:vAlign w:val="bottom"/>
          </w:tcPr>
          <w:p>
            <w:pPr>
              <w:jc w:val="right"/>
              <w:ind w:right="272"/>
              <w:spacing w:after="0" w:line="150" w:lineRule="exact"/>
              <w:rPr>
                <w:sz w:val="20"/>
                <w:szCs w:val="20"/>
                <w:color w:val="auto"/>
              </w:rPr>
            </w:pPr>
            <w:r>
              <w:rPr>
                <w:rFonts w:ascii="Arial" w:cs="Arial" w:eastAsia="Arial" w:hAnsi="Arial"/>
                <w:sz w:val="15"/>
                <w:szCs w:val="15"/>
                <w:b w:val="1"/>
                <w:bCs w:val="1"/>
                <w:color w:val="auto"/>
              </w:rPr>
              <w:t>193,159</w:t>
            </w:r>
          </w:p>
        </w:tc>
        <w:tc>
          <w:tcPr>
            <w:tcW w:w="18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Net unrealized gains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5"/>
                <w:szCs w:val="15"/>
                <w:b w:val="1"/>
                <w:bCs w:val="1"/>
                <w:color w:val="auto"/>
              </w:rPr>
              <w:t>264,810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line="167" w:lineRule="exact"/>
              <w:rPr>
                <w:sz w:val="20"/>
                <w:szCs w:val="20"/>
                <w:color w:val="auto"/>
              </w:rPr>
            </w:pPr>
            <w:r>
              <w:rPr>
                <w:rFonts w:ascii="Arial" w:cs="Arial" w:eastAsia="Arial" w:hAnsi="Arial"/>
                <w:sz w:val="15"/>
                <w:szCs w:val="15"/>
                <w:b w:val="1"/>
                <w:bCs w:val="1"/>
                <w:color w:val="auto"/>
              </w:rPr>
              <w:t>Total Fair Value</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auto"/>
            </w:tcBorders>
          </w:tcPr>
          <w:p>
            <w:pPr>
              <w:jc w:val="right"/>
              <w:ind w:right="272"/>
              <w:spacing w:after="0" w:line="167" w:lineRule="exact"/>
              <w:rPr>
                <w:sz w:val="20"/>
                <w:szCs w:val="20"/>
                <w:color w:val="auto"/>
              </w:rPr>
            </w:pPr>
            <w:r>
              <w:rPr>
                <w:rFonts w:ascii="Arial" w:cs="Arial" w:eastAsia="Arial" w:hAnsi="Arial"/>
                <w:sz w:val="15"/>
                <w:szCs w:val="15"/>
                <w:b w:val="1"/>
                <w:bCs w:val="1"/>
                <w:color w:val="auto"/>
              </w:rPr>
              <w:t>457,969</w:t>
            </w:r>
          </w:p>
        </w:tc>
        <w:tc>
          <w:tcPr>
            <w:tcW w:w="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were no new investments in marketable equity securities during the first nine months of 2013. The Company invested $45.0 million in marketab equity securities during the first nine months of 2012. During the first nine months of 2013 and 2012, the proceeds from sales of marketable equity sec were $3.6 million and $2.0 million, respectively, and net realized gains on such sales were $0.9 million and $0.5 million, respectively.</w:t>
      </w:r>
    </w:p>
    <w:p>
      <w:pPr>
        <w:spacing w:after="0" w:line="16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As of September 30, 2013, the Company has a $ 7.0 million unrealized loss on its investment in Strayer Education, Inc., a publicly traded company. At September 30, 2013, the investment has been in an unrealized loss position for under six months. The Company evaluated this investment for other-t temporary impairment based on various factors, including the duration and severity of the unrealized loss, the reason for the decline in value and the potential recovery period, and the ability and intent to hold the investment and concluded that the unrealized loss is not other-than-temporary as of September 30, 2013. If any impairment is considered other-than-temporary, the investment will be written down to its fair market value with a correspo charge to the Consolidated Statement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DISPOSITIONS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In the first nine months of 2013, the Company acquired five small businesses included in other businesses and in its education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price allocation mostly comprised goodwill and other intangible assets on a preliminary basis. In the first nine months of 2012, the Company acquired four small businesses included in its education division and in other businesses; the purchase price allocation mostly comprised goodwill and intangible assets. The assets and liabilities of the companies acquired have been recorded at their estimated fair values at the date of acquisition.</w:t>
      </w:r>
    </w:p>
    <w:p>
      <w:pPr>
        <w:spacing w:after="0" w:line="16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 August 1, 2013, the Company completed its acquisition of Forney Corporation, a global supplier of products and systems that control and monitor combustion processes in electric utility and industrial applications. The operating results of Forney are included in other businesses.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the second quarter of 2013, Kaplan purchased the remaining 15% noncontrolling interest in Kaplan China; this additional interest was accounted for equity transaction.</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September 2012, the Company entered into a stock purchase agreement to acquire a controlling interest in Celtic Healthcare, Inc. (Celtic), a provid home healthcare and hospice services in the northeastern and mid-Atlantic regions. The transaction closed on November 5, 2012. The operating resu Celtic are included in other businesses.</w:t>
      </w:r>
    </w:p>
    <w:p>
      <w:pPr>
        <w:spacing w:after="0" w:line="155"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On August 5, 2013, the Company announced that it had entered into an agreement to sell its Publishing Subsidiaries that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conducted most of the Company’s publishing business and related services, including publishing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w:t>
      </w:r>
      <w:r>
        <w:rPr>
          <w:rFonts w:ascii="Arial" w:cs="Arial" w:eastAsia="Arial" w:hAnsi="Arial"/>
          <w:sz w:val="17"/>
          <w:szCs w:val="17"/>
          <w:i w:val="1"/>
          <w:iCs w:val="1"/>
          <w:color w:val="auto"/>
        </w:rPr>
        <w:t>The Gazette Newsp</w:t>
      </w:r>
      <w:r>
        <w:rPr>
          <w:rFonts w:ascii="Arial" w:cs="Arial" w:eastAsia="Arial" w:hAnsi="Arial"/>
          <w:sz w:val="17"/>
          <w:szCs w:val="17"/>
          <w:color w:val="auto"/>
        </w:rPr>
        <w:t xml:space="preserve">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w:t>
      </w:r>
      <w:r>
        <w:rPr>
          <w:rFonts w:ascii="Arial" w:cs="Arial" w:eastAsia="Arial" w:hAnsi="Arial"/>
          <w:sz w:val="17"/>
          <w:szCs w:val="17"/>
          <w:i w:val="1"/>
          <w:iCs w:val="1"/>
          <w:color w:val="auto"/>
        </w:rPr>
        <w:t xml:space="preserve"> Fairfax County Times </w:t>
      </w:r>
      <w:r>
        <w:rPr>
          <w:rFonts w:ascii="Arial" w:cs="Arial" w:eastAsia="Arial" w:hAnsi="Arial"/>
          <w:sz w:val="17"/>
          <w:szCs w:val="17"/>
          <w:color w:val="auto"/>
        </w:rPr>
        <w:t>and</w:t>
      </w:r>
      <w:r>
        <w:rPr>
          <w:rFonts w:ascii="Arial" w:cs="Arial" w:eastAsia="Arial" w:hAnsi="Arial"/>
          <w:sz w:val="17"/>
          <w:szCs w:val="17"/>
          <w:i w:val="1"/>
          <w:iCs w:val="1"/>
          <w:color w:val="auto"/>
        </w:rPr>
        <w:t xml:space="preserve"> El Tiempo Latino </w:t>
      </w:r>
      <w:r>
        <w:rPr>
          <w:rFonts w:ascii="Arial" w:cs="Arial" w:eastAsia="Arial" w:hAnsi="Arial"/>
          <w:sz w:val="17"/>
          <w:szCs w:val="17"/>
          <w:color w:val="auto"/>
        </w:rPr>
        <w:t>and related websites. Slate magazine, TheRoot.com and Foreign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not part of the transaction and will remain with The Washington Post Company, as will the WaPo Labs and SocialCode businesses, the Company’s int in Classified Ventures and certain real estate assets, including the headquarters building in downtown Washington, DC. On October 1, 2013, the Com completed the sale.</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The Herald was previo reported in the newspaper publishing division.</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divested its interested in Avenue100 Media Solutions in July 2012, which was previously reported in other businesses. Kaplan complete sales of Kidum in August 2012, EduNeering in April 2012 and Kaplan Learning Technologies in February 2012, which were part of the Kaplan Venture division.</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Consequently, the Company’s income from continuing operations excludes these sold businesses, which have been reclassified to discontinued opera net of tax (see Note 2).</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5. GOODWILL AND OTHER INTANGIBLE ASSETS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Amortization of intangible assets for the three months ended September 30, 2013 and 2012 was $2.8 million and $5.1 million, respectively. Amortizatio intangible assets for the nine months ended September 30, 2013 and 2012 was $9.9 million and $13.3 million, respectively. Amortization of intangible is estimated to be approximately $4 million for the remainder of 2013, $11 million in 2014, $9 million in 2015, $8 million in 2016, $5 million in 2017, $4 in 2018 and $3 million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48"/>
              <w:spacing w:after="0"/>
              <w:rPr>
                <w:sz w:val="20"/>
                <w:szCs w:val="20"/>
                <w:color w:val="auto"/>
              </w:rPr>
            </w:pPr>
            <w:r>
              <w:rPr>
                <w:rFonts w:ascii="Arial" w:cs="Arial" w:eastAsia="Arial" w:hAnsi="Arial"/>
                <w:sz w:val="12"/>
                <w:szCs w:val="12"/>
                <w:b w:val="1"/>
                <w:bCs w:val="1"/>
                <w:color w:val="auto"/>
              </w:rPr>
              <w:t>Cable</w:t>
            </w:r>
          </w:p>
        </w:tc>
        <w:tc>
          <w:tcPr>
            <w:tcW w:w="240" w:type="dxa"/>
            <w:vAlign w:val="bottom"/>
          </w:tcPr>
          <w:p>
            <w:pPr>
              <w:spacing w:after="0"/>
              <w:rPr>
                <w:sz w:val="12"/>
                <w:szCs w:val="12"/>
                <w:color w:val="auto"/>
              </w:rPr>
            </w:pPr>
          </w:p>
        </w:tc>
        <w:tc>
          <w:tcPr>
            <w:tcW w:w="900" w:type="dxa"/>
            <w:vAlign w:val="bottom"/>
          </w:tcPr>
          <w:p>
            <w:pPr>
              <w:jc w:val="right"/>
              <w:ind w:right="128"/>
              <w:spacing w:after="0"/>
              <w:rPr>
                <w:sz w:val="20"/>
                <w:szCs w:val="20"/>
                <w:color w:val="auto"/>
              </w:rPr>
            </w:pPr>
            <w:r>
              <w:rPr>
                <w:rFonts w:ascii="Arial" w:cs="Arial" w:eastAsia="Arial" w:hAnsi="Arial"/>
                <w:sz w:val="12"/>
                <w:szCs w:val="12"/>
                <w:b w:val="1"/>
                <w:bCs w:val="1"/>
                <w:color w:val="auto"/>
              </w:rPr>
              <w:t>Newspaper</w:t>
            </w:r>
          </w:p>
        </w:tc>
        <w:tc>
          <w:tcPr>
            <w:tcW w:w="200" w:type="dxa"/>
            <w:vAlign w:val="bottom"/>
          </w:tcPr>
          <w:p>
            <w:pPr>
              <w:spacing w:after="0"/>
              <w:rPr>
                <w:sz w:val="12"/>
                <w:szCs w:val="12"/>
                <w:color w:val="auto"/>
              </w:rPr>
            </w:pPr>
          </w:p>
        </w:tc>
        <w:tc>
          <w:tcPr>
            <w:tcW w:w="940" w:type="dxa"/>
            <w:vAlign w:val="bottom"/>
          </w:tcPr>
          <w:p>
            <w:pPr>
              <w:jc w:val="right"/>
              <w:ind w:right="188"/>
              <w:spacing w:after="0"/>
              <w:rPr>
                <w:sz w:val="20"/>
                <w:szCs w:val="20"/>
                <w:color w:val="auto"/>
              </w:rPr>
            </w:pPr>
            <w:r>
              <w:rPr>
                <w:rFonts w:ascii="Arial" w:cs="Arial" w:eastAsia="Arial" w:hAnsi="Arial"/>
                <w:sz w:val="12"/>
                <w:szCs w:val="12"/>
                <w:b w:val="1"/>
                <w:bCs w:val="1"/>
                <w:color w:val="auto"/>
              </w:rPr>
              <w:t>Television</w:t>
            </w:r>
          </w:p>
        </w:tc>
        <w:tc>
          <w:tcPr>
            <w:tcW w:w="200" w:type="dxa"/>
            <w:vAlign w:val="bottom"/>
          </w:tcPr>
          <w:p>
            <w:pPr>
              <w:spacing w:after="0"/>
              <w:rPr>
                <w:sz w:val="12"/>
                <w:szCs w:val="12"/>
                <w:color w:val="auto"/>
              </w:rPr>
            </w:pPr>
          </w:p>
        </w:tc>
        <w:tc>
          <w:tcPr>
            <w:tcW w:w="920" w:type="dxa"/>
            <w:vAlign w:val="bottom"/>
          </w:tcPr>
          <w:p>
            <w:pPr>
              <w:jc w:val="right"/>
              <w:ind w:right="308"/>
              <w:spacing w:after="0"/>
              <w:rPr>
                <w:sz w:val="20"/>
                <w:szCs w:val="20"/>
                <w:color w:val="auto"/>
              </w:rPr>
            </w:pPr>
            <w:r>
              <w:rPr>
                <w:rFonts w:ascii="Arial" w:cs="Arial" w:eastAsia="Arial" w:hAnsi="Arial"/>
                <w:sz w:val="12"/>
                <w:szCs w:val="12"/>
                <w:b w:val="1"/>
                <w:bCs w:val="1"/>
                <w:color w:val="auto"/>
              </w:rPr>
              <w:t>Other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51"/>
        </w:trPr>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Education</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Television</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Publishing</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9"/>
              </w:rPr>
              <w:t>Broadcasting</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Businesses</w:t>
            </w: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color w:val="auto"/>
              </w:rPr>
              <w:t>Balance as of December 31, 2012</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4"/>
        </w:trPr>
        <w:tc>
          <w:tcPr>
            <w:tcW w:w="44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
              <w:spacing w:after="0"/>
              <w:rPr>
                <w:sz w:val="20"/>
                <w:szCs w:val="20"/>
                <w:color w:val="auto"/>
              </w:rPr>
            </w:pPr>
            <w:r>
              <w:rPr>
                <w:rFonts w:ascii="Arial" w:cs="Arial" w:eastAsia="Arial" w:hAnsi="Arial"/>
                <w:sz w:val="15"/>
                <w:szCs w:val="15"/>
                <w:color w:val="auto"/>
              </w:rPr>
              <w:t>1,097,058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8"/>
              <w:spacing w:after="0"/>
              <w:rPr>
                <w:sz w:val="20"/>
                <w:szCs w:val="20"/>
                <w:color w:val="auto"/>
              </w:rPr>
            </w:pPr>
            <w:r>
              <w:rPr>
                <w:rFonts w:ascii="Arial" w:cs="Arial" w:eastAsia="Arial" w:hAnsi="Arial"/>
                <w:sz w:val="15"/>
                <w:szCs w:val="15"/>
                <w:color w:val="auto"/>
              </w:rPr>
              <w:t>85,488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
              <w:spacing w:after="0"/>
              <w:rPr>
                <w:sz w:val="20"/>
                <w:szCs w:val="20"/>
                <w:color w:val="auto"/>
              </w:rPr>
            </w:pPr>
            <w:r>
              <w:rPr>
                <w:rFonts w:ascii="Arial" w:cs="Arial" w:eastAsia="Arial" w:hAnsi="Arial"/>
                <w:sz w:val="15"/>
                <w:szCs w:val="15"/>
                <w:color w:val="auto"/>
              </w:rPr>
              <w:t>81,183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
              <w:spacing w:after="0"/>
              <w:rPr>
                <w:sz w:val="20"/>
                <w:szCs w:val="20"/>
                <w:color w:val="auto"/>
              </w:rPr>
            </w:pPr>
            <w:r>
              <w:rPr>
                <w:rFonts w:ascii="Arial" w:cs="Arial" w:eastAsia="Arial" w:hAnsi="Arial"/>
                <w:sz w:val="15"/>
                <w:szCs w:val="15"/>
                <w:color w:val="auto"/>
              </w:rPr>
              <w:t>203,165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
              <w:spacing w:after="0"/>
              <w:rPr>
                <w:sz w:val="20"/>
                <w:szCs w:val="20"/>
                <w:color w:val="auto"/>
              </w:rPr>
            </w:pPr>
            <w:r>
              <w:rPr>
                <w:rFonts w:ascii="Arial" w:cs="Arial" w:eastAsia="Arial" w:hAnsi="Arial"/>
                <w:sz w:val="15"/>
                <w:szCs w:val="15"/>
                <w:color w:val="auto"/>
              </w:rPr>
              <w:t>19,052</w:t>
            </w:r>
          </w:p>
        </w:tc>
        <w:tc>
          <w:tcPr>
            <w:tcW w:w="4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72"/>
        </w:trPr>
        <w:tc>
          <w:tcPr>
            <w:tcW w:w="44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(102,259)</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(65,772)</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r>
      <w:tr>
        <w:trPr>
          <w:trHeight w:val="150"/>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7"/>
              <w:spacing w:after="0" w:line="150" w:lineRule="exact"/>
              <w:rPr>
                <w:sz w:val="20"/>
                <w:szCs w:val="20"/>
                <w:color w:val="auto"/>
              </w:rPr>
            </w:pPr>
            <w:r>
              <w:rPr>
                <w:rFonts w:ascii="Arial" w:cs="Arial" w:eastAsia="Arial" w:hAnsi="Arial"/>
                <w:sz w:val="15"/>
                <w:szCs w:val="15"/>
                <w:color w:val="auto"/>
              </w:rPr>
              <w:t>994,799</w:t>
            </w:r>
          </w:p>
        </w:tc>
        <w:tc>
          <w:tcPr>
            <w:tcW w:w="220" w:type="dxa"/>
            <w:vAlign w:val="bottom"/>
          </w:tcPr>
          <w:p>
            <w:pPr>
              <w:spacing w:after="0"/>
              <w:rPr>
                <w:sz w:val="13"/>
                <w:szCs w:val="13"/>
                <w:color w:val="auto"/>
              </w:rPr>
            </w:pPr>
          </w:p>
        </w:tc>
        <w:tc>
          <w:tcPr>
            <w:tcW w:w="820" w:type="dxa"/>
            <w:vAlign w:val="bottom"/>
          </w:tcPr>
          <w:p>
            <w:pPr>
              <w:jc w:val="right"/>
              <w:ind w:right="8"/>
              <w:spacing w:after="0" w:line="150" w:lineRule="exact"/>
              <w:rPr>
                <w:sz w:val="20"/>
                <w:szCs w:val="20"/>
                <w:color w:val="auto"/>
              </w:rPr>
            </w:pPr>
            <w:r>
              <w:rPr>
                <w:rFonts w:ascii="Arial" w:cs="Arial" w:eastAsia="Arial" w:hAnsi="Arial"/>
                <w:sz w:val="15"/>
                <w:szCs w:val="15"/>
                <w:color w:val="auto"/>
              </w:rPr>
              <w:t>85,488</w:t>
            </w:r>
          </w:p>
        </w:tc>
        <w:tc>
          <w:tcPr>
            <w:tcW w:w="240" w:type="dxa"/>
            <w:vAlign w:val="bottom"/>
          </w:tcPr>
          <w:p>
            <w:pPr>
              <w:spacing w:after="0"/>
              <w:rPr>
                <w:sz w:val="13"/>
                <w:szCs w:val="13"/>
                <w:color w:val="auto"/>
              </w:rPr>
            </w:pPr>
          </w:p>
        </w:tc>
        <w:tc>
          <w:tcPr>
            <w:tcW w:w="900" w:type="dxa"/>
            <w:vAlign w:val="bottom"/>
          </w:tcPr>
          <w:p>
            <w:pPr>
              <w:jc w:val="right"/>
              <w:ind w:right="8"/>
              <w:spacing w:after="0" w:line="150" w:lineRule="exact"/>
              <w:rPr>
                <w:sz w:val="20"/>
                <w:szCs w:val="20"/>
                <w:color w:val="auto"/>
              </w:rPr>
            </w:pPr>
            <w:r>
              <w:rPr>
                <w:rFonts w:ascii="Arial" w:cs="Arial" w:eastAsia="Arial" w:hAnsi="Arial"/>
                <w:sz w:val="15"/>
                <w:szCs w:val="15"/>
                <w:color w:val="auto"/>
              </w:rPr>
              <w:t>15,411</w:t>
            </w:r>
          </w:p>
        </w:tc>
        <w:tc>
          <w:tcPr>
            <w:tcW w:w="200" w:type="dxa"/>
            <w:vAlign w:val="bottom"/>
          </w:tcPr>
          <w:p>
            <w:pPr>
              <w:spacing w:after="0"/>
              <w:rPr>
                <w:sz w:val="13"/>
                <w:szCs w:val="13"/>
                <w:color w:val="auto"/>
              </w:rPr>
            </w:pPr>
          </w:p>
        </w:tc>
        <w:tc>
          <w:tcPr>
            <w:tcW w:w="940" w:type="dxa"/>
            <w:vAlign w:val="bottom"/>
          </w:tcPr>
          <w:p>
            <w:pPr>
              <w:jc w:val="right"/>
              <w:ind w:right="8"/>
              <w:spacing w:after="0" w:line="150" w:lineRule="exact"/>
              <w:rPr>
                <w:sz w:val="20"/>
                <w:szCs w:val="20"/>
                <w:color w:val="auto"/>
              </w:rPr>
            </w:pPr>
            <w:r>
              <w:rPr>
                <w:rFonts w:ascii="Arial" w:cs="Arial" w:eastAsia="Arial" w:hAnsi="Arial"/>
                <w:sz w:val="15"/>
                <w:szCs w:val="15"/>
                <w:color w:val="auto"/>
              </w:rPr>
              <w:t>203,165</w:t>
            </w:r>
          </w:p>
        </w:tc>
        <w:tc>
          <w:tcPr>
            <w:tcW w:w="200" w:type="dxa"/>
            <w:vAlign w:val="bottom"/>
          </w:tcPr>
          <w:p>
            <w:pPr>
              <w:spacing w:after="0"/>
              <w:rPr>
                <w:sz w:val="13"/>
                <w:szCs w:val="13"/>
                <w:color w:val="auto"/>
              </w:rPr>
            </w:pPr>
          </w:p>
        </w:tc>
        <w:tc>
          <w:tcPr>
            <w:tcW w:w="920" w:type="dxa"/>
            <w:vAlign w:val="bottom"/>
          </w:tcPr>
          <w:p>
            <w:pPr>
              <w:jc w:val="right"/>
              <w:ind w:right="8"/>
              <w:spacing w:after="0" w:line="150" w:lineRule="exact"/>
              <w:rPr>
                <w:sz w:val="20"/>
                <w:szCs w:val="20"/>
                <w:color w:val="auto"/>
              </w:rPr>
            </w:pPr>
            <w:r>
              <w:rPr>
                <w:rFonts w:ascii="Arial" w:cs="Arial" w:eastAsia="Arial" w:hAnsi="Arial"/>
                <w:sz w:val="15"/>
                <w:szCs w:val="15"/>
                <w:color w:val="auto"/>
              </w:rPr>
              <w:t>19,052</w:t>
            </w:r>
          </w:p>
        </w:tc>
        <w:tc>
          <w:tcPr>
            <w:tcW w:w="420" w:type="dxa"/>
            <w:vAlign w:val="bottom"/>
          </w:tcPr>
          <w:p>
            <w:pPr>
              <w:spacing w:after="0"/>
              <w:rPr>
                <w:sz w:val="13"/>
                <w:szCs w:val="13"/>
                <w:color w:val="auto"/>
              </w:rPr>
            </w:pPr>
          </w:p>
        </w:tc>
        <w:tc>
          <w:tcPr>
            <w:tcW w:w="420" w:type="dxa"/>
            <w:vAlign w:val="bottom"/>
          </w:tcPr>
          <w:p>
            <w:pPr>
              <w:jc w:val="right"/>
              <w:spacing w:after="0" w:line="150" w:lineRule="exact"/>
              <w:rPr>
                <w:sz w:val="20"/>
                <w:szCs w:val="20"/>
                <w:color w:val="auto"/>
              </w:rPr>
            </w:pPr>
            <w:r>
              <w:rPr>
                <w:rFonts w:ascii="Arial" w:cs="Arial" w:eastAsia="Arial" w:hAnsi="Arial"/>
                <w:sz w:val="15"/>
                <w:szCs w:val="15"/>
                <w:color w:val="auto"/>
              </w:rPr>
              <w:t>1,3</w:t>
            </w:r>
          </w:p>
        </w:tc>
      </w:tr>
      <w:tr>
        <w:trPr>
          <w:trHeight w:val="174"/>
        </w:trPr>
        <w:tc>
          <w:tcPr>
            <w:tcW w:w="4460" w:type="dxa"/>
            <w:vAlign w:val="bottom"/>
          </w:tcPr>
          <w:p>
            <w:pPr>
              <w:spacing w:after="0"/>
              <w:rPr>
                <w:sz w:val="20"/>
                <w:szCs w:val="20"/>
                <w:color w:val="auto"/>
              </w:rPr>
            </w:pPr>
            <w:r>
              <w:rPr>
                <w:rFonts w:ascii="Arial" w:cs="Arial" w:eastAsia="Arial" w:hAnsi="Arial"/>
                <w:sz w:val="15"/>
                <w:szCs w:val="15"/>
                <w:b w:val="1"/>
                <w:bCs w:val="1"/>
                <w:color w:val="auto"/>
              </w:rPr>
              <w:t>Reallocation, net</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(1,809)</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1,809</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b w:val="1"/>
                <w:bCs w:val="1"/>
                <w:color w:val="auto"/>
              </w:rPr>
              <w:t>Acquisitions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7,924</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5"/>
                <w:szCs w:val="15"/>
                <w:b w:val="1"/>
                <w:bCs w:val="1"/>
                <w:color w:val="auto"/>
              </w:rPr>
              <w:t>Reclassification to discontinued operations</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(13,602)</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190"/>
        </w:trPr>
        <w:tc>
          <w:tcPr>
            <w:tcW w:w="446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(18,755)</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r>
      <w:tr>
        <w:trPr>
          <w:trHeight w:val="150"/>
        </w:trPr>
        <w:tc>
          <w:tcPr>
            <w:tcW w:w="446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September 30, 2013</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4"/>
        </w:trPr>
        <w:tc>
          <w:tcPr>
            <w:tcW w:w="446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180" w:type="dxa"/>
            <w:vAlign w:val="bottom"/>
          </w:tcPr>
          <w:p>
            <w:pPr>
              <w:spacing w:after="0"/>
              <w:rPr>
                <w:sz w:val="15"/>
                <w:szCs w:val="15"/>
                <w:color w:val="auto"/>
              </w:rPr>
            </w:pPr>
          </w:p>
        </w:tc>
        <w:tc>
          <w:tcPr>
            <w:tcW w:w="1020" w:type="dxa"/>
            <w:vAlign w:val="bottom"/>
          </w:tcPr>
          <w:p>
            <w:pPr>
              <w:jc w:val="right"/>
              <w:ind w:right="7"/>
              <w:spacing w:after="0"/>
              <w:rPr>
                <w:sz w:val="20"/>
                <w:szCs w:val="20"/>
                <w:color w:val="auto"/>
              </w:rPr>
            </w:pPr>
            <w:r>
              <w:rPr>
                <w:rFonts w:ascii="Arial" w:cs="Arial" w:eastAsia="Arial" w:hAnsi="Arial"/>
                <w:sz w:val="15"/>
                <w:szCs w:val="15"/>
                <w:b w:val="1"/>
                <w:bCs w:val="1"/>
                <w:color w:val="auto"/>
              </w:rPr>
              <w:t>1,078,303</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5"/>
                <w:szCs w:val="15"/>
                <w:b w:val="1"/>
                <w:bCs w:val="1"/>
                <w:color w:val="auto"/>
              </w:rPr>
              <w:t>85,488</w:t>
            </w: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5"/>
                <w:szCs w:val="15"/>
                <w:b w:val="1"/>
                <w:bCs w:val="1"/>
                <w:color w:val="auto"/>
              </w:rPr>
              <w:t>203,165</w:t>
            </w:r>
          </w:p>
        </w:tc>
        <w:tc>
          <w:tcPr>
            <w:tcW w:w="2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5"/>
                <w:szCs w:val="15"/>
                <w:b w:val="1"/>
                <w:bCs w:val="1"/>
                <w:color w:val="auto"/>
              </w:rPr>
              <w:t>34,867</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1,4</w:t>
            </w:r>
          </w:p>
        </w:tc>
      </w:tr>
      <w:tr>
        <w:trPr>
          <w:trHeight w:val="190"/>
        </w:trPr>
        <w:tc>
          <w:tcPr>
            <w:tcW w:w="4460" w:type="dxa"/>
            <w:vAlign w:val="bottom"/>
          </w:tcPr>
          <w:p>
            <w:pPr>
              <w:ind w:left="220"/>
              <w:spacing w:after="0"/>
              <w:rPr>
                <w:sz w:val="20"/>
                <w:szCs w:val="20"/>
                <w:color w:val="auto"/>
              </w:rPr>
            </w:pPr>
            <w:r>
              <w:rPr>
                <w:rFonts w:ascii="Arial" w:cs="Arial" w:eastAsia="Arial" w:hAnsi="Arial"/>
                <w:sz w:val="15"/>
                <w:szCs w:val="15"/>
                <w:b w:val="1"/>
                <w:bCs w:val="1"/>
                <w:color w:val="auto"/>
              </w:rPr>
              <w:t>Accumulated impairment losses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(102,259)</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(6,082)</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w:t>
            </w:r>
          </w:p>
        </w:tc>
      </w:tr>
      <w:tr>
        <w:trPr>
          <w:trHeight w:val="166"/>
        </w:trPr>
        <w:tc>
          <w:tcPr>
            <w:tcW w:w="44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976,044</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85,488</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203,165</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rPr>
              <w:t>28,785</w:t>
            </w:r>
          </w:p>
        </w:tc>
        <w:tc>
          <w:tcPr>
            <w:tcW w:w="42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1,2</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carrying amount of goodwill at the Company’s education division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jc w:val="right"/>
              <w:ind w:right="708"/>
              <w:spacing w:after="0"/>
              <w:rPr>
                <w:sz w:val="20"/>
                <w:szCs w:val="20"/>
                <w:color w:val="auto"/>
              </w:rPr>
            </w:pPr>
            <w:r>
              <w:rPr>
                <w:rFonts w:ascii="Arial" w:cs="Arial" w:eastAsia="Arial" w:hAnsi="Arial"/>
                <w:sz w:val="12"/>
                <w:szCs w:val="12"/>
                <w:b w:val="1"/>
                <w:bCs w:val="1"/>
                <w:color w:val="auto"/>
              </w:rPr>
              <w:t>Higher</w:t>
            </w:r>
          </w:p>
        </w:tc>
        <w:tc>
          <w:tcPr>
            <w:tcW w:w="360" w:type="dxa"/>
            <w:vAlign w:val="bottom"/>
          </w:tcPr>
          <w:p>
            <w:pPr>
              <w:spacing w:after="0"/>
              <w:rPr>
                <w:sz w:val="12"/>
                <w:szCs w:val="12"/>
                <w:color w:val="auto"/>
              </w:rPr>
            </w:pPr>
          </w:p>
        </w:tc>
        <w:tc>
          <w:tcPr>
            <w:tcW w:w="1360" w:type="dxa"/>
            <w:vAlign w:val="bottom"/>
          </w:tcPr>
          <w:p>
            <w:pPr>
              <w:jc w:val="right"/>
              <w:ind w:right="708"/>
              <w:spacing w:after="0"/>
              <w:rPr>
                <w:sz w:val="20"/>
                <w:szCs w:val="20"/>
                <w:color w:val="auto"/>
              </w:rPr>
            </w:pPr>
            <w:r>
              <w:rPr>
                <w:rFonts w:ascii="Arial" w:cs="Arial" w:eastAsia="Arial" w:hAnsi="Arial"/>
                <w:sz w:val="12"/>
                <w:szCs w:val="12"/>
                <w:b w:val="1"/>
                <w:bCs w:val="1"/>
                <w:color w:val="auto"/>
              </w:rPr>
              <w:t>Test</w:t>
            </w:r>
          </w:p>
        </w:tc>
        <w:tc>
          <w:tcPr>
            <w:tcW w:w="320" w:type="dxa"/>
            <w:vAlign w:val="bottom"/>
          </w:tcPr>
          <w:p>
            <w:pPr>
              <w:spacing w:after="0"/>
              <w:rPr>
                <w:sz w:val="12"/>
                <w:szCs w:val="12"/>
                <w:color w:val="auto"/>
              </w:rPr>
            </w:pPr>
          </w:p>
        </w:tc>
        <w:tc>
          <w:tcPr>
            <w:tcW w:w="1380" w:type="dxa"/>
            <w:vAlign w:val="bottom"/>
          </w:tcPr>
          <w:p>
            <w:pPr>
              <w:jc w:val="right"/>
              <w:ind w:right="628"/>
              <w:spacing w:after="0"/>
              <w:rPr>
                <w:sz w:val="20"/>
                <w:szCs w:val="20"/>
                <w:color w:val="auto"/>
              </w:rPr>
            </w:pPr>
            <w:r>
              <w:rPr>
                <w:rFonts w:ascii="Arial" w:cs="Arial" w:eastAsia="Arial" w:hAnsi="Arial"/>
                <w:sz w:val="12"/>
                <w:szCs w:val="12"/>
                <w:b w:val="1"/>
                <w:bCs w:val="1"/>
                <w:color w:val="auto"/>
              </w:rPr>
              <w:t>Kaplan</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1"/>
        </w:trPr>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Education</w:t>
            </w: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Preparation</w:t>
            </w: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International</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Total</w:t>
            </w:r>
          </w:p>
        </w:tc>
      </w:tr>
      <w:tr>
        <w:trPr>
          <w:trHeight w:val="168"/>
        </w:trPr>
        <w:tc>
          <w:tcPr>
            <w:tcW w:w="4460" w:type="dxa"/>
            <w:vAlign w:val="bottom"/>
          </w:tcPr>
          <w:p>
            <w:pPr>
              <w:spacing w:after="0" w:line="168" w:lineRule="exact"/>
              <w:rPr>
                <w:sz w:val="20"/>
                <w:szCs w:val="20"/>
                <w:color w:val="auto"/>
              </w:rPr>
            </w:pPr>
            <w:r>
              <w:rPr>
                <w:rFonts w:ascii="Arial" w:cs="Arial" w:eastAsia="Arial" w:hAnsi="Arial"/>
                <w:sz w:val="15"/>
                <w:szCs w:val="15"/>
                <w:color w:val="auto"/>
              </w:rPr>
              <w:t>Balance as of December 31, 2012</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4"/>
        </w:trPr>
        <w:tc>
          <w:tcPr>
            <w:tcW w:w="44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88"/>
              <w:spacing w:after="0"/>
              <w:rPr>
                <w:sz w:val="20"/>
                <w:szCs w:val="20"/>
                <w:color w:val="auto"/>
              </w:rPr>
            </w:pPr>
            <w:r>
              <w:rPr>
                <w:rFonts w:ascii="Arial" w:cs="Arial" w:eastAsia="Arial" w:hAnsi="Arial"/>
                <w:sz w:val="15"/>
                <w:szCs w:val="15"/>
                <w:color w:val="auto"/>
              </w:rPr>
              <w:t>409,184</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8"/>
              <w:spacing w:after="0"/>
              <w:rPr>
                <w:sz w:val="20"/>
                <w:szCs w:val="20"/>
                <w:color w:val="auto"/>
              </w:rPr>
            </w:pPr>
            <w:r>
              <w:rPr>
                <w:rFonts w:ascii="Arial" w:cs="Arial" w:eastAsia="Arial" w:hAnsi="Arial"/>
                <w:sz w:val="15"/>
                <w:szCs w:val="15"/>
                <w:color w:val="auto"/>
              </w:rPr>
              <w:t>152,187</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88"/>
              <w:spacing w:after="0"/>
              <w:rPr>
                <w:sz w:val="20"/>
                <w:szCs w:val="20"/>
                <w:color w:val="auto"/>
              </w:rPr>
            </w:pPr>
            <w:r>
              <w:rPr>
                <w:rFonts w:ascii="Arial" w:cs="Arial" w:eastAsia="Arial" w:hAnsi="Arial"/>
                <w:sz w:val="15"/>
                <w:szCs w:val="15"/>
                <w:color w:val="auto"/>
              </w:rPr>
              <w:t>535,687</w:t>
            </w:r>
          </w:p>
        </w:tc>
        <w:tc>
          <w:tcPr>
            <w:tcW w:w="4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72"/>
        </w:trPr>
        <w:tc>
          <w:tcPr>
            <w:tcW w:w="44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(102,259)</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150"/>
        </w:trPr>
        <w:tc>
          <w:tcPr>
            <w:tcW w:w="4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409,184</w:t>
            </w:r>
          </w:p>
        </w:tc>
        <w:tc>
          <w:tcPr>
            <w:tcW w:w="360" w:type="dxa"/>
            <w:vAlign w:val="bottom"/>
          </w:tcPr>
          <w:p>
            <w:pPr>
              <w:spacing w:after="0"/>
              <w:rPr>
                <w:sz w:val="13"/>
                <w:szCs w:val="13"/>
                <w:color w:val="auto"/>
              </w:rPr>
            </w:pPr>
          </w:p>
        </w:tc>
        <w:tc>
          <w:tcPr>
            <w:tcW w:w="1360" w:type="dxa"/>
            <w:vAlign w:val="bottom"/>
          </w:tcPr>
          <w:p>
            <w:pPr>
              <w:jc w:val="right"/>
              <w:ind w:right="88"/>
              <w:spacing w:after="0" w:line="150" w:lineRule="exact"/>
              <w:rPr>
                <w:sz w:val="20"/>
                <w:szCs w:val="20"/>
                <w:color w:val="auto"/>
              </w:rPr>
            </w:pPr>
            <w:r>
              <w:rPr>
                <w:rFonts w:ascii="Arial" w:cs="Arial" w:eastAsia="Arial" w:hAnsi="Arial"/>
                <w:sz w:val="15"/>
                <w:szCs w:val="15"/>
                <w:color w:val="auto"/>
              </w:rPr>
              <w:t>49,928</w:t>
            </w:r>
          </w:p>
        </w:tc>
        <w:tc>
          <w:tcPr>
            <w:tcW w:w="320" w:type="dxa"/>
            <w:vAlign w:val="bottom"/>
          </w:tcPr>
          <w:p>
            <w:pPr>
              <w:spacing w:after="0"/>
              <w:rPr>
                <w:sz w:val="13"/>
                <w:szCs w:val="13"/>
                <w:color w:val="auto"/>
              </w:rPr>
            </w:pPr>
          </w:p>
        </w:tc>
        <w:tc>
          <w:tcPr>
            <w:tcW w:w="13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535,687</w:t>
            </w:r>
          </w:p>
        </w:tc>
        <w:tc>
          <w:tcPr>
            <w:tcW w:w="460" w:type="dxa"/>
            <w:vAlign w:val="bottom"/>
          </w:tcPr>
          <w:p>
            <w:pPr>
              <w:spacing w:after="0"/>
              <w:rPr>
                <w:sz w:val="13"/>
                <w:szCs w:val="13"/>
                <w:color w:val="auto"/>
              </w:rPr>
            </w:pPr>
          </w:p>
        </w:tc>
        <w:tc>
          <w:tcPr>
            <w:tcW w:w="760" w:type="dxa"/>
            <w:vAlign w:val="bottom"/>
          </w:tcPr>
          <w:p>
            <w:pPr>
              <w:jc w:val="right"/>
              <w:spacing w:after="0" w:line="150" w:lineRule="exact"/>
              <w:rPr>
                <w:sz w:val="20"/>
                <w:szCs w:val="20"/>
                <w:color w:val="auto"/>
              </w:rPr>
            </w:pPr>
            <w:r>
              <w:rPr>
                <w:rFonts w:ascii="Arial" w:cs="Arial" w:eastAsia="Arial" w:hAnsi="Arial"/>
                <w:sz w:val="15"/>
                <w:szCs w:val="15"/>
                <w:color w:val="auto"/>
              </w:rPr>
              <w:t>9</w:t>
            </w:r>
          </w:p>
        </w:tc>
      </w:tr>
      <w:tr>
        <w:trPr>
          <w:trHeight w:val="190"/>
        </w:trPr>
        <w:tc>
          <w:tcPr>
            <w:tcW w:w="446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(79)</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(18,676)</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r>
      <w:tr>
        <w:trPr>
          <w:trHeight w:val="150"/>
        </w:trPr>
        <w:tc>
          <w:tcPr>
            <w:tcW w:w="446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September 30, 2013</w:t>
            </w: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4"/>
        </w:trPr>
        <w:tc>
          <w:tcPr>
            <w:tcW w:w="446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320" w:type="dxa"/>
            <w:vAlign w:val="bottom"/>
          </w:tcPr>
          <w:p>
            <w:pPr>
              <w:spacing w:after="0"/>
              <w:rPr>
                <w:sz w:val="15"/>
                <w:szCs w:val="15"/>
                <w:color w:val="auto"/>
              </w:rPr>
            </w:pPr>
          </w:p>
        </w:tc>
        <w:tc>
          <w:tcPr>
            <w:tcW w:w="1520" w:type="dxa"/>
            <w:vAlign w:val="bottom"/>
          </w:tcPr>
          <w:p>
            <w:pPr>
              <w:jc w:val="right"/>
              <w:ind w:right="88"/>
              <w:spacing w:after="0"/>
              <w:rPr>
                <w:sz w:val="20"/>
                <w:szCs w:val="20"/>
                <w:color w:val="auto"/>
              </w:rPr>
            </w:pPr>
            <w:r>
              <w:rPr>
                <w:rFonts w:ascii="Arial" w:cs="Arial" w:eastAsia="Arial" w:hAnsi="Arial"/>
                <w:sz w:val="15"/>
                <w:szCs w:val="15"/>
                <w:b w:val="1"/>
                <w:bCs w:val="1"/>
                <w:color w:val="auto"/>
              </w:rPr>
              <w:t>409,105</w:t>
            </w:r>
          </w:p>
        </w:tc>
        <w:tc>
          <w:tcPr>
            <w:tcW w:w="36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5"/>
                <w:szCs w:val="15"/>
                <w:b w:val="1"/>
                <w:bCs w:val="1"/>
                <w:color w:val="auto"/>
              </w:rPr>
              <w:t>152,187</w:t>
            </w:r>
          </w:p>
        </w:tc>
        <w:tc>
          <w:tcPr>
            <w:tcW w:w="320" w:type="dxa"/>
            <w:vAlign w:val="bottom"/>
          </w:tcPr>
          <w:p>
            <w:pPr>
              <w:spacing w:after="0"/>
              <w:rPr>
                <w:sz w:val="15"/>
                <w:szCs w:val="15"/>
                <w:color w:val="auto"/>
              </w:rPr>
            </w:pPr>
          </w:p>
        </w:tc>
        <w:tc>
          <w:tcPr>
            <w:tcW w:w="1380" w:type="dxa"/>
            <w:vAlign w:val="bottom"/>
          </w:tcPr>
          <w:p>
            <w:pPr>
              <w:jc w:val="right"/>
              <w:ind w:right="88"/>
              <w:spacing w:after="0"/>
              <w:rPr>
                <w:sz w:val="20"/>
                <w:szCs w:val="20"/>
                <w:color w:val="auto"/>
              </w:rPr>
            </w:pPr>
            <w:r>
              <w:rPr>
                <w:rFonts w:ascii="Arial" w:cs="Arial" w:eastAsia="Arial" w:hAnsi="Arial"/>
                <w:sz w:val="15"/>
                <w:szCs w:val="15"/>
                <w:b w:val="1"/>
                <w:bCs w:val="1"/>
                <w:color w:val="auto"/>
              </w:rPr>
              <w:t>517,011</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1,0</w:t>
            </w:r>
          </w:p>
        </w:tc>
      </w:tr>
      <w:tr>
        <w:trPr>
          <w:trHeight w:val="190"/>
        </w:trPr>
        <w:tc>
          <w:tcPr>
            <w:tcW w:w="4460" w:type="dxa"/>
            <w:vAlign w:val="bottom"/>
          </w:tcPr>
          <w:p>
            <w:pPr>
              <w:ind w:left="220"/>
              <w:spacing w:after="0"/>
              <w:rPr>
                <w:sz w:val="20"/>
                <w:szCs w:val="20"/>
                <w:color w:val="auto"/>
              </w:rPr>
            </w:pPr>
            <w:r>
              <w:rPr>
                <w:rFonts w:ascii="Arial" w:cs="Arial" w:eastAsia="Arial" w:hAnsi="Arial"/>
                <w:sz w:val="15"/>
                <w:szCs w:val="15"/>
                <w:b w:val="1"/>
                <w:bCs w:val="1"/>
                <w:color w:val="auto"/>
              </w:rPr>
              <w:t>Accumulated impairment losses</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(102,259)</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w:t>
            </w:r>
          </w:p>
        </w:tc>
      </w:tr>
      <w:tr>
        <w:trPr>
          <w:trHeight w:val="166"/>
        </w:trPr>
        <w:tc>
          <w:tcPr>
            <w:tcW w:w="4460" w:type="dxa"/>
            <w:vAlign w:val="bottom"/>
          </w:tcPr>
          <w:p>
            <w:pPr>
              <w:spacing w:after="0"/>
              <w:rPr>
                <w:sz w:val="14"/>
                <w:szCs w:val="14"/>
                <w:color w:val="auto"/>
              </w:rPr>
            </w:pPr>
          </w:p>
        </w:tc>
        <w:tc>
          <w:tcPr>
            <w:tcW w:w="32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409,105</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49,928</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517,011</w:t>
            </w:r>
          </w:p>
        </w:tc>
        <w:tc>
          <w:tcPr>
            <w:tcW w:w="46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9</w:t>
            </w: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Other intangible assets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September 30, 2013</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As of December 31, 2012</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129"/>
              <w:spacing w:after="0" w:line="114"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center"/>
              <w:ind w:right="210"/>
              <w:spacing w:after="0" w:line="114" w:lineRule="exact"/>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9"/>
                <w:szCs w:val="9"/>
                <w:color w:val="auto"/>
              </w:rPr>
            </w:pPr>
          </w:p>
        </w:tc>
        <w:tc>
          <w:tcPr>
            <w:tcW w:w="920" w:type="dxa"/>
            <w:vAlign w:val="bottom"/>
          </w:tcPr>
          <w:p>
            <w:pPr>
              <w:jc w:val="center"/>
              <w:ind w:right="109"/>
              <w:spacing w:after="0" w:line="114" w:lineRule="exact"/>
              <w:rPr>
                <w:sz w:val="20"/>
                <w:szCs w:val="20"/>
                <w:color w:val="auto"/>
              </w:rPr>
            </w:pPr>
            <w:r>
              <w:rPr>
                <w:rFonts w:ascii="Arial" w:cs="Arial" w:eastAsia="Arial" w:hAnsi="Arial"/>
                <w:sz w:val="12"/>
                <w:szCs w:val="12"/>
                <w:color w:val="auto"/>
              </w:rPr>
              <w:t>Gross</w:t>
            </w: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Arial" w:cs="Arial" w:eastAsia="Arial" w:hAnsi="Arial"/>
                <w:sz w:val="12"/>
                <w:szCs w:val="12"/>
                <w:color w:val="auto"/>
              </w:rPr>
              <w:t>Ne</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300" w:type="dxa"/>
            <w:vAlign w:val="bottom"/>
          </w:tcPr>
          <w:p>
            <w:pPr>
              <w:jc w:val="center"/>
              <w:ind w:left="69"/>
              <w:spacing w:after="0" w:line="137" w:lineRule="exact"/>
              <w:rPr>
                <w:sz w:val="20"/>
                <w:szCs w:val="20"/>
                <w:color w:val="auto"/>
              </w:rPr>
            </w:pPr>
            <w:r>
              <w:rPr>
                <w:rFonts w:ascii="Arial" w:cs="Arial" w:eastAsia="Arial" w:hAnsi="Arial"/>
                <w:sz w:val="12"/>
                <w:szCs w:val="12"/>
                <w:b w:val="1"/>
                <w:bCs w:val="1"/>
                <w:color w:val="auto"/>
              </w:rPr>
              <w:t>Useful Life</w:t>
            </w:r>
          </w:p>
        </w:tc>
        <w:tc>
          <w:tcPr>
            <w:tcW w:w="200" w:type="dxa"/>
            <w:vAlign w:val="bottom"/>
          </w:tcPr>
          <w:p>
            <w:pPr>
              <w:spacing w:after="0"/>
              <w:rPr>
                <w:sz w:val="11"/>
                <w:szCs w:val="11"/>
                <w:color w:val="auto"/>
              </w:rPr>
            </w:pPr>
          </w:p>
        </w:tc>
        <w:tc>
          <w:tcPr>
            <w:tcW w:w="960" w:type="dxa"/>
            <w:vAlign w:val="bottom"/>
          </w:tcPr>
          <w:p>
            <w:pPr>
              <w:jc w:val="center"/>
              <w:ind w:right="129"/>
              <w:spacing w:after="0" w:line="137" w:lineRule="exact"/>
              <w:rPr>
                <w:sz w:val="20"/>
                <w:szCs w:val="20"/>
                <w:color w:val="auto"/>
              </w:rPr>
            </w:pPr>
            <w:r>
              <w:rPr>
                <w:rFonts w:ascii="Arial" w:cs="Arial" w:eastAsia="Arial" w:hAnsi="Arial"/>
                <w:sz w:val="12"/>
                <w:szCs w:val="12"/>
                <w:b w:val="1"/>
                <w:bCs w:val="1"/>
                <w:color w:val="auto"/>
              </w:rPr>
              <w:t>Carrying</w:t>
            </w:r>
          </w:p>
        </w:tc>
        <w:tc>
          <w:tcPr>
            <w:tcW w:w="260" w:type="dxa"/>
            <w:vAlign w:val="bottom"/>
          </w:tcPr>
          <w:p>
            <w:pPr>
              <w:spacing w:after="0"/>
              <w:rPr>
                <w:sz w:val="11"/>
                <w:szCs w:val="11"/>
                <w:color w:val="auto"/>
              </w:rPr>
            </w:pPr>
          </w:p>
        </w:tc>
        <w:tc>
          <w:tcPr>
            <w:tcW w:w="1120" w:type="dxa"/>
            <w:vAlign w:val="bottom"/>
          </w:tcPr>
          <w:p>
            <w:pPr>
              <w:jc w:val="right"/>
              <w:ind w:right="209"/>
              <w:spacing w:after="0" w:line="137"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1"/>
                <w:szCs w:val="11"/>
                <w:color w:val="auto"/>
              </w:rPr>
            </w:pPr>
          </w:p>
        </w:tc>
        <w:tc>
          <w:tcPr>
            <w:tcW w:w="96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Carrying</w:t>
            </w:r>
          </w:p>
        </w:tc>
        <w:tc>
          <w:tcPr>
            <w:tcW w:w="200" w:type="dxa"/>
            <w:vAlign w:val="bottom"/>
          </w:tcPr>
          <w:p>
            <w:pPr>
              <w:spacing w:after="0"/>
              <w:rPr>
                <w:sz w:val="11"/>
                <w:szCs w:val="11"/>
                <w:color w:val="auto"/>
              </w:rPr>
            </w:pPr>
          </w:p>
        </w:tc>
        <w:tc>
          <w:tcPr>
            <w:tcW w:w="920" w:type="dxa"/>
            <w:vAlign w:val="bottom"/>
          </w:tcPr>
          <w:p>
            <w:pPr>
              <w:jc w:val="center"/>
              <w:ind w:right="109"/>
              <w:spacing w:after="0" w:line="137" w:lineRule="exact"/>
              <w:rPr>
                <w:sz w:val="20"/>
                <w:szCs w:val="20"/>
                <w:color w:val="auto"/>
              </w:rPr>
            </w:pPr>
            <w:r>
              <w:rPr>
                <w:rFonts w:ascii="Arial" w:cs="Arial" w:eastAsia="Arial" w:hAnsi="Arial"/>
                <w:sz w:val="12"/>
                <w:szCs w:val="12"/>
                <w:color w:val="auto"/>
              </w:rPr>
              <w:t>Carrying</w:t>
            </w:r>
          </w:p>
        </w:tc>
        <w:tc>
          <w:tcPr>
            <w:tcW w:w="260" w:type="dxa"/>
            <w:vAlign w:val="bottom"/>
          </w:tcPr>
          <w:p>
            <w:pPr>
              <w:spacing w:after="0"/>
              <w:rPr>
                <w:sz w:val="11"/>
                <w:szCs w:val="11"/>
                <w:color w:val="auto"/>
              </w:rPr>
            </w:pPr>
          </w:p>
        </w:tc>
        <w:tc>
          <w:tcPr>
            <w:tcW w:w="1080" w:type="dxa"/>
            <w:vAlign w:val="bottom"/>
          </w:tcPr>
          <w:p>
            <w:pPr>
              <w:jc w:val="right"/>
              <w:ind w:right="229"/>
              <w:spacing w:after="0" w:line="137" w:lineRule="exact"/>
              <w:rPr>
                <w:sz w:val="20"/>
                <w:szCs w:val="20"/>
                <w:color w:val="auto"/>
              </w:rPr>
            </w:pPr>
            <w:r>
              <w:rPr>
                <w:rFonts w:ascii="Arial" w:cs="Arial" w:eastAsia="Arial" w:hAnsi="Arial"/>
                <w:sz w:val="12"/>
                <w:szCs w:val="12"/>
                <w:color w:val="auto"/>
              </w:rPr>
              <w:t>Accumulated</w:t>
            </w: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Carr</w:t>
            </w:r>
          </w:p>
        </w:tc>
        <w:tc>
          <w:tcPr>
            <w:tcW w:w="0" w:type="dxa"/>
            <w:vAlign w:val="bottom"/>
          </w:tcPr>
          <w:p>
            <w:pPr>
              <w:spacing w:after="0"/>
              <w:rPr>
                <w:sz w:val="1"/>
                <w:szCs w:val="1"/>
                <w:color w:val="auto"/>
              </w:rPr>
            </w:pPr>
          </w:p>
        </w:tc>
      </w:tr>
      <w:tr>
        <w:trPr>
          <w:trHeight w:val="151"/>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300" w:type="dxa"/>
            <w:vAlign w:val="bottom"/>
            <w:tcBorders>
              <w:bottom w:val="single" w:sz="8" w:color="auto"/>
            </w:tcBorders>
          </w:tcPr>
          <w:p>
            <w:pPr>
              <w:jc w:val="center"/>
              <w:ind w:left="89"/>
              <w:spacing w:after="0"/>
              <w:rPr>
                <w:sz w:val="20"/>
                <w:szCs w:val="20"/>
                <w:color w:val="auto"/>
              </w:rPr>
            </w:pPr>
            <w:r>
              <w:rPr>
                <w:rFonts w:ascii="Arial" w:cs="Arial" w:eastAsia="Arial" w:hAnsi="Arial"/>
                <w:sz w:val="12"/>
                <w:szCs w:val="12"/>
                <w:b w:val="1"/>
                <w:bCs w:val="1"/>
                <w:color w:val="auto"/>
              </w:rPr>
              <w:t>Range</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Amortization</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rPr>
              <w:t>Amount</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color w:val="auto"/>
              </w:rPr>
              <w:t>Amount</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color w:val="auto"/>
              </w:rPr>
              <w:t>Amortization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w:t>
            </w: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Amortized Intangible Assets</w:t>
            </w:r>
          </w:p>
        </w:tc>
        <w:tc>
          <w:tcPr>
            <w:tcW w:w="1300" w:type="dxa"/>
            <w:vAlign w:val="bottom"/>
            <w:vMerge w:val="restart"/>
          </w:tcPr>
          <w:p>
            <w:pPr>
              <w:jc w:val="center"/>
              <w:ind w:left="69"/>
              <w:spacing w:after="0"/>
              <w:rPr>
                <w:sz w:val="20"/>
                <w:szCs w:val="20"/>
                <w:color w:val="auto"/>
              </w:rPr>
            </w:pPr>
            <w:r>
              <w:rPr>
                <w:rFonts w:ascii="Arial" w:cs="Arial" w:eastAsia="Arial" w:hAnsi="Arial"/>
                <w:sz w:val="15"/>
                <w:szCs w:val="15"/>
                <w:b w:val="1"/>
                <w:bCs w:val="1"/>
                <w:color w:val="auto"/>
                <w:w w:val="98"/>
              </w:rPr>
              <w:t>2-5 years</w:t>
            </w:r>
          </w:p>
        </w:tc>
        <w:tc>
          <w:tcPr>
            <w:tcW w:w="2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14,054</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9"/>
              <w:spacing w:after="0"/>
              <w:rPr>
                <w:sz w:val="20"/>
                <w:szCs w:val="20"/>
                <w:color w:val="auto"/>
              </w:rPr>
            </w:pPr>
            <w:r>
              <w:rPr>
                <w:rFonts w:ascii="Arial" w:cs="Arial" w:eastAsia="Arial" w:hAnsi="Arial"/>
                <w:sz w:val="15"/>
                <w:szCs w:val="15"/>
                <w:b w:val="1"/>
                <w:bCs w:val="1"/>
                <w:color w:val="auto"/>
              </w:rPr>
              <w:t>13,038</w:t>
            </w:r>
          </w:p>
        </w:tc>
        <w:tc>
          <w:tcPr>
            <w:tcW w:w="18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ind w:right="90"/>
              <w:spacing w:after="0"/>
              <w:rPr>
                <w:sz w:val="20"/>
                <w:szCs w:val="20"/>
                <w:color w:val="auto"/>
              </w:rPr>
            </w:pPr>
            <w:r>
              <w:rPr>
                <w:rFonts w:ascii="Arial" w:cs="Arial" w:eastAsia="Arial" w:hAnsi="Arial"/>
                <w:sz w:val="15"/>
                <w:szCs w:val="15"/>
                <w:b w:val="1"/>
                <w:bCs w:val="1"/>
                <w:color w:val="auto"/>
              </w:rPr>
              <w:t>1,016</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20"/>
              <w:spacing w:after="0" w:line="156" w:lineRule="exact"/>
              <w:rPr>
                <w:sz w:val="20"/>
                <w:szCs w:val="20"/>
                <w:color w:val="auto"/>
              </w:rPr>
            </w:pPr>
            <w:r>
              <w:rPr>
                <w:rFonts w:ascii="Arial" w:cs="Arial" w:eastAsia="Arial" w:hAnsi="Arial"/>
                <w:sz w:val="15"/>
                <w:szCs w:val="15"/>
                <w:color w:val="auto"/>
              </w:rPr>
              <w:t>Non-compete agreements</w:t>
            </w:r>
          </w:p>
        </w:tc>
        <w:tc>
          <w:tcPr>
            <w:tcW w:w="13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jc w:val="right"/>
              <w:ind w:right="46"/>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14,008</w:t>
            </w: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69"/>
              <w:spacing w:after="0" w:line="156" w:lineRule="exact"/>
              <w:rPr>
                <w:sz w:val="20"/>
                <w:szCs w:val="20"/>
                <w:color w:val="auto"/>
              </w:rPr>
            </w:pPr>
            <w:r>
              <w:rPr>
                <w:rFonts w:ascii="Arial" w:cs="Arial" w:eastAsia="Arial" w:hAnsi="Arial"/>
                <w:sz w:val="15"/>
                <w:szCs w:val="15"/>
                <w:color w:val="auto"/>
              </w:rPr>
              <w:t>12,546</w:t>
            </w:r>
          </w:p>
        </w:tc>
        <w:tc>
          <w:tcPr>
            <w:tcW w:w="560" w:type="dxa"/>
            <w:vAlign w:val="bottom"/>
          </w:tcPr>
          <w:p>
            <w:pPr>
              <w:jc w:val="right"/>
              <w:ind w:right="393"/>
              <w:spacing w:after="0" w:line="156"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Student and customer relationships</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70,918</w:t>
            </w:r>
          </w:p>
        </w:tc>
        <w:tc>
          <w:tcPr>
            <w:tcW w:w="26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5"/>
                <w:szCs w:val="15"/>
                <w:b w:val="1"/>
                <w:bCs w:val="1"/>
                <w:color w:val="auto"/>
              </w:rPr>
              <w:t>42,141</w:t>
            </w:r>
          </w:p>
        </w:tc>
        <w:tc>
          <w:tcPr>
            <w:tcW w:w="18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28,777</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73,693</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40,787</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Databases and technology</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3-5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10,539</w:t>
            </w:r>
          </w:p>
        </w:tc>
        <w:tc>
          <w:tcPr>
            <w:tcW w:w="26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5"/>
                <w:szCs w:val="15"/>
                <w:b w:val="1"/>
                <w:bCs w:val="1"/>
                <w:color w:val="auto"/>
              </w:rPr>
              <w:t>6,457</w:t>
            </w:r>
          </w:p>
        </w:tc>
        <w:tc>
          <w:tcPr>
            <w:tcW w:w="18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4,082</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6,457</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5,707</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Trade names and trademarks</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26,100</w:t>
            </w:r>
          </w:p>
        </w:tc>
        <w:tc>
          <w:tcPr>
            <w:tcW w:w="26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5"/>
                <w:szCs w:val="15"/>
                <w:b w:val="1"/>
                <w:bCs w:val="1"/>
                <w:color w:val="auto"/>
              </w:rPr>
              <w:t>19,124</w:t>
            </w:r>
          </w:p>
        </w:tc>
        <w:tc>
          <w:tcPr>
            <w:tcW w:w="18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5"/>
                <w:szCs w:val="15"/>
                <w:b w:val="1"/>
                <w:bCs w:val="1"/>
                <w:color w:val="auto"/>
              </w:rPr>
              <w:t>6,976</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26,634</w:t>
            </w:r>
          </w:p>
        </w:tc>
        <w:tc>
          <w:tcPr>
            <w:tcW w:w="26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18,185</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20"/>
              <w:spacing w:after="0"/>
              <w:rPr>
                <w:sz w:val="20"/>
                <w:szCs w:val="20"/>
                <w:color w:val="auto"/>
              </w:rPr>
            </w:pPr>
            <w:r>
              <w:rPr>
                <w:rFonts w:ascii="Arial" w:cs="Arial" w:eastAsia="Arial" w:hAnsi="Arial"/>
                <w:sz w:val="15"/>
                <w:szCs w:val="15"/>
                <w:color w:val="auto"/>
              </w:rPr>
              <w:t>Other</w:t>
            </w:r>
          </w:p>
        </w:tc>
        <w:tc>
          <w:tcPr>
            <w:tcW w:w="130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1-25 years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9,828</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7,137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5"/>
                <w:szCs w:val="15"/>
                <w:b w:val="1"/>
                <w:bCs w:val="1"/>
                <w:color w:val="auto"/>
              </w:rPr>
              <w:t>2,691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8,849</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6,839</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131,439</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87,897</w:t>
            </w:r>
          </w:p>
        </w:tc>
        <w:tc>
          <w:tcPr>
            <w:tcW w:w="1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ind w:right="90"/>
              <w:spacing w:after="0" w:line="167" w:lineRule="exact"/>
              <w:rPr>
                <w:sz w:val="20"/>
                <w:szCs w:val="20"/>
                <w:color w:val="auto"/>
              </w:rPr>
            </w:pPr>
            <w:r>
              <w:rPr>
                <w:rFonts w:ascii="Arial" w:cs="Arial" w:eastAsia="Arial" w:hAnsi="Arial"/>
                <w:sz w:val="15"/>
                <w:szCs w:val="15"/>
                <w:b w:val="1"/>
                <w:bCs w:val="1"/>
                <w:color w:val="auto"/>
              </w:rPr>
              <w:t>43,542</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129,641</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84,064</w:t>
            </w:r>
          </w:p>
        </w:tc>
        <w:tc>
          <w:tcPr>
            <w:tcW w:w="560" w:type="dxa"/>
            <w:vAlign w:val="bottom"/>
            <w:tcBorders>
              <w:bottom w:val="single" w:sz="8" w:color="auto"/>
            </w:tcBorders>
          </w:tcPr>
          <w:p>
            <w:pPr>
              <w:jc w:val="right"/>
              <w:ind w:right="393"/>
              <w:spacing w:after="0" w:line="167"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20"/>
              <w:spacing w:after="0" w:line="156" w:lineRule="exact"/>
              <w:rPr>
                <w:sz w:val="20"/>
                <w:szCs w:val="20"/>
                <w:color w:val="auto"/>
              </w:rPr>
            </w:pPr>
            <w:r>
              <w:rPr>
                <w:rFonts w:ascii="Arial" w:cs="Arial" w:eastAsia="Arial" w:hAnsi="Arial"/>
                <w:sz w:val="15"/>
                <w:szCs w:val="15"/>
                <w:color w:val="auto"/>
              </w:rPr>
              <w:t>Franchise agreements</w:t>
            </w:r>
          </w:p>
        </w:tc>
        <w:tc>
          <w:tcPr>
            <w:tcW w:w="13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jc w:val="right"/>
              <w:ind w:right="46"/>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496,321</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Wireless licenses</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22,150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20"/>
              <w:spacing w:after="0"/>
              <w:rPr>
                <w:sz w:val="20"/>
                <w:szCs w:val="20"/>
                <w:color w:val="auto"/>
              </w:rPr>
            </w:pPr>
            <w:r>
              <w:rPr>
                <w:rFonts w:ascii="Arial" w:cs="Arial" w:eastAsia="Arial" w:hAnsi="Arial"/>
                <w:sz w:val="15"/>
                <w:szCs w:val="15"/>
                <w:color w:val="auto"/>
              </w:rPr>
              <w:t>Licensure and accreditation</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7,371</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7,371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20"/>
              <w:spacing w:after="0"/>
              <w:rPr>
                <w:sz w:val="20"/>
                <w:szCs w:val="20"/>
                <w:color w:val="auto"/>
              </w:rPr>
            </w:pPr>
            <w:r>
              <w:rPr>
                <w:rFonts w:ascii="Arial" w:cs="Arial" w:eastAsia="Arial" w:hAnsi="Arial"/>
                <w:sz w:val="15"/>
                <w:szCs w:val="15"/>
                <w:color w:val="auto"/>
              </w:rPr>
              <w:t>Other</w:t>
            </w:r>
          </w:p>
        </w:tc>
        <w:tc>
          <w:tcPr>
            <w:tcW w:w="1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15,636</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13,886</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541,478</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539,728</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6. DEBT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14"/>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jc w:val="right"/>
              <w:ind w:right="569"/>
              <w:spacing w:after="0" w:line="114" w:lineRule="exact"/>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2"/>
                <w:szCs w:val="12"/>
                <w:color w:val="auto"/>
              </w:rPr>
              <w:t>December 3</w:t>
            </w: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69"/>
              <w:spacing w:after="0"/>
              <w:rPr>
                <w:sz w:val="20"/>
                <w:szCs w:val="20"/>
                <w:color w:val="auto"/>
              </w:rPr>
            </w:pPr>
            <w:r>
              <w:rPr>
                <w:rFonts w:ascii="Arial" w:cs="Arial" w:eastAsia="Arial" w:hAnsi="Arial"/>
                <w:sz w:val="12"/>
                <w:szCs w:val="12"/>
                <w:b w:val="1"/>
                <w:bCs w:val="1"/>
                <w:color w:val="auto"/>
              </w:rPr>
              <w:t>2013</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color w:val="auto"/>
              </w:rPr>
              <w:t>2012</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7.25% unsecured notes due February 1, 2019</w:t>
            </w:r>
          </w:p>
        </w:tc>
        <w:tc>
          <w:tcPr>
            <w:tcW w:w="2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540" w:type="dxa"/>
            <w:vAlign w:val="bottom"/>
          </w:tcPr>
          <w:p>
            <w:pPr>
              <w:jc w:val="right"/>
              <w:ind w:right="289"/>
              <w:spacing w:after="0" w:line="150" w:lineRule="exact"/>
              <w:rPr>
                <w:sz w:val="20"/>
                <w:szCs w:val="20"/>
                <w:color w:val="auto"/>
              </w:rPr>
            </w:pPr>
            <w:r>
              <w:rPr>
                <w:rFonts w:ascii="Arial" w:cs="Arial" w:eastAsia="Arial" w:hAnsi="Arial"/>
                <w:sz w:val="15"/>
                <w:szCs w:val="15"/>
                <w:b w:val="1"/>
                <w:bCs w:val="1"/>
                <w:color w:val="auto"/>
              </w:rPr>
              <w:t>397,790</w:t>
            </w:r>
          </w:p>
        </w:tc>
        <w:tc>
          <w:tcPr>
            <w:tcW w:w="18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USD Revolving credit borrowing</w:t>
            </w:r>
          </w:p>
        </w:tc>
        <w:tc>
          <w:tcPr>
            <w:tcW w:w="260" w:type="dxa"/>
            <w:vAlign w:val="bottom"/>
          </w:tcPr>
          <w:p>
            <w:pPr>
              <w:spacing w:after="0"/>
              <w:rPr>
                <w:sz w:val="15"/>
                <w:szCs w:val="15"/>
                <w:color w:val="auto"/>
              </w:rPr>
            </w:pPr>
          </w:p>
        </w:tc>
        <w:tc>
          <w:tcPr>
            <w:tcW w:w="1540" w:type="dxa"/>
            <w:vAlign w:val="bottom"/>
          </w:tcPr>
          <w:p>
            <w:pPr>
              <w:jc w:val="right"/>
              <w:ind w:right="289"/>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AUD Revolving credit borrowing</w:t>
            </w:r>
          </w:p>
        </w:tc>
        <w:tc>
          <w:tcPr>
            <w:tcW w:w="260" w:type="dxa"/>
            <w:vAlign w:val="bottom"/>
          </w:tcPr>
          <w:p>
            <w:pPr>
              <w:spacing w:after="0"/>
              <w:rPr>
                <w:sz w:val="15"/>
                <w:szCs w:val="15"/>
                <w:color w:val="auto"/>
              </w:rPr>
            </w:pPr>
          </w:p>
        </w:tc>
        <w:tc>
          <w:tcPr>
            <w:tcW w:w="1540" w:type="dxa"/>
            <w:vAlign w:val="bottom"/>
          </w:tcPr>
          <w:p>
            <w:pPr>
              <w:jc w:val="right"/>
              <w:ind w:right="289"/>
              <w:spacing w:after="0"/>
              <w:rPr>
                <w:sz w:val="20"/>
                <w:szCs w:val="20"/>
                <w:color w:val="auto"/>
              </w:rPr>
            </w:pPr>
            <w:r>
              <w:rPr>
                <w:rFonts w:ascii="Arial" w:cs="Arial" w:eastAsia="Arial" w:hAnsi="Arial"/>
                <w:sz w:val="15"/>
                <w:szCs w:val="15"/>
                <w:b w:val="1"/>
                <w:bCs w:val="1"/>
                <w:color w:val="auto"/>
              </w:rPr>
              <w:t>46,589</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Other indebtedness</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b w:val="1"/>
                <w:bCs w:val="1"/>
                <w:color w:val="auto"/>
              </w:rPr>
              <w:t>6,710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b w:val="1"/>
                <w:bCs w:val="1"/>
                <w:color w:val="auto"/>
              </w:rPr>
              <w:t>Total Debt</w:t>
            </w:r>
          </w:p>
        </w:tc>
        <w:tc>
          <w:tcPr>
            <w:tcW w:w="260" w:type="dxa"/>
            <w:vAlign w:val="bottom"/>
          </w:tcPr>
          <w:p>
            <w:pPr>
              <w:spacing w:after="0"/>
              <w:rPr>
                <w:sz w:val="13"/>
                <w:szCs w:val="13"/>
                <w:color w:val="auto"/>
              </w:rPr>
            </w:pPr>
          </w:p>
        </w:tc>
        <w:tc>
          <w:tcPr>
            <w:tcW w:w="1540" w:type="dxa"/>
            <w:vAlign w:val="bottom"/>
          </w:tcPr>
          <w:p>
            <w:pPr>
              <w:jc w:val="right"/>
              <w:ind w:right="289"/>
              <w:spacing w:after="0" w:line="150" w:lineRule="exact"/>
              <w:rPr>
                <w:sz w:val="20"/>
                <w:szCs w:val="20"/>
                <w:color w:val="auto"/>
              </w:rPr>
            </w:pPr>
            <w:r>
              <w:rPr>
                <w:rFonts w:ascii="Arial" w:cs="Arial" w:eastAsia="Arial" w:hAnsi="Arial"/>
                <w:sz w:val="15"/>
                <w:szCs w:val="15"/>
                <w:b w:val="1"/>
                <w:bCs w:val="1"/>
                <w:color w:val="auto"/>
              </w:rPr>
              <w:t>451,089</w:t>
            </w:r>
          </w:p>
        </w:tc>
        <w:tc>
          <w:tcPr>
            <w:tcW w:w="18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Less: current portion</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9"/>
              <w:spacing w:after="0"/>
              <w:rPr>
                <w:sz w:val="20"/>
                <w:szCs w:val="20"/>
                <w:color w:val="auto"/>
              </w:rPr>
            </w:pPr>
            <w:r>
              <w:rPr>
                <w:rFonts w:ascii="Arial" w:cs="Arial" w:eastAsia="Arial" w:hAnsi="Arial"/>
                <w:sz w:val="15"/>
                <w:szCs w:val="15"/>
                <w:b w:val="1"/>
                <w:bCs w:val="1"/>
                <w:color w:val="auto"/>
              </w:rPr>
              <w:t>(3,022)</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r>
      <w:tr>
        <w:trPr>
          <w:trHeight w:val="166"/>
        </w:trPr>
        <w:tc>
          <w:tcPr>
            <w:tcW w:w="8240" w:type="dxa"/>
            <w:vAlign w:val="bottom"/>
          </w:tcPr>
          <w:p>
            <w:pPr>
              <w:spacing w:after="0" w:line="167" w:lineRule="exact"/>
              <w:rPr>
                <w:sz w:val="20"/>
                <w:szCs w:val="20"/>
                <w:color w:val="auto"/>
              </w:rPr>
            </w:pPr>
            <w:r>
              <w:rPr>
                <w:rFonts w:ascii="Arial" w:cs="Arial" w:eastAsia="Arial" w:hAnsi="Arial"/>
                <w:sz w:val="15"/>
                <w:szCs w:val="15"/>
                <w:b w:val="1"/>
                <w:bCs w:val="1"/>
                <w:color w:val="auto"/>
              </w:rPr>
              <w:t>Total Long-Term Debt</w:t>
            </w:r>
          </w:p>
        </w:tc>
        <w:tc>
          <w:tcPr>
            <w:tcW w:w="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540" w:type="dxa"/>
            <w:vAlign w:val="bottom"/>
            <w:tcBorders>
              <w:bottom w:val="single" w:sz="8" w:color="auto"/>
            </w:tcBorders>
          </w:tcPr>
          <w:p>
            <w:pPr>
              <w:jc w:val="right"/>
              <w:ind w:right="289"/>
              <w:spacing w:after="0" w:line="167" w:lineRule="exact"/>
              <w:rPr>
                <w:sz w:val="20"/>
                <w:szCs w:val="20"/>
                <w:color w:val="auto"/>
              </w:rPr>
            </w:pPr>
            <w:r>
              <w:rPr>
                <w:rFonts w:ascii="Arial" w:cs="Arial" w:eastAsia="Arial" w:hAnsi="Arial"/>
                <w:sz w:val="15"/>
                <w:szCs w:val="15"/>
                <w:b w:val="1"/>
                <w:bCs w:val="1"/>
                <w:color w:val="auto"/>
              </w:rPr>
              <w:t>448,067</w:t>
            </w:r>
          </w:p>
        </w:tc>
        <w:tc>
          <w:tcPr>
            <w:tcW w:w="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other indebtedness at September 30, 2013 and December 31, 2012 is at interest rates from 0% to 6% and matures from 2013 to 2017</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the three months ended September 30, 2013 and 2012, the Company had average borrowings outstanding of approximately $449.8 million an $456.3 million, respectively, at average annual interest rates of approximately 7.0%. During the three months ended September 30, 2013 and 2012, th Company incurred net interest expense of $8.6 million and $8.1 million, respectively.</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the nine months ended September 30, 2013 and 2012, the Company had average borrowings outstanding of approximately $477.5 million and $467.3 million, respectively, at average annual interest rates of approximately 7.0%. During the nine months ended September 30, 2013 and 2012, the Company incurred net interest expense of $25.6 million and $24.4 million, respectively.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At September 30, 2013, the fair value of the Company’s 7.25% unsecured notes, based on quoted market prices, totaled $475.1 million, compared wit carrying amount of $397.8 million. At December 31, 2012, the fair value of the Company’s 7.25% unsecured notes, based on quoted market prices, to $481.4 million, compared with the carrying amount of $397.5 million. The carrying value of the Company’s other unsecured debt at September 30, 201 approximates fair value.</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16" w:name="page17"/>
    <w:bookmarkEnd w:id="16"/>
    <w:p>
      <w:pPr>
        <w:ind w:left="10"/>
        <w:spacing w:after="0"/>
        <w:rPr>
          <w:sz w:val="20"/>
          <w:szCs w:val="20"/>
          <w:color w:val="auto"/>
        </w:rPr>
      </w:pPr>
      <w:r>
        <w:rPr>
          <w:rFonts w:ascii="Arial" w:cs="Arial" w:eastAsia="Arial" w:hAnsi="Arial"/>
          <w:sz w:val="17"/>
          <w:szCs w:val="17"/>
          <w:b w:val="1"/>
          <w:bCs w:val="1"/>
          <w:color w:val="auto"/>
        </w:rPr>
        <w:t>7. FAIR VALUE MEASUREMENTS</w:t>
      </w:r>
    </w:p>
    <w:p>
      <w:pPr>
        <w:spacing w:after="0" w:line="197" w:lineRule="exact"/>
        <w:rPr>
          <w:sz w:val="20"/>
          <w:szCs w:val="20"/>
          <w:color w:val="auto"/>
        </w:rPr>
      </w:pPr>
    </w:p>
    <w:p>
      <w:pPr>
        <w:ind w:left="10"/>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 tiered hierarchy that draws a distinction between market participant assumptions based on (i) observable inputs, such as quoted prices in active mark (Level 1); (ii) inputs other than quoted prices in active markets that are observable either directly or indirectly (Level 2); and (iii) unobservable inputs th require the Company to use present value and other valuation techniques in the determination of fair value (Level 3). Financial assets and liabilities ar classified in their entirety based on the lowest level of input that is significant to the fair value measure. The Company’s assessment of the significance particular input to the fair value measurements requires judgment and may affect the valuation of the assets and liabilities being measured and their placement within the fair value hierarchy.</w:t>
      </w:r>
    </w:p>
    <w:p>
      <w:pPr>
        <w:spacing w:after="0" w:line="178"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7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Level 2</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7100" w:type="dxa"/>
            <w:vAlign w:val="bottom"/>
          </w:tcPr>
          <w:p>
            <w:pPr>
              <w:spacing w:after="0" w:line="150" w:lineRule="exact"/>
              <w:rPr>
                <w:sz w:val="20"/>
                <w:szCs w:val="20"/>
                <w:color w:val="auto"/>
              </w:rPr>
            </w:pPr>
            <w:r>
              <w:rPr>
                <w:rFonts w:ascii="Arial" w:cs="Arial" w:eastAsia="Arial" w:hAnsi="Arial"/>
                <w:sz w:val="15"/>
                <w:szCs w:val="15"/>
                <w:b w:val="1"/>
                <w:bCs w:val="1"/>
                <w:color w:val="auto"/>
              </w:rPr>
              <w:t>As of September 30, 2013</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296,914</w:t>
            </w:r>
          </w:p>
        </w:tc>
        <w:tc>
          <w:tcPr>
            <w:tcW w:w="4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56"/>
        </w:trPr>
        <w:tc>
          <w:tcPr>
            <w:tcW w:w="7100" w:type="dxa"/>
            <w:vAlign w:val="bottom"/>
          </w:tcPr>
          <w:p>
            <w:pPr>
              <w:ind w:left="220"/>
              <w:spacing w:after="0" w:line="156" w:lineRule="exact"/>
              <w:rPr>
                <w:sz w:val="20"/>
                <w:szCs w:val="20"/>
                <w:color w:val="auto"/>
              </w:rPr>
            </w:pPr>
            <w:r>
              <w:rPr>
                <w:rFonts w:ascii="Arial" w:cs="Arial" w:eastAsia="Arial" w:hAnsi="Arial"/>
                <w:sz w:val="15"/>
                <w:szCs w:val="15"/>
                <w:color w:val="auto"/>
              </w:rPr>
              <w:t xml:space="preserve">Money market investments </w:t>
            </w:r>
            <w:r>
              <w:rPr>
                <w:rFonts w:ascii="Arial" w:cs="Arial" w:eastAsia="Arial" w:hAnsi="Arial"/>
                <w:sz w:val="12"/>
                <w:szCs w:val="12"/>
                <w:color w:val="auto"/>
              </w:rPr>
              <w:t>(1)</w:t>
            </w:r>
          </w:p>
        </w:tc>
        <w:tc>
          <w:tcPr>
            <w:tcW w:w="3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Marketable equity securities </w:t>
            </w:r>
            <w:r>
              <w:rPr>
                <w:rFonts w:ascii="Arial" w:cs="Arial" w:eastAsia="Arial" w:hAnsi="Arial"/>
                <w:sz w:val="12"/>
                <w:szCs w:val="12"/>
                <w:color w:val="auto"/>
              </w:rPr>
              <w:t>(3)</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b w:val="1"/>
                <w:bCs w:val="1"/>
                <w:color w:val="auto"/>
              </w:rPr>
              <w:t>457,969</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90"/>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Other current investments </w:t>
            </w:r>
            <w:r>
              <w:rPr>
                <w:rFonts w:ascii="Arial" w:cs="Arial" w:eastAsia="Arial" w:hAnsi="Arial"/>
                <w:sz w:val="12"/>
                <w:szCs w:val="12"/>
                <w:color w:val="auto"/>
              </w:rPr>
              <w:t>(4)</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16,413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23,281</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10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474,382</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320,195</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00" w:type="dxa"/>
            <w:vAlign w:val="bottom"/>
            <w:vMerge w:val="continue"/>
          </w:tcPr>
          <w:p>
            <w:pPr>
              <w:spacing w:after="0"/>
              <w:rPr>
                <w:sz w:val="24"/>
                <w:szCs w:val="24"/>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63,685</w:t>
            </w:r>
          </w:p>
        </w:tc>
        <w:tc>
          <w:tcPr>
            <w:tcW w:w="4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100" w:type="dxa"/>
            <w:vAlign w:val="bottom"/>
          </w:tcPr>
          <w:p>
            <w:pPr>
              <w:ind w:left="220"/>
              <w:spacing w:after="0" w:line="156" w:lineRule="exact"/>
              <w:rPr>
                <w:sz w:val="20"/>
                <w:szCs w:val="20"/>
                <w:color w:val="auto"/>
              </w:rPr>
            </w:pPr>
            <w:r>
              <w:rPr>
                <w:rFonts w:ascii="Arial" w:cs="Arial" w:eastAsia="Arial" w:hAnsi="Arial"/>
                <w:sz w:val="15"/>
                <w:szCs w:val="15"/>
                <w:color w:val="auto"/>
              </w:rPr>
              <w:t xml:space="preserve">Deferred compensation plan liabilities </w:t>
            </w:r>
            <w:r>
              <w:rPr>
                <w:rFonts w:ascii="Arial" w:cs="Arial" w:eastAsia="Arial" w:hAnsi="Arial"/>
                <w:sz w:val="12"/>
                <w:szCs w:val="12"/>
                <w:color w:val="auto"/>
              </w:rPr>
              <w:t>(5)</w:t>
            </w:r>
          </w:p>
        </w:tc>
        <w:tc>
          <w:tcPr>
            <w:tcW w:w="3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7.25% unsecured notes </w:t>
            </w:r>
            <w:r>
              <w:rPr>
                <w:rFonts w:ascii="Arial" w:cs="Arial" w:eastAsia="Arial" w:hAnsi="Arial"/>
                <w:sz w:val="12"/>
                <w:szCs w:val="12"/>
                <w:color w:val="auto"/>
              </w:rPr>
              <w:t>(6)</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475,144</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AUD revolving credit borrowing </w:t>
            </w:r>
            <w:r>
              <w:rPr>
                <w:rFonts w:ascii="Arial" w:cs="Arial" w:eastAsia="Arial" w:hAnsi="Arial"/>
                <w:sz w:val="12"/>
                <w:szCs w:val="12"/>
                <w:color w:val="auto"/>
              </w:rPr>
              <w:t>(6)</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46,589</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Interest rate swap </w:t>
            </w:r>
            <w:r>
              <w:rPr>
                <w:rFonts w:ascii="Arial" w:cs="Arial" w:eastAsia="Arial" w:hAnsi="Arial"/>
                <w:sz w:val="12"/>
                <w:szCs w:val="12"/>
                <w:color w:val="auto"/>
              </w:rPr>
              <w:t>(7)</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1,308</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10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586,726</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5"/>
                <w:szCs w:val="15"/>
                <w:b w:val="1"/>
                <w:bCs w:val="1"/>
                <w:color w:val="auto"/>
              </w:rPr>
              <w:t>As of December 31, 2012</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Money market investments </w:t>
            </w:r>
            <w:r>
              <w:rPr>
                <w:rFonts w:ascii="Arial" w:cs="Arial" w:eastAsia="Arial" w:hAnsi="Arial"/>
                <w:sz w:val="12"/>
                <w:szCs w:val="12"/>
                <w:color w:val="auto"/>
              </w:rPr>
              <w:t>(2)</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432,670</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Marketable equity securities </w:t>
            </w:r>
            <w:r>
              <w:rPr>
                <w:rFonts w:ascii="Arial" w:cs="Arial" w:eastAsia="Arial" w:hAnsi="Arial"/>
                <w:sz w:val="12"/>
                <w:szCs w:val="12"/>
                <w:color w:val="auto"/>
              </w:rPr>
              <w:t>(3)</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380,087</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2"/>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Other current investments </w:t>
            </w:r>
            <w:r>
              <w:rPr>
                <w:rFonts w:ascii="Arial" w:cs="Arial" w:eastAsia="Arial" w:hAnsi="Arial"/>
                <w:sz w:val="12"/>
                <w:szCs w:val="12"/>
                <w:color w:val="auto"/>
              </w:rPr>
              <w:t>(4)</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14,134</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24,717</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10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394,221</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457,387</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Deferred compensation plan liabilities </w:t>
            </w:r>
            <w:r>
              <w:rPr>
                <w:rFonts w:ascii="Arial" w:cs="Arial" w:eastAsia="Arial" w:hAnsi="Arial"/>
                <w:sz w:val="12"/>
                <w:szCs w:val="12"/>
                <w:color w:val="auto"/>
              </w:rPr>
              <w:t>(5)</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62,297</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7.25% unsecured notes </w:t>
            </w:r>
            <w:r>
              <w:rPr>
                <w:rFonts w:ascii="Arial" w:cs="Arial" w:eastAsia="Arial" w:hAnsi="Arial"/>
                <w:sz w:val="12"/>
                <w:szCs w:val="12"/>
                <w:color w:val="auto"/>
              </w:rPr>
              <w:t>(6)</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481,424</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AUD revolving credit borrowing </w:t>
            </w:r>
            <w:r>
              <w:rPr>
                <w:rFonts w:ascii="Arial" w:cs="Arial" w:eastAsia="Arial" w:hAnsi="Arial"/>
                <w:sz w:val="12"/>
                <w:szCs w:val="12"/>
                <w:color w:val="auto"/>
              </w:rPr>
              <w:t>(6)</w:t>
            </w:r>
          </w:p>
        </w:tc>
        <w:tc>
          <w:tcPr>
            <w:tcW w:w="340" w:type="dxa"/>
            <w:vAlign w:val="bottom"/>
          </w:tcPr>
          <w:p>
            <w:pPr>
              <w:spacing w:after="0"/>
              <w:rPr>
                <w:sz w:val="15"/>
                <w:szCs w:val="15"/>
                <w:color w:val="auto"/>
              </w:rPr>
            </w:pP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51,915</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00" w:type="dxa"/>
            <w:vAlign w:val="bottom"/>
          </w:tcPr>
          <w:p>
            <w:pPr>
              <w:ind w:left="220"/>
              <w:spacing w:after="0"/>
              <w:rPr>
                <w:sz w:val="20"/>
                <w:szCs w:val="20"/>
                <w:color w:val="auto"/>
              </w:rPr>
            </w:pPr>
            <w:r>
              <w:rPr>
                <w:rFonts w:ascii="Arial" w:cs="Arial" w:eastAsia="Arial" w:hAnsi="Arial"/>
                <w:sz w:val="15"/>
                <w:szCs w:val="15"/>
                <w:color w:val="auto"/>
              </w:rPr>
              <w:t xml:space="preserve">Interest rate swap </w:t>
            </w:r>
            <w:r>
              <w:rPr>
                <w:rFonts w:ascii="Arial" w:cs="Arial" w:eastAsia="Arial" w:hAnsi="Arial"/>
                <w:sz w:val="12"/>
                <w:szCs w:val="12"/>
                <w:color w:val="auto"/>
              </w:rPr>
              <w:t>(7)</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1,567</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100" w:type="dxa"/>
            <w:vAlign w:val="bottom"/>
          </w:tcPr>
          <w:p>
            <w:pPr>
              <w:ind w:left="460"/>
              <w:spacing w:after="0"/>
              <w:rPr>
                <w:sz w:val="20"/>
                <w:szCs w:val="20"/>
                <w:color w:val="auto"/>
              </w:rPr>
            </w:pPr>
            <w:r>
              <w:rPr>
                <w:rFonts w:ascii="Arial" w:cs="Arial" w:eastAsia="Arial" w:hAnsi="Arial"/>
                <w:sz w:val="15"/>
                <w:szCs w:val="15"/>
                <w:b w:val="1"/>
                <w:bCs w:val="1"/>
                <w:color w:val="auto"/>
              </w:rPr>
              <w:t>Total Financial Liabilities</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597,203</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-6350</wp:posOffset>
            </wp:positionV>
            <wp:extent cx="24377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37765" cy="7620"/>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8890</wp:posOffset>
            </wp:positionV>
            <wp:extent cx="24377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37765" cy="7620"/>
                    </a:xfrm>
                    <a:prstGeom prst="rect">
                      <a:avLst/>
                    </a:prstGeom>
                    <a:noFill/>
                  </pic:spPr>
                </pic:pic>
              </a:graphicData>
            </a:graphic>
          </wp:anchor>
        </w:drawing>
      </w:r>
    </w:p>
    <w:p>
      <w:pPr>
        <w:spacing w:after="0" w:line="6" w:lineRule="exact"/>
        <w:rPr>
          <w:sz w:val="20"/>
          <w:szCs w:val="20"/>
          <w:color w:val="auto"/>
        </w:rPr>
      </w:pPr>
    </w:p>
    <w:p>
      <w:pPr>
        <w:ind w:left="10"/>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390" w:hanging="390"/>
        <w:spacing w:after="0"/>
        <w:tabs>
          <w:tab w:leader="none" w:pos="39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Company’s money market investments are included in cash and cash equivalents.</w:t>
      </w:r>
    </w:p>
    <w:p>
      <w:pPr>
        <w:spacing w:after="0" w:line="23" w:lineRule="exact"/>
        <w:rPr>
          <w:rFonts w:ascii="Arial" w:cs="Arial" w:eastAsia="Arial" w:hAnsi="Arial"/>
          <w:sz w:val="12"/>
          <w:szCs w:val="12"/>
          <w:color w:val="auto"/>
        </w:rPr>
      </w:pPr>
    </w:p>
    <w:p>
      <w:pPr>
        <w:ind w:left="390" w:hanging="390"/>
        <w:spacing w:after="0"/>
        <w:tabs>
          <w:tab w:leader="none" w:pos="39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Company’s money market investments are included in cash, cash equivalents and restricted cash.</w:t>
      </w:r>
    </w:p>
    <w:p>
      <w:pPr>
        <w:spacing w:after="0" w:line="10" w:lineRule="exact"/>
        <w:rPr>
          <w:rFonts w:ascii="Arial" w:cs="Arial" w:eastAsia="Arial" w:hAnsi="Arial"/>
          <w:sz w:val="12"/>
          <w:szCs w:val="12"/>
          <w:color w:val="auto"/>
        </w:rPr>
      </w:pPr>
    </w:p>
    <w:p>
      <w:pPr>
        <w:ind w:left="390" w:hanging="390"/>
        <w:spacing w:after="0"/>
        <w:tabs>
          <w:tab w:leader="none" w:pos="39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spacing w:after="0" w:line="10" w:lineRule="exact"/>
        <w:rPr>
          <w:rFonts w:ascii="Arial" w:cs="Arial" w:eastAsia="Arial" w:hAnsi="Arial"/>
          <w:sz w:val="12"/>
          <w:szCs w:val="12"/>
          <w:color w:val="auto"/>
        </w:rPr>
      </w:pPr>
    </w:p>
    <w:p>
      <w:pPr>
        <w:ind w:left="390" w:hanging="390"/>
        <w:spacing w:after="0"/>
        <w:tabs>
          <w:tab w:leader="none" w:pos="39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23" w:lineRule="exact"/>
        <w:rPr>
          <w:rFonts w:ascii="Arial" w:cs="Arial" w:eastAsia="Arial" w:hAnsi="Arial"/>
          <w:sz w:val="12"/>
          <w:szCs w:val="12"/>
          <w:color w:val="auto"/>
        </w:rPr>
      </w:pPr>
    </w:p>
    <w:p>
      <w:pPr>
        <w:ind w:left="410" w:right="20" w:hanging="410"/>
        <w:spacing w:after="0" w:line="248" w:lineRule="auto"/>
        <w:tabs>
          <w:tab w:leader="none" w:pos="39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are included in accrued compensation and related benefits.</w:t>
      </w:r>
    </w:p>
    <w:p>
      <w:pPr>
        <w:ind w:left="390" w:hanging="389"/>
        <w:spacing w:after="0"/>
        <w:tabs>
          <w:tab w:leader="none" w:pos="39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See Note 6 for carrying amount of these notes and borrowing.</w:t>
      </w:r>
    </w:p>
    <w:p>
      <w:pPr>
        <w:spacing w:after="0" w:line="10" w:lineRule="exact"/>
        <w:rPr>
          <w:rFonts w:ascii="Arial" w:cs="Arial" w:eastAsia="Arial" w:hAnsi="Arial"/>
          <w:sz w:val="12"/>
          <w:szCs w:val="12"/>
          <w:color w:val="auto"/>
        </w:rPr>
      </w:pPr>
    </w:p>
    <w:p>
      <w:pPr>
        <w:ind w:left="410" w:hanging="409"/>
        <w:spacing w:after="0" w:line="247" w:lineRule="auto"/>
        <w:tabs>
          <w:tab w:leader="none" w:pos="39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Included in Other liabilities. The Company utilized a market approach model using the notional amount of the interest rate swap multiplied by the observable inputs of time to maturity and marke rates.</w:t>
      </w:r>
    </w:p>
    <w:p>
      <w:pPr>
        <w:spacing w:after="0" w:line="317" w:lineRule="exact"/>
        <w:rPr>
          <w:sz w:val="20"/>
          <w:szCs w:val="20"/>
          <w:color w:val="auto"/>
        </w:rPr>
      </w:pPr>
    </w:p>
    <w:p>
      <w:pPr>
        <w:jc w:val="both"/>
        <w:ind w:left="10"/>
        <w:spacing w:after="0" w:line="233"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units held without consideration of transaction costs. Assets and liabilities that are measured using significant other observable inputs are primarily val by reference to quoted prices of similar assets or liabilities in active markets, adjusted for any terms specific to that asset or liability.</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565" w:right="1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8. EARNINGS PER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earnings per share from continuing operations (basic and diluted) are presented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2"/>
          </w:tcPr>
          <w:p>
            <w:pPr>
              <w:jc w:val="right"/>
              <w:ind w:right="208"/>
              <w:spacing w:after="0"/>
              <w:rPr>
                <w:sz w:val="20"/>
                <w:szCs w:val="20"/>
                <w:color w:val="auto"/>
              </w:rPr>
            </w:pPr>
            <w:r>
              <w:rPr>
                <w:rFonts w:ascii="Arial" w:cs="Arial" w:eastAsia="Arial" w:hAnsi="Arial"/>
                <w:sz w:val="12"/>
                <w:szCs w:val="12"/>
                <w:b w:val="1"/>
                <w:bCs w:val="1"/>
                <w:color w:val="auto"/>
              </w:rPr>
              <w:t>Three Months Ended</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right"/>
              <w:ind w:right="16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51"/>
        </w:trPr>
        <w:tc>
          <w:tcPr>
            <w:tcW w:w="58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2"/>
                <w:szCs w:val="12"/>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 except per share amounts)</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6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c>
          <w:tcPr>
            <w:tcW w:w="6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48"/>
              <w:spacing w:after="0" w:line="129" w:lineRule="exact"/>
              <w:rPr>
                <w:sz w:val="20"/>
                <w:szCs w:val="20"/>
                <w:color w:val="auto"/>
              </w:rPr>
            </w:pPr>
            <w:r>
              <w:rPr>
                <w:rFonts w:ascii="Arial" w:cs="Arial" w:eastAsia="Arial" w:hAnsi="Arial"/>
                <w:sz w:val="12"/>
                <w:szCs w:val="12"/>
                <w:b w:val="1"/>
                <w:bCs w:val="1"/>
                <w:color w:val="auto"/>
              </w:rPr>
              <w:t>2013</w:t>
            </w: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84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 The</w:t>
            </w:r>
          </w:p>
        </w:tc>
        <w:tc>
          <w:tcPr>
            <w:tcW w:w="820" w:type="dxa"/>
            <w:vAlign w:val="bottom"/>
            <w:vMerge w:val="restart"/>
          </w:tcPr>
          <w:p>
            <w:pPr>
              <w:jc w:val="right"/>
              <w:ind w:right="508"/>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56,016</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134,253</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20"/>
              <w:spacing w:after="0" w:line="156" w:lineRule="exact"/>
              <w:rPr>
                <w:sz w:val="20"/>
                <w:szCs w:val="20"/>
                <w:color w:val="auto"/>
              </w:rPr>
            </w:pPr>
            <w:r>
              <w:rPr>
                <w:rFonts w:ascii="Arial" w:cs="Arial" w:eastAsia="Arial" w:hAnsi="Arial"/>
                <w:sz w:val="15"/>
                <w:szCs w:val="15"/>
                <w:color w:val="auto"/>
              </w:rPr>
              <w:t>Washington Post Company common stockholders</w:t>
            </w:r>
          </w:p>
        </w:tc>
        <w:tc>
          <w:tcPr>
            <w:tcW w:w="8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40" w:type="dxa"/>
            <w:vAlign w:val="bottom"/>
          </w:tcPr>
          <w:p>
            <w:pPr>
              <w:jc w:val="right"/>
              <w:ind w:right="528"/>
              <w:spacing w:after="0" w:line="156"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56,257</w:t>
            </w:r>
          </w:p>
        </w:tc>
        <w:tc>
          <w:tcPr>
            <w:tcW w:w="3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4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w:t>
            </w:r>
          </w:p>
        </w:tc>
        <w:tc>
          <w:tcPr>
            <w:tcW w:w="340" w:type="dxa"/>
            <w:vAlign w:val="bottom"/>
          </w:tcPr>
          <w:p>
            <w:pPr>
              <w:jc w:val="right"/>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(1,444)</w:t>
            </w:r>
          </w:p>
        </w:tc>
        <w:tc>
          <w:tcPr>
            <w:tcW w:w="8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(3,462)</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20"/>
                <w:szCs w:val="20"/>
                <w:color w:val="auto"/>
              </w:rPr>
            </w:pPr>
            <w:r>
              <w:rPr>
                <w:rFonts w:ascii="Arial" w:cs="Arial" w:eastAsia="Arial" w:hAnsi="Arial"/>
                <w:sz w:val="15"/>
                <w:szCs w:val="15"/>
                <w:color w:val="auto"/>
              </w:rPr>
              <w:t>Basic income from continuing operations attributable to</w:t>
            </w:r>
          </w:p>
        </w:tc>
        <w:tc>
          <w:tcPr>
            <w:tcW w:w="820" w:type="dxa"/>
            <w:vAlign w:val="bottom"/>
            <w:vMerge w:val="restart"/>
          </w:tcPr>
          <w:p>
            <w:pPr>
              <w:jc w:val="right"/>
              <w:ind w:right="508"/>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54,572</w:t>
            </w:r>
          </w:p>
        </w:tc>
        <w:tc>
          <w:tcPr>
            <w:tcW w:w="840" w:type="dxa"/>
            <w:vAlign w:val="bottom"/>
            <w:vMerge w:val="restart"/>
          </w:tcPr>
          <w:p>
            <w:pPr>
              <w:jc w:val="right"/>
              <w:ind w:right="528"/>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66"/>
              <w:spacing w:after="0"/>
              <w:rPr>
                <w:sz w:val="20"/>
                <w:szCs w:val="20"/>
                <w:color w:val="auto"/>
              </w:rPr>
            </w:pPr>
            <w:r>
              <w:rPr>
                <w:rFonts w:ascii="Arial" w:cs="Arial" w:eastAsia="Arial" w:hAnsi="Arial"/>
                <w:sz w:val="15"/>
                <w:szCs w:val="15"/>
                <w:color w:val="auto"/>
              </w:rPr>
              <w:t>55,140</w:t>
            </w: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130,791</w:t>
            </w:r>
          </w:p>
        </w:tc>
        <w:tc>
          <w:tcPr>
            <w:tcW w:w="42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8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40" w:type="dxa"/>
            <w:vAlign w:val="bottom"/>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1,444</w:t>
            </w: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1,117</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3,462</w:t>
            </w: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20"/>
                <w:szCs w:val="20"/>
                <w:color w:val="auto"/>
              </w:rPr>
            </w:pPr>
            <w:r>
              <w:rPr>
                <w:rFonts w:ascii="Arial" w:cs="Arial" w:eastAsia="Arial" w:hAnsi="Arial"/>
                <w:sz w:val="15"/>
                <w:szCs w:val="15"/>
                <w:color w:val="auto"/>
              </w:rPr>
              <w:t>Diluted income from continuing operations attributable to</w:t>
            </w:r>
          </w:p>
        </w:tc>
        <w:tc>
          <w:tcPr>
            <w:tcW w:w="820" w:type="dxa"/>
            <w:vAlign w:val="bottom"/>
            <w:vMerge w:val="restart"/>
          </w:tcPr>
          <w:p>
            <w:pPr>
              <w:jc w:val="right"/>
              <w:ind w:right="508"/>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56,016</w:t>
            </w:r>
          </w:p>
        </w:tc>
        <w:tc>
          <w:tcPr>
            <w:tcW w:w="840" w:type="dxa"/>
            <w:vAlign w:val="bottom"/>
            <w:vMerge w:val="restart"/>
          </w:tcPr>
          <w:p>
            <w:pPr>
              <w:jc w:val="right"/>
              <w:ind w:right="528"/>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66"/>
              <w:spacing w:after="0"/>
              <w:rPr>
                <w:sz w:val="20"/>
                <w:szCs w:val="20"/>
                <w:color w:val="auto"/>
              </w:rPr>
            </w:pPr>
            <w:r>
              <w:rPr>
                <w:rFonts w:ascii="Arial" w:cs="Arial" w:eastAsia="Arial" w:hAnsi="Arial"/>
                <w:sz w:val="15"/>
                <w:szCs w:val="15"/>
                <w:color w:val="auto"/>
              </w:rPr>
              <w:t>56,257</w:t>
            </w: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134,253</w:t>
            </w:r>
          </w:p>
        </w:tc>
        <w:tc>
          <w:tcPr>
            <w:tcW w:w="42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8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5"/>
                <w:szCs w:val="15"/>
                <w:color w:val="auto"/>
              </w:rPr>
              <w:t>Basic weighted average shares outstanding</w:t>
            </w:r>
          </w:p>
        </w:tc>
        <w:tc>
          <w:tcPr>
            <w:tcW w:w="820" w:type="dxa"/>
            <w:vAlign w:val="bottom"/>
          </w:tcPr>
          <w:p>
            <w:pPr>
              <w:spacing w:after="0"/>
              <w:rPr>
                <w:sz w:val="20"/>
                <w:szCs w:val="20"/>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b w:val="1"/>
                <w:bCs w:val="1"/>
                <w:color w:val="auto"/>
              </w:rPr>
              <w:t>7,231</w:t>
            </w:r>
          </w:p>
        </w:tc>
        <w:tc>
          <w:tcPr>
            <w:tcW w:w="840" w:type="dxa"/>
            <w:vAlign w:val="bottom"/>
          </w:tcPr>
          <w:p>
            <w:pPr>
              <w:spacing w:after="0"/>
              <w:rPr>
                <w:sz w:val="20"/>
                <w:szCs w:val="20"/>
                <w:color w:val="auto"/>
              </w:rPr>
            </w:pPr>
          </w:p>
        </w:tc>
        <w:tc>
          <w:tcPr>
            <w:tcW w:w="640" w:type="dxa"/>
            <w:vAlign w:val="bottom"/>
          </w:tcPr>
          <w:p>
            <w:pPr>
              <w:jc w:val="right"/>
              <w:ind w:right="66"/>
              <w:spacing w:after="0"/>
              <w:rPr>
                <w:sz w:val="20"/>
                <w:szCs w:val="20"/>
                <w:color w:val="auto"/>
              </w:rPr>
            </w:pPr>
            <w:r>
              <w:rPr>
                <w:rFonts w:ascii="Arial" w:cs="Arial" w:eastAsia="Arial" w:hAnsi="Arial"/>
                <w:sz w:val="15"/>
                <w:szCs w:val="15"/>
                <w:color w:val="auto"/>
              </w:rPr>
              <w:t>7,272</w:t>
            </w:r>
          </w:p>
        </w:tc>
        <w:tc>
          <w:tcPr>
            <w:tcW w:w="360" w:type="dxa"/>
            <w:vAlign w:val="bottom"/>
          </w:tcPr>
          <w:p>
            <w:pPr>
              <w:spacing w:after="0"/>
              <w:rPr>
                <w:sz w:val="20"/>
                <w:szCs w:val="20"/>
                <w:color w:val="auto"/>
              </w:rPr>
            </w:pPr>
          </w:p>
        </w:tc>
        <w:tc>
          <w:tcPr>
            <w:tcW w:w="1000" w:type="dxa"/>
            <w:vAlign w:val="bottom"/>
          </w:tcPr>
          <w:p>
            <w:pPr>
              <w:jc w:val="right"/>
              <w:ind w:right="88"/>
              <w:spacing w:after="0"/>
              <w:rPr>
                <w:sz w:val="20"/>
                <w:szCs w:val="20"/>
                <w:color w:val="auto"/>
              </w:rPr>
            </w:pPr>
            <w:r>
              <w:rPr>
                <w:rFonts w:ascii="Arial" w:cs="Arial" w:eastAsia="Arial" w:hAnsi="Arial"/>
                <w:sz w:val="15"/>
                <w:szCs w:val="15"/>
                <w:b w:val="1"/>
                <w:bCs w:val="1"/>
                <w:color w:val="auto"/>
              </w:rPr>
              <w:t>7,229</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40" w:type="dxa"/>
            <w:vAlign w:val="bottom"/>
          </w:tcPr>
          <w:p>
            <w:pPr>
              <w:spacing w:after="0"/>
              <w:rPr>
                <w:sz w:val="20"/>
                <w:szCs w:val="20"/>
                <w:color w:val="auto"/>
              </w:rPr>
            </w:pPr>
            <w:r>
              <w:rPr>
                <w:rFonts w:ascii="Arial" w:cs="Arial" w:eastAsia="Arial" w:hAnsi="Arial"/>
                <w:sz w:val="15"/>
                <w:szCs w:val="15"/>
                <w:color w:val="auto"/>
              </w:rPr>
              <w:t>Plus: Effect of dilutive shares</w:t>
            </w:r>
          </w:p>
        </w:tc>
        <w:tc>
          <w:tcPr>
            <w:tcW w:w="820" w:type="dxa"/>
            <w:vAlign w:val="bottom"/>
          </w:tcPr>
          <w:p>
            <w:pPr>
              <w:spacing w:after="0"/>
              <w:rPr>
                <w:sz w:val="15"/>
                <w:szCs w:val="15"/>
                <w:color w:val="auto"/>
              </w:rPr>
            </w:pP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15</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8</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20"/>
              <w:spacing w:after="0" w:line="156" w:lineRule="exact"/>
              <w:rPr>
                <w:sz w:val="20"/>
                <w:szCs w:val="20"/>
                <w:color w:val="auto"/>
              </w:rPr>
            </w:pPr>
            <w:r>
              <w:rPr>
                <w:rFonts w:ascii="Arial" w:cs="Arial" w:eastAsia="Arial" w:hAnsi="Arial"/>
                <w:sz w:val="15"/>
                <w:szCs w:val="15"/>
                <w:color w:val="auto"/>
              </w:rPr>
              <w:t>Stock options</w:t>
            </w:r>
          </w:p>
        </w:tc>
        <w:tc>
          <w:tcPr>
            <w:tcW w:w="8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40" w:type="dxa"/>
            <w:vAlign w:val="bottom"/>
          </w:tcPr>
          <w:p>
            <w:pPr>
              <w:ind w:left="220"/>
              <w:spacing w:after="0"/>
              <w:rPr>
                <w:sz w:val="20"/>
                <w:szCs w:val="20"/>
                <w:color w:val="auto"/>
              </w:rPr>
            </w:pPr>
            <w:r>
              <w:rPr>
                <w:rFonts w:ascii="Arial" w:cs="Arial" w:eastAsia="Arial" w:hAnsi="Arial"/>
                <w:sz w:val="15"/>
                <w:szCs w:val="15"/>
                <w:color w:val="auto"/>
              </w:rPr>
              <w:t>Restricted stock</w:t>
            </w: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91</w:t>
            </w:r>
          </w:p>
        </w:tc>
        <w:tc>
          <w:tcPr>
            <w:tcW w:w="8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104</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79</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40" w:type="dxa"/>
            <w:vAlign w:val="bottom"/>
          </w:tcPr>
          <w:p>
            <w:pPr>
              <w:spacing w:after="0" w:line="167" w:lineRule="exact"/>
              <w:rPr>
                <w:sz w:val="20"/>
                <w:szCs w:val="20"/>
                <w:color w:val="auto"/>
              </w:rPr>
            </w:pPr>
            <w:r>
              <w:rPr>
                <w:rFonts w:ascii="Arial" w:cs="Arial" w:eastAsia="Arial" w:hAnsi="Arial"/>
                <w:sz w:val="15"/>
                <w:szCs w:val="15"/>
                <w:color w:val="auto"/>
              </w:rPr>
              <w:t>Diluted weighted average shares outstanding</w:t>
            </w:r>
          </w:p>
        </w:tc>
        <w:tc>
          <w:tcPr>
            <w:tcW w:w="8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7,337</w:t>
            </w: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7,376</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7,316</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Income Per Share from Continuing Operations Attributable</w:t>
            </w: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40" w:type="dxa"/>
            <w:vAlign w:val="bottom"/>
          </w:tcPr>
          <w:p>
            <w:pPr>
              <w:ind w:left="220"/>
              <w:spacing w:after="0"/>
              <w:rPr>
                <w:sz w:val="20"/>
                <w:szCs w:val="20"/>
                <w:color w:val="auto"/>
              </w:rPr>
            </w:pPr>
            <w:r>
              <w:rPr>
                <w:rFonts w:ascii="Arial" w:cs="Arial" w:eastAsia="Arial" w:hAnsi="Arial"/>
                <w:sz w:val="15"/>
                <w:szCs w:val="15"/>
                <w:b w:val="1"/>
                <w:bCs w:val="1"/>
                <w:color w:val="auto"/>
              </w:rPr>
              <w:t>to The Washington Post Company Common Stockholders:</w:t>
            </w:r>
          </w:p>
        </w:tc>
        <w:tc>
          <w:tcPr>
            <w:tcW w:w="820" w:type="dxa"/>
            <w:vAlign w:val="bottom"/>
            <w:vMerge w:val="restart"/>
          </w:tcPr>
          <w:p>
            <w:pPr>
              <w:jc w:val="right"/>
              <w:ind w:right="508"/>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7.55</w:t>
            </w:r>
          </w:p>
        </w:tc>
        <w:tc>
          <w:tcPr>
            <w:tcW w:w="840" w:type="dxa"/>
            <w:vAlign w:val="bottom"/>
            <w:vMerge w:val="restart"/>
          </w:tcPr>
          <w:p>
            <w:pPr>
              <w:jc w:val="right"/>
              <w:ind w:right="528"/>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66"/>
              <w:spacing w:after="0"/>
              <w:rPr>
                <w:sz w:val="20"/>
                <w:szCs w:val="20"/>
                <w:color w:val="auto"/>
              </w:rPr>
            </w:pPr>
            <w:r>
              <w:rPr>
                <w:rFonts w:ascii="Arial" w:cs="Arial" w:eastAsia="Arial" w:hAnsi="Arial"/>
                <w:sz w:val="15"/>
                <w:szCs w:val="15"/>
                <w:color w:val="auto"/>
              </w:rPr>
              <w:t>7.58</w:t>
            </w:r>
          </w:p>
        </w:tc>
        <w:tc>
          <w:tcPr>
            <w:tcW w:w="3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18.09</w:t>
            </w:r>
          </w:p>
        </w:tc>
        <w:tc>
          <w:tcPr>
            <w:tcW w:w="42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840" w:type="dxa"/>
            <w:vAlign w:val="bottom"/>
          </w:tcPr>
          <w:p>
            <w:pPr>
              <w:ind w:left="460"/>
              <w:spacing w:after="0" w:line="167" w:lineRule="exact"/>
              <w:rPr>
                <w:sz w:val="20"/>
                <w:szCs w:val="20"/>
                <w:color w:val="auto"/>
              </w:rPr>
            </w:pPr>
            <w:r>
              <w:rPr>
                <w:rFonts w:ascii="Arial" w:cs="Arial" w:eastAsia="Arial" w:hAnsi="Arial"/>
                <w:sz w:val="15"/>
                <w:szCs w:val="15"/>
                <w:color w:val="auto"/>
              </w:rPr>
              <w:t>Basic</w:t>
            </w:r>
          </w:p>
        </w:tc>
        <w:tc>
          <w:tcPr>
            <w:tcW w:w="8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tcPr>
          <w:p>
            <w:pPr>
              <w:ind w:left="460"/>
              <w:spacing w:after="0" w:line="151" w:lineRule="exact"/>
              <w:rPr>
                <w:sz w:val="20"/>
                <w:szCs w:val="20"/>
                <w:color w:val="auto"/>
              </w:rPr>
            </w:pPr>
            <w:r>
              <w:rPr>
                <w:rFonts w:ascii="Arial" w:cs="Arial" w:eastAsia="Arial" w:hAnsi="Arial"/>
                <w:sz w:val="15"/>
                <w:szCs w:val="15"/>
                <w:color w:val="auto"/>
              </w:rPr>
              <w:t>Diluted</w:t>
            </w:r>
          </w:p>
        </w:tc>
        <w:tc>
          <w:tcPr>
            <w:tcW w:w="820" w:type="dxa"/>
            <w:vAlign w:val="bottom"/>
            <w:tcBorders>
              <w:bottom w:val="single" w:sz="8" w:color="auto"/>
            </w:tcBorders>
          </w:tcPr>
          <w:p>
            <w:pPr>
              <w:jc w:val="right"/>
              <w:ind w:right="508"/>
              <w:spacing w:after="0" w:line="151"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7.53</w:t>
            </w:r>
          </w:p>
        </w:tc>
        <w:tc>
          <w:tcPr>
            <w:tcW w:w="840" w:type="dxa"/>
            <w:vAlign w:val="bottom"/>
            <w:tcBorders>
              <w:bottom w:val="single" w:sz="8" w:color="auto"/>
            </w:tcBorders>
          </w:tcPr>
          <w:p>
            <w:pPr>
              <w:jc w:val="right"/>
              <w:ind w:right="528"/>
              <w:spacing w:after="0" w:line="151"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color w:val="auto"/>
              </w:rPr>
              <w:t>7.58</w:t>
            </w:r>
          </w:p>
        </w:tc>
        <w:tc>
          <w:tcPr>
            <w:tcW w:w="36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8"/>
              <w:spacing w:after="0" w:line="151" w:lineRule="exact"/>
              <w:rPr>
                <w:sz w:val="20"/>
                <w:szCs w:val="20"/>
                <w:color w:val="auto"/>
              </w:rPr>
            </w:pPr>
            <w:r>
              <w:rPr>
                <w:rFonts w:ascii="Arial" w:cs="Arial" w:eastAsia="Arial" w:hAnsi="Arial"/>
                <w:sz w:val="15"/>
                <w:szCs w:val="15"/>
                <w:b w:val="1"/>
                <w:bCs w:val="1"/>
                <w:color w:val="auto"/>
              </w:rPr>
              <w:t>18.07</w:t>
            </w:r>
          </w:p>
        </w:tc>
        <w:tc>
          <w:tcPr>
            <w:tcW w:w="420" w:type="dxa"/>
            <w:vAlign w:val="bottom"/>
            <w:tcBorders>
              <w:bottom w:val="single" w:sz="8" w:color="auto"/>
            </w:tcBorders>
          </w:tcPr>
          <w:p>
            <w:pPr>
              <w:jc w:val="right"/>
              <w:ind w:right="126"/>
              <w:spacing w:after="0" w:line="151"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For the three and nine months ended September 30, 2013 and 2012, the basic earnings per share computed under the two-class method is lower tha diluted earnings per share computed under the treasury stock method for participating securities, resulting in the presentation of the lower amount in d earnings per share. The diluted earnings per share amounts for the three and nine months ended September 30, 2013 exclude the effects of 13,000 a 63,000 stock options outstanding, respectively, as their inclusion would have been antidilutive. The diluted earnings per share amounts for the three a nine months ended September 30, 2013 exclude the effects of 8,800 restricted stock awards, as their inclusion would have been antidilutive. The dilut earnings per share amounts for the three and nine months ended September 30, 2012 exclude the effects of 123,494 and 111,994 stock options outstanding, respectively, as their inclusion would have been antidilutive. The diluted earnings per share amounts for the three and nine months ended September 30, 2012 exclude the effects of 51,500 restricted stock awards, as their inclusion would have been antidilutive.</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the three and nine months ended September 30, 2012, the Company declared regular dividends totaling $2.45 and $9.80 per share, respectively. In December 2012, the Company declared and paid an accelerated cash dividend totaling $9.80 per share, in lieu of regular quarterly dividends that the Company otherwise would have declared and paid in calendar year 2013.</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PENSION AND POSTRETIREMENT PLANS</w:t>
      </w:r>
    </w:p>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color w:val="auto"/>
        </w:rPr>
        <w:t xml:space="preserve">Defined Benefit Plans. </w:t>
      </w:r>
      <w:r>
        <w:rPr>
          <w:rFonts w:ascii="Arial" w:cs="Arial" w:eastAsia="Arial" w:hAnsi="Arial"/>
          <w:sz w:val="17"/>
          <w:szCs w:val="17"/>
          <w:color w:val="auto"/>
        </w:rPr>
        <w:t>The total cost arising from the Company’s defined benefit pension plans, including a portion included in discontinued operatio</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the 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3"/>
          </w:tcPr>
          <w:p>
            <w:pPr>
              <w:jc w:val="center"/>
              <w:ind w:right="267"/>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Pr>
          <w:p>
            <w:pPr>
              <w:spacing w:after="0"/>
              <w:rPr>
                <w:sz w:val="12"/>
                <w:szCs w:val="12"/>
                <w:color w:val="auto"/>
              </w:rPr>
            </w:pPr>
          </w:p>
        </w:tc>
        <w:tc>
          <w:tcPr>
            <w:tcW w:w="1860" w:type="dxa"/>
            <w:vAlign w:val="bottom"/>
            <w:gridSpan w:val="2"/>
          </w:tcPr>
          <w:p>
            <w:pPr>
              <w:jc w:val="right"/>
              <w:ind w:right="229"/>
              <w:spacing w:after="0"/>
              <w:rPr>
                <w:sz w:val="20"/>
                <w:szCs w:val="20"/>
                <w:color w:val="auto"/>
              </w:rPr>
            </w:pPr>
            <w:r>
              <w:rPr>
                <w:rFonts w:ascii="Arial" w:cs="Arial" w:eastAsia="Arial" w:hAnsi="Arial"/>
                <w:sz w:val="12"/>
                <w:szCs w:val="12"/>
                <w:b w:val="1"/>
                <w:bCs w:val="1"/>
                <w:color w:val="auto"/>
              </w:rPr>
              <w:t>Nine Months Ended</w:t>
            </w:r>
          </w:p>
        </w:tc>
      </w:tr>
      <w:tr>
        <w:trPr>
          <w:trHeight w:val="151"/>
        </w:trPr>
        <w:tc>
          <w:tcPr>
            <w:tcW w:w="57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left="549"/>
              <w:spacing w:after="0"/>
              <w:rPr>
                <w:sz w:val="20"/>
                <w:szCs w:val="20"/>
                <w:color w:val="auto"/>
              </w:rPr>
            </w:pPr>
            <w:r>
              <w:rPr>
                <w:rFonts w:ascii="Arial" w:cs="Arial" w:eastAsia="Arial" w:hAnsi="Arial"/>
                <w:sz w:val="12"/>
                <w:szCs w:val="12"/>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jc w:val="right"/>
              <w:ind w:right="389"/>
              <w:spacing w:after="0"/>
              <w:rPr>
                <w:sz w:val="20"/>
                <w:szCs w:val="20"/>
                <w:color w:val="auto"/>
              </w:rPr>
            </w:pPr>
            <w:r>
              <w:rPr>
                <w:rFonts w:ascii="Arial" w:cs="Arial" w:eastAsia="Arial" w:hAnsi="Arial"/>
                <w:sz w:val="12"/>
                <w:szCs w:val="12"/>
                <w:b w:val="1"/>
                <w:bCs w:val="1"/>
                <w:color w:val="auto"/>
              </w:rPr>
              <w:t>September 30,</w:t>
            </w:r>
          </w:p>
        </w:tc>
      </w:tr>
      <w:tr>
        <w:trPr>
          <w:trHeight w:val="129"/>
        </w:trPr>
        <w:tc>
          <w:tcPr>
            <w:tcW w:w="57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29"/>
              <w:spacing w:after="0" w:line="129" w:lineRule="exact"/>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27"/>
              <w:spacing w:after="0" w:line="129" w:lineRule="exact"/>
              <w:rPr>
                <w:sz w:val="20"/>
                <w:szCs w:val="20"/>
                <w:color w:val="auto"/>
              </w:rPr>
            </w:pPr>
            <w:r>
              <w:rPr>
                <w:rFonts w:ascii="Arial" w:cs="Arial" w:eastAsia="Arial" w:hAnsi="Arial"/>
                <w:sz w:val="12"/>
                <w:szCs w:val="12"/>
                <w:color w:val="auto"/>
              </w:rPr>
              <w:t>2012</w:t>
            </w: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29"/>
              <w:spacing w:after="0" w:line="129" w:lineRule="exact"/>
              <w:rPr>
                <w:sz w:val="20"/>
                <w:szCs w:val="20"/>
                <w:color w:val="auto"/>
              </w:rPr>
            </w:pPr>
            <w:r>
              <w:rPr>
                <w:rFonts w:ascii="Arial" w:cs="Arial" w:eastAsia="Arial" w:hAnsi="Arial"/>
                <w:sz w:val="12"/>
                <w:szCs w:val="12"/>
                <w:b w:val="1"/>
                <w:bCs w:val="1"/>
                <w:color w:val="auto"/>
              </w:rPr>
              <w:t>2013</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320" w:type="dxa"/>
            <w:vAlign w:val="bottom"/>
          </w:tcPr>
          <w:p>
            <w:pPr>
              <w:jc w:val="right"/>
              <w:ind w:right="166"/>
              <w:spacing w:after="0" w:line="150" w:lineRule="exact"/>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12,713</w:t>
            </w:r>
          </w:p>
        </w:tc>
        <w:tc>
          <w:tcPr>
            <w:tcW w:w="520" w:type="dxa"/>
            <w:vAlign w:val="bottom"/>
          </w:tcPr>
          <w:p>
            <w:pPr>
              <w:jc w:val="right"/>
              <w:ind w:right="146"/>
              <w:spacing w:after="0" w:line="150"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7"/>
              <w:spacing w:after="0" w:line="150" w:lineRule="exact"/>
              <w:rPr>
                <w:sz w:val="20"/>
                <w:szCs w:val="20"/>
                <w:color w:val="auto"/>
              </w:rPr>
            </w:pPr>
            <w:r>
              <w:rPr>
                <w:rFonts w:ascii="Arial" w:cs="Arial" w:eastAsia="Arial" w:hAnsi="Arial"/>
                <w:sz w:val="15"/>
                <w:szCs w:val="15"/>
                <w:color w:val="auto"/>
              </w:rPr>
              <w:t>10,876</w:t>
            </w:r>
          </w:p>
        </w:tc>
        <w:tc>
          <w:tcPr>
            <w:tcW w:w="460" w:type="dxa"/>
            <w:vAlign w:val="bottom"/>
          </w:tcPr>
          <w:p>
            <w:pPr>
              <w:jc w:val="right"/>
              <w:ind w:right="86"/>
              <w:spacing w:after="0" w:line="150" w:lineRule="exact"/>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38,788</w:t>
            </w:r>
          </w:p>
        </w:tc>
        <w:tc>
          <w:tcPr>
            <w:tcW w:w="840" w:type="dxa"/>
            <w:vAlign w:val="bottom"/>
          </w:tcPr>
          <w:p>
            <w:pPr>
              <w:jc w:val="right"/>
              <w:ind w:right="469"/>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14,242</w:t>
            </w:r>
          </w:p>
        </w:tc>
        <w:tc>
          <w:tcPr>
            <w:tcW w:w="52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14,828</w:t>
            </w:r>
          </w:p>
        </w:tc>
        <w:tc>
          <w:tcPr>
            <w:tcW w:w="46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5"/>
                <w:szCs w:val="15"/>
                <w:b w:val="1"/>
                <w:bCs w:val="1"/>
                <w:color w:val="auto"/>
              </w:rPr>
              <w:t>42,776</w:t>
            </w:r>
          </w:p>
        </w:tc>
        <w:tc>
          <w:tcPr>
            <w:tcW w:w="8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Expected return on assets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(26,817)</w:t>
            </w:r>
          </w:p>
        </w:tc>
        <w:tc>
          <w:tcPr>
            <w:tcW w:w="52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(23,779)</w:t>
            </w:r>
          </w:p>
        </w:tc>
        <w:tc>
          <w:tcPr>
            <w:tcW w:w="46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5"/>
                <w:szCs w:val="15"/>
                <w:b w:val="1"/>
                <w:bCs w:val="1"/>
                <w:color w:val="auto"/>
              </w:rPr>
              <w:t>(78,606)</w:t>
            </w: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908</w:t>
            </w:r>
          </w:p>
        </w:tc>
        <w:tc>
          <w:tcPr>
            <w:tcW w:w="52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919</w:t>
            </w:r>
          </w:p>
        </w:tc>
        <w:tc>
          <w:tcPr>
            <w:tcW w:w="46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5"/>
                <w:szCs w:val="15"/>
                <w:b w:val="1"/>
                <w:bCs w:val="1"/>
                <w:color w:val="auto"/>
              </w:rPr>
              <w:t>2,726</w:t>
            </w:r>
          </w:p>
        </w:tc>
        <w:tc>
          <w:tcPr>
            <w:tcW w:w="840" w:type="dxa"/>
            <w:vAlign w:val="bottom"/>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1,797</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2,502</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5,741</w:t>
            </w:r>
          </w:p>
        </w:tc>
        <w:tc>
          <w:tcPr>
            <w:tcW w:w="840" w:type="dxa"/>
            <w:vAlign w:val="bottom"/>
            <w:tcBorders>
              <w:bottom w:val="single" w:sz="8" w:color="auto"/>
            </w:tcBorders>
          </w:tcPr>
          <w:p>
            <w:pPr>
              <w:spacing w:after="0"/>
              <w:rPr>
                <w:sz w:val="16"/>
                <w:szCs w:val="16"/>
                <w:color w:val="auto"/>
              </w:rPr>
            </w:pP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Cost</w:t>
            </w:r>
          </w:p>
        </w:tc>
        <w:tc>
          <w:tcPr>
            <w:tcW w:w="32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2,843</w:t>
            </w:r>
          </w:p>
        </w:tc>
        <w:tc>
          <w:tcPr>
            <w:tcW w:w="520" w:type="dxa"/>
            <w:vAlign w:val="bottom"/>
          </w:tcPr>
          <w:p>
            <w:pPr>
              <w:spacing w:after="0"/>
              <w:rPr>
                <w:sz w:val="13"/>
                <w:szCs w:val="13"/>
                <w:color w:val="auto"/>
              </w:rPr>
            </w:pPr>
          </w:p>
        </w:tc>
        <w:tc>
          <w:tcPr>
            <w:tcW w:w="960" w:type="dxa"/>
            <w:vAlign w:val="bottom"/>
          </w:tcPr>
          <w:p>
            <w:pPr>
              <w:jc w:val="right"/>
              <w:ind w:right="7"/>
              <w:spacing w:after="0" w:line="150" w:lineRule="exact"/>
              <w:rPr>
                <w:sz w:val="20"/>
                <w:szCs w:val="20"/>
                <w:color w:val="auto"/>
              </w:rPr>
            </w:pPr>
            <w:r>
              <w:rPr>
                <w:rFonts w:ascii="Arial" w:cs="Arial" w:eastAsia="Arial" w:hAnsi="Arial"/>
                <w:sz w:val="15"/>
                <w:szCs w:val="15"/>
                <w:color w:val="auto"/>
              </w:rPr>
              <w:t>5,346</w:t>
            </w:r>
          </w:p>
        </w:tc>
        <w:tc>
          <w:tcPr>
            <w:tcW w:w="460" w:type="dxa"/>
            <w:vAlign w:val="bottom"/>
          </w:tcPr>
          <w:p>
            <w:pPr>
              <w:spacing w:after="0"/>
              <w:rPr>
                <w:sz w:val="13"/>
                <w:szCs w:val="13"/>
                <w:color w:val="auto"/>
              </w:rPr>
            </w:pPr>
          </w:p>
        </w:tc>
        <w:tc>
          <w:tcPr>
            <w:tcW w:w="102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11,425</w:t>
            </w:r>
          </w:p>
        </w:tc>
        <w:tc>
          <w:tcPr>
            <w:tcW w:w="840" w:type="dxa"/>
            <w:vAlign w:val="bottom"/>
          </w:tcPr>
          <w:p>
            <w:pPr>
              <w:spacing w:after="0"/>
              <w:rPr>
                <w:sz w:val="13"/>
                <w:szCs w:val="13"/>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Early retirement programs expense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7,486</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22,700</w:t>
            </w:r>
          </w:p>
        </w:tc>
        <w:tc>
          <w:tcPr>
            <w:tcW w:w="84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w:t>
            </w:r>
          </w:p>
        </w:tc>
        <w:tc>
          <w:tcPr>
            <w:tcW w:w="32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2,843</w:t>
            </w:r>
          </w:p>
        </w:tc>
        <w:tc>
          <w:tcPr>
            <w:tcW w:w="520" w:type="dxa"/>
            <w:vAlign w:val="bottom"/>
            <w:tcBorders>
              <w:bottom w:val="single" w:sz="8" w:color="auto"/>
            </w:tcBorders>
          </w:tcPr>
          <w:p>
            <w:pPr>
              <w:jc w:val="right"/>
              <w:ind w:right="28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12,832</w:t>
            </w:r>
          </w:p>
        </w:tc>
        <w:tc>
          <w:tcPr>
            <w:tcW w:w="46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34,125</w:t>
            </w:r>
          </w:p>
        </w:tc>
        <w:tc>
          <w:tcPr>
            <w:tcW w:w="840" w:type="dxa"/>
            <w:vAlign w:val="bottom"/>
            <w:tcBorders>
              <w:bottom w:val="single" w:sz="8" w:color="auto"/>
            </w:tcBorders>
          </w:tcPr>
          <w:p>
            <w:pPr>
              <w:jc w:val="right"/>
              <w:ind w:right="609"/>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total cost above includes $5.6 million and $42.2 million in costs associated with the Publishing Subsidiaries that are included in discontinued oper for the three and nine months ended September 30, 2013, respectively. For the three and nine months ended September 30, 2012, the costs associat with the Publishing Subsidiaries were $13.9 million and $26.3 million, respectively.</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18" w:name="page19"/>
    <w:bookmarkEnd w:id="18"/>
    <w:p>
      <w:pPr>
        <w:spacing w:after="0" w:line="230" w:lineRule="auto"/>
        <w:rPr>
          <w:sz w:val="20"/>
          <w:szCs w:val="20"/>
          <w:color w:val="auto"/>
        </w:rPr>
      </w:pPr>
      <w:r>
        <w:rPr>
          <w:rFonts w:ascii="Arial" w:cs="Arial" w:eastAsia="Arial" w:hAnsi="Arial"/>
          <w:sz w:val="17"/>
          <w:szCs w:val="17"/>
          <w:color w:val="auto"/>
        </w:rPr>
        <w:t>The Company announced a Voluntary Retirement Incentive Program in February 2013, which was offered to certain employees of the Washington Po newspaper. The total early retirement program expense for this program for the nine months ended September 30, 2013 was $ 20.4 million. Of this am $12.0 million was recorded in the first quarter of 2013 and $8.4 million was recorded in the second quarter of 2013. In addition, the Washington Post newspaper recorded $2.3 million in special separation benefits for a group of employees in the first quarter of 2013. The early retirement program exp and special separation benefits for these programs are being funded from the assets of the Company’s pension plan and are included in discontinued operations, net of tax, in 2013.</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third quarter of 2012, the Company offered a Voluntary Retirement Incentive Program to certain employees of The Washington Post newspaper recorded early retirement program expense of $7.5 million. In the first quarter of 2012, the Company offered a Voluntary Retirement Incentive Program certain employees of Post-Newsweek Media and recorded early retirement program expense of $1.0 million. The early retirement program expense fo these programs was funded from the assets of the Company’s pension plan and are included in discontinued operations, net of tax, in 2012.</w:t>
      </w:r>
    </w:p>
    <w:p>
      <w:pPr>
        <w:spacing w:after="0" w:line="17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total cost arising from the Company’s Supplemental Executive Retirement Plan (SERP), including a portion included in discontinued operations, consists of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gridSpan w:val="2"/>
          </w:tcPr>
          <w:p>
            <w:pPr>
              <w:jc w:val="right"/>
              <w:ind w:right="250"/>
              <w:spacing w:after="0"/>
              <w:rPr>
                <w:sz w:val="20"/>
                <w:szCs w:val="20"/>
                <w:color w:val="auto"/>
              </w:rPr>
            </w:pPr>
            <w:r>
              <w:rPr>
                <w:rFonts w:ascii="Arial" w:cs="Arial" w:eastAsia="Arial" w:hAnsi="Arial"/>
                <w:sz w:val="12"/>
                <w:szCs w:val="12"/>
                <w:b w:val="1"/>
                <w:bCs w:val="1"/>
                <w:color w:val="auto"/>
              </w:rPr>
              <w:t>Three Months Ended</w:t>
            </w:r>
          </w:p>
        </w:tc>
        <w:tc>
          <w:tcPr>
            <w:tcW w:w="600" w:type="dxa"/>
            <w:vAlign w:val="bottom"/>
          </w:tcPr>
          <w:p>
            <w:pPr>
              <w:spacing w:after="0"/>
              <w:rPr>
                <w:sz w:val="12"/>
                <w:szCs w:val="12"/>
                <w:color w:val="auto"/>
              </w:rPr>
            </w:pPr>
          </w:p>
        </w:tc>
        <w:tc>
          <w:tcPr>
            <w:tcW w:w="2240" w:type="dxa"/>
            <w:vAlign w:val="bottom"/>
            <w:gridSpan w:val="3"/>
          </w:tcPr>
          <w:p>
            <w:pPr>
              <w:jc w:val="right"/>
              <w:ind w:right="230"/>
              <w:spacing w:after="0"/>
              <w:rPr>
                <w:sz w:val="20"/>
                <w:szCs w:val="20"/>
                <w:color w:val="auto"/>
              </w:rPr>
            </w:pPr>
            <w:r>
              <w:rPr>
                <w:rFonts w:ascii="Arial" w:cs="Arial" w:eastAsia="Arial" w:hAnsi="Arial"/>
                <w:sz w:val="12"/>
                <w:szCs w:val="12"/>
                <w:b w:val="1"/>
                <w:bCs w:val="1"/>
                <w:color w:val="auto"/>
              </w:rPr>
              <w:t>Nine Months Ended</w:t>
            </w:r>
          </w:p>
        </w:tc>
      </w:tr>
      <w:tr>
        <w:trPr>
          <w:trHeight w:val="151"/>
        </w:trPr>
        <w:tc>
          <w:tcPr>
            <w:tcW w:w="5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2"/>
                <w:szCs w:val="12"/>
                <w:b w:val="1"/>
                <w:bCs w:val="1"/>
                <w:color w:val="auto"/>
              </w:rPr>
              <w:t>September 30,</w:t>
            </w: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2"/>
                <w:szCs w:val="12"/>
                <w:b w:val="1"/>
                <w:bCs w:val="1"/>
                <w:color w:val="auto"/>
              </w:rPr>
              <w:t>September 30,</w:t>
            </w:r>
          </w:p>
        </w:tc>
      </w:tr>
      <w:tr>
        <w:trPr>
          <w:trHeight w:val="129"/>
        </w:trPr>
        <w:tc>
          <w:tcPr>
            <w:tcW w:w="57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6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0"/>
              <w:spacing w:after="0" w:line="129" w:lineRule="exact"/>
              <w:rPr>
                <w:sz w:val="20"/>
                <w:szCs w:val="20"/>
                <w:color w:val="auto"/>
              </w:rPr>
            </w:pPr>
            <w:r>
              <w:rPr>
                <w:rFonts w:ascii="Arial" w:cs="Arial" w:eastAsia="Arial" w:hAnsi="Arial"/>
                <w:sz w:val="12"/>
                <w:szCs w:val="12"/>
                <w:color w:val="auto"/>
              </w:rPr>
              <w:t>2012</w:t>
            </w: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line="129" w:lineRule="exact"/>
              <w:rPr>
                <w:sz w:val="20"/>
                <w:szCs w:val="20"/>
                <w:color w:val="auto"/>
              </w:rPr>
            </w:pPr>
            <w:r>
              <w:rPr>
                <w:rFonts w:ascii="Arial" w:cs="Arial" w:eastAsia="Arial" w:hAnsi="Arial"/>
                <w:sz w:val="12"/>
                <w:szCs w:val="12"/>
                <w:b w:val="1"/>
                <w:bCs w:val="1"/>
                <w:color w:val="auto"/>
              </w:rPr>
              <w:t>2013</w:t>
            </w:r>
          </w:p>
        </w:tc>
        <w:tc>
          <w:tcPr>
            <w:tcW w:w="6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820" w:type="dxa"/>
            <w:vAlign w:val="bottom"/>
          </w:tcPr>
          <w:p>
            <w:pPr>
              <w:jc w:val="right"/>
              <w:ind w:right="510"/>
              <w:spacing w:after="0" w:line="150" w:lineRule="exact"/>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429</w:t>
            </w:r>
          </w:p>
        </w:tc>
        <w:tc>
          <w:tcPr>
            <w:tcW w:w="880" w:type="dxa"/>
            <w:vAlign w:val="bottom"/>
          </w:tcPr>
          <w:p>
            <w:pPr>
              <w:jc w:val="right"/>
              <w:ind w:right="590"/>
              <w:spacing w:after="0" w:line="150"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86"/>
              <w:spacing w:after="0" w:line="150" w:lineRule="exact"/>
              <w:rPr>
                <w:sz w:val="20"/>
                <w:szCs w:val="20"/>
                <w:color w:val="auto"/>
              </w:rPr>
            </w:pPr>
            <w:r>
              <w:rPr>
                <w:rFonts w:ascii="Arial" w:cs="Arial" w:eastAsia="Arial" w:hAnsi="Arial"/>
                <w:sz w:val="15"/>
                <w:szCs w:val="15"/>
                <w:color w:val="auto"/>
              </w:rPr>
              <w:t>367</w:t>
            </w:r>
          </w:p>
        </w:tc>
        <w:tc>
          <w:tcPr>
            <w:tcW w:w="880" w:type="dxa"/>
            <w:vAlign w:val="bottom"/>
          </w:tcPr>
          <w:p>
            <w:pPr>
              <w:jc w:val="right"/>
              <w:ind w:right="592"/>
              <w:spacing w:after="0" w:line="150" w:lineRule="exact"/>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1,288</w:t>
            </w:r>
          </w:p>
        </w:tc>
        <w:tc>
          <w:tcPr>
            <w:tcW w:w="760" w:type="dxa"/>
            <w:vAlign w:val="bottom"/>
          </w:tcPr>
          <w:p>
            <w:pPr>
              <w:jc w:val="right"/>
              <w:ind w:right="470"/>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820" w:type="dxa"/>
            <w:vAlign w:val="bottom"/>
          </w:tcPr>
          <w:p>
            <w:pPr>
              <w:spacing w:after="0"/>
              <w:rPr>
                <w:sz w:val="15"/>
                <w:szCs w:val="15"/>
                <w:color w:val="auto"/>
              </w:rPr>
            </w:pPr>
          </w:p>
        </w:tc>
        <w:tc>
          <w:tcPr>
            <w:tcW w:w="680" w:type="dxa"/>
            <w:vAlign w:val="bottom"/>
          </w:tcPr>
          <w:p>
            <w:pPr>
              <w:jc w:val="right"/>
              <w:ind w:right="69"/>
              <w:spacing w:after="0"/>
              <w:rPr>
                <w:sz w:val="20"/>
                <w:szCs w:val="20"/>
                <w:color w:val="auto"/>
              </w:rPr>
            </w:pPr>
            <w:r>
              <w:rPr>
                <w:rFonts w:ascii="Arial" w:cs="Arial" w:eastAsia="Arial" w:hAnsi="Arial"/>
                <w:sz w:val="15"/>
                <w:szCs w:val="15"/>
                <w:b w:val="1"/>
                <w:bCs w:val="1"/>
                <w:color w:val="auto"/>
              </w:rPr>
              <w:t>1,023</w:t>
            </w:r>
          </w:p>
        </w:tc>
        <w:tc>
          <w:tcPr>
            <w:tcW w:w="880" w:type="dxa"/>
            <w:vAlign w:val="bottom"/>
          </w:tcPr>
          <w:p>
            <w:pPr>
              <w:spacing w:after="0"/>
              <w:rPr>
                <w:sz w:val="15"/>
                <w:szCs w:val="15"/>
                <w:color w:val="auto"/>
              </w:rPr>
            </w:pPr>
          </w:p>
        </w:tc>
        <w:tc>
          <w:tcPr>
            <w:tcW w:w="600" w:type="dxa"/>
            <w:vAlign w:val="bottom"/>
          </w:tcPr>
          <w:p>
            <w:pPr>
              <w:jc w:val="right"/>
              <w:ind w:right="86"/>
              <w:spacing w:after="0"/>
              <w:rPr>
                <w:sz w:val="20"/>
                <w:szCs w:val="20"/>
                <w:color w:val="auto"/>
              </w:rPr>
            </w:pPr>
            <w:r>
              <w:rPr>
                <w:rFonts w:ascii="Arial" w:cs="Arial" w:eastAsia="Arial" w:hAnsi="Arial"/>
                <w:sz w:val="15"/>
                <w:szCs w:val="15"/>
                <w:color w:val="auto"/>
              </w:rPr>
              <w:t>1,060</w:t>
            </w:r>
          </w:p>
        </w:tc>
        <w:tc>
          <w:tcPr>
            <w:tcW w:w="88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b w:val="1"/>
                <w:bCs w:val="1"/>
                <w:color w:val="auto"/>
              </w:rPr>
              <w:t>3,069</w:t>
            </w:r>
          </w:p>
        </w:tc>
        <w:tc>
          <w:tcPr>
            <w:tcW w:w="76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820" w:type="dxa"/>
            <w:vAlign w:val="bottom"/>
          </w:tcPr>
          <w:p>
            <w:pPr>
              <w:spacing w:after="0"/>
              <w:rPr>
                <w:sz w:val="15"/>
                <w:szCs w:val="15"/>
                <w:color w:val="auto"/>
              </w:rPr>
            </w:pPr>
          </w:p>
        </w:tc>
        <w:tc>
          <w:tcPr>
            <w:tcW w:w="680" w:type="dxa"/>
            <w:vAlign w:val="bottom"/>
          </w:tcPr>
          <w:p>
            <w:pPr>
              <w:jc w:val="right"/>
              <w:ind w:right="69"/>
              <w:spacing w:after="0"/>
              <w:rPr>
                <w:sz w:val="20"/>
                <w:szCs w:val="20"/>
                <w:color w:val="auto"/>
              </w:rPr>
            </w:pPr>
            <w:r>
              <w:rPr>
                <w:rFonts w:ascii="Arial" w:cs="Arial" w:eastAsia="Arial" w:hAnsi="Arial"/>
                <w:sz w:val="15"/>
                <w:szCs w:val="15"/>
                <w:b w:val="1"/>
                <w:bCs w:val="1"/>
                <w:color w:val="auto"/>
              </w:rPr>
              <w:t>14</w:t>
            </w:r>
          </w:p>
        </w:tc>
        <w:tc>
          <w:tcPr>
            <w:tcW w:w="880" w:type="dxa"/>
            <w:vAlign w:val="bottom"/>
          </w:tcPr>
          <w:p>
            <w:pPr>
              <w:spacing w:after="0"/>
              <w:rPr>
                <w:sz w:val="15"/>
                <w:szCs w:val="15"/>
                <w:color w:val="auto"/>
              </w:rPr>
            </w:pPr>
          </w:p>
        </w:tc>
        <w:tc>
          <w:tcPr>
            <w:tcW w:w="600" w:type="dxa"/>
            <w:vAlign w:val="bottom"/>
          </w:tcPr>
          <w:p>
            <w:pPr>
              <w:jc w:val="right"/>
              <w:ind w:right="86"/>
              <w:spacing w:after="0"/>
              <w:rPr>
                <w:sz w:val="20"/>
                <w:szCs w:val="20"/>
                <w:color w:val="auto"/>
              </w:rPr>
            </w:pPr>
            <w:r>
              <w:rPr>
                <w:rFonts w:ascii="Arial" w:cs="Arial" w:eastAsia="Arial" w:hAnsi="Arial"/>
                <w:sz w:val="15"/>
                <w:szCs w:val="15"/>
                <w:color w:val="auto"/>
              </w:rPr>
              <w:t>14</w:t>
            </w:r>
          </w:p>
        </w:tc>
        <w:tc>
          <w:tcPr>
            <w:tcW w:w="88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b w:val="1"/>
                <w:bCs w:val="1"/>
                <w:color w:val="auto"/>
              </w:rPr>
              <w:t>41</w:t>
            </w:r>
          </w:p>
        </w:tc>
        <w:tc>
          <w:tcPr>
            <w:tcW w:w="760" w:type="dxa"/>
            <w:vAlign w:val="bottom"/>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711</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458</w:t>
            </w: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2,133</w:t>
            </w:r>
          </w:p>
        </w:tc>
        <w:tc>
          <w:tcPr>
            <w:tcW w:w="76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w:t>
            </w:r>
          </w:p>
        </w:tc>
        <w:tc>
          <w:tcPr>
            <w:tcW w:w="820" w:type="dxa"/>
            <w:vAlign w:val="bottom"/>
            <w:tcBorders>
              <w:bottom w:val="single" w:sz="8" w:color="auto"/>
            </w:tcBorders>
          </w:tcPr>
          <w:p>
            <w:pPr>
              <w:jc w:val="right"/>
              <w:ind w:right="510"/>
              <w:spacing w:after="0" w:line="167"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2,177</w:t>
            </w:r>
          </w:p>
        </w:tc>
        <w:tc>
          <w:tcPr>
            <w:tcW w:w="880" w:type="dxa"/>
            <w:vAlign w:val="bottom"/>
            <w:tcBorders>
              <w:bottom w:val="single" w:sz="8" w:color="auto"/>
            </w:tcBorders>
          </w:tcPr>
          <w:p>
            <w:pPr>
              <w:jc w:val="right"/>
              <w:ind w:right="590"/>
              <w:spacing w:after="0" w:line="167"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1,899</w:t>
            </w:r>
          </w:p>
        </w:tc>
        <w:tc>
          <w:tcPr>
            <w:tcW w:w="880" w:type="dxa"/>
            <w:vAlign w:val="bottom"/>
            <w:tcBorders>
              <w:bottom w:val="single" w:sz="8" w:color="auto"/>
            </w:tcBorders>
          </w:tcPr>
          <w:p>
            <w:pPr>
              <w:jc w:val="right"/>
              <w:ind w:right="592"/>
              <w:spacing w:after="0" w:line="167" w:lineRule="exact"/>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6,531</w:t>
            </w:r>
          </w:p>
        </w:tc>
        <w:tc>
          <w:tcPr>
            <w:tcW w:w="760" w:type="dxa"/>
            <w:vAlign w:val="bottom"/>
            <w:tcBorders>
              <w:bottom w:val="single" w:sz="8" w:color="auto"/>
            </w:tcBorders>
          </w:tcPr>
          <w:p>
            <w:pPr>
              <w:jc w:val="right"/>
              <w:ind w:right="470"/>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total cost above includes $0.2 million and $0.6 million in costs associated with the Publishing Subsidiaries that are included in discontinued opera for the three and nine months ended September 30, 2013, respectively. For the three and nine months ended September 30, 2012, the costs associat with the Publishing Subsidiaries were $0.2 million and $0.5 million, respectively.</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Defined Benefit Plan Assets. </w:t>
      </w:r>
      <w:r>
        <w:rPr>
          <w:rFonts w:ascii="Arial" w:cs="Arial" w:eastAsia="Arial" w:hAnsi="Arial"/>
          <w:sz w:val="16"/>
          <w:szCs w:val="16"/>
          <w:color w:val="auto"/>
        </w:rPr>
        <w:t>The Company’s defined benefit pension obligations are funded by a portfolio made up of a relatively small number of st</w:t>
      </w:r>
      <w:r>
        <w:rPr>
          <w:rFonts w:ascii="Arial" w:cs="Arial" w:eastAsia="Arial" w:hAnsi="Arial"/>
          <w:sz w:val="16"/>
          <w:szCs w:val="16"/>
          <w:b w:val="1"/>
          <w:bCs w:val="1"/>
          <w:color w:val="auto"/>
        </w:rPr>
        <w:t xml:space="preserve"> </w:t>
      </w:r>
      <w:r>
        <w:rPr>
          <w:rFonts w:ascii="Arial" w:cs="Arial" w:eastAsia="Arial" w:hAnsi="Arial"/>
          <w:sz w:val="16"/>
          <w:szCs w:val="16"/>
          <w:color w:val="auto"/>
        </w:rPr>
        <w:t>and high-quality fixed-income securities that are held by a third-party trustee. The assets of the Company’s pension plan were allocated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018"/>
              <w:spacing w:after="0"/>
              <w:rPr>
                <w:sz w:val="20"/>
                <w:szCs w:val="20"/>
                <w:color w:val="auto"/>
              </w:rPr>
            </w:pPr>
            <w:r>
              <w:rPr>
                <w:rFonts w:ascii="Arial" w:cs="Arial" w:eastAsia="Arial" w:hAnsi="Arial"/>
                <w:sz w:val="12"/>
                <w:szCs w:val="12"/>
                <w:b w:val="1"/>
                <w:bCs w:val="1"/>
                <w:color w:val="auto"/>
                <w:w w:val="99"/>
              </w:rPr>
              <w:t>As of</w:t>
            </w:r>
          </w:p>
        </w:tc>
      </w:tr>
      <w:tr>
        <w:trPr>
          <w:trHeight w:val="114"/>
        </w:trPr>
        <w:tc>
          <w:tcPr>
            <w:tcW w:w="8000" w:type="dxa"/>
            <w:vAlign w:val="bottom"/>
          </w:tcPr>
          <w:p>
            <w:pPr>
              <w:spacing w:after="0"/>
              <w:rPr>
                <w:sz w:val="9"/>
                <w:szCs w:val="9"/>
                <w:color w:val="auto"/>
              </w:rPr>
            </w:pPr>
          </w:p>
        </w:tc>
        <w:tc>
          <w:tcPr>
            <w:tcW w:w="1540" w:type="dxa"/>
            <w:vAlign w:val="bottom"/>
            <w:gridSpan w:val="2"/>
          </w:tcPr>
          <w:p>
            <w:pPr>
              <w:jc w:val="center"/>
              <w:ind w:left="18"/>
              <w:spacing w:after="0" w:line="114" w:lineRule="exact"/>
              <w:rPr>
                <w:sz w:val="20"/>
                <w:szCs w:val="20"/>
                <w:color w:val="auto"/>
              </w:rPr>
            </w:pPr>
            <w:r>
              <w:rPr>
                <w:rFonts w:ascii="Arial" w:cs="Arial" w:eastAsia="Arial" w:hAnsi="Arial"/>
                <w:sz w:val="12"/>
                <w:szCs w:val="12"/>
                <w:b w:val="1"/>
                <w:bCs w:val="1"/>
                <w:color w:val="auto"/>
              </w:rPr>
              <w:t>September 30,</w:t>
            </w:r>
          </w:p>
        </w:tc>
        <w:tc>
          <w:tcPr>
            <w:tcW w:w="1400" w:type="dxa"/>
            <w:vAlign w:val="bottom"/>
          </w:tcPr>
          <w:p>
            <w:pPr>
              <w:jc w:val="right"/>
              <w:spacing w:after="0" w:line="114" w:lineRule="exact"/>
              <w:rPr>
                <w:sz w:val="20"/>
                <w:szCs w:val="20"/>
                <w:color w:val="auto"/>
              </w:rPr>
            </w:pPr>
            <w:r>
              <w:rPr>
                <w:rFonts w:ascii="Arial" w:cs="Arial" w:eastAsia="Arial" w:hAnsi="Arial"/>
                <w:sz w:val="12"/>
                <w:szCs w:val="12"/>
                <w:color w:val="auto"/>
              </w:rPr>
              <w:t>December 3</w:t>
            </w:r>
          </w:p>
        </w:tc>
      </w:tr>
      <w:tr>
        <w:trPr>
          <w:trHeight w:val="151"/>
        </w:trPr>
        <w:tc>
          <w:tcPr>
            <w:tcW w:w="902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2012</w:t>
            </w:r>
          </w:p>
        </w:tc>
      </w:tr>
      <w:tr>
        <w:trPr>
          <w:trHeight w:val="150"/>
        </w:trPr>
        <w:tc>
          <w:tcPr>
            <w:tcW w:w="9020" w:type="dxa"/>
            <w:vAlign w:val="bottom"/>
            <w:gridSpan w:val="2"/>
          </w:tcPr>
          <w:p>
            <w:pPr>
              <w:spacing w:after="0" w:line="150" w:lineRule="exact"/>
              <w:rPr>
                <w:sz w:val="20"/>
                <w:szCs w:val="20"/>
                <w:color w:val="auto"/>
              </w:rPr>
            </w:pPr>
            <w:r>
              <w:rPr>
                <w:rFonts w:ascii="Arial" w:cs="Arial" w:eastAsia="Arial" w:hAnsi="Arial"/>
                <w:sz w:val="15"/>
                <w:szCs w:val="15"/>
                <w:color w:val="auto"/>
              </w:rPr>
              <w:t>U.S. equities</w:t>
            </w:r>
          </w:p>
        </w:tc>
        <w:tc>
          <w:tcPr>
            <w:tcW w:w="5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60 %</w:t>
            </w:r>
          </w:p>
        </w:tc>
        <w:tc>
          <w:tcPr>
            <w:tcW w:w="1400" w:type="dxa"/>
            <w:vAlign w:val="bottom"/>
          </w:tcPr>
          <w:p>
            <w:pPr>
              <w:spacing w:after="0"/>
              <w:rPr>
                <w:sz w:val="13"/>
                <w:szCs w:val="13"/>
                <w:color w:val="auto"/>
              </w:rPr>
            </w:pPr>
          </w:p>
        </w:tc>
      </w:tr>
      <w:tr>
        <w:trPr>
          <w:trHeight w:val="174"/>
        </w:trPr>
        <w:tc>
          <w:tcPr>
            <w:tcW w:w="9020" w:type="dxa"/>
            <w:vAlign w:val="bottom"/>
            <w:gridSpan w:val="2"/>
          </w:tcPr>
          <w:p>
            <w:pPr>
              <w:spacing w:after="0"/>
              <w:rPr>
                <w:sz w:val="20"/>
                <w:szCs w:val="20"/>
                <w:color w:val="auto"/>
              </w:rPr>
            </w:pPr>
            <w:r>
              <w:rPr>
                <w:rFonts w:ascii="Arial" w:cs="Arial" w:eastAsia="Arial" w:hAnsi="Arial"/>
                <w:sz w:val="15"/>
                <w:szCs w:val="15"/>
                <w:color w:val="auto"/>
              </w:rPr>
              <w:t>U.S. fixed income</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12 %</w:t>
            </w:r>
          </w:p>
        </w:tc>
        <w:tc>
          <w:tcPr>
            <w:tcW w:w="1400" w:type="dxa"/>
            <w:vAlign w:val="bottom"/>
          </w:tcPr>
          <w:p>
            <w:pPr>
              <w:spacing w:after="0"/>
              <w:rPr>
                <w:sz w:val="15"/>
                <w:szCs w:val="15"/>
                <w:color w:val="auto"/>
              </w:rPr>
            </w:pPr>
          </w:p>
        </w:tc>
      </w:tr>
      <w:tr>
        <w:trPr>
          <w:trHeight w:val="190"/>
        </w:trPr>
        <w:tc>
          <w:tcPr>
            <w:tcW w:w="9020" w:type="dxa"/>
            <w:vAlign w:val="bottom"/>
            <w:gridSpan w:val="2"/>
          </w:tcPr>
          <w:p>
            <w:pPr>
              <w:spacing w:after="0"/>
              <w:rPr>
                <w:sz w:val="20"/>
                <w:szCs w:val="20"/>
                <w:color w:val="auto"/>
              </w:rPr>
            </w:pPr>
            <w:r>
              <w:rPr>
                <w:rFonts w:ascii="Arial" w:cs="Arial" w:eastAsia="Arial" w:hAnsi="Arial"/>
                <w:sz w:val="15"/>
                <w:szCs w:val="15"/>
                <w:color w:val="auto"/>
              </w:rPr>
              <w:t>International equities</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28 %</w:t>
            </w:r>
          </w:p>
        </w:tc>
        <w:tc>
          <w:tcPr>
            <w:tcW w:w="1400" w:type="dxa"/>
            <w:vAlign w:val="bottom"/>
          </w:tcPr>
          <w:p>
            <w:pPr>
              <w:spacing w:after="0"/>
              <w:rPr>
                <w:sz w:val="16"/>
                <w:szCs w:val="16"/>
                <w:color w:val="auto"/>
              </w:rPr>
            </w:pPr>
          </w:p>
        </w:tc>
      </w:tr>
      <w:tr>
        <w:trPr>
          <w:trHeight w:val="166"/>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100 %</w:t>
            </w:r>
          </w:p>
        </w:tc>
        <w:tc>
          <w:tcPr>
            <w:tcW w:w="1400" w:type="dxa"/>
            <w:vAlign w:val="bottom"/>
            <w:tcBorders>
              <w:top w:val="single" w:sz="8" w:color="auto"/>
              <w:bottom w:val="single" w:sz="8" w:color="auto"/>
            </w:tcBorders>
          </w:tcPr>
          <w:p>
            <w:pPr>
              <w:spacing w:after="0"/>
              <w:rPr>
                <w:sz w:val="14"/>
                <w:szCs w:val="14"/>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Essentially all of the assets are actively managed by two investment companies. The goal of the investment managers is to produce moderate long-te growth in the value of these assets, while protecting them against large decreases in value. Both of these managers may invest in a combination of eq and fixed-income securities and cash. The managers are not permitted to invest in securities of the Company or in alternative investments. The invest managers cannot invest more than 20% of the assets at the time of purchase in the stock of Berkshire Hathaway or more than 10% of the assets in th securities of any other single issuer, except for obligations of the U.S. Government, without receiving prior approval by the Plan administrator. As of September 30, 2013, the managers can invest no more than 24% of the assets in international stocks at the time the investment is made, and no less 10% of the assets could be invested in fixed-income securities. None of the assets is managed internally by the Company.</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 plan assets and individual asset classes and economic and other indicators of future performance. In addition, the Company may consult with and con the input of financial and other professionals in developing appropriate return benchmarks.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assets) of credit risk as of September 30, 2013. Types of concentrations that were evaluated include, but are not limited to, investment concentrations single entity, type of industry, foreign country and individual fund. At September 30, 2013 and December 31, 2012, the pension plan held common stoc one investment</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9" w:name="page20"/>
    <w:bookmarkEnd w:id="19"/>
    <w:p>
      <w:pPr>
        <w:ind w:left="580"/>
        <w:spacing w:after="0" w:line="247" w:lineRule="auto"/>
        <w:rPr>
          <w:sz w:val="20"/>
          <w:szCs w:val="20"/>
          <w:color w:val="auto"/>
        </w:rPr>
      </w:pPr>
      <w:r>
        <w:rPr>
          <w:rFonts w:ascii="Arial" w:cs="Arial" w:eastAsia="Arial" w:hAnsi="Arial"/>
          <w:sz w:val="16"/>
          <w:szCs w:val="16"/>
          <w:color w:val="auto"/>
        </w:rPr>
        <w:t>that exceeded 10% of total plan assets. This investment was valued at $389.3 million and $223.1 million at September 30, 2013 and December 31, 20 respectively, or approximately 16% and 11%, respectively, of total plan assets. Assets also included $228.6 million and $179.9 million of Berkshire Hathaway common stock at September 30, 2013 and December 31, 2012, respectively. At September 30, 2013 and December 31, 2012, the pension held investments in one foreign country that exceeded 10% of total plan assets. These investments were valued at $406.4 million and $240.4 million a September 30, 2013 and December 31, 2012, respectively, or approximately 16% and 12%, respectively, of total plan assets.</w:t>
      </w:r>
    </w:p>
    <w:p>
      <w:pPr>
        <w:spacing w:after="0" w:line="150" w:lineRule="exact"/>
        <w:rPr>
          <w:sz w:val="20"/>
          <w:szCs w:val="20"/>
          <w:color w:val="auto"/>
        </w:rPr>
      </w:pPr>
    </w:p>
    <w:p>
      <w:pPr>
        <w:ind w:left="580" w:right="260"/>
        <w:spacing w:after="0" w:line="255" w:lineRule="auto"/>
        <w:rPr>
          <w:sz w:val="20"/>
          <w:szCs w:val="20"/>
          <w:color w:val="auto"/>
        </w:rPr>
      </w:pPr>
      <w:r>
        <w:rPr>
          <w:rFonts w:ascii="Arial" w:cs="Arial" w:eastAsia="Arial" w:hAnsi="Arial"/>
          <w:sz w:val="17"/>
          <w:szCs w:val="17"/>
          <w:b w:val="1"/>
          <w:bCs w:val="1"/>
          <w:color w:val="auto"/>
        </w:rPr>
        <w:t xml:space="preserve">Other Postretirement Plans. </w:t>
      </w:r>
      <w:r>
        <w:rPr>
          <w:rFonts w:ascii="Arial" w:cs="Arial" w:eastAsia="Arial" w:hAnsi="Arial"/>
          <w:sz w:val="17"/>
          <w:szCs w:val="17"/>
          <w:color w:val="auto"/>
        </w:rPr>
        <w:t>The total benefit arising from the Company’s other postretirement plans, including a portion included in discontinued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consists of the following components: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2"/>
          </w:tcPr>
          <w:p>
            <w:pPr>
              <w:jc w:val="center"/>
              <w:ind w:right="210"/>
              <w:spacing w:after="0"/>
              <w:rPr>
                <w:sz w:val="20"/>
                <w:szCs w:val="20"/>
                <w:color w:val="auto"/>
              </w:rPr>
            </w:pPr>
            <w:r>
              <w:rPr>
                <w:rFonts w:ascii="Arial" w:cs="Arial" w:eastAsia="Arial" w:hAnsi="Arial"/>
                <w:sz w:val="12"/>
                <w:szCs w:val="12"/>
                <w:b w:val="1"/>
                <w:bCs w:val="1"/>
                <w:color w:val="auto"/>
              </w:rPr>
              <w:t>Three Months Ended</w:t>
            </w:r>
          </w:p>
        </w:tc>
        <w:tc>
          <w:tcPr>
            <w:tcW w:w="560" w:type="dxa"/>
            <w:vAlign w:val="bottom"/>
          </w:tcPr>
          <w:p>
            <w:pPr>
              <w:spacing w:after="0"/>
              <w:rPr>
                <w:sz w:val="12"/>
                <w:szCs w:val="12"/>
                <w:color w:val="auto"/>
              </w:rPr>
            </w:pPr>
          </w:p>
        </w:tc>
        <w:tc>
          <w:tcPr>
            <w:tcW w:w="2320" w:type="dxa"/>
            <w:vAlign w:val="bottom"/>
            <w:gridSpan w:val="3"/>
          </w:tcPr>
          <w:p>
            <w:pPr>
              <w:jc w:val="right"/>
              <w:ind w:right="228"/>
              <w:spacing w:after="0"/>
              <w:rPr>
                <w:sz w:val="20"/>
                <w:szCs w:val="20"/>
                <w:color w:val="auto"/>
              </w:rPr>
            </w:pPr>
            <w:r>
              <w:rPr>
                <w:rFonts w:ascii="Arial" w:cs="Arial" w:eastAsia="Arial" w:hAnsi="Arial"/>
                <w:sz w:val="12"/>
                <w:szCs w:val="12"/>
                <w:b w:val="1"/>
                <w:bCs w:val="1"/>
                <w:color w:val="auto"/>
              </w:rPr>
              <w:t>Nine Months Ended</w:t>
            </w:r>
          </w:p>
        </w:tc>
      </w:tr>
      <w:tr>
        <w:trPr>
          <w:trHeight w:val="151"/>
        </w:trPr>
        <w:tc>
          <w:tcPr>
            <w:tcW w:w="5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2"/>
                <w:szCs w:val="12"/>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2"/>
                <w:szCs w:val="12"/>
                <w:b w:val="1"/>
                <w:bCs w:val="1"/>
                <w:color w:val="auto"/>
              </w:rPr>
              <w:t>September 30,</w:t>
            </w:r>
          </w:p>
        </w:tc>
      </w:tr>
      <w:tr>
        <w:trPr>
          <w:trHeight w:val="129"/>
        </w:trPr>
        <w:tc>
          <w:tcPr>
            <w:tcW w:w="57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5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820" w:type="dxa"/>
            <w:vAlign w:val="bottom"/>
          </w:tcPr>
          <w:p>
            <w:pPr>
              <w:jc w:val="right"/>
              <w:ind w:right="670"/>
              <w:spacing w:after="0" w:line="150" w:lineRule="exact"/>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728</w:t>
            </w:r>
          </w:p>
        </w:tc>
        <w:tc>
          <w:tcPr>
            <w:tcW w:w="920" w:type="dxa"/>
            <w:vAlign w:val="bottom"/>
          </w:tcPr>
          <w:p>
            <w:pPr>
              <w:jc w:val="right"/>
              <w:ind w:right="550"/>
              <w:spacing w:after="0" w:line="150" w:lineRule="exact"/>
              <w:rPr>
                <w:sz w:val="20"/>
                <w:szCs w:val="20"/>
                <w:color w:val="auto"/>
              </w:rPr>
            </w:pPr>
            <w:r>
              <w:rPr>
                <w:rFonts w:ascii="Arial" w:cs="Arial" w:eastAsia="Arial" w:hAnsi="Arial"/>
                <w:sz w:val="15"/>
                <w:szCs w:val="15"/>
                <w:color w:val="auto"/>
              </w:rPr>
              <w:t>$</w:t>
            </w:r>
          </w:p>
        </w:tc>
        <w:tc>
          <w:tcPr>
            <w:tcW w:w="560" w:type="dxa"/>
            <w:vAlign w:val="bottom"/>
          </w:tcPr>
          <w:p>
            <w:pPr>
              <w:jc w:val="right"/>
              <w:ind w:right="6"/>
              <w:spacing w:after="0" w:line="150" w:lineRule="exact"/>
              <w:rPr>
                <w:sz w:val="20"/>
                <w:szCs w:val="20"/>
                <w:color w:val="auto"/>
              </w:rPr>
            </w:pPr>
            <w:r>
              <w:rPr>
                <w:rFonts w:ascii="Arial" w:cs="Arial" w:eastAsia="Arial" w:hAnsi="Arial"/>
                <w:sz w:val="15"/>
                <w:szCs w:val="15"/>
                <w:color w:val="auto"/>
              </w:rPr>
              <w:t>778</w:t>
            </w:r>
          </w:p>
        </w:tc>
        <w:tc>
          <w:tcPr>
            <w:tcW w:w="920" w:type="dxa"/>
            <w:vAlign w:val="bottom"/>
          </w:tcPr>
          <w:p>
            <w:pPr>
              <w:jc w:val="right"/>
              <w:ind w:right="552"/>
              <w:spacing w:after="0" w:line="150" w:lineRule="exact"/>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2,183</w:t>
            </w:r>
          </w:p>
        </w:tc>
        <w:tc>
          <w:tcPr>
            <w:tcW w:w="840" w:type="dxa"/>
            <w:vAlign w:val="bottom"/>
          </w:tcPr>
          <w:p>
            <w:pPr>
              <w:jc w:val="right"/>
              <w:ind w:right="468"/>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Interest cost</w:t>
            </w: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508</w:t>
            </w:r>
          </w:p>
        </w:tc>
        <w:tc>
          <w:tcPr>
            <w:tcW w:w="92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684</w:t>
            </w:r>
          </w:p>
        </w:tc>
        <w:tc>
          <w:tcPr>
            <w:tcW w:w="920" w:type="dxa"/>
            <w:vAlign w:val="bottom"/>
          </w:tcPr>
          <w:p>
            <w:pPr>
              <w:spacing w:after="0"/>
              <w:rPr>
                <w:sz w:val="15"/>
                <w:szCs w:val="15"/>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b w:val="1"/>
                <w:bCs w:val="1"/>
                <w:color w:val="auto"/>
              </w:rPr>
              <w:t>1,525</w:t>
            </w:r>
          </w:p>
        </w:tc>
        <w:tc>
          <w:tcPr>
            <w:tcW w:w="8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(1,306)</w:t>
            </w:r>
          </w:p>
        </w:tc>
        <w:tc>
          <w:tcPr>
            <w:tcW w:w="92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5"/>
                <w:szCs w:val="15"/>
                <w:color w:val="auto"/>
                <w:w w:val="96"/>
              </w:rPr>
              <w:t>(1,402)</w:t>
            </w:r>
          </w:p>
        </w:tc>
        <w:tc>
          <w:tcPr>
            <w:tcW w:w="920" w:type="dxa"/>
            <w:vAlign w:val="bottom"/>
          </w:tcPr>
          <w:p>
            <w:pPr>
              <w:spacing w:after="0"/>
              <w:rPr>
                <w:sz w:val="15"/>
                <w:szCs w:val="15"/>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b w:val="1"/>
                <w:bCs w:val="1"/>
                <w:color w:val="auto"/>
                <w:w w:val="96"/>
              </w:rPr>
              <w:t>(3,972)</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8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(504)</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(370)</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6"/>
              </w:rPr>
              <w:t>(1,549)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Benefit</w:t>
            </w:r>
          </w:p>
        </w:tc>
        <w:tc>
          <w:tcPr>
            <w:tcW w:w="820" w:type="dxa"/>
            <w:vAlign w:val="bottom"/>
          </w:tcPr>
          <w:p>
            <w:pPr>
              <w:spacing w:after="0"/>
              <w:rPr>
                <w:sz w:val="13"/>
                <w:szCs w:val="13"/>
                <w:color w:val="auto"/>
              </w:rPr>
            </w:pPr>
          </w:p>
        </w:tc>
        <w:tc>
          <w:tcPr>
            <w:tcW w:w="6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(574)</w:t>
            </w:r>
          </w:p>
        </w:tc>
        <w:tc>
          <w:tcPr>
            <w:tcW w:w="920" w:type="dxa"/>
            <w:vAlign w:val="bottom"/>
          </w:tcPr>
          <w:p>
            <w:pPr>
              <w:spacing w:after="0"/>
              <w:rPr>
                <w:sz w:val="13"/>
                <w:szCs w:val="13"/>
                <w:color w:val="auto"/>
              </w:rPr>
            </w:pPr>
          </w:p>
        </w:tc>
        <w:tc>
          <w:tcPr>
            <w:tcW w:w="560" w:type="dxa"/>
            <w:vAlign w:val="bottom"/>
          </w:tcPr>
          <w:p>
            <w:pPr>
              <w:jc w:val="right"/>
              <w:ind w:right="6"/>
              <w:spacing w:after="0" w:line="150" w:lineRule="exact"/>
              <w:rPr>
                <w:sz w:val="20"/>
                <w:szCs w:val="20"/>
                <w:color w:val="auto"/>
              </w:rPr>
            </w:pPr>
            <w:r>
              <w:rPr>
                <w:rFonts w:ascii="Arial" w:cs="Arial" w:eastAsia="Arial" w:hAnsi="Arial"/>
                <w:sz w:val="15"/>
                <w:szCs w:val="15"/>
                <w:color w:val="auto"/>
              </w:rPr>
              <w:t>(310)</w:t>
            </w:r>
          </w:p>
        </w:tc>
        <w:tc>
          <w:tcPr>
            <w:tcW w:w="920" w:type="dxa"/>
            <w:vAlign w:val="bottom"/>
          </w:tcPr>
          <w:p>
            <w:pPr>
              <w:spacing w:after="0"/>
              <w:rPr>
                <w:sz w:val="13"/>
                <w:szCs w:val="13"/>
                <w:color w:val="auto"/>
              </w:rPr>
            </w:pPr>
          </w:p>
        </w:tc>
        <w:tc>
          <w:tcPr>
            <w:tcW w:w="56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w w:val="96"/>
              </w:rPr>
              <w:t>(1,813)</w:t>
            </w:r>
          </w:p>
        </w:tc>
        <w:tc>
          <w:tcPr>
            <w:tcW w:w="840" w:type="dxa"/>
            <w:vAlign w:val="bottom"/>
          </w:tcPr>
          <w:p>
            <w:pPr>
              <w:spacing w:after="0"/>
              <w:rPr>
                <w:sz w:val="13"/>
                <w:szCs w:val="13"/>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Settlement gain</w:t>
            </w:r>
          </w:p>
        </w:tc>
        <w:tc>
          <w:tcPr>
            <w:tcW w:w="8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6"/>
              </w:rPr>
              <w:t>(3,471)</w:t>
            </w:r>
          </w:p>
        </w:tc>
        <w:tc>
          <w:tcPr>
            <w:tcW w:w="84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spacing w:after="0" w:line="167" w:lineRule="exact"/>
              <w:rPr>
                <w:sz w:val="20"/>
                <w:szCs w:val="20"/>
                <w:color w:val="auto"/>
              </w:rPr>
            </w:pPr>
            <w:r>
              <w:rPr>
                <w:rFonts w:ascii="Arial" w:cs="Arial" w:eastAsia="Arial" w:hAnsi="Arial"/>
                <w:sz w:val="15"/>
                <w:szCs w:val="15"/>
                <w:b w:val="1"/>
                <w:bCs w:val="1"/>
                <w:color w:val="auto"/>
              </w:rPr>
              <w:t>Total Periodic Benefit</w:t>
            </w:r>
          </w:p>
        </w:tc>
        <w:tc>
          <w:tcPr>
            <w:tcW w:w="820" w:type="dxa"/>
            <w:vAlign w:val="bottom"/>
            <w:tcBorders>
              <w:bottom w:val="single" w:sz="8" w:color="auto"/>
            </w:tcBorders>
          </w:tcPr>
          <w:p>
            <w:pPr>
              <w:jc w:val="right"/>
              <w:ind w:right="670"/>
              <w:spacing w:after="0" w:line="167" w:lineRule="exact"/>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(574)</w:t>
            </w:r>
          </w:p>
        </w:tc>
        <w:tc>
          <w:tcPr>
            <w:tcW w:w="920" w:type="dxa"/>
            <w:vAlign w:val="bottom"/>
            <w:tcBorders>
              <w:bottom w:val="single" w:sz="8" w:color="auto"/>
            </w:tcBorders>
          </w:tcPr>
          <w:p>
            <w:pPr>
              <w:jc w:val="right"/>
              <w:ind w:right="690"/>
              <w:spacing w:after="0" w:line="167"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(310)</w:t>
            </w:r>
          </w:p>
        </w:tc>
        <w:tc>
          <w:tcPr>
            <w:tcW w:w="920" w:type="dxa"/>
            <w:vAlign w:val="bottom"/>
            <w:tcBorders>
              <w:bottom w:val="single" w:sz="8" w:color="auto"/>
            </w:tcBorders>
          </w:tcPr>
          <w:p>
            <w:pPr>
              <w:jc w:val="right"/>
              <w:ind w:right="692"/>
              <w:spacing w:after="0" w:line="167" w:lineRule="exact"/>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w w:val="96"/>
              </w:rPr>
              <w:t>(5,284)</w:t>
            </w:r>
          </w:p>
        </w:tc>
        <w:tc>
          <w:tcPr>
            <w:tcW w:w="840" w:type="dxa"/>
            <w:vAlign w:val="bottom"/>
            <w:tcBorders>
              <w:bottom w:val="single" w:sz="8" w:color="auto"/>
            </w:tcBorders>
          </w:tcPr>
          <w:p>
            <w:pPr>
              <w:jc w:val="right"/>
              <w:ind w:right="608"/>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80"/>
        <w:spacing w:after="0" w:line="233" w:lineRule="auto"/>
        <w:rPr>
          <w:sz w:val="20"/>
          <w:szCs w:val="20"/>
          <w:color w:val="auto"/>
        </w:rPr>
      </w:pPr>
      <w:r>
        <w:rPr>
          <w:rFonts w:ascii="Arial" w:cs="Arial" w:eastAsia="Arial" w:hAnsi="Arial"/>
          <w:sz w:val="17"/>
          <w:szCs w:val="17"/>
          <w:color w:val="auto"/>
        </w:rPr>
        <w:t>The total benefit above includes $1.5 million and $2.8 million in benefits associated with the Publishing Subsidiaries that are included in discontinued operations for the three and nine months ended September 30, 2013, respectively. For the three and nine months ended September 30, 2012, the ben associated with the Publishing Subsidiaries was $0.6 million and $1.8 million, respectively.</w:t>
      </w:r>
    </w:p>
    <w:p>
      <w:pPr>
        <w:spacing w:after="0" w:line="175" w:lineRule="exact"/>
        <w:rPr>
          <w:sz w:val="20"/>
          <w:szCs w:val="20"/>
          <w:color w:val="auto"/>
        </w:rPr>
      </w:pPr>
    </w:p>
    <w:p>
      <w:pPr>
        <w:jc w:val="both"/>
        <w:ind w:left="580" w:right="20"/>
        <w:spacing w:after="0" w:line="235" w:lineRule="auto"/>
        <w:rPr>
          <w:sz w:val="20"/>
          <w:szCs w:val="20"/>
          <w:color w:val="auto"/>
        </w:rPr>
      </w:pPr>
      <w:r>
        <w:rPr>
          <w:rFonts w:ascii="Arial" w:cs="Arial" w:eastAsia="Arial" w:hAnsi="Arial"/>
          <w:sz w:val="17"/>
          <w:szCs w:val="17"/>
          <w:color w:val="auto"/>
        </w:rPr>
        <w:t>As part of the sale of The Herald, changes were made with respect to its postretirement medical plan, resulting in a $3.5 million settlement gain that is included in discontinued operations, net of tax, for the first quarter of 2013.</w:t>
      </w:r>
    </w:p>
    <w:p>
      <w:pPr>
        <w:spacing w:after="0" w:line="156" w:lineRule="exact"/>
        <w:rPr>
          <w:sz w:val="20"/>
          <w:szCs w:val="20"/>
          <w:color w:val="auto"/>
        </w:rPr>
      </w:pPr>
    </w:p>
    <w:p>
      <w:pPr>
        <w:jc w:val="both"/>
        <w:ind w:left="580"/>
        <w:spacing w:after="0" w:line="234" w:lineRule="auto"/>
        <w:rPr>
          <w:sz w:val="20"/>
          <w:szCs w:val="20"/>
          <w:color w:val="auto"/>
        </w:rPr>
      </w:pPr>
      <w:r>
        <w:rPr>
          <w:rFonts w:ascii="Arial" w:cs="Arial" w:eastAsia="Arial" w:hAnsi="Arial"/>
          <w:sz w:val="17"/>
          <w:szCs w:val="17"/>
          <w:b w:val="1"/>
          <w:bCs w:val="1"/>
          <w:color w:val="auto"/>
        </w:rPr>
        <w:t xml:space="preserve">Disposition of Publishing Business. </w:t>
      </w:r>
      <w:r>
        <w:rPr>
          <w:rFonts w:ascii="Arial" w:cs="Arial" w:eastAsia="Arial" w:hAnsi="Arial"/>
          <w:sz w:val="17"/>
          <w:szCs w:val="17"/>
          <w:color w:val="auto"/>
        </w:rPr>
        <w:t>In connection with the October 1, 2013 sale of the Publishing Business, the liabilities under the Retirement Pla</w:t>
      </w:r>
      <w:r>
        <w:rPr>
          <w:rFonts w:ascii="Arial" w:cs="Arial" w:eastAsia="Arial" w:hAnsi="Arial"/>
          <w:sz w:val="17"/>
          <w:szCs w:val="17"/>
          <w:b w:val="1"/>
          <w:bCs w:val="1"/>
          <w:color w:val="auto"/>
        </w:rPr>
        <w:t xml:space="preserve"> </w:t>
      </w:r>
      <w:r>
        <w:rPr>
          <w:rFonts w:ascii="Arial" w:cs="Arial" w:eastAsia="Arial" w:hAnsi="Arial"/>
          <w:sz w:val="17"/>
          <w:szCs w:val="17"/>
          <w:color w:val="auto"/>
        </w:rPr>
        <w:t>The Washington Post Companies relating to the active employees of the Publishing Business will be transferred to the Purchaser, along with pension that have a value equal to the projected benefit obligation in respect of these active employees plus an additional $50 million. In the fourth quarter of 2 the Company will recognize net curtailment and settlement gains (losses) related to this transfer as well as a remeasurement of each of the Company’ pension and postretirement benefit plans. Additionally, the Company excluded the historical pension and postretirement benefits expense for retirees the reclassification of the Publishing Subsidiaries’ results to discontinued operations, since the associated assets and liabilities will be retained by the Company.</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10. OTHER NON-OPERATING INCOME (EXPENSE)</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summary of non-operating income (expense) is as follows:</w:t>
      </w:r>
    </w:p>
    <w:tbl>
      <w:tblPr>
        <w:tblLayout w:type="fixed"/>
        <w:tblInd w:w="0" w:type="dxa"/>
        <w:tblCellMar>
          <w:top w:w="0" w:type="dxa"/>
          <w:left w:w="0" w:type="dxa"/>
          <w:bottom w:w="0" w:type="dxa"/>
          <w:right w:w="0" w:type="dxa"/>
        </w:tblCellMar>
      </w:tblPr>
      <w:tr>
        <w:trPr>
          <w:trHeight w:val="137"/>
        </w:trPr>
        <w:tc>
          <w:tcPr>
            <w:tcW w:w="5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tcPr>
          <w:p>
            <w:pPr>
              <w:jc w:val="right"/>
              <w:ind w:right="769"/>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Nine Months Ended</w:t>
            </w:r>
          </w:p>
        </w:tc>
      </w:tr>
      <w:tr>
        <w:trPr>
          <w:trHeight w:val="114"/>
        </w:trPr>
        <w:tc>
          <w:tcPr>
            <w:tcW w:w="5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jc w:val="right"/>
              <w:ind w:right="230"/>
              <w:spacing w:after="0" w:line="114" w:lineRule="exact"/>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9"/>
                <w:szCs w:val="9"/>
                <w:color w:val="auto"/>
              </w:rPr>
            </w:pPr>
          </w:p>
        </w:tc>
        <w:tc>
          <w:tcPr>
            <w:tcW w:w="1220" w:type="dxa"/>
            <w:vAlign w:val="bottom"/>
          </w:tcPr>
          <w:p>
            <w:pPr>
              <w:jc w:val="right"/>
              <w:ind w:right="229"/>
              <w:spacing w:after="0" w:line="114" w:lineRule="exact"/>
              <w:rPr>
                <w:sz w:val="20"/>
                <w:szCs w:val="20"/>
                <w:color w:val="auto"/>
              </w:rPr>
            </w:pPr>
            <w:r>
              <w:rPr>
                <w:rFonts w:ascii="Arial" w:cs="Arial" w:eastAsia="Arial" w:hAnsi="Arial"/>
                <w:sz w:val="12"/>
                <w:szCs w:val="12"/>
                <w:color w:val="auto"/>
              </w:rPr>
              <w:t>September 30,</w:t>
            </w:r>
          </w:p>
        </w:tc>
        <w:tc>
          <w:tcPr>
            <w:tcW w:w="260" w:type="dxa"/>
            <w:vAlign w:val="bottom"/>
          </w:tcPr>
          <w:p>
            <w:pPr>
              <w:spacing w:after="0"/>
              <w:rPr>
                <w:sz w:val="9"/>
                <w:szCs w:val="9"/>
                <w:color w:val="auto"/>
              </w:rPr>
            </w:pPr>
          </w:p>
        </w:tc>
        <w:tc>
          <w:tcPr>
            <w:tcW w:w="1220" w:type="dxa"/>
            <w:vAlign w:val="bottom"/>
          </w:tcPr>
          <w:p>
            <w:pPr>
              <w:jc w:val="right"/>
              <w:ind w:right="230"/>
              <w:spacing w:after="0" w:line="114" w:lineRule="exact"/>
              <w:rPr>
                <w:sz w:val="20"/>
                <w:szCs w:val="20"/>
                <w:color w:val="auto"/>
              </w:rPr>
            </w:pPr>
            <w:r>
              <w:rPr>
                <w:rFonts w:ascii="Arial" w:cs="Arial" w:eastAsia="Arial" w:hAnsi="Arial"/>
                <w:sz w:val="12"/>
                <w:szCs w:val="12"/>
                <w:b w:val="1"/>
                <w:bCs w:val="1"/>
                <w:color w:val="auto"/>
              </w:rPr>
              <w:t>September 30,</w:t>
            </w:r>
          </w:p>
        </w:tc>
        <w:tc>
          <w:tcPr>
            <w:tcW w:w="840" w:type="dxa"/>
            <w:vAlign w:val="bottom"/>
            <w:gridSpan w:val="2"/>
          </w:tcPr>
          <w:p>
            <w:pPr>
              <w:jc w:val="right"/>
              <w:spacing w:after="0" w:line="114" w:lineRule="exact"/>
              <w:rPr>
                <w:sz w:val="20"/>
                <w:szCs w:val="20"/>
                <w:color w:val="auto"/>
              </w:rPr>
            </w:pPr>
            <w:r>
              <w:rPr>
                <w:rFonts w:ascii="Arial" w:cs="Arial" w:eastAsia="Arial" w:hAnsi="Arial"/>
                <w:sz w:val="12"/>
                <w:szCs w:val="12"/>
                <w:color w:val="auto"/>
              </w:rPr>
              <w:t>Septembe</w:t>
            </w:r>
          </w:p>
        </w:tc>
      </w:tr>
      <w:tr>
        <w:trPr>
          <w:trHeight w:val="151"/>
        </w:trPr>
        <w:tc>
          <w:tcPr>
            <w:tcW w:w="580" w:type="dxa"/>
            <w:vAlign w:val="bottom"/>
          </w:tcPr>
          <w:p>
            <w:pPr>
              <w:spacing w:after="0"/>
              <w:rPr>
                <w:sz w:val="13"/>
                <w:szCs w:val="13"/>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2013</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color w:val="auto"/>
              </w:rPr>
              <w:t>2012</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2013</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2012</w:t>
            </w:r>
          </w:p>
        </w:tc>
      </w:tr>
      <w:tr>
        <w:trPr>
          <w:trHeight w:val="150"/>
        </w:trPr>
        <w:tc>
          <w:tcPr>
            <w:tcW w:w="580" w:type="dxa"/>
            <w:vAlign w:val="bottom"/>
          </w:tcPr>
          <w:p>
            <w:pPr>
              <w:spacing w:after="0"/>
              <w:rPr>
                <w:sz w:val="13"/>
                <w:szCs w:val="13"/>
                <w:color w:val="auto"/>
              </w:rPr>
            </w:pPr>
          </w:p>
        </w:tc>
        <w:tc>
          <w:tcPr>
            <w:tcW w:w="5040" w:type="dxa"/>
            <w:vAlign w:val="bottom"/>
          </w:tcPr>
          <w:p>
            <w:pPr>
              <w:spacing w:after="0" w:line="150" w:lineRule="exact"/>
              <w:rPr>
                <w:sz w:val="20"/>
                <w:szCs w:val="20"/>
                <w:color w:val="auto"/>
              </w:rPr>
            </w:pPr>
            <w:r>
              <w:rPr>
                <w:rFonts w:ascii="Arial" w:cs="Arial" w:eastAsia="Arial" w:hAnsi="Arial"/>
                <w:sz w:val="15"/>
                <w:szCs w:val="15"/>
                <w:color w:val="auto"/>
              </w:rPr>
              <w:t>Foreign currency gain (loss), net</w:t>
            </w:r>
          </w:p>
        </w:tc>
        <w:tc>
          <w:tcPr>
            <w:tcW w:w="860" w:type="dxa"/>
            <w:vAlign w:val="bottom"/>
            <w:gridSpan w:val="2"/>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7,886</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9"/>
              <w:spacing w:after="0" w:line="150" w:lineRule="exact"/>
              <w:rPr>
                <w:sz w:val="20"/>
                <w:szCs w:val="20"/>
                <w:color w:val="auto"/>
              </w:rPr>
            </w:pPr>
            <w:r>
              <w:rPr>
                <w:rFonts w:ascii="Arial" w:cs="Arial" w:eastAsia="Arial" w:hAnsi="Arial"/>
                <w:sz w:val="15"/>
                <w:szCs w:val="15"/>
                <w:color w:val="auto"/>
              </w:rPr>
              <w:t>3,111</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(9,350)</w:t>
            </w:r>
          </w:p>
        </w:tc>
        <w:tc>
          <w:tcPr>
            <w:tcW w:w="780" w:type="dxa"/>
            <w:vAlign w:val="bottom"/>
          </w:tcPr>
          <w:p>
            <w:pPr>
              <w:jc w:val="right"/>
              <w:ind w:right="552"/>
              <w:spacing w:after="0" w:line="150"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r>
      <w:tr>
        <w:trPr>
          <w:trHeight w:val="174"/>
        </w:trPr>
        <w:tc>
          <w:tcPr>
            <w:tcW w:w="58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(Loss) gain on sales of marketable equity securities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5"/>
                <w:szCs w:val="15"/>
                <w:color w:val="auto"/>
              </w:rPr>
              <w:t>(28)</w:t>
            </w:r>
          </w:p>
        </w:tc>
        <w:tc>
          <w:tcPr>
            <w:tcW w:w="26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5"/>
                <w:szCs w:val="15"/>
                <w:b w:val="1"/>
                <w:bCs w:val="1"/>
                <w:color w:val="auto"/>
              </w:rPr>
              <w:t>879</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4"/>
        </w:trPr>
        <w:tc>
          <w:tcPr>
            <w:tcW w:w="58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Gain (loss) on sales or write-downs of cost method investments, net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26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5"/>
                <w:szCs w:val="15"/>
                <w:color w:val="auto"/>
              </w:rPr>
              <w:t>(112)</w:t>
            </w:r>
          </w:p>
        </w:tc>
        <w:tc>
          <w:tcPr>
            <w:tcW w:w="26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5"/>
                <w:szCs w:val="15"/>
                <w:b w:val="1"/>
                <w:bCs w:val="1"/>
                <w:color w:val="auto"/>
              </w:rPr>
              <w:t>(160)</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0"/>
        </w:trPr>
        <w:tc>
          <w:tcPr>
            <w:tcW w:w="58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Other, net</w:t>
            </w:r>
          </w:p>
        </w:tc>
        <w:tc>
          <w:tcPr>
            <w:tcW w:w="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1,192</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(200)</w:t>
            </w: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66"/>
        </w:trPr>
        <w:tc>
          <w:tcPr>
            <w:tcW w:w="580" w:type="dxa"/>
            <w:vAlign w:val="bottom"/>
          </w:tcPr>
          <w:p>
            <w:pPr>
              <w:spacing w:after="0"/>
              <w:rPr>
                <w:sz w:val="14"/>
                <w:szCs w:val="14"/>
                <w:color w:val="auto"/>
              </w:rPr>
            </w:pPr>
          </w:p>
        </w:tc>
        <w:tc>
          <w:tcPr>
            <w:tcW w:w="5040" w:type="dxa"/>
            <w:vAlign w:val="bottom"/>
          </w:tcPr>
          <w:p>
            <w:pPr>
              <w:ind w:left="220"/>
              <w:spacing w:after="0" w:line="167" w:lineRule="exact"/>
              <w:rPr>
                <w:sz w:val="20"/>
                <w:szCs w:val="20"/>
                <w:color w:val="auto"/>
              </w:rPr>
            </w:pPr>
            <w:r>
              <w:rPr>
                <w:rFonts w:ascii="Arial" w:cs="Arial" w:eastAsia="Arial" w:hAnsi="Arial"/>
                <w:sz w:val="15"/>
                <w:szCs w:val="15"/>
                <w:b w:val="1"/>
                <w:bCs w:val="1"/>
                <w:color w:val="auto"/>
              </w:rPr>
              <w:t>Total Other Non-Operating Income (Expense)</w:t>
            </w:r>
          </w:p>
        </w:tc>
        <w:tc>
          <w:tcPr>
            <w:tcW w:w="68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8,110</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4,163</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(8,831)</w:t>
            </w:r>
          </w:p>
        </w:tc>
        <w:tc>
          <w:tcPr>
            <w:tcW w:w="780" w:type="dxa"/>
            <w:vAlign w:val="bottom"/>
            <w:tcBorders>
              <w:bottom w:val="single" w:sz="8" w:color="auto"/>
            </w:tcBorders>
          </w:tcPr>
          <w:p>
            <w:pPr>
              <w:jc w:val="right"/>
              <w:ind w:right="552"/>
              <w:spacing w:after="0" w:line="167"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60"/>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7"/>
                <w:szCs w:val="17"/>
                <w:color w:val="auto"/>
              </w:rPr>
              <w:t>17</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58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5" w:right="1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11. ACCUMULATED OTHER COMPREHENSIVE INCOME (LOSS)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other comprehensive income (loss) consists of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Three Months Ended September 30,</w:t>
            </w: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29"/>
        </w:trPr>
        <w:tc>
          <w:tcPr>
            <w:tcW w:w="53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78"/>
              <w:spacing w:after="0" w:line="129" w:lineRule="exact"/>
              <w:rPr>
                <w:sz w:val="20"/>
                <w:szCs w:val="20"/>
                <w:color w:val="auto"/>
              </w:rPr>
            </w:pPr>
            <w:r>
              <w:rPr>
                <w:rFonts w:ascii="Arial" w:cs="Arial" w:eastAsia="Arial" w:hAnsi="Arial"/>
                <w:sz w:val="12"/>
                <w:szCs w:val="12"/>
                <w:b w:val="1"/>
                <w:bCs w:val="1"/>
                <w:color w:val="auto"/>
              </w:rPr>
              <w:t>2013</w:t>
            </w: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2"/>
                <w:szCs w:val="12"/>
                <w:color w:val="auto"/>
              </w:rPr>
              <w:t>2012</w:t>
            </w:r>
          </w:p>
        </w:tc>
        <w:tc>
          <w:tcPr>
            <w:tcW w:w="500" w:type="dxa"/>
            <w:vAlign w:val="bottom"/>
            <w:tcBorders>
              <w:bottom w:val="single" w:sz="8" w:color="auto"/>
            </w:tcBorders>
          </w:tcPr>
          <w:p>
            <w:pPr>
              <w:spacing w:after="0"/>
              <w:rPr>
                <w:sz w:val="11"/>
                <w:szCs w:val="11"/>
                <w:color w:val="auto"/>
              </w:rPr>
            </w:pPr>
          </w:p>
        </w:tc>
      </w:tr>
      <w:tr>
        <w:trPr>
          <w:trHeight w:val="114"/>
        </w:trPr>
        <w:tc>
          <w:tcPr>
            <w:tcW w:w="5380" w:type="dxa"/>
            <w:vAlign w:val="bottom"/>
          </w:tcPr>
          <w:p>
            <w:pPr>
              <w:spacing w:after="0"/>
              <w:rPr>
                <w:sz w:val="9"/>
                <w:szCs w:val="9"/>
                <w:color w:val="auto"/>
              </w:rPr>
            </w:pPr>
          </w:p>
        </w:tc>
        <w:tc>
          <w:tcPr>
            <w:tcW w:w="1040" w:type="dxa"/>
            <w:vAlign w:val="bottom"/>
          </w:tcPr>
          <w:p>
            <w:pPr>
              <w:jc w:val="center"/>
              <w:ind w:right="18"/>
              <w:spacing w:after="0" w:line="114" w:lineRule="exact"/>
              <w:rPr>
                <w:sz w:val="20"/>
                <w:szCs w:val="20"/>
                <w:color w:val="auto"/>
              </w:rPr>
            </w:pPr>
            <w:r>
              <w:rPr>
                <w:rFonts w:ascii="Arial" w:cs="Arial" w:eastAsia="Arial" w:hAnsi="Arial"/>
                <w:sz w:val="12"/>
                <w:szCs w:val="12"/>
                <w:b w:val="1"/>
                <w:bCs w:val="1"/>
                <w:color w:val="auto"/>
              </w:rPr>
              <w:t>Before-Tax</w:t>
            </w:r>
          </w:p>
        </w:tc>
        <w:tc>
          <w:tcPr>
            <w:tcW w:w="820" w:type="dxa"/>
            <w:vAlign w:val="bottom"/>
          </w:tcPr>
          <w:p>
            <w:pPr>
              <w:jc w:val="right"/>
              <w:ind w:right="58"/>
              <w:spacing w:after="0" w:line="114" w:lineRule="exact"/>
              <w:rPr>
                <w:sz w:val="20"/>
                <w:szCs w:val="20"/>
                <w:color w:val="auto"/>
              </w:rPr>
            </w:pPr>
            <w:r>
              <w:rPr>
                <w:rFonts w:ascii="Arial" w:cs="Arial" w:eastAsia="Arial" w:hAnsi="Arial"/>
                <w:sz w:val="12"/>
                <w:szCs w:val="12"/>
                <w:b w:val="1"/>
                <w:bCs w:val="1"/>
                <w:color w:val="auto"/>
              </w:rPr>
              <w:t>Income</w:t>
            </w:r>
          </w:p>
        </w:tc>
        <w:tc>
          <w:tcPr>
            <w:tcW w:w="1120" w:type="dxa"/>
            <w:vAlign w:val="bottom"/>
          </w:tcPr>
          <w:p>
            <w:pPr>
              <w:jc w:val="center"/>
              <w:ind w:left="158"/>
              <w:spacing w:after="0" w:line="114" w:lineRule="exact"/>
              <w:rPr>
                <w:sz w:val="20"/>
                <w:szCs w:val="20"/>
                <w:color w:val="auto"/>
              </w:rPr>
            </w:pPr>
            <w:r>
              <w:rPr>
                <w:rFonts w:ascii="Arial" w:cs="Arial" w:eastAsia="Arial" w:hAnsi="Arial"/>
                <w:sz w:val="12"/>
                <w:szCs w:val="12"/>
                <w:b w:val="1"/>
                <w:bCs w:val="1"/>
                <w:color w:val="auto"/>
              </w:rPr>
              <w:t>After-Tax</w:t>
            </w:r>
          </w:p>
        </w:tc>
        <w:tc>
          <w:tcPr>
            <w:tcW w:w="120" w:type="dxa"/>
            <w:vAlign w:val="bottom"/>
          </w:tcPr>
          <w:p>
            <w:pPr>
              <w:spacing w:after="0"/>
              <w:rPr>
                <w:sz w:val="9"/>
                <w:szCs w:val="9"/>
                <w:color w:val="auto"/>
              </w:rPr>
            </w:pPr>
          </w:p>
        </w:tc>
        <w:tc>
          <w:tcPr>
            <w:tcW w:w="1120" w:type="dxa"/>
            <w:vAlign w:val="bottom"/>
          </w:tcPr>
          <w:p>
            <w:pPr>
              <w:jc w:val="center"/>
              <w:ind w:right="138"/>
              <w:spacing w:after="0" w:line="114" w:lineRule="exact"/>
              <w:rPr>
                <w:sz w:val="20"/>
                <w:szCs w:val="20"/>
                <w:color w:val="auto"/>
              </w:rPr>
            </w:pPr>
            <w:r>
              <w:rPr>
                <w:rFonts w:ascii="Arial" w:cs="Arial" w:eastAsia="Arial" w:hAnsi="Arial"/>
                <w:sz w:val="12"/>
                <w:szCs w:val="12"/>
                <w:color w:val="auto"/>
              </w:rPr>
              <w:t>Before-Tax</w:t>
            </w:r>
          </w:p>
        </w:tc>
        <w:tc>
          <w:tcPr>
            <w:tcW w:w="840" w:type="dxa"/>
            <w:vAlign w:val="bottom"/>
          </w:tcPr>
          <w:p>
            <w:pPr>
              <w:ind w:left="140"/>
              <w:spacing w:after="0" w:line="114" w:lineRule="exact"/>
              <w:rPr>
                <w:sz w:val="20"/>
                <w:szCs w:val="20"/>
                <w:color w:val="auto"/>
              </w:rPr>
            </w:pPr>
            <w:r>
              <w:rPr>
                <w:rFonts w:ascii="Arial" w:cs="Arial" w:eastAsia="Arial" w:hAnsi="Arial"/>
                <w:sz w:val="12"/>
                <w:szCs w:val="12"/>
                <w:color w:val="auto"/>
              </w:rPr>
              <w:t>Income</w:t>
            </w:r>
          </w:p>
        </w:tc>
        <w:tc>
          <w:tcPr>
            <w:tcW w:w="500" w:type="dxa"/>
            <w:vAlign w:val="bottom"/>
          </w:tcPr>
          <w:p>
            <w:pPr>
              <w:jc w:val="right"/>
              <w:spacing w:after="0" w:line="114" w:lineRule="exact"/>
              <w:rPr>
                <w:sz w:val="20"/>
                <w:szCs w:val="20"/>
                <w:color w:val="auto"/>
              </w:rPr>
            </w:pPr>
            <w:r>
              <w:rPr>
                <w:rFonts w:ascii="Arial" w:cs="Arial" w:eastAsia="Arial" w:hAnsi="Arial"/>
                <w:sz w:val="12"/>
                <w:szCs w:val="12"/>
                <w:color w:val="auto"/>
              </w:rPr>
              <w:t>Afte</w:t>
            </w:r>
          </w:p>
        </w:tc>
      </w:tr>
      <w:tr>
        <w:trPr>
          <w:trHeight w:val="162"/>
        </w:trPr>
        <w:tc>
          <w:tcPr>
            <w:tcW w:w="5380" w:type="dxa"/>
            <w:vAlign w:val="bottom"/>
          </w:tcPr>
          <w:p>
            <w:pPr>
              <w:spacing w:after="0"/>
              <w:rPr>
                <w:sz w:val="20"/>
                <w:szCs w:val="20"/>
                <w:color w:val="auto"/>
              </w:rPr>
            </w:pPr>
            <w:r>
              <w:rPr>
                <w:rFonts w:ascii="Arial" w:cs="Arial" w:eastAsia="Arial" w:hAnsi="Arial"/>
                <w:sz w:val="12"/>
                <w:szCs w:val="12"/>
                <w:color w:val="auto"/>
              </w:rPr>
              <w:t>(in thousands)</w:t>
            </w:r>
          </w:p>
        </w:tc>
        <w:tc>
          <w:tcPr>
            <w:tcW w:w="1040" w:type="dxa"/>
            <w:vAlign w:val="bottom"/>
          </w:tcPr>
          <w:p>
            <w:pPr>
              <w:jc w:val="center"/>
              <w:ind w:right="38"/>
              <w:spacing w:after="0"/>
              <w:rPr>
                <w:sz w:val="20"/>
                <w:szCs w:val="20"/>
                <w:color w:val="auto"/>
              </w:rPr>
            </w:pPr>
            <w:r>
              <w:rPr>
                <w:rFonts w:ascii="Arial" w:cs="Arial" w:eastAsia="Arial" w:hAnsi="Arial"/>
                <w:sz w:val="12"/>
                <w:szCs w:val="12"/>
                <w:b w:val="1"/>
                <w:bCs w:val="1"/>
                <w:color w:val="auto"/>
              </w:rPr>
              <w:t>Amount</w:t>
            </w:r>
          </w:p>
        </w:tc>
        <w:tc>
          <w:tcPr>
            <w:tcW w:w="820" w:type="dxa"/>
            <w:vAlign w:val="bottom"/>
          </w:tcPr>
          <w:p>
            <w:pPr>
              <w:jc w:val="right"/>
              <w:ind w:right="178"/>
              <w:spacing w:after="0"/>
              <w:rPr>
                <w:sz w:val="20"/>
                <w:szCs w:val="20"/>
                <w:color w:val="auto"/>
              </w:rPr>
            </w:pPr>
            <w:r>
              <w:rPr>
                <w:rFonts w:ascii="Arial" w:cs="Arial" w:eastAsia="Arial" w:hAnsi="Arial"/>
                <w:sz w:val="12"/>
                <w:szCs w:val="12"/>
                <w:b w:val="1"/>
                <w:bCs w:val="1"/>
                <w:color w:val="auto"/>
              </w:rPr>
              <w:t>Tax</w:t>
            </w:r>
          </w:p>
        </w:tc>
        <w:tc>
          <w:tcPr>
            <w:tcW w:w="124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rPr>
              <w:t>Amount</w:t>
            </w:r>
          </w:p>
        </w:tc>
        <w:tc>
          <w:tcPr>
            <w:tcW w:w="1120" w:type="dxa"/>
            <w:vAlign w:val="bottom"/>
          </w:tcPr>
          <w:p>
            <w:pPr>
              <w:jc w:val="center"/>
              <w:ind w:right="158"/>
              <w:spacing w:after="0"/>
              <w:rPr>
                <w:sz w:val="20"/>
                <w:szCs w:val="20"/>
                <w:color w:val="auto"/>
              </w:rPr>
            </w:pPr>
            <w:r>
              <w:rPr>
                <w:rFonts w:ascii="Arial" w:cs="Arial" w:eastAsia="Arial" w:hAnsi="Arial"/>
                <w:sz w:val="12"/>
                <w:szCs w:val="12"/>
                <w:color w:val="auto"/>
              </w:rPr>
              <w:t>Amount</w:t>
            </w:r>
          </w:p>
        </w:tc>
        <w:tc>
          <w:tcPr>
            <w:tcW w:w="840" w:type="dxa"/>
            <w:vAlign w:val="bottom"/>
          </w:tcPr>
          <w:p>
            <w:pPr>
              <w:ind w:left="260"/>
              <w:spacing w:after="0"/>
              <w:rPr>
                <w:sz w:val="20"/>
                <w:szCs w:val="20"/>
                <w:color w:val="auto"/>
              </w:rPr>
            </w:pPr>
            <w:r>
              <w:rPr>
                <w:rFonts w:ascii="Arial" w:cs="Arial" w:eastAsia="Arial" w:hAnsi="Arial"/>
                <w:sz w:val="12"/>
                <w:szCs w:val="12"/>
                <w:color w:val="auto"/>
              </w:rPr>
              <w:t>Tax</w:t>
            </w:r>
          </w:p>
        </w:tc>
        <w:tc>
          <w:tcPr>
            <w:tcW w:w="500" w:type="dxa"/>
            <w:vAlign w:val="bottom"/>
          </w:tcPr>
          <w:p>
            <w:pPr>
              <w:jc w:val="right"/>
              <w:spacing w:after="0"/>
              <w:rPr>
                <w:sz w:val="20"/>
                <w:szCs w:val="20"/>
                <w:color w:val="auto"/>
              </w:rPr>
            </w:pPr>
            <w:r>
              <w:rPr>
                <w:rFonts w:ascii="Arial" w:cs="Arial" w:eastAsia="Arial" w:hAnsi="Arial"/>
                <w:sz w:val="12"/>
                <w:szCs w:val="12"/>
                <w:color w:val="auto"/>
              </w:rPr>
              <w:t>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translation adjustments: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Translation adjustments arising during the period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Adjustment for sales of businesses with foreign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Unrealized gains (losses) on available-for-sale securities: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Unrealized gains (losses) for the period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Pension and other postretirement plans:</w:t>
      </w:r>
    </w:p>
    <w:p>
      <w:pPr>
        <w:spacing w:after="0" w:line="1" w:lineRule="exact"/>
        <w:rPr>
          <w:sz w:val="20"/>
          <w:szCs w:val="20"/>
          <w:color w:val="auto"/>
        </w:rPr>
      </w:pPr>
    </w:p>
    <w:p>
      <w:pPr>
        <w:ind w:left="220" w:right="420"/>
        <w:spacing w:after="0" w:line="285" w:lineRule="auto"/>
        <w:rPr>
          <w:sz w:val="20"/>
          <w:szCs w:val="20"/>
          <w:color w:val="auto"/>
        </w:rPr>
      </w:pPr>
      <w:r>
        <w:rPr>
          <w:rFonts w:ascii="Arial" w:cs="Arial" w:eastAsia="Arial" w:hAnsi="Arial"/>
          <w:sz w:val="14"/>
          <w:szCs w:val="14"/>
          <w:color w:val="auto"/>
        </w:rPr>
        <w:t>Amortization of net prior service credit included in net income Amortization of net actuarial loss included in net income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Cash flow hedge: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for the period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2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5,639</w:t>
            </w:r>
          </w:p>
        </w:tc>
        <w:tc>
          <w:tcPr>
            <w:tcW w:w="3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26"/>
              <w:spacing w:after="0"/>
              <w:rPr>
                <w:sz w:val="20"/>
                <w:szCs w:val="20"/>
                <w:color w:val="auto"/>
              </w:rPr>
            </w:pPr>
            <w:r>
              <w:rPr>
                <w:rFonts w:ascii="Arial" w:cs="Arial" w:eastAsia="Arial" w:hAnsi="Arial"/>
                <w:sz w:val="15"/>
                <w:szCs w:val="15"/>
                <w:b w:val="1"/>
                <w:bCs w:val="1"/>
                <w:color w:val="auto"/>
              </w:rPr>
              <w:t>5,639</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5,321</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r>
      <w:tr>
        <w:trPr>
          <w:trHeight w:val="190"/>
        </w:trPr>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(1,409)</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5,639</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5,639</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3,912</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4"/>
                <w:szCs w:val="14"/>
                <w:color w:val="auto"/>
              </w:rPr>
            </w:pPr>
          </w:p>
        </w:tc>
      </w:tr>
      <w:tr>
        <w:trPr>
          <w:trHeight w:val="340"/>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938</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(375)</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563</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(5,966)</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2,387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938</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(375)</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563</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(5,966)</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2,387</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r>
      <w:tr>
        <w:trPr>
          <w:trHeight w:val="324"/>
        </w:trPr>
        <w:tc>
          <w:tcPr>
            <w:tcW w:w="32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(384)</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b w:val="1"/>
                <w:bCs w:val="1"/>
                <w:color w:val="auto"/>
              </w:rPr>
              <w:t>154</w:t>
            </w:r>
          </w:p>
        </w:tc>
        <w:tc>
          <w:tcPr>
            <w:tcW w:w="360" w:type="dxa"/>
            <w:vAlign w:val="bottom"/>
          </w:tcPr>
          <w:p>
            <w:pPr>
              <w:spacing w:after="0"/>
              <w:rPr>
                <w:sz w:val="24"/>
                <w:szCs w:val="24"/>
                <w:color w:val="auto"/>
              </w:rPr>
            </w:pPr>
          </w:p>
        </w:tc>
        <w:tc>
          <w:tcPr>
            <w:tcW w:w="660" w:type="dxa"/>
            <w:vAlign w:val="bottom"/>
          </w:tcPr>
          <w:p>
            <w:pPr>
              <w:jc w:val="right"/>
              <w:ind w:right="26"/>
              <w:spacing w:after="0"/>
              <w:rPr>
                <w:sz w:val="20"/>
                <w:szCs w:val="20"/>
                <w:color w:val="auto"/>
              </w:rPr>
            </w:pPr>
            <w:r>
              <w:rPr>
                <w:rFonts w:ascii="Arial" w:cs="Arial" w:eastAsia="Arial" w:hAnsi="Arial"/>
                <w:sz w:val="15"/>
                <w:szCs w:val="15"/>
                <w:b w:val="1"/>
                <w:bCs w:val="1"/>
                <w:color w:val="auto"/>
              </w:rPr>
              <w:t>(230)</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(469)</w:t>
            </w:r>
          </w:p>
        </w:tc>
        <w:tc>
          <w:tcPr>
            <w:tcW w:w="30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187</w:t>
            </w:r>
          </w:p>
        </w:tc>
        <w:tc>
          <w:tcPr>
            <w:tcW w:w="480" w:type="dxa"/>
            <w:vAlign w:val="bottom"/>
          </w:tcPr>
          <w:p>
            <w:pPr>
              <w:spacing w:after="0"/>
              <w:rPr>
                <w:sz w:val="24"/>
                <w:szCs w:val="24"/>
                <w:color w:val="auto"/>
              </w:rPr>
            </w:pPr>
          </w:p>
        </w:tc>
      </w:tr>
      <w:tr>
        <w:trPr>
          <w:trHeight w:val="190"/>
        </w:trPr>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2,004</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(801)</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1,203</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2,592</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(1,036)</w:t>
            </w:r>
          </w:p>
        </w:tc>
        <w:tc>
          <w:tcPr>
            <w:tcW w:w="480" w:type="dxa"/>
            <w:vAlign w:val="bottom"/>
            <w:tcBorders>
              <w:bottom w:val="single" w:sz="8" w:color="auto"/>
            </w:tcBorders>
          </w:tcPr>
          <w:p>
            <w:pPr>
              <w:spacing w:after="0"/>
              <w:rPr>
                <w:sz w:val="16"/>
                <w:szCs w:val="16"/>
                <w:color w:val="auto"/>
              </w:rPr>
            </w:pPr>
          </w:p>
        </w:tc>
      </w:tr>
      <w:tr>
        <w:trPr>
          <w:trHeight w:val="166"/>
        </w:trPr>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1,620</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(647)</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973</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2,123</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(849)</w:t>
            </w:r>
          </w:p>
        </w:tc>
        <w:tc>
          <w:tcPr>
            <w:tcW w:w="480" w:type="dxa"/>
            <w:vAlign w:val="bottom"/>
            <w:tcBorders>
              <w:bottom w:val="single" w:sz="8" w:color="auto"/>
            </w:tcBorders>
          </w:tcPr>
          <w:p>
            <w:pPr>
              <w:spacing w:after="0"/>
              <w:rPr>
                <w:sz w:val="14"/>
                <w:szCs w:val="14"/>
                <w:color w:val="auto"/>
              </w:rPr>
            </w:pPr>
          </w:p>
        </w:tc>
      </w:tr>
      <w:tr>
        <w:trPr>
          <w:trHeight w:val="340"/>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15</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9</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217</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(87)</w:t>
            </w:r>
          </w:p>
        </w:tc>
        <w:tc>
          <w:tcPr>
            <w:tcW w:w="480" w:type="dxa"/>
            <w:vAlign w:val="bottom"/>
            <w:tcBorders>
              <w:bottom w:val="single" w:sz="8" w:color="auto"/>
            </w:tcBorders>
          </w:tcPr>
          <w:p>
            <w:pPr>
              <w:spacing w:after="0"/>
              <w:rPr>
                <w:sz w:val="24"/>
                <w:szCs w:val="24"/>
                <w:color w:val="auto"/>
              </w:rPr>
            </w:pPr>
          </w:p>
        </w:tc>
      </w:tr>
      <w:tr>
        <w:trPr>
          <w:trHeight w:val="166"/>
        </w:trPr>
        <w:tc>
          <w:tcPr>
            <w:tcW w:w="3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8,212</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(1,028)</w:t>
            </w:r>
          </w:p>
        </w:tc>
        <w:tc>
          <w:tcPr>
            <w:tcW w:w="3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7,184</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286</w:t>
            </w:r>
          </w:p>
        </w:tc>
        <w:tc>
          <w:tcPr>
            <w:tcW w:w="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1,451</w:t>
            </w:r>
          </w:p>
        </w:tc>
        <w:tc>
          <w:tcPr>
            <w:tcW w:w="480" w:type="dxa"/>
            <w:vAlign w:val="bottom"/>
            <w:tcBorders>
              <w:bottom w:val="single" w:sz="8" w:color="auto"/>
            </w:tcBorders>
          </w:tcPr>
          <w:p>
            <w:pPr>
              <w:jc w:val="right"/>
              <w:ind w:right="246"/>
              <w:spacing w:after="0" w:line="167" w:lineRule="exact"/>
              <w:rPr>
                <w:sz w:val="20"/>
                <w:szCs w:val="20"/>
                <w:color w:val="auto"/>
              </w:rPr>
            </w:pPr>
            <w:r>
              <w:rPr>
                <w:rFonts w:ascii="Arial" w:cs="Arial" w:eastAsia="Arial" w:hAnsi="Arial"/>
                <w:sz w:val="15"/>
                <w:szCs w:val="15"/>
                <w:color w:val="auto"/>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2000"/>
        <w:spacing w:after="0"/>
        <w:rPr>
          <w:sz w:val="20"/>
          <w:szCs w:val="20"/>
          <w:color w:val="auto"/>
        </w:rPr>
      </w:pPr>
      <w:r>
        <w:rPr>
          <w:rFonts w:ascii="Arial" w:cs="Arial" w:eastAsia="Arial" w:hAnsi="Arial"/>
          <w:sz w:val="12"/>
          <w:szCs w:val="12"/>
          <w:b w:val="1"/>
          <w:bCs w:val="1"/>
          <w:color w:val="auto"/>
        </w:rPr>
        <w:t>Nine Months Ended September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0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18"/>
              <w:spacing w:after="0" w:line="129" w:lineRule="exact"/>
              <w:rPr>
                <w:sz w:val="20"/>
                <w:szCs w:val="20"/>
                <w:color w:val="auto"/>
              </w:rPr>
            </w:pPr>
            <w:r>
              <w:rPr>
                <w:rFonts w:ascii="Arial" w:cs="Arial" w:eastAsia="Arial" w:hAnsi="Arial"/>
                <w:sz w:val="12"/>
                <w:szCs w:val="12"/>
                <w:b w:val="1"/>
                <w:bCs w:val="1"/>
                <w:color w:val="auto"/>
              </w:rPr>
              <w:t>2013</w:t>
            </w:r>
          </w:p>
        </w:tc>
        <w:tc>
          <w:tcPr>
            <w:tcW w:w="9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ind w:left="380"/>
              <w:spacing w:after="0" w:line="129" w:lineRule="exact"/>
              <w:rPr>
                <w:sz w:val="20"/>
                <w:szCs w:val="20"/>
                <w:color w:val="auto"/>
              </w:rPr>
            </w:pPr>
            <w:r>
              <w:rPr>
                <w:rFonts w:ascii="Arial" w:cs="Arial" w:eastAsia="Arial" w:hAnsi="Arial"/>
                <w:sz w:val="12"/>
                <w:szCs w:val="12"/>
                <w:color w:val="auto"/>
              </w:rPr>
              <w:t>2012</w:t>
            </w:r>
          </w:p>
        </w:tc>
        <w:tc>
          <w:tcPr>
            <w:tcW w:w="500" w:type="dxa"/>
            <w:vAlign w:val="bottom"/>
            <w:tcBorders>
              <w:top w:val="single" w:sz="8" w:color="auto"/>
              <w:bottom w:val="single" w:sz="8" w:color="auto"/>
            </w:tcBorders>
          </w:tcPr>
          <w:p>
            <w:pPr>
              <w:spacing w:after="0"/>
              <w:rPr>
                <w:sz w:val="11"/>
                <w:szCs w:val="11"/>
                <w:color w:val="auto"/>
              </w:rPr>
            </w:pPr>
          </w:p>
        </w:tc>
      </w:tr>
      <w:tr>
        <w:trPr>
          <w:trHeight w:val="114"/>
        </w:trPr>
        <w:tc>
          <w:tcPr>
            <w:tcW w:w="1040" w:type="dxa"/>
            <w:vAlign w:val="bottom"/>
          </w:tcPr>
          <w:p>
            <w:pPr>
              <w:jc w:val="center"/>
              <w:ind w:right="18"/>
              <w:spacing w:after="0" w:line="114" w:lineRule="exact"/>
              <w:rPr>
                <w:sz w:val="20"/>
                <w:szCs w:val="20"/>
                <w:color w:val="auto"/>
              </w:rPr>
            </w:pPr>
            <w:r>
              <w:rPr>
                <w:rFonts w:ascii="Arial" w:cs="Arial" w:eastAsia="Arial" w:hAnsi="Arial"/>
                <w:sz w:val="12"/>
                <w:szCs w:val="12"/>
                <w:b w:val="1"/>
                <w:bCs w:val="1"/>
                <w:color w:val="auto"/>
              </w:rPr>
              <w:t>Before-Tax</w:t>
            </w:r>
          </w:p>
        </w:tc>
        <w:tc>
          <w:tcPr>
            <w:tcW w:w="960" w:type="dxa"/>
            <w:vAlign w:val="bottom"/>
          </w:tcPr>
          <w:p>
            <w:pPr>
              <w:jc w:val="right"/>
              <w:ind w:right="198"/>
              <w:spacing w:after="0" w:line="114" w:lineRule="exact"/>
              <w:rPr>
                <w:sz w:val="20"/>
                <w:szCs w:val="20"/>
                <w:color w:val="auto"/>
              </w:rPr>
            </w:pPr>
            <w:r>
              <w:rPr>
                <w:rFonts w:ascii="Arial" w:cs="Arial" w:eastAsia="Arial" w:hAnsi="Arial"/>
                <w:sz w:val="12"/>
                <w:szCs w:val="12"/>
                <w:b w:val="1"/>
                <w:bCs w:val="1"/>
                <w:color w:val="auto"/>
              </w:rPr>
              <w:t>Income</w:t>
            </w:r>
          </w:p>
        </w:tc>
        <w:tc>
          <w:tcPr>
            <w:tcW w:w="980" w:type="dxa"/>
            <w:vAlign w:val="bottom"/>
          </w:tcPr>
          <w:p>
            <w:pPr>
              <w:jc w:val="center"/>
              <w:ind w:left="18"/>
              <w:spacing w:after="0" w:line="114" w:lineRule="exact"/>
              <w:rPr>
                <w:sz w:val="20"/>
                <w:szCs w:val="20"/>
                <w:color w:val="auto"/>
              </w:rPr>
            </w:pPr>
            <w:r>
              <w:rPr>
                <w:rFonts w:ascii="Arial" w:cs="Arial" w:eastAsia="Arial" w:hAnsi="Arial"/>
                <w:sz w:val="12"/>
                <w:szCs w:val="12"/>
                <w:b w:val="1"/>
                <w:bCs w:val="1"/>
                <w:color w:val="auto"/>
              </w:rPr>
              <w:t>After-Tax</w:t>
            </w:r>
          </w:p>
        </w:tc>
        <w:tc>
          <w:tcPr>
            <w:tcW w:w="120" w:type="dxa"/>
            <w:vAlign w:val="bottom"/>
          </w:tcPr>
          <w:p>
            <w:pPr>
              <w:spacing w:after="0"/>
              <w:rPr>
                <w:sz w:val="9"/>
                <w:szCs w:val="9"/>
                <w:color w:val="auto"/>
              </w:rPr>
            </w:pPr>
          </w:p>
        </w:tc>
        <w:tc>
          <w:tcPr>
            <w:tcW w:w="1000" w:type="dxa"/>
            <w:vAlign w:val="bottom"/>
          </w:tcPr>
          <w:p>
            <w:pPr>
              <w:jc w:val="center"/>
              <w:ind w:right="18"/>
              <w:spacing w:after="0" w:line="114" w:lineRule="exact"/>
              <w:rPr>
                <w:sz w:val="20"/>
                <w:szCs w:val="20"/>
                <w:color w:val="auto"/>
              </w:rPr>
            </w:pPr>
            <w:r>
              <w:rPr>
                <w:rFonts w:ascii="Arial" w:cs="Arial" w:eastAsia="Arial" w:hAnsi="Arial"/>
                <w:sz w:val="12"/>
                <w:szCs w:val="12"/>
                <w:color w:val="auto"/>
              </w:rPr>
              <w:t>Before-Tax</w:t>
            </w:r>
          </w:p>
        </w:tc>
        <w:tc>
          <w:tcPr>
            <w:tcW w:w="960" w:type="dxa"/>
            <w:vAlign w:val="bottom"/>
          </w:tcPr>
          <w:p>
            <w:pPr>
              <w:ind w:left="260"/>
              <w:spacing w:after="0" w:line="114" w:lineRule="exact"/>
              <w:rPr>
                <w:sz w:val="20"/>
                <w:szCs w:val="20"/>
                <w:color w:val="auto"/>
              </w:rPr>
            </w:pPr>
            <w:r>
              <w:rPr>
                <w:rFonts w:ascii="Arial" w:cs="Arial" w:eastAsia="Arial" w:hAnsi="Arial"/>
                <w:sz w:val="12"/>
                <w:szCs w:val="12"/>
                <w:color w:val="auto"/>
              </w:rPr>
              <w:t>Income</w:t>
            </w:r>
          </w:p>
        </w:tc>
        <w:tc>
          <w:tcPr>
            <w:tcW w:w="500" w:type="dxa"/>
            <w:vAlign w:val="bottom"/>
          </w:tcPr>
          <w:p>
            <w:pPr>
              <w:jc w:val="right"/>
              <w:spacing w:after="0" w:line="114" w:lineRule="exact"/>
              <w:rPr>
                <w:sz w:val="20"/>
                <w:szCs w:val="20"/>
                <w:color w:val="auto"/>
              </w:rPr>
            </w:pPr>
            <w:r>
              <w:rPr>
                <w:rFonts w:ascii="Arial" w:cs="Arial" w:eastAsia="Arial" w:hAnsi="Arial"/>
                <w:sz w:val="12"/>
                <w:szCs w:val="12"/>
                <w:color w:val="auto"/>
              </w:rPr>
              <w:t>Afte</w:t>
            </w:r>
          </w:p>
        </w:tc>
      </w:tr>
      <w:tr>
        <w:trPr>
          <w:trHeight w:val="162"/>
        </w:trPr>
        <w:tc>
          <w:tcPr>
            <w:tcW w:w="1040" w:type="dxa"/>
            <w:vAlign w:val="bottom"/>
          </w:tcPr>
          <w:p>
            <w:pPr>
              <w:jc w:val="center"/>
              <w:ind w:right="38"/>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318"/>
              <w:spacing w:after="0"/>
              <w:rPr>
                <w:sz w:val="20"/>
                <w:szCs w:val="20"/>
                <w:color w:val="auto"/>
              </w:rPr>
            </w:pPr>
            <w:r>
              <w:rPr>
                <w:rFonts w:ascii="Arial" w:cs="Arial" w:eastAsia="Arial" w:hAnsi="Arial"/>
                <w:sz w:val="12"/>
                <w:szCs w:val="12"/>
                <w:b w:val="1"/>
                <w:bCs w:val="1"/>
                <w:color w:val="auto"/>
              </w:rPr>
              <w:t>Tax</w:t>
            </w:r>
          </w:p>
        </w:tc>
        <w:tc>
          <w:tcPr>
            <w:tcW w:w="11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jc w:val="center"/>
              <w:ind w:right="38"/>
              <w:spacing w:after="0"/>
              <w:rPr>
                <w:sz w:val="20"/>
                <w:szCs w:val="20"/>
                <w:color w:val="auto"/>
              </w:rPr>
            </w:pPr>
            <w:r>
              <w:rPr>
                <w:rFonts w:ascii="Arial" w:cs="Arial" w:eastAsia="Arial" w:hAnsi="Arial"/>
                <w:sz w:val="12"/>
                <w:szCs w:val="12"/>
                <w:color w:val="auto"/>
              </w:rPr>
              <w:t>Amount</w:t>
            </w:r>
          </w:p>
        </w:tc>
        <w:tc>
          <w:tcPr>
            <w:tcW w:w="960" w:type="dxa"/>
            <w:vAlign w:val="bottom"/>
          </w:tcPr>
          <w:p>
            <w:pPr>
              <w:ind w:left="380"/>
              <w:spacing w:after="0"/>
              <w:rPr>
                <w:sz w:val="20"/>
                <w:szCs w:val="20"/>
                <w:color w:val="auto"/>
              </w:rPr>
            </w:pPr>
            <w:r>
              <w:rPr>
                <w:rFonts w:ascii="Arial" w:cs="Arial" w:eastAsia="Arial" w:hAnsi="Arial"/>
                <w:sz w:val="12"/>
                <w:szCs w:val="12"/>
                <w:color w:val="auto"/>
              </w:rPr>
              <w:t>Tax</w:t>
            </w:r>
          </w:p>
        </w:tc>
        <w:tc>
          <w:tcPr>
            <w:tcW w:w="500" w:type="dxa"/>
            <w:vAlign w:val="bottom"/>
          </w:tcPr>
          <w:p>
            <w:pPr>
              <w:jc w:val="right"/>
              <w:spacing w:after="0"/>
              <w:rPr>
                <w:sz w:val="20"/>
                <w:szCs w:val="20"/>
                <w:color w:val="auto"/>
              </w:rPr>
            </w:pPr>
            <w:r>
              <w:rPr>
                <w:rFonts w:ascii="Arial" w:cs="Arial" w:eastAsia="Arial" w:hAnsi="Arial"/>
                <w:sz w:val="12"/>
                <w:szCs w:val="12"/>
                <w:color w:val="auto"/>
              </w:rPr>
              <w:t>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-6350</wp:posOffset>
            </wp:positionV>
            <wp:extent cx="695325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4660" w:space="720"/>
            <w:col w:w="5560"/>
          </w:cols>
          <w:pgMar w:left="820" w:top="565" w:right="139" w:bottom="1440" w:gutter="0" w:footer="0" w:header="0"/>
          <w:type w:val="continuous"/>
        </w:sectPr>
      </w:pPr>
    </w:p>
    <w:p>
      <w:pPr>
        <w:spacing w:after="0"/>
        <w:rPr>
          <w:sz w:val="20"/>
          <w:szCs w:val="20"/>
          <w:color w:val="auto"/>
        </w:rPr>
      </w:pPr>
      <w:r>
        <w:rPr>
          <w:rFonts w:ascii="Arial" w:cs="Arial" w:eastAsia="Arial" w:hAnsi="Arial"/>
          <w:sz w:val="15"/>
          <w:szCs w:val="15"/>
          <w:color w:val="auto"/>
        </w:rPr>
        <w:t>Foreign currency translation adjustments: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Translation adjustments arising during the period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Adjustment for sales of businesses with foreign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Unrealized gains on available-for-sale securities: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Unrealized gains for the period</w:t>
      </w:r>
    </w:p>
    <w:p>
      <w:pPr>
        <w:spacing w:after="0" w:line="1" w:lineRule="exact"/>
        <w:rPr>
          <w:sz w:val="20"/>
          <w:szCs w:val="20"/>
          <w:color w:val="auto"/>
        </w:rPr>
      </w:pPr>
    </w:p>
    <w:p>
      <w:pPr>
        <w:ind w:left="460" w:right="700" w:hanging="235"/>
        <w:spacing w:after="0" w:line="250" w:lineRule="auto"/>
        <w:rPr>
          <w:sz w:val="20"/>
          <w:szCs w:val="20"/>
          <w:color w:val="auto"/>
        </w:rPr>
      </w:pPr>
      <w:r>
        <w:rPr>
          <w:rFonts w:ascii="Arial" w:cs="Arial" w:eastAsia="Arial" w:hAnsi="Arial"/>
          <w:sz w:val="15"/>
          <w:szCs w:val="15"/>
          <w:color w:val="auto"/>
        </w:rPr>
        <w:t>Reclassification adjustment for gain on available-for-sale securities included in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Pension and other postretirement plans: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net prior service credit included in net income</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Amortization of net actuarial loss included in net income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Settlement gain included in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Cash flow hedge:</w:t>
      </w:r>
    </w:p>
    <w:p>
      <w:pPr>
        <w:spacing w:after="0" w:line="1" w:lineRule="exact"/>
        <w:rPr>
          <w:sz w:val="20"/>
          <w:szCs w:val="20"/>
          <w:color w:val="auto"/>
        </w:rPr>
      </w:pPr>
    </w:p>
    <w:p>
      <w:pPr>
        <w:jc w:val="center"/>
        <w:ind w:right="2560"/>
        <w:spacing w:after="0"/>
        <w:rPr>
          <w:sz w:val="20"/>
          <w:szCs w:val="20"/>
          <w:color w:val="auto"/>
        </w:rPr>
      </w:pPr>
      <w:r>
        <w:rPr>
          <w:rFonts w:ascii="Arial" w:cs="Arial" w:eastAsia="Arial" w:hAnsi="Arial"/>
          <w:sz w:val="15"/>
          <w:szCs w:val="15"/>
          <w:color w:val="auto"/>
        </w:rPr>
        <w:t>Gain (loss) for the period</w:t>
      </w:r>
    </w:p>
    <w:p>
      <w:pPr>
        <w:spacing w:after="0" w:line="8" w:lineRule="exact"/>
        <w:rPr>
          <w:sz w:val="20"/>
          <w:szCs w:val="20"/>
          <w:color w:val="auto"/>
        </w:rPr>
      </w:pPr>
    </w:p>
    <w:p>
      <w:pPr>
        <w:jc w:val="center"/>
        <w:ind w:right="2560"/>
        <w:spacing w:after="0"/>
        <w:rPr>
          <w:sz w:val="20"/>
          <w:szCs w:val="20"/>
          <w:color w:val="auto"/>
        </w:rPr>
      </w:pPr>
      <w:r>
        <w:rPr>
          <w:rFonts w:ascii="Arial" w:cs="Arial" w:eastAsia="Arial" w:hAnsi="Arial"/>
          <w:sz w:val="14"/>
          <w:szCs w:val="14"/>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(2,061)</w:t>
            </w:r>
          </w:p>
        </w:tc>
        <w:tc>
          <w:tcPr>
            <w:tcW w:w="2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26"/>
              <w:spacing w:after="0"/>
              <w:rPr>
                <w:sz w:val="20"/>
                <w:szCs w:val="20"/>
                <w:color w:val="auto"/>
              </w:rPr>
            </w:pPr>
            <w:r>
              <w:rPr>
                <w:rFonts w:ascii="Arial" w:cs="Arial" w:eastAsia="Arial" w:hAnsi="Arial"/>
                <w:sz w:val="15"/>
                <w:szCs w:val="15"/>
                <w:b w:val="1"/>
                <w:bCs w:val="1"/>
                <w:color w:val="auto"/>
              </w:rPr>
              <w:t>(2,061)</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4,233</w:t>
            </w:r>
          </w:p>
        </w:tc>
        <w:tc>
          <w:tcPr>
            <w:tcW w:w="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r>
      <w:tr>
        <w:trPr>
          <w:trHeight w:val="190"/>
        </w:trPr>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(888)</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6"/>
                <w:szCs w:val="16"/>
                <w:color w:val="auto"/>
              </w:rPr>
            </w:pPr>
          </w:p>
        </w:tc>
      </w:tr>
      <w:tr>
        <w:trPr>
          <w:trHeight w:val="166"/>
        </w:trPr>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(2,061)</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(2,061)</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3,345</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4"/>
                <w:szCs w:val="14"/>
                <w:color w:val="auto"/>
              </w:rPr>
            </w:pPr>
          </w:p>
        </w:tc>
      </w:tr>
      <w:tr>
        <w:trPr>
          <w:trHeight w:val="347"/>
        </w:trPr>
        <w:tc>
          <w:tcPr>
            <w:tcW w:w="28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81,439</w:t>
            </w:r>
          </w:p>
        </w:tc>
        <w:tc>
          <w:tcPr>
            <w:tcW w:w="280" w:type="dxa"/>
            <w:vAlign w:val="bottom"/>
          </w:tcPr>
          <w:p>
            <w:pPr>
              <w:spacing w:after="0"/>
              <w:rPr>
                <w:sz w:val="24"/>
                <w:szCs w:val="24"/>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b w:val="1"/>
                <w:bCs w:val="1"/>
                <w:color w:val="auto"/>
              </w:rPr>
              <w:t>(32,575)</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b w:val="1"/>
                <w:bCs w:val="1"/>
                <w:color w:val="auto"/>
              </w:rPr>
              <w:t>48,864</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32,939</w:t>
            </w:r>
          </w:p>
        </w:tc>
        <w:tc>
          <w:tcPr>
            <w:tcW w:w="26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(13,175)</w:t>
            </w:r>
          </w:p>
        </w:tc>
        <w:tc>
          <w:tcPr>
            <w:tcW w:w="480" w:type="dxa"/>
            <w:vAlign w:val="bottom"/>
          </w:tcPr>
          <w:p>
            <w:pPr>
              <w:spacing w:after="0"/>
              <w:rPr>
                <w:sz w:val="24"/>
                <w:szCs w:val="24"/>
                <w:color w:val="auto"/>
              </w:rPr>
            </w:pPr>
          </w:p>
        </w:tc>
      </w:tr>
      <w:tr>
        <w:trPr>
          <w:trHeight w:val="341"/>
        </w:trPr>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(884)</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353</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(531)</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(772)</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309</w:t>
            </w:r>
          </w:p>
        </w:tc>
        <w:tc>
          <w:tcPr>
            <w:tcW w:w="480" w:type="dxa"/>
            <w:vAlign w:val="bottom"/>
            <w:tcBorders>
              <w:bottom w:val="single" w:sz="8" w:color="auto"/>
            </w:tcBorders>
          </w:tcPr>
          <w:p>
            <w:pPr>
              <w:spacing w:after="0"/>
              <w:rPr>
                <w:sz w:val="24"/>
                <w:szCs w:val="24"/>
                <w:color w:val="auto"/>
              </w:rPr>
            </w:pPr>
          </w:p>
        </w:tc>
      </w:tr>
      <w:tr>
        <w:trPr>
          <w:trHeight w:val="166"/>
        </w:trPr>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80,555</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(32,222)</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48,333</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32,167</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(12,866)</w:t>
            </w:r>
          </w:p>
        </w:tc>
        <w:tc>
          <w:tcPr>
            <w:tcW w:w="480" w:type="dxa"/>
            <w:vAlign w:val="bottom"/>
            <w:tcBorders>
              <w:bottom w:val="single" w:sz="8" w:color="auto"/>
            </w:tcBorders>
          </w:tcPr>
          <w:p>
            <w:pPr>
              <w:spacing w:after="0"/>
              <w:rPr>
                <w:sz w:val="14"/>
                <w:szCs w:val="14"/>
                <w:color w:val="auto"/>
              </w:rPr>
            </w:pPr>
          </w:p>
        </w:tc>
      </w:tr>
      <w:tr>
        <w:trPr>
          <w:trHeight w:val="324"/>
        </w:trPr>
        <w:tc>
          <w:tcPr>
            <w:tcW w:w="28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(1,205)</w:t>
            </w:r>
          </w:p>
        </w:tc>
        <w:tc>
          <w:tcPr>
            <w:tcW w:w="280" w:type="dxa"/>
            <w:vAlign w:val="bottom"/>
          </w:tcPr>
          <w:p>
            <w:pPr>
              <w:spacing w:after="0"/>
              <w:rPr>
                <w:sz w:val="24"/>
                <w:szCs w:val="24"/>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b w:val="1"/>
                <w:bCs w:val="1"/>
                <w:color w:val="auto"/>
              </w:rPr>
              <w:t>482</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b w:val="1"/>
                <w:bCs w:val="1"/>
                <w:color w:val="auto"/>
              </w:rPr>
              <w:t>(723)</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(1,390)</w:t>
            </w:r>
          </w:p>
        </w:tc>
        <w:tc>
          <w:tcPr>
            <w:tcW w:w="26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556</w:t>
            </w:r>
          </w:p>
        </w:tc>
        <w:tc>
          <w:tcPr>
            <w:tcW w:w="480" w:type="dxa"/>
            <w:vAlign w:val="bottom"/>
          </w:tcPr>
          <w:p>
            <w:pPr>
              <w:spacing w:after="0"/>
              <w:rPr>
                <w:sz w:val="24"/>
                <w:szCs w:val="24"/>
                <w:color w:val="auto"/>
              </w:rPr>
            </w:pPr>
          </w:p>
        </w:tc>
      </w:tr>
      <w:tr>
        <w:trPr>
          <w:trHeight w:val="174"/>
        </w:trPr>
        <w:tc>
          <w:tcPr>
            <w:tcW w:w="28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6,325</w:t>
            </w:r>
          </w:p>
        </w:tc>
        <w:tc>
          <w:tcPr>
            <w:tcW w:w="28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b w:val="1"/>
                <w:bCs w:val="1"/>
                <w:color w:val="auto"/>
              </w:rPr>
              <w:t>(2,529)</w:t>
            </w:r>
          </w:p>
        </w:tc>
        <w:tc>
          <w:tcPr>
            <w:tcW w:w="320" w:type="dxa"/>
            <w:vAlign w:val="bottom"/>
          </w:tcPr>
          <w:p>
            <w:pPr>
              <w:spacing w:after="0"/>
              <w:rPr>
                <w:sz w:val="15"/>
                <w:szCs w:val="15"/>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b w:val="1"/>
                <w:bCs w:val="1"/>
                <w:color w:val="auto"/>
              </w:rPr>
              <w:t>3,796</w:t>
            </w:r>
          </w:p>
        </w:tc>
        <w:tc>
          <w:tcPr>
            <w:tcW w:w="320" w:type="dxa"/>
            <w:vAlign w:val="bottom"/>
          </w:tcPr>
          <w:p>
            <w:pPr>
              <w:spacing w:after="0"/>
              <w:rPr>
                <w:sz w:val="15"/>
                <w:szCs w:val="15"/>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6,839</w:t>
            </w:r>
          </w:p>
        </w:tc>
        <w:tc>
          <w:tcPr>
            <w:tcW w:w="26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(2,735)</w:t>
            </w:r>
          </w:p>
        </w:tc>
        <w:tc>
          <w:tcPr>
            <w:tcW w:w="480" w:type="dxa"/>
            <w:vAlign w:val="bottom"/>
          </w:tcPr>
          <w:p>
            <w:pPr>
              <w:spacing w:after="0"/>
              <w:rPr>
                <w:sz w:val="15"/>
                <w:szCs w:val="15"/>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(3,471)</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1,388</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(2,083)</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6"/>
                <w:szCs w:val="16"/>
                <w:color w:val="auto"/>
              </w:rPr>
            </w:pPr>
          </w:p>
        </w:tc>
      </w:tr>
      <w:tr>
        <w:trPr>
          <w:trHeight w:val="166"/>
        </w:trPr>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1,649</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(659)</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990</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5,449</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(2,179)</w:t>
            </w:r>
          </w:p>
        </w:tc>
        <w:tc>
          <w:tcPr>
            <w:tcW w:w="480" w:type="dxa"/>
            <w:vAlign w:val="bottom"/>
            <w:tcBorders>
              <w:bottom w:val="single" w:sz="8" w:color="auto"/>
            </w:tcBorders>
          </w:tcPr>
          <w:p>
            <w:pPr>
              <w:spacing w:after="0"/>
              <w:rPr>
                <w:sz w:val="14"/>
                <w:szCs w:val="14"/>
                <w:color w:val="auto"/>
              </w:rPr>
            </w:pPr>
          </w:p>
        </w:tc>
      </w:tr>
      <w:tr>
        <w:trPr>
          <w:trHeight w:val="340"/>
        </w:trPr>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259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(104)</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155</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(1,160)</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465</w:t>
            </w:r>
          </w:p>
        </w:tc>
        <w:tc>
          <w:tcPr>
            <w:tcW w:w="480" w:type="dxa"/>
            <w:vAlign w:val="bottom"/>
            <w:tcBorders>
              <w:bottom w:val="single" w:sz="8" w:color="auto"/>
            </w:tcBorders>
          </w:tcPr>
          <w:p>
            <w:pPr>
              <w:spacing w:after="0"/>
              <w:rPr>
                <w:sz w:val="24"/>
                <w:szCs w:val="24"/>
                <w:color w:val="auto"/>
              </w:rPr>
            </w:pPr>
          </w:p>
        </w:tc>
      </w:tr>
      <w:tr>
        <w:trPr>
          <w:trHeight w:val="166"/>
        </w:trPr>
        <w:tc>
          <w:tcPr>
            <w:tcW w:w="2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80,402</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(32,985)</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47,417</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39,801</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(14,580)</w:t>
            </w:r>
          </w:p>
        </w:tc>
        <w:tc>
          <w:tcPr>
            <w:tcW w:w="480" w:type="dxa"/>
            <w:vAlign w:val="bottom"/>
            <w:tcBorders>
              <w:bottom w:val="single" w:sz="8" w:color="auto"/>
            </w:tcBorders>
          </w:tcPr>
          <w:p>
            <w:pPr>
              <w:jc w:val="right"/>
              <w:ind w:right="246"/>
              <w:spacing w:after="0" w:line="167" w:lineRule="exact"/>
              <w:rPr>
                <w:sz w:val="20"/>
                <w:szCs w:val="20"/>
                <w:color w:val="auto"/>
              </w:rPr>
            </w:pPr>
            <w:r>
              <w:rPr>
                <w:rFonts w:ascii="Arial" w:cs="Arial" w:eastAsia="Arial" w:hAnsi="Arial"/>
                <w:sz w:val="15"/>
                <w:szCs w:val="15"/>
                <w:color w:val="auto"/>
              </w:rPr>
              <w:t>$</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4660" w:space="720"/>
            <w:col w:w="5560"/>
          </w:cols>
          <w:pgMar w:left="820" w:top="565" w:right="139" w:bottom="1440" w:gutter="0" w:footer="0" w:header="0"/>
          <w:type w:val="continuous"/>
        </w:sectPr>
      </w:pPr>
    </w:p>
    <w:p>
      <w:pPr>
        <w:spacing w:after="0"/>
        <w:rPr>
          <w:sz w:val="20"/>
          <w:szCs w:val="20"/>
          <w:color w:val="auto"/>
        </w:rPr>
      </w:pPr>
      <w:r>
        <w:rPr>
          <w:rFonts w:ascii="Arial" w:cs="Arial" w:eastAsia="Arial" w:hAnsi="Arial"/>
          <w:sz w:val="17"/>
          <w:szCs w:val="17"/>
          <w:color w:val="auto"/>
        </w:rPr>
        <w:t>The accumulated balances related to each component of other comprehensive income (loss)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92"/>
              <w:spacing w:after="0"/>
              <w:rPr>
                <w:sz w:val="20"/>
                <w:szCs w:val="20"/>
                <w:color w:val="auto"/>
              </w:rPr>
            </w:pPr>
            <w:r>
              <w:rPr>
                <w:rFonts w:ascii="Arial" w:cs="Arial" w:eastAsia="Arial" w:hAnsi="Arial"/>
                <w:sz w:val="12"/>
                <w:szCs w:val="12"/>
                <w:b w:val="1"/>
                <w:bCs w:val="1"/>
                <w:color w:val="auto"/>
              </w:rPr>
              <w:t>Cumulative</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12"/>
              <w:spacing w:after="0"/>
              <w:rPr>
                <w:sz w:val="20"/>
                <w:szCs w:val="20"/>
                <w:color w:val="auto"/>
              </w:rPr>
            </w:pPr>
            <w:r>
              <w:rPr>
                <w:rFonts w:ascii="Arial" w:cs="Arial" w:eastAsia="Arial" w:hAnsi="Arial"/>
                <w:sz w:val="12"/>
                <w:szCs w:val="12"/>
                <w:b w:val="1"/>
                <w:bCs w:val="1"/>
                <w:color w:val="auto"/>
              </w:rPr>
              <w:t>Unrealized Gain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7"/>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72"/>
              <w:spacing w:after="0" w:line="137" w:lineRule="exact"/>
              <w:rPr>
                <w:sz w:val="20"/>
                <w:szCs w:val="20"/>
                <w:color w:val="auto"/>
              </w:rPr>
            </w:pPr>
            <w:r>
              <w:rPr>
                <w:rFonts w:ascii="Arial" w:cs="Arial" w:eastAsia="Arial" w:hAnsi="Arial"/>
                <w:sz w:val="12"/>
                <w:szCs w:val="12"/>
                <w:b w:val="1"/>
                <w:bCs w:val="1"/>
                <w:color w:val="auto"/>
              </w:rPr>
              <w:t>Foreign</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12"/>
              <w:spacing w:after="0" w:line="137" w:lineRule="exact"/>
              <w:rPr>
                <w:sz w:val="20"/>
                <w:szCs w:val="20"/>
                <w:color w:val="auto"/>
              </w:rPr>
            </w:pPr>
            <w:r>
              <w:rPr>
                <w:rFonts w:ascii="Arial" w:cs="Arial" w:eastAsia="Arial" w:hAnsi="Arial"/>
                <w:sz w:val="12"/>
                <w:szCs w:val="12"/>
                <w:b w:val="1"/>
                <w:bCs w:val="1"/>
                <w:color w:val="auto"/>
              </w:rPr>
              <w:t>on Pensions</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Accumula</w:t>
            </w:r>
          </w:p>
        </w:tc>
      </w:tr>
      <w:tr>
        <w:trPr>
          <w:trHeight w:val="137"/>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72"/>
              <w:spacing w:after="0" w:line="137" w:lineRule="exact"/>
              <w:rPr>
                <w:sz w:val="20"/>
                <w:szCs w:val="20"/>
                <w:color w:val="auto"/>
              </w:rPr>
            </w:pPr>
            <w:r>
              <w:rPr>
                <w:rFonts w:ascii="Arial" w:cs="Arial" w:eastAsia="Arial" w:hAnsi="Arial"/>
                <w:sz w:val="12"/>
                <w:szCs w:val="12"/>
                <w:b w:val="1"/>
                <w:bCs w:val="1"/>
                <w:color w:val="auto"/>
              </w:rPr>
              <w:t>Currency</w:t>
            </w:r>
          </w:p>
        </w:tc>
        <w:tc>
          <w:tcPr>
            <w:tcW w:w="240" w:type="dxa"/>
            <w:vAlign w:val="bottom"/>
          </w:tcPr>
          <w:p>
            <w:pPr>
              <w:spacing w:after="0"/>
              <w:rPr>
                <w:sz w:val="11"/>
                <w:szCs w:val="11"/>
                <w:color w:val="auto"/>
              </w:rPr>
            </w:pPr>
          </w:p>
        </w:tc>
        <w:tc>
          <w:tcPr>
            <w:tcW w:w="1240" w:type="dxa"/>
            <w:vAlign w:val="bottom"/>
          </w:tcPr>
          <w:p>
            <w:pPr>
              <w:jc w:val="center"/>
              <w:ind w:right="110"/>
              <w:spacing w:after="0" w:line="137" w:lineRule="exact"/>
              <w:rPr>
                <w:sz w:val="20"/>
                <w:szCs w:val="20"/>
                <w:color w:val="auto"/>
              </w:rPr>
            </w:pPr>
            <w:r>
              <w:rPr>
                <w:rFonts w:ascii="Arial" w:cs="Arial" w:eastAsia="Arial" w:hAnsi="Arial"/>
                <w:sz w:val="12"/>
                <w:szCs w:val="12"/>
                <w:b w:val="1"/>
                <w:bCs w:val="1"/>
                <w:color w:val="auto"/>
              </w:rPr>
              <w:t>Unrealized Gain</w:t>
            </w:r>
          </w:p>
        </w:tc>
        <w:tc>
          <w:tcPr>
            <w:tcW w:w="240" w:type="dxa"/>
            <w:vAlign w:val="bottom"/>
          </w:tcPr>
          <w:p>
            <w:pPr>
              <w:spacing w:after="0"/>
              <w:rPr>
                <w:sz w:val="11"/>
                <w:szCs w:val="11"/>
                <w:color w:val="auto"/>
              </w:rPr>
            </w:pPr>
          </w:p>
        </w:tc>
        <w:tc>
          <w:tcPr>
            <w:tcW w:w="1240" w:type="dxa"/>
            <w:vAlign w:val="bottom"/>
          </w:tcPr>
          <w:p>
            <w:pPr>
              <w:jc w:val="center"/>
              <w:ind w:right="112"/>
              <w:spacing w:after="0" w:line="137" w:lineRule="exact"/>
              <w:rPr>
                <w:sz w:val="20"/>
                <w:szCs w:val="20"/>
                <w:color w:val="auto"/>
              </w:rPr>
            </w:pPr>
            <w:r>
              <w:rPr>
                <w:rFonts w:ascii="Arial" w:cs="Arial" w:eastAsia="Arial" w:hAnsi="Arial"/>
                <w:sz w:val="12"/>
                <w:szCs w:val="12"/>
                <w:b w:val="1"/>
                <w:bCs w:val="1"/>
                <w:color w:val="auto"/>
              </w:rPr>
              <w:t>and Other</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Other</w:t>
            </w:r>
          </w:p>
        </w:tc>
      </w:tr>
      <w:tr>
        <w:trPr>
          <w:trHeight w:val="137"/>
        </w:trPr>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72"/>
              <w:spacing w:after="0" w:line="137" w:lineRule="exact"/>
              <w:rPr>
                <w:sz w:val="20"/>
                <w:szCs w:val="20"/>
                <w:color w:val="auto"/>
              </w:rPr>
            </w:pPr>
            <w:r>
              <w:rPr>
                <w:rFonts w:ascii="Arial" w:cs="Arial" w:eastAsia="Arial" w:hAnsi="Arial"/>
                <w:sz w:val="12"/>
                <w:szCs w:val="12"/>
                <w:b w:val="1"/>
                <w:bCs w:val="1"/>
                <w:color w:val="auto"/>
              </w:rPr>
              <w:t>Translation</w:t>
            </w:r>
          </w:p>
        </w:tc>
        <w:tc>
          <w:tcPr>
            <w:tcW w:w="240" w:type="dxa"/>
            <w:vAlign w:val="bottom"/>
          </w:tcPr>
          <w:p>
            <w:pPr>
              <w:spacing w:after="0"/>
              <w:rPr>
                <w:sz w:val="11"/>
                <w:szCs w:val="11"/>
                <w:color w:val="auto"/>
              </w:rPr>
            </w:pPr>
          </w:p>
        </w:tc>
        <w:tc>
          <w:tcPr>
            <w:tcW w:w="1240" w:type="dxa"/>
            <w:vAlign w:val="bottom"/>
          </w:tcPr>
          <w:p>
            <w:pPr>
              <w:jc w:val="center"/>
              <w:ind w:right="110"/>
              <w:spacing w:after="0" w:line="137" w:lineRule="exact"/>
              <w:rPr>
                <w:sz w:val="20"/>
                <w:szCs w:val="20"/>
                <w:color w:val="auto"/>
              </w:rPr>
            </w:pPr>
            <w:r>
              <w:rPr>
                <w:rFonts w:ascii="Arial" w:cs="Arial" w:eastAsia="Arial" w:hAnsi="Arial"/>
                <w:sz w:val="12"/>
                <w:szCs w:val="12"/>
                <w:b w:val="1"/>
                <w:bCs w:val="1"/>
                <w:color w:val="auto"/>
              </w:rPr>
              <w:t>on Available-for-</w:t>
            </w:r>
          </w:p>
        </w:tc>
        <w:tc>
          <w:tcPr>
            <w:tcW w:w="240" w:type="dxa"/>
            <w:vAlign w:val="bottom"/>
          </w:tcPr>
          <w:p>
            <w:pPr>
              <w:spacing w:after="0"/>
              <w:rPr>
                <w:sz w:val="11"/>
                <w:szCs w:val="11"/>
                <w:color w:val="auto"/>
              </w:rPr>
            </w:pPr>
          </w:p>
        </w:tc>
        <w:tc>
          <w:tcPr>
            <w:tcW w:w="1240" w:type="dxa"/>
            <w:vAlign w:val="bottom"/>
          </w:tcPr>
          <w:p>
            <w:pPr>
              <w:jc w:val="center"/>
              <w:ind w:right="132"/>
              <w:spacing w:after="0" w:line="137" w:lineRule="exact"/>
              <w:rPr>
                <w:sz w:val="20"/>
                <w:szCs w:val="20"/>
                <w:color w:val="auto"/>
              </w:rPr>
            </w:pPr>
            <w:r>
              <w:rPr>
                <w:rFonts w:ascii="Arial" w:cs="Arial" w:eastAsia="Arial" w:hAnsi="Arial"/>
                <w:sz w:val="12"/>
                <w:szCs w:val="12"/>
                <w:b w:val="1"/>
                <w:bCs w:val="1"/>
                <w:color w:val="auto"/>
              </w:rPr>
              <w:t>Postretirement</w:t>
            </w:r>
          </w:p>
        </w:tc>
        <w:tc>
          <w:tcPr>
            <w:tcW w:w="320" w:type="dxa"/>
            <w:vAlign w:val="bottom"/>
          </w:tcPr>
          <w:p>
            <w:pPr>
              <w:spacing w:after="0"/>
              <w:rPr>
                <w:sz w:val="11"/>
                <w:szCs w:val="11"/>
                <w:color w:val="auto"/>
              </w:rPr>
            </w:pPr>
          </w:p>
        </w:tc>
        <w:tc>
          <w:tcPr>
            <w:tcW w:w="1160" w:type="dxa"/>
            <w:vAlign w:val="bottom"/>
          </w:tcPr>
          <w:p>
            <w:pPr>
              <w:jc w:val="right"/>
              <w:ind w:right="329"/>
              <w:spacing w:after="0" w:line="137" w:lineRule="exact"/>
              <w:rPr>
                <w:sz w:val="20"/>
                <w:szCs w:val="20"/>
                <w:color w:val="auto"/>
              </w:rPr>
            </w:pPr>
            <w:r>
              <w:rPr>
                <w:rFonts w:ascii="Arial" w:cs="Arial" w:eastAsia="Arial" w:hAnsi="Arial"/>
                <w:sz w:val="12"/>
                <w:szCs w:val="12"/>
                <w:b w:val="1"/>
                <w:bCs w:val="1"/>
                <w:color w:val="auto"/>
              </w:rPr>
              <w:t>Cash Flow</w:t>
            </w:r>
          </w:p>
        </w:tc>
        <w:tc>
          <w:tcPr>
            <w:tcW w:w="24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Comprehen</w:t>
            </w:r>
          </w:p>
        </w:tc>
      </w:tr>
      <w:tr>
        <w:trPr>
          <w:trHeight w:val="151"/>
        </w:trPr>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net of taxes)</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2"/>
              <w:spacing w:after="0"/>
              <w:rPr>
                <w:sz w:val="20"/>
                <w:szCs w:val="20"/>
                <w:color w:val="auto"/>
              </w:rPr>
            </w:pPr>
            <w:r>
              <w:rPr>
                <w:rFonts w:ascii="Arial" w:cs="Arial" w:eastAsia="Arial" w:hAnsi="Arial"/>
                <w:sz w:val="12"/>
                <w:szCs w:val="12"/>
                <w:b w:val="1"/>
                <w:bCs w:val="1"/>
                <w:color w:val="auto"/>
              </w:rPr>
              <w:t>Adjustment</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rPr>
              <w:t>Sale Securities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w w:val="99"/>
              </w:rPr>
              <w:t>Plans</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Hedge</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Income</w:t>
            </w:r>
          </w:p>
        </w:tc>
      </w:tr>
      <w:tr>
        <w:trPr>
          <w:trHeight w:val="150"/>
        </w:trPr>
        <w:tc>
          <w:tcPr>
            <w:tcW w:w="4140" w:type="dxa"/>
            <w:vAlign w:val="bottom"/>
          </w:tcPr>
          <w:p>
            <w:pPr>
              <w:spacing w:after="0" w:line="150" w:lineRule="exact"/>
              <w:rPr>
                <w:sz w:val="20"/>
                <w:szCs w:val="20"/>
                <w:color w:val="auto"/>
              </w:rPr>
            </w:pPr>
            <w:r>
              <w:rPr>
                <w:rFonts w:ascii="Arial" w:cs="Arial" w:eastAsia="Arial" w:hAnsi="Arial"/>
                <w:sz w:val="15"/>
                <w:szCs w:val="15"/>
                <w:color w:val="auto"/>
              </w:rPr>
              <w:t>Balance as of December 31, 2012</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26,072</w:t>
            </w:r>
          </w:p>
        </w:tc>
        <w:tc>
          <w:tcPr>
            <w:tcW w:w="2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10"/>
              <w:spacing w:after="0" w:line="150" w:lineRule="exact"/>
              <w:rPr>
                <w:sz w:val="20"/>
                <w:szCs w:val="20"/>
                <w:color w:val="auto"/>
              </w:rPr>
            </w:pPr>
            <w:r>
              <w:rPr>
                <w:rFonts w:ascii="Arial" w:cs="Arial" w:eastAsia="Arial" w:hAnsi="Arial"/>
                <w:sz w:val="15"/>
                <w:szCs w:val="15"/>
                <w:color w:val="auto"/>
              </w:rPr>
              <w:t>110,553</w:t>
            </w:r>
          </w:p>
        </w:tc>
        <w:tc>
          <w:tcPr>
            <w:tcW w:w="2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12"/>
              <w:spacing w:after="0" w:line="150" w:lineRule="exact"/>
              <w:rPr>
                <w:sz w:val="20"/>
                <w:szCs w:val="20"/>
                <w:color w:val="auto"/>
              </w:rPr>
            </w:pPr>
            <w:r>
              <w:rPr>
                <w:rFonts w:ascii="Arial" w:cs="Arial" w:eastAsia="Arial" w:hAnsi="Arial"/>
                <w:sz w:val="15"/>
                <w:szCs w:val="15"/>
                <w:color w:val="auto"/>
              </w:rPr>
              <w:t>117,169</w:t>
            </w:r>
          </w:p>
        </w:tc>
        <w:tc>
          <w:tcPr>
            <w:tcW w:w="320" w:type="dxa"/>
            <w:vAlign w:val="bottom"/>
          </w:tcPr>
          <w:p>
            <w:pPr>
              <w:jc w:val="right"/>
              <w:ind w:right="46"/>
              <w:spacing w:after="0" w:line="150"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9"/>
              <w:spacing w:after="0" w:line="150" w:lineRule="exact"/>
              <w:rPr>
                <w:sz w:val="20"/>
                <w:szCs w:val="20"/>
                <w:color w:val="auto"/>
              </w:rPr>
            </w:pPr>
            <w:r>
              <w:rPr>
                <w:rFonts w:ascii="Arial" w:cs="Arial" w:eastAsia="Arial" w:hAnsi="Arial"/>
                <w:sz w:val="15"/>
                <w:szCs w:val="15"/>
                <w:color w:val="auto"/>
              </w:rPr>
              <w:t>(940)</w:t>
            </w:r>
          </w:p>
        </w:tc>
        <w:tc>
          <w:tcPr>
            <w:tcW w:w="2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4140" w:type="dxa"/>
            <w:vAlign w:val="bottom"/>
          </w:tcPr>
          <w:p>
            <w:pPr>
              <w:ind w:left="120"/>
              <w:spacing w:after="0"/>
              <w:rPr>
                <w:sz w:val="20"/>
                <w:szCs w:val="20"/>
                <w:color w:val="auto"/>
              </w:rPr>
            </w:pPr>
            <w:r>
              <w:rPr>
                <w:rFonts w:ascii="Arial" w:cs="Arial" w:eastAsia="Arial" w:hAnsi="Arial"/>
                <w:sz w:val="15"/>
                <w:szCs w:val="15"/>
                <w:b w:val="1"/>
                <w:bCs w:val="1"/>
                <w:color w:val="auto"/>
              </w:rPr>
              <w:t>Other comprehensive income (loss) before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4"/>
        </w:trPr>
        <w:tc>
          <w:tcPr>
            <w:tcW w:w="4140" w:type="dxa"/>
            <w:vAlign w:val="bottom"/>
          </w:tcPr>
          <w:p>
            <w:pPr>
              <w:ind w:left="240"/>
              <w:spacing w:after="0"/>
              <w:rPr>
                <w:sz w:val="20"/>
                <w:szCs w:val="20"/>
                <w:color w:val="auto"/>
              </w:rPr>
            </w:pPr>
            <w:r>
              <w:rPr>
                <w:rFonts w:ascii="Arial" w:cs="Arial" w:eastAsia="Arial" w:hAnsi="Arial"/>
                <w:sz w:val="15"/>
                <w:szCs w:val="15"/>
                <w:b w:val="1"/>
                <w:bCs w:val="1"/>
                <w:color w:val="auto"/>
              </w:rPr>
              <w:t>reclassifications</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(2,061)</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5"/>
                <w:szCs w:val="15"/>
                <w:b w:val="1"/>
                <w:bCs w:val="1"/>
                <w:color w:val="auto"/>
              </w:rPr>
              <w:t>48,864</w:t>
            </w:r>
          </w:p>
        </w:tc>
        <w:tc>
          <w:tcPr>
            <w:tcW w:w="24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(198)</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4"/>
        </w:trPr>
        <w:tc>
          <w:tcPr>
            <w:tcW w:w="4140" w:type="dxa"/>
            <w:vAlign w:val="bottom"/>
          </w:tcPr>
          <w:p>
            <w:pPr>
              <w:ind w:left="120"/>
              <w:spacing w:after="0"/>
              <w:rPr>
                <w:sz w:val="20"/>
                <w:szCs w:val="20"/>
                <w:color w:val="auto"/>
              </w:rPr>
            </w:pPr>
            <w:r>
              <w:rPr>
                <w:rFonts w:ascii="Arial" w:cs="Arial" w:eastAsia="Arial" w:hAnsi="Arial"/>
                <w:sz w:val="15"/>
                <w:szCs w:val="15"/>
                <w:b w:val="1"/>
                <w:bCs w:val="1"/>
                <w:color w:val="auto"/>
              </w:rPr>
              <w:t>Net amount reclassified from accumulated</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0"/>
        </w:trPr>
        <w:tc>
          <w:tcPr>
            <w:tcW w:w="4140" w:type="dxa"/>
            <w:vAlign w:val="bottom"/>
          </w:tcPr>
          <w:p>
            <w:pPr>
              <w:ind w:left="240"/>
              <w:spacing w:after="0"/>
              <w:rPr>
                <w:sz w:val="20"/>
                <w:szCs w:val="20"/>
                <w:color w:val="auto"/>
              </w:rPr>
            </w:pPr>
            <w:r>
              <w:rPr>
                <w:rFonts w:ascii="Arial" w:cs="Arial" w:eastAsia="Arial" w:hAnsi="Arial"/>
                <w:sz w:val="15"/>
                <w:szCs w:val="15"/>
                <w:b w:val="1"/>
                <w:bCs w:val="1"/>
                <w:color w:val="auto"/>
              </w:rPr>
              <w:t>other comprehensive income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(531)</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b w:val="1"/>
                <w:bCs w:val="1"/>
                <w:color w:val="auto"/>
              </w:rPr>
              <w:t>990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353</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6"/>
        </w:trPr>
        <w:tc>
          <w:tcPr>
            <w:tcW w:w="4140" w:type="dxa"/>
            <w:vAlign w:val="bottom"/>
          </w:tcPr>
          <w:p>
            <w:pPr>
              <w:ind w:left="120"/>
              <w:spacing w:after="0" w:line="167" w:lineRule="exact"/>
              <w:rPr>
                <w:sz w:val="20"/>
                <w:szCs w:val="20"/>
                <w:color w:val="auto"/>
              </w:rPr>
            </w:pPr>
            <w:r>
              <w:rPr>
                <w:rFonts w:ascii="Arial" w:cs="Arial" w:eastAsia="Arial" w:hAnsi="Arial"/>
                <w:sz w:val="15"/>
                <w:szCs w:val="15"/>
                <w:b w:val="1"/>
                <w:bCs w:val="1"/>
                <w:color w:val="auto"/>
              </w:rPr>
              <w:t>Net other comprehensive income (loss)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(2,061)</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48,333</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
              <w:spacing w:after="0" w:line="167" w:lineRule="exact"/>
              <w:rPr>
                <w:sz w:val="20"/>
                <w:szCs w:val="20"/>
                <w:color w:val="auto"/>
              </w:rPr>
            </w:pPr>
            <w:r>
              <w:rPr>
                <w:rFonts w:ascii="Arial" w:cs="Arial" w:eastAsia="Arial" w:hAnsi="Arial"/>
                <w:sz w:val="15"/>
                <w:szCs w:val="15"/>
                <w:b w:val="1"/>
                <w:bCs w:val="1"/>
                <w:color w:val="auto"/>
              </w:rPr>
              <w:t>990</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155</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6"/>
        </w:trPr>
        <w:tc>
          <w:tcPr>
            <w:tcW w:w="4140" w:type="dxa"/>
            <w:vAlign w:val="bottom"/>
          </w:tcPr>
          <w:p>
            <w:pPr>
              <w:spacing w:after="0" w:line="167" w:lineRule="exact"/>
              <w:rPr>
                <w:sz w:val="20"/>
                <w:szCs w:val="20"/>
                <w:color w:val="auto"/>
              </w:rPr>
            </w:pPr>
            <w:r>
              <w:rPr>
                <w:rFonts w:ascii="Arial" w:cs="Arial" w:eastAsia="Arial" w:hAnsi="Arial"/>
                <w:sz w:val="15"/>
                <w:szCs w:val="15"/>
                <w:b w:val="1"/>
                <w:bCs w:val="1"/>
                <w:color w:val="auto"/>
              </w:rPr>
              <w:t>Balance as of September 30, 2013</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24,011</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158,886</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2"/>
              <w:spacing w:after="0" w:line="167" w:lineRule="exact"/>
              <w:rPr>
                <w:sz w:val="20"/>
                <w:szCs w:val="20"/>
                <w:color w:val="auto"/>
              </w:rPr>
            </w:pPr>
            <w:r>
              <w:rPr>
                <w:rFonts w:ascii="Arial" w:cs="Arial" w:eastAsia="Arial" w:hAnsi="Arial"/>
                <w:sz w:val="15"/>
                <w:szCs w:val="15"/>
                <w:b w:val="1"/>
                <w:bCs w:val="1"/>
                <w:color w:val="auto"/>
              </w:rPr>
              <w:t>118,159</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(785)</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3</w:t>
            </w: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type w:val="continuous"/>
        </w:sectPr>
      </w:pPr>
    </w:p>
    <w:bookmarkStart w:id="21" w:name="page22"/>
    <w:bookmarkEnd w:id="21"/>
    <w:p>
      <w:pPr>
        <w:ind w:left="10"/>
        <w:spacing w:after="0"/>
        <w:rPr>
          <w:sz w:val="20"/>
          <w:szCs w:val="20"/>
          <w:color w:val="auto"/>
        </w:rPr>
      </w:pPr>
      <w:r>
        <w:rPr>
          <w:rFonts w:ascii="Arial" w:cs="Arial" w:eastAsia="Arial" w:hAnsi="Arial"/>
          <w:sz w:val="17"/>
          <w:szCs w:val="17"/>
          <w:color w:val="auto"/>
        </w:rPr>
        <w:t>The amounts and line items of reclassifications out of Accumulated Other Comprehensive Income are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3880" w:type="dxa"/>
            <w:vAlign w:val="bottom"/>
            <w:gridSpan w:val="4"/>
          </w:tcPr>
          <w:p>
            <w:pPr>
              <w:jc w:val="center"/>
              <w:spacing w:after="0"/>
              <w:rPr>
                <w:sz w:val="20"/>
                <w:szCs w:val="20"/>
                <w:color w:val="auto"/>
              </w:rPr>
            </w:pPr>
            <w:r>
              <w:rPr>
                <w:rFonts w:ascii="Arial" w:cs="Arial" w:eastAsia="Arial" w:hAnsi="Arial"/>
                <w:sz w:val="12"/>
                <w:szCs w:val="12"/>
                <w:b w:val="1"/>
                <w:bCs w:val="1"/>
                <w:color w:val="auto"/>
              </w:rPr>
              <w:t>Amount Reclassified from Accumulated Other Comprehensive</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9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b w:val="1"/>
                <w:bCs w:val="1"/>
                <w:color w:val="auto"/>
              </w:rPr>
              <w:t>Income</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120" w:type="dxa"/>
            <w:vAlign w:val="bottom"/>
            <w:vMerge w:val="restart"/>
          </w:tcPr>
          <w:p>
            <w:pPr>
              <w:jc w:val="center"/>
              <w:ind w:left="538"/>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14"/>
        </w:trPr>
        <w:tc>
          <w:tcPr>
            <w:tcW w:w="4920" w:type="dxa"/>
            <w:vAlign w:val="bottom"/>
          </w:tcPr>
          <w:p>
            <w:pPr>
              <w:spacing w:after="0"/>
              <w:rPr>
                <w:sz w:val="9"/>
                <w:szCs w:val="9"/>
                <w:color w:val="auto"/>
              </w:rPr>
            </w:pPr>
          </w:p>
        </w:tc>
        <w:tc>
          <w:tcPr>
            <w:tcW w:w="2300" w:type="dxa"/>
            <w:vAlign w:val="bottom"/>
            <w:gridSpan w:val="2"/>
          </w:tcPr>
          <w:p>
            <w:pPr>
              <w:jc w:val="center"/>
              <w:ind w:right="178"/>
              <w:spacing w:after="0" w:line="114" w:lineRule="exact"/>
              <w:rPr>
                <w:sz w:val="20"/>
                <w:szCs w:val="20"/>
                <w:color w:val="auto"/>
              </w:rPr>
            </w:pPr>
            <w:r>
              <w:rPr>
                <w:rFonts w:ascii="Arial" w:cs="Arial" w:eastAsia="Arial" w:hAnsi="Arial"/>
                <w:sz w:val="12"/>
                <w:szCs w:val="12"/>
                <w:b w:val="1"/>
                <w:bCs w:val="1"/>
                <w:color w:val="auto"/>
              </w:rPr>
              <w:t>Three Months Ended</w:t>
            </w:r>
          </w:p>
        </w:tc>
        <w:tc>
          <w:tcPr>
            <w:tcW w:w="1580" w:type="dxa"/>
            <w:vAlign w:val="bottom"/>
            <w:gridSpan w:val="2"/>
          </w:tcPr>
          <w:p>
            <w:pPr>
              <w:jc w:val="right"/>
              <w:ind w:right="198"/>
              <w:spacing w:after="0" w:line="114" w:lineRule="exact"/>
              <w:rPr>
                <w:sz w:val="20"/>
                <w:szCs w:val="20"/>
                <w:color w:val="auto"/>
              </w:rPr>
            </w:pPr>
            <w:r>
              <w:rPr>
                <w:rFonts w:ascii="Arial" w:cs="Arial" w:eastAsia="Arial" w:hAnsi="Arial"/>
                <w:sz w:val="12"/>
                <w:szCs w:val="12"/>
                <w:b w:val="1"/>
                <w:bCs w:val="1"/>
                <w:color w:val="auto"/>
              </w:rPr>
              <w:t>Nine Months Ended</w:t>
            </w: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920" w:type="dxa"/>
            <w:vAlign w:val="bottom"/>
          </w:tcPr>
          <w:p>
            <w:pPr>
              <w:spacing w:after="0"/>
              <w:rPr>
                <w:sz w:val="13"/>
                <w:szCs w:val="13"/>
                <w:color w:val="auto"/>
              </w:rPr>
            </w:pPr>
          </w:p>
        </w:tc>
        <w:tc>
          <w:tcPr>
            <w:tcW w:w="1460" w:type="dxa"/>
            <w:vAlign w:val="bottom"/>
            <w:tcBorders>
              <w:bottom w:val="single" w:sz="8" w:color="auto"/>
            </w:tcBorders>
          </w:tcPr>
          <w:p>
            <w:pPr>
              <w:jc w:val="center"/>
              <w:ind w:left="538"/>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358"/>
              <w:spacing w:after="0"/>
              <w:rPr>
                <w:sz w:val="20"/>
                <w:szCs w:val="20"/>
                <w:color w:val="auto"/>
              </w:rPr>
            </w:pPr>
            <w:r>
              <w:rPr>
                <w:rFonts w:ascii="Arial" w:cs="Arial" w:eastAsia="Arial" w:hAnsi="Arial"/>
                <w:sz w:val="12"/>
                <w:szCs w:val="12"/>
                <w:b w:val="1"/>
                <w:bCs w:val="1"/>
                <w:color w:val="auto"/>
              </w:rPr>
              <w:t>September 30,</w:t>
            </w:r>
          </w:p>
        </w:tc>
        <w:tc>
          <w:tcPr>
            <w:tcW w:w="2120" w:type="dxa"/>
            <w:vAlign w:val="bottom"/>
          </w:tcPr>
          <w:p>
            <w:pPr>
              <w:jc w:val="center"/>
              <w:ind w:left="558"/>
              <w:spacing w:after="0"/>
              <w:rPr>
                <w:sz w:val="20"/>
                <w:szCs w:val="20"/>
                <w:color w:val="auto"/>
              </w:rPr>
            </w:pPr>
            <w:r>
              <w:rPr>
                <w:rFonts w:ascii="Arial" w:cs="Arial" w:eastAsia="Arial" w:hAnsi="Arial"/>
                <w:sz w:val="12"/>
                <w:szCs w:val="12"/>
                <w:b w:val="1"/>
                <w:bCs w:val="1"/>
                <w:color w:val="auto"/>
              </w:rPr>
              <w:t>Condensed Consolidated</w:t>
            </w:r>
          </w:p>
        </w:tc>
        <w:tc>
          <w:tcPr>
            <w:tcW w:w="0" w:type="dxa"/>
            <w:vAlign w:val="bottom"/>
          </w:tcPr>
          <w:p>
            <w:pPr>
              <w:spacing w:after="0"/>
              <w:rPr>
                <w:sz w:val="1"/>
                <w:szCs w:val="1"/>
                <w:color w:val="auto"/>
              </w:rPr>
            </w:pPr>
          </w:p>
        </w:tc>
      </w:tr>
      <w:tr>
        <w:trPr>
          <w:trHeight w:val="143"/>
        </w:trPr>
        <w:tc>
          <w:tcPr>
            <w:tcW w:w="4920" w:type="dxa"/>
            <w:vAlign w:val="bottom"/>
          </w:tcPr>
          <w:p>
            <w:pPr>
              <w:spacing w:after="0"/>
              <w:rPr>
                <w:sz w:val="20"/>
                <w:szCs w:val="20"/>
                <w:color w:val="auto"/>
              </w:rPr>
            </w:pPr>
            <w:r>
              <w:rPr>
                <w:rFonts w:ascii="Arial" w:cs="Arial" w:eastAsia="Arial" w:hAnsi="Arial"/>
                <w:sz w:val="12"/>
                <w:szCs w:val="12"/>
                <w:color w:val="auto"/>
              </w:rPr>
              <w:t>(in thousands)</w:t>
            </w:r>
          </w:p>
        </w:tc>
        <w:tc>
          <w:tcPr>
            <w:tcW w:w="1460" w:type="dxa"/>
            <w:vAlign w:val="bottom"/>
          </w:tcPr>
          <w:p>
            <w:pPr>
              <w:jc w:val="right"/>
              <w:ind w:right="758"/>
              <w:spacing w:after="0"/>
              <w:rPr>
                <w:sz w:val="20"/>
                <w:szCs w:val="20"/>
                <w:color w:val="auto"/>
              </w:rPr>
            </w:pPr>
            <w:r>
              <w:rPr>
                <w:rFonts w:ascii="Arial" w:cs="Arial" w:eastAsia="Arial" w:hAnsi="Arial"/>
                <w:sz w:val="12"/>
                <w:szCs w:val="12"/>
                <w:b w:val="1"/>
                <w:bCs w:val="1"/>
                <w:color w:val="auto"/>
              </w:rPr>
              <w:t>2013</w:t>
            </w:r>
          </w:p>
        </w:tc>
        <w:tc>
          <w:tcPr>
            <w:tcW w:w="840" w:type="dxa"/>
            <w:vAlign w:val="bottom"/>
          </w:tcPr>
          <w:p>
            <w:pPr>
              <w:jc w:val="right"/>
              <w:ind w:right="498"/>
              <w:spacing w:after="0"/>
              <w:rPr>
                <w:sz w:val="20"/>
                <w:szCs w:val="20"/>
                <w:color w:val="auto"/>
              </w:rPr>
            </w:pPr>
            <w:r>
              <w:rPr>
                <w:rFonts w:ascii="Arial" w:cs="Arial" w:eastAsia="Arial" w:hAnsi="Arial"/>
                <w:sz w:val="12"/>
                <w:szCs w:val="12"/>
                <w:color w:val="auto"/>
                <w:w w:val="97"/>
              </w:rPr>
              <w:t>2012</w:t>
            </w:r>
          </w:p>
        </w:tc>
        <w:tc>
          <w:tcPr>
            <w:tcW w:w="720" w:type="dxa"/>
            <w:vAlign w:val="bottom"/>
          </w:tcPr>
          <w:p>
            <w:pPr>
              <w:jc w:val="right"/>
              <w:ind w:right="258"/>
              <w:spacing w:after="0"/>
              <w:rPr>
                <w:sz w:val="20"/>
                <w:szCs w:val="20"/>
                <w:color w:val="auto"/>
              </w:rPr>
            </w:pPr>
            <w:r>
              <w:rPr>
                <w:rFonts w:ascii="Arial" w:cs="Arial" w:eastAsia="Arial" w:hAnsi="Arial"/>
                <w:sz w:val="12"/>
                <w:szCs w:val="12"/>
                <w:b w:val="1"/>
                <w:bCs w:val="1"/>
                <w:color w:val="auto"/>
              </w:rPr>
              <w:t>2013</w:t>
            </w:r>
          </w:p>
        </w:tc>
        <w:tc>
          <w:tcPr>
            <w:tcW w:w="860" w:type="dxa"/>
            <w:vAlign w:val="bottom"/>
          </w:tcPr>
          <w:p>
            <w:pPr>
              <w:jc w:val="right"/>
              <w:ind w:right="218"/>
              <w:spacing w:after="0"/>
              <w:rPr>
                <w:sz w:val="20"/>
                <w:szCs w:val="20"/>
                <w:color w:val="auto"/>
              </w:rPr>
            </w:pPr>
            <w:r>
              <w:rPr>
                <w:rFonts w:ascii="Arial" w:cs="Arial" w:eastAsia="Arial" w:hAnsi="Arial"/>
                <w:sz w:val="12"/>
                <w:szCs w:val="12"/>
                <w:color w:val="auto"/>
              </w:rPr>
              <w:t>2012</w:t>
            </w:r>
          </w:p>
        </w:tc>
        <w:tc>
          <w:tcPr>
            <w:tcW w:w="2120" w:type="dxa"/>
            <w:vAlign w:val="bottom"/>
          </w:tcPr>
          <w:p>
            <w:pPr>
              <w:jc w:val="center"/>
              <w:ind w:left="538"/>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9532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50"/>
          </w:cols>
          <w:pgMar w:left="810" w:top="585" w:right="139" w:bottom="1440" w:gutter="0" w:footer="0" w:header="0"/>
        </w:sectPr>
      </w:pPr>
    </w:p>
    <w:p>
      <w:pPr>
        <w:ind w:left="10"/>
        <w:spacing w:after="0"/>
        <w:rPr>
          <w:sz w:val="20"/>
          <w:szCs w:val="20"/>
          <w:color w:val="auto"/>
        </w:rPr>
      </w:pPr>
      <w:r>
        <w:rPr>
          <w:rFonts w:ascii="Arial" w:cs="Arial" w:eastAsia="Arial" w:hAnsi="Arial"/>
          <w:sz w:val="15"/>
          <w:szCs w:val="15"/>
          <w:color w:val="auto"/>
        </w:rPr>
        <w:t>Foreign Currency Translation Adjustments:</w:t>
      </w:r>
    </w:p>
    <w:p>
      <w:pPr>
        <w:spacing w:after="0" w:line="1" w:lineRule="exact"/>
        <w:rPr>
          <w:sz w:val="20"/>
          <w:szCs w:val="20"/>
          <w:color w:val="auto"/>
        </w:rPr>
      </w:pPr>
    </w:p>
    <w:p>
      <w:pPr>
        <w:ind w:left="130"/>
        <w:spacing w:after="0"/>
        <w:rPr>
          <w:sz w:val="20"/>
          <w:szCs w:val="20"/>
          <w:color w:val="auto"/>
        </w:rPr>
      </w:pPr>
      <w:r>
        <w:rPr>
          <w:rFonts w:ascii="Arial" w:cs="Arial" w:eastAsia="Arial" w:hAnsi="Arial"/>
          <w:sz w:val="14"/>
          <w:szCs w:val="14"/>
          <w:color w:val="auto"/>
        </w:rPr>
        <w:t>Adjustment for sales of businesses with foreign operations</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15"/>
          <w:szCs w:val="15"/>
          <w:color w:val="auto"/>
        </w:rPr>
        <w:t>Unrealized Gains on Available-for-sale Securities:</w:t>
      </w:r>
    </w:p>
    <w:p>
      <w:pPr>
        <w:spacing w:after="0" w:line="1" w:lineRule="exact"/>
        <w:rPr>
          <w:sz w:val="20"/>
          <w:szCs w:val="20"/>
          <w:color w:val="auto"/>
        </w:rPr>
      </w:pPr>
    </w:p>
    <w:p>
      <w:pPr>
        <w:ind w:left="130"/>
        <w:spacing w:after="0"/>
        <w:rPr>
          <w:sz w:val="20"/>
          <w:szCs w:val="20"/>
          <w:color w:val="auto"/>
        </w:rPr>
      </w:pPr>
      <w:r>
        <w:rPr>
          <w:rFonts w:ascii="Arial" w:cs="Arial" w:eastAsia="Arial" w:hAnsi="Arial"/>
          <w:sz w:val="15"/>
          <w:szCs w:val="15"/>
          <w:color w:val="auto"/>
        </w:rPr>
        <w:t>Realized gains for the period</w:t>
      </w:r>
    </w:p>
    <w:p>
      <w:pPr>
        <w:spacing w:after="0" w:line="374" w:lineRule="exact"/>
        <w:rPr>
          <w:sz w:val="20"/>
          <w:szCs w:val="20"/>
          <w:color w:val="auto"/>
        </w:rPr>
      </w:pPr>
    </w:p>
    <w:p>
      <w:pPr>
        <w:ind w:left="10"/>
        <w:spacing w:after="0"/>
        <w:rPr>
          <w:sz w:val="20"/>
          <w:szCs w:val="20"/>
          <w:color w:val="auto"/>
        </w:rPr>
      </w:pPr>
      <w:r>
        <w:rPr>
          <w:rFonts w:ascii="Arial" w:cs="Arial" w:eastAsia="Arial" w:hAnsi="Arial"/>
          <w:sz w:val="15"/>
          <w:szCs w:val="15"/>
          <w:color w:val="auto"/>
        </w:rPr>
        <w:t>Pension and Other Postretirement Plans:</w:t>
      </w:r>
    </w:p>
    <w:p>
      <w:pPr>
        <w:spacing w:after="0" w:line="1" w:lineRule="exact"/>
        <w:rPr>
          <w:sz w:val="20"/>
          <w:szCs w:val="20"/>
          <w:color w:val="auto"/>
        </w:rPr>
      </w:pPr>
    </w:p>
    <w:p>
      <w:pPr>
        <w:ind w:left="130"/>
        <w:spacing w:after="0"/>
        <w:rPr>
          <w:sz w:val="20"/>
          <w:szCs w:val="20"/>
          <w:color w:val="auto"/>
        </w:rPr>
      </w:pPr>
      <w:r>
        <w:rPr>
          <w:rFonts w:ascii="Arial" w:cs="Arial" w:eastAsia="Arial" w:hAnsi="Arial"/>
          <w:sz w:val="15"/>
          <w:szCs w:val="15"/>
          <w:color w:val="auto"/>
        </w:rPr>
        <w:t>Amortization of net prior service credit</w:t>
      </w:r>
    </w:p>
    <w:p>
      <w:pPr>
        <w:spacing w:after="0" w:line="1" w:lineRule="exact"/>
        <w:rPr>
          <w:sz w:val="20"/>
          <w:szCs w:val="20"/>
          <w:color w:val="auto"/>
        </w:rPr>
      </w:pPr>
    </w:p>
    <w:p>
      <w:pPr>
        <w:ind w:left="130"/>
        <w:spacing w:after="0"/>
        <w:rPr>
          <w:sz w:val="20"/>
          <w:szCs w:val="20"/>
          <w:color w:val="auto"/>
        </w:rPr>
      </w:pPr>
      <w:r>
        <w:rPr>
          <w:rFonts w:ascii="Arial" w:cs="Arial" w:eastAsia="Arial" w:hAnsi="Arial"/>
          <w:sz w:val="15"/>
          <w:szCs w:val="15"/>
          <w:color w:val="auto"/>
        </w:rPr>
        <w:t>Amortization of net actuarial loss</w:t>
      </w:r>
    </w:p>
    <w:p>
      <w:pPr>
        <w:spacing w:after="0" w:line="1" w:lineRule="exact"/>
        <w:rPr>
          <w:sz w:val="20"/>
          <w:szCs w:val="20"/>
          <w:color w:val="auto"/>
        </w:rPr>
      </w:pPr>
    </w:p>
    <w:p>
      <w:pPr>
        <w:ind w:left="130"/>
        <w:spacing w:after="0"/>
        <w:rPr>
          <w:sz w:val="20"/>
          <w:szCs w:val="20"/>
          <w:color w:val="auto"/>
        </w:rPr>
      </w:pPr>
      <w:r>
        <w:rPr>
          <w:rFonts w:ascii="Arial" w:cs="Arial" w:eastAsia="Arial" w:hAnsi="Arial"/>
          <w:sz w:val="15"/>
          <w:szCs w:val="15"/>
          <w:color w:val="auto"/>
        </w:rPr>
        <w:t>Settlement gain</w:t>
      </w:r>
    </w:p>
    <w:p>
      <w:pPr>
        <w:spacing w:after="0" w:line="200" w:lineRule="exact"/>
        <w:rPr>
          <w:sz w:val="20"/>
          <w:szCs w:val="20"/>
          <w:color w:val="auto"/>
        </w:rPr>
      </w:pPr>
    </w:p>
    <w:p>
      <w:pPr>
        <w:spacing w:after="0" w:line="360" w:lineRule="exact"/>
        <w:rPr>
          <w:sz w:val="20"/>
          <w:szCs w:val="20"/>
          <w:color w:val="auto"/>
        </w:rPr>
      </w:pPr>
    </w:p>
    <w:p>
      <w:pPr>
        <w:ind w:left="10"/>
        <w:spacing w:after="0"/>
        <w:rPr>
          <w:sz w:val="20"/>
          <w:szCs w:val="20"/>
          <w:color w:val="auto"/>
        </w:rPr>
      </w:pPr>
      <w:r>
        <w:rPr>
          <w:rFonts w:ascii="Arial" w:cs="Arial" w:eastAsia="Arial" w:hAnsi="Arial"/>
          <w:sz w:val="15"/>
          <w:szCs w:val="15"/>
          <w:color w:val="auto"/>
        </w:rPr>
        <w:t>Cash Flow Hedge</w:t>
      </w:r>
    </w:p>
    <w:p>
      <w:pPr>
        <w:spacing w:after="0" w:line="200" w:lineRule="exact"/>
        <w:rPr>
          <w:sz w:val="20"/>
          <w:szCs w:val="20"/>
          <w:color w:val="auto"/>
        </w:rPr>
      </w:pPr>
    </w:p>
    <w:p>
      <w:pPr>
        <w:spacing w:after="0" w:line="360" w:lineRule="exact"/>
        <w:rPr>
          <w:sz w:val="20"/>
          <w:szCs w:val="20"/>
          <w:color w:val="auto"/>
        </w:rPr>
      </w:pPr>
    </w:p>
    <w:p>
      <w:pPr>
        <w:ind w:left="10"/>
        <w:spacing w:after="0"/>
        <w:rPr>
          <w:sz w:val="20"/>
          <w:szCs w:val="20"/>
          <w:color w:val="auto"/>
        </w:rPr>
      </w:pPr>
      <w:r>
        <w:rPr>
          <w:rFonts w:ascii="Arial" w:cs="Arial" w:eastAsia="Arial" w:hAnsi="Arial"/>
          <w:sz w:val="15"/>
          <w:szCs w:val="15"/>
          <w:color w:val="auto"/>
        </w:rPr>
        <w:t>Total reclassification for the period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(1,409)</w:t>
            </w:r>
          </w:p>
        </w:tc>
        <w:tc>
          <w:tcPr>
            <w:tcW w:w="26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(888)</w:t>
            </w:r>
          </w:p>
        </w:tc>
        <w:tc>
          <w:tcPr>
            <w:tcW w:w="2060" w:type="dxa"/>
            <w:vAlign w:val="bottom"/>
          </w:tcPr>
          <w:p>
            <w:pPr>
              <w:ind w:left="120"/>
              <w:spacing w:after="0"/>
              <w:rPr>
                <w:sz w:val="20"/>
                <w:szCs w:val="20"/>
                <w:color w:val="auto"/>
              </w:rPr>
            </w:pPr>
            <w:r>
              <w:rPr>
                <w:rFonts w:ascii="Arial" w:cs="Arial" w:eastAsia="Arial" w:hAnsi="Arial"/>
                <w:sz w:val="13"/>
                <w:szCs w:val="13"/>
                <w:color w:val="auto"/>
              </w:rPr>
              <w:t>(Loss) Income from Discontinued</w:t>
            </w:r>
          </w:p>
        </w:tc>
      </w:tr>
      <w:tr>
        <w:trPr>
          <w:trHeight w:val="174"/>
        </w:trPr>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60" w:type="dxa"/>
            <w:vAlign w:val="bottom"/>
          </w:tcPr>
          <w:p>
            <w:pPr>
              <w:ind w:left="120"/>
              <w:spacing w:after="0"/>
              <w:rPr>
                <w:sz w:val="20"/>
                <w:szCs w:val="20"/>
                <w:color w:val="auto"/>
              </w:rPr>
            </w:pPr>
            <w:r>
              <w:rPr>
                <w:rFonts w:ascii="Arial" w:cs="Arial" w:eastAsia="Arial" w:hAnsi="Arial"/>
                <w:sz w:val="13"/>
                <w:szCs w:val="13"/>
                <w:color w:val="auto"/>
              </w:rPr>
              <w:t>Operations, Net of Tax</w:t>
            </w:r>
          </w:p>
        </w:tc>
      </w:tr>
      <w:tr>
        <w:trPr>
          <w:trHeight w:val="318"/>
        </w:trPr>
        <w:tc>
          <w:tcPr>
            <w:tcW w:w="42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(884)</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(772)</w:t>
            </w:r>
          </w:p>
        </w:tc>
        <w:tc>
          <w:tcPr>
            <w:tcW w:w="2060" w:type="dxa"/>
            <w:vAlign w:val="bottom"/>
          </w:tcPr>
          <w:p>
            <w:pPr>
              <w:ind w:left="120"/>
              <w:spacing w:after="0"/>
              <w:rPr>
                <w:sz w:val="20"/>
                <w:szCs w:val="20"/>
                <w:color w:val="auto"/>
              </w:rPr>
            </w:pPr>
            <w:r>
              <w:rPr>
                <w:rFonts w:ascii="Arial" w:cs="Arial" w:eastAsia="Arial" w:hAnsi="Arial"/>
                <w:sz w:val="13"/>
                <w:szCs w:val="13"/>
                <w:color w:val="auto"/>
              </w:rPr>
              <w:t>Other income (expense), net</w:t>
            </w:r>
          </w:p>
        </w:tc>
      </w:tr>
      <w:tr>
        <w:trPr>
          <w:trHeight w:val="190"/>
        </w:trPr>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353</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w:t>
            </w:r>
          </w:p>
        </w:tc>
        <w:tc>
          <w:tcPr>
            <w:tcW w:w="2060" w:type="dxa"/>
            <w:vAlign w:val="bottom"/>
          </w:tcPr>
          <w:p>
            <w:pPr>
              <w:ind w:left="120"/>
              <w:spacing w:after="0"/>
              <w:rPr>
                <w:sz w:val="20"/>
                <w:szCs w:val="20"/>
                <w:color w:val="auto"/>
              </w:rPr>
            </w:pPr>
            <w:r>
              <w:rPr>
                <w:rFonts w:ascii="Arial" w:cs="Arial" w:eastAsia="Arial" w:hAnsi="Arial"/>
                <w:sz w:val="13"/>
                <w:szCs w:val="13"/>
                <w:color w:val="auto"/>
              </w:rPr>
              <w:t>Provision for Income Taxes</w:t>
            </w:r>
          </w:p>
        </w:tc>
      </w:tr>
      <w:tr>
        <w:trPr>
          <w:trHeight w:val="166"/>
        </w:trPr>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(531)</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(463)</w:t>
            </w:r>
          </w:p>
        </w:tc>
        <w:tc>
          <w:tcPr>
            <w:tcW w:w="2060" w:type="dxa"/>
            <w:vAlign w:val="bottom"/>
          </w:tcPr>
          <w:p>
            <w:pPr>
              <w:ind w:left="120"/>
              <w:spacing w:after="0"/>
              <w:rPr>
                <w:sz w:val="20"/>
                <w:szCs w:val="20"/>
                <w:color w:val="auto"/>
              </w:rPr>
            </w:pPr>
            <w:r>
              <w:rPr>
                <w:rFonts w:ascii="Arial" w:cs="Arial" w:eastAsia="Arial" w:hAnsi="Arial"/>
                <w:sz w:val="13"/>
                <w:szCs w:val="13"/>
                <w:color w:val="auto"/>
              </w:rPr>
              <w:t>Net of Tax</w:t>
            </w:r>
          </w:p>
        </w:tc>
      </w:tr>
      <w:tr>
        <w:trPr>
          <w:trHeight w:val="324"/>
        </w:trPr>
        <w:tc>
          <w:tcPr>
            <w:tcW w:w="42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(384)</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(469)</w:t>
            </w:r>
          </w:p>
        </w:tc>
        <w:tc>
          <w:tcPr>
            <w:tcW w:w="26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(1,205)</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(1,390)</w:t>
            </w:r>
          </w:p>
        </w:tc>
        <w:tc>
          <w:tcPr>
            <w:tcW w:w="2060" w:type="dxa"/>
            <w:vAlign w:val="bottom"/>
          </w:tcPr>
          <w:p>
            <w:pPr>
              <w:ind w:left="120"/>
              <w:spacing w:after="0"/>
              <w:rPr>
                <w:sz w:val="20"/>
                <w:szCs w:val="20"/>
                <w:color w:val="auto"/>
              </w:rPr>
            </w:pPr>
            <w:r>
              <w:rPr>
                <w:rFonts w:ascii="Arial" w:cs="Arial" w:eastAsia="Arial" w:hAnsi="Arial"/>
                <w:sz w:val="13"/>
                <w:szCs w:val="13"/>
                <w:color w:val="auto"/>
              </w:rPr>
              <w:t>(1)</w:t>
            </w:r>
          </w:p>
        </w:tc>
      </w:tr>
      <w:tr>
        <w:trPr>
          <w:trHeight w:val="174"/>
        </w:trPr>
        <w:tc>
          <w:tcPr>
            <w:tcW w:w="420" w:type="dxa"/>
            <w:vAlign w:val="bottom"/>
          </w:tcPr>
          <w:p>
            <w:pPr>
              <w:spacing w:after="0"/>
              <w:rPr>
                <w:sz w:val="15"/>
                <w:szCs w:val="15"/>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2,004</w:t>
            </w:r>
          </w:p>
        </w:tc>
        <w:tc>
          <w:tcPr>
            <w:tcW w:w="320" w:type="dxa"/>
            <w:vAlign w:val="bottom"/>
          </w:tcPr>
          <w:p>
            <w:pPr>
              <w:spacing w:after="0"/>
              <w:rPr>
                <w:sz w:val="15"/>
                <w:szCs w:val="15"/>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2,592</w:t>
            </w:r>
          </w:p>
        </w:tc>
        <w:tc>
          <w:tcPr>
            <w:tcW w:w="260" w:type="dxa"/>
            <w:vAlign w:val="bottom"/>
          </w:tcPr>
          <w:p>
            <w:pPr>
              <w:spacing w:after="0"/>
              <w:rPr>
                <w:sz w:val="15"/>
                <w:szCs w:val="15"/>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6,325</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6,839</w:t>
            </w:r>
          </w:p>
        </w:tc>
        <w:tc>
          <w:tcPr>
            <w:tcW w:w="2060" w:type="dxa"/>
            <w:vAlign w:val="bottom"/>
          </w:tcPr>
          <w:p>
            <w:pPr>
              <w:ind w:left="120"/>
              <w:spacing w:after="0"/>
              <w:rPr>
                <w:sz w:val="20"/>
                <w:szCs w:val="20"/>
                <w:color w:val="auto"/>
              </w:rPr>
            </w:pPr>
            <w:r>
              <w:rPr>
                <w:rFonts w:ascii="Arial" w:cs="Arial" w:eastAsia="Arial" w:hAnsi="Arial"/>
                <w:sz w:val="13"/>
                <w:szCs w:val="13"/>
                <w:color w:val="auto"/>
              </w:rPr>
              <w:t>(1)</w:t>
            </w:r>
          </w:p>
        </w:tc>
      </w:tr>
      <w:tr>
        <w:trPr>
          <w:trHeight w:val="190"/>
        </w:trPr>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(3,471)</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60" w:type="dxa"/>
            <w:vAlign w:val="bottom"/>
          </w:tcPr>
          <w:p>
            <w:pPr>
              <w:ind w:left="120"/>
              <w:spacing w:after="0"/>
              <w:rPr>
                <w:sz w:val="20"/>
                <w:szCs w:val="20"/>
                <w:color w:val="auto"/>
              </w:rPr>
            </w:pPr>
            <w:r>
              <w:rPr>
                <w:rFonts w:ascii="Arial" w:cs="Arial" w:eastAsia="Arial" w:hAnsi="Arial"/>
                <w:sz w:val="13"/>
                <w:szCs w:val="13"/>
                <w:color w:val="auto"/>
              </w:rPr>
              <w:t>(1)</w:t>
            </w:r>
          </w:p>
        </w:tc>
      </w:tr>
      <w:tr>
        <w:trPr>
          <w:trHeight w:val="150"/>
        </w:trPr>
        <w:tc>
          <w:tcPr>
            <w:tcW w:w="420" w:type="dxa"/>
            <w:vAlign w:val="bottom"/>
          </w:tcPr>
          <w:p>
            <w:pPr>
              <w:spacing w:after="0"/>
              <w:rPr>
                <w:sz w:val="13"/>
                <w:szCs w:val="13"/>
                <w:color w:val="auto"/>
              </w:rPr>
            </w:pPr>
          </w:p>
        </w:tc>
        <w:tc>
          <w:tcPr>
            <w:tcW w:w="68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1,620</w:t>
            </w:r>
          </w:p>
        </w:tc>
        <w:tc>
          <w:tcPr>
            <w:tcW w:w="320" w:type="dxa"/>
            <w:vAlign w:val="bottom"/>
          </w:tcPr>
          <w:p>
            <w:pPr>
              <w:spacing w:after="0"/>
              <w:rPr>
                <w:sz w:val="13"/>
                <w:szCs w:val="13"/>
                <w:color w:val="auto"/>
              </w:rPr>
            </w:pPr>
          </w:p>
        </w:tc>
        <w:tc>
          <w:tcPr>
            <w:tcW w:w="700" w:type="dxa"/>
            <w:vAlign w:val="bottom"/>
          </w:tcPr>
          <w:p>
            <w:pPr>
              <w:jc w:val="right"/>
              <w:ind w:right="26"/>
              <w:spacing w:after="0" w:line="150" w:lineRule="exact"/>
              <w:rPr>
                <w:sz w:val="20"/>
                <w:szCs w:val="20"/>
                <w:color w:val="auto"/>
              </w:rPr>
            </w:pPr>
            <w:r>
              <w:rPr>
                <w:rFonts w:ascii="Arial" w:cs="Arial" w:eastAsia="Arial" w:hAnsi="Arial"/>
                <w:sz w:val="15"/>
                <w:szCs w:val="15"/>
                <w:color w:val="auto"/>
              </w:rPr>
              <w:t>2,123</w:t>
            </w:r>
          </w:p>
        </w:tc>
        <w:tc>
          <w:tcPr>
            <w:tcW w:w="260" w:type="dxa"/>
            <w:vAlign w:val="bottom"/>
          </w:tcPr>
          <w:p>
            <w:pPr>
              <w:spacing w:after="0"/>
              <w:rPr>
                <w:sz w:val="13"/>
                <w:szCs w:val="13"/>
                <w:color w:val="auto"/>
              </w:rPr>
            </w:pPr>
          </w:p>
        </w:tc>
        <w:tc>
          <w:tcPr>
            <w:tcW w:w="64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1,649</w:t>
            </w:r>
          </w:p>
        </w:tc>
        <w:tc>
          <w:tcPr>
            <w:tcW w:w="260" w:type="dxa"/>
            <w:vAlign w:val="bottom"/>
          </w:tcPr>
          <w:p>
            <w:pPr>
              <w:spacing w:after="0"/>
              <w:rPr>
                <w:sz w:val="13"/>
                <w:szCs w:val="13"/>
                <w:color w:val="auto"/>
              </w:rPr>
            </w:pPr>
          </w:p>
        </w:tc>
        <w:tc>
          <w:tcPr>
            <w:tcW w:w="600" w:type="dxa"/>
            <w:vAlign w:val="bottom"/>
          </w:tcPr>
          <w:p>
            <w:pPr>
              <w:jc w:val="right"/>
              <w:spacing w:after="0" w:line="150" w:lineRule="exact"/>
              <w:rPr>
                <w:sz w:val="20"/>
                <w:szCs w:val="20"/>
                <w:color w:val="auto"/>
              </w:rPr>
            </w:pPr>
            <w:r>
              <w:rPr>
                <w:rFonts w:ascii="Arial" w:cs="Arial" w:eastAsia="Arial" w:hAnsi="Arial"/>
                <w:sz w:val="15"/>
                <w:szCs w:val="15"/>
                <w:color w:val="auto"/>
              </w:rPr>
              <w:t>5,449</w:t>
            </w:r>
          </w:p>
        </w:tc>
        <w:tc>
          <w:tcPr>
            <w:tcW w:w="2060" w:type="dxa"/>
            <w:vAlign w:val="bottom"/>
          </w:tcPr>
          <w:p>
            <w:pPr>
              <w:ind w:left="120"/>
              <w:spacing w:after="0"/>
              <w:rPr>
                <w:sz w:val="20"/>
                <w:szCs w:val="20"/>
                <w:color w:val="auto"/>
              </w:rPr>
            </w:pPr>
            <w:r>
              <w:rPr>
                <w:rFonts w:ascii="Arial" w:cs="Arial" w:eastAsia="Arial" w:hAnsi="Arial"/>
                <w:sz w:val="13"/>
                <w:szCs w:val="13"/>
                <w:color w:val="auto"/>
              </w:rPr>
              <w:t>Before tax</w:t>
            </w:r>
          </w:p>
        </w:tc>
      </w:tr>
      <w:tr>
        <w:trPr>
          <w:trHeight w:val="190"/>
        </w:trPr>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(647)</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(849)</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(659)</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(2,179)</w:t>
            </w:r>
          </w:p>
        </w:tc>
        <w:tc>
          <w:tcPr>
            <w:tcW w:w="2060" w:type="dxa"/>
            <w:vAlign w:val="bottom"/>
          </w:tcPr>
          <w:p>
            <w:pPr>
              <w:ind w:left="120"/>
              <w:spacing w:after="0"/>
              <w:rPr>
                <w:sz w:val="20"/>
                <w:szCs w:val="20"/>
                <w:color w:val="auto"/>
              </w:rPr>
            </w:pPr>
            <w:r>
              <w:rPr>
                <w:rFonts w:ascii="Arial" w:cs="Arial" w:eastAsia="Arial" w:hAnsi="Arial"/>
                <w:sz w:val="13"/>
                <w:szCs w:val="13"/>
                <w:color w:val="auto"/>
              </w:rPr>
              <w:t>Provision for Income Taxes</w:t>
            </w:r>
          </w:p>
        </w:tc>
      </w:tr>
      <w:tr>
        <w:trPr>
          <w:trHeight w:val="166"/>
        </w:trPr>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973</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1,274</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990</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3,270</w:t>
            </w:r>
          </w:p>
        </w:tc>
        <w:tc>
          <w:tcPr>
            <w:tcW w:w="2060" w:type="dxa"/>
            <w:vAlign w:val="bottom"/>
          </w:tcPr>
          <w:p>
            <w:pPr>
              <w:ind w:left="120"/>
              <w:spacing w:after="0"/>
              <w:rPr>
                <w:sz w:val="20"/>
                <w:szCs w:val="20"/>
                <w:color w:val="auto"/>
              </w:rPr>
            </w:pPr>
            <w:r>
              <w:rPr>
                <w:rFonts w:ascii="Arial" w:cs="Arial" w:eastAsia="Arial" w:hAnsi="Arial"/>
                <w:sz w:val="13"/>
                <w:szCs w:val="13"/>
                <w:color w:val="auto"/>
              </w:rPr>
              <w:t>Net of Tax</w:t>
            </w:r>
          </w:p>
        </w:tc>
      </w:tr>
      <w:tr>
        <w:trPr>
          <w:trHeight w:val="324"/>
        </w:trPr>
        <w:tc>
          <w:tcPr>
            <w:tcW w:w="42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b w:val="1"/>
                <w:bCs w:val="1"/>
                <w:color w:val="auto"/>
              </w:rPr>
              <w:t>205</w:t>
            </w:r>
          </w:p>
        </w:tc>
        <w:tc>
          <w:tcPr>
            <w:tcW w:w="32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132</w:t>
            </w:r>
          </w:p>
        </w:tc>
        <w:tc>
          <w:tcPr>
            <w:tcW w:w="26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588</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167</w:t>
            </w:r>
          </w:p>
        </w:tc>
        <w:tc>
          <w:tcPr>
            <w:tcW w:w="2060" w:type="dxa"/>
            <w:vAlign w:val="bottom"/>
          </w:tcPr>
          <w:p>
            <w:pPr>
              <w:ind w:left="120"/>
              <w:spacing w:after="0"/>
              <w:rPr>
                <w:sz w:val="20"/>
                <w:szCs w:val="20"/>
                <w:color w:val="auto"/>
              </w:rPr>
            </w:pPr>
            <w:r>
              <w:rPr>
                <w:rFonts w:ascii="Arial" w:cs="Arial" w:eastAsia="Arial" w:hAnsi="Arial"/>
                <w:sz w:val="13"/>
                <w:szCs w:val="13"/>
                <w:color w:val="auto"/>
              </w:rPr>
              <w:t>Interest expense</w:t>
            </w:r>
          </w:p>
        </w:tc>
      </w:tr>
      <w:tr>
        <w:trPr>
          <w:trHeight w:val="190"/>
        </w:trPr>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(82)</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(53)</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(235)</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2060" w:type="dxa"/>
            <w:vAlign w:val="bottom"/>
          </w:tcPr>
          <w:p>
            <w:pPr>
              <w:ind w:left="120"/>
              <w:spacing w:after="0"/>
              <w:rPr>
                <w:sz w:val="20"/>
                <w:szCs w:val="20"/>
                <w:color w:val="auto"/>
              </w:rPr>
            </w:pPr>
            <w:r>
              <w:rPr>
                <w:rFonts w:ascii="Arial" w:cs="Arial" w:eastAsia="Arial" w:hAnsi="Arial"/>
                <w:sz w:val="13"/>
                <w:szCs w:val="13"/>
                <w:color w:val="auto"/>
              </w:rPr>
              <w:t>Provision for Income Taxes</w:t>
            </w:r>
          </w:p>
        </w:tc>
      </w:tr>
      <w:tr>
        <w:trPr>
          <w:trHeight w:val="166"/>
        </w:trPr>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123</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79</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353</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100</w:t>
            </w:r>
          </w:p>
        </w:tc>
        <w:tc>
          <w:tcPr>
            <w:tcW w:w="2060" w:type="dxa"/>
            <w:vAlign w:val="bottom"/>
          </w:tcPr>
          <w:p>
            <w:pPr>
              <w:ind w:left="120"/>
              <w:spacing w:after="0"/>
              <w:rPr>
                <w:sz w:val="20"/>
                <w:szCs w:val="20"/>
                <w:color w:val="auto"/>
              </w:rPr>
            </w:pPr>
            <w:r>
              <w:rPr>
                <w:rFonts w:ascii="Arial" w:cs="Arial" w:eastAsia="Arial" w:hAnsi="Arial"/>
                <w:sz w:val="13"/>
                <w:szCs w:val="13"/>
                <w:color w:val="auto"/>
              </w:rPr>
              <w:t>Net of Tax</w:t>
            </w:r>
          </w:p>
        </w:tc>
      </w:tr>
      <w:tr>
        <w:trPr>
          <w:trHeight w:val="166"/>
        </w:trPr>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1,096</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(56)</w:t>
            </w:r>
          </w:p>
        </w:tc>
        <w:tc>
          <w:tcPr>
            <w:tcW w:w="2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812</w:t>
            </w:r>
          </w:p>
        </w:tc>
        <w:tc>
          <w:tcPr>
            <w:tcW w:w="2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2,019</w:t>
            </w:r>
          </w:p>
        </w:tc>
        <w:tc>
          <w:tcPr>
            <w:tcW w:w="2060" w:type="dxa"/>
            <w:vAlign w:val="bottom"/>
          </w:tcPr>
          <w:p>
            <w:pPr>
              <w:ind w:left="120"/>
              <w:spacing w:after="0"/>
              <w:rPr>
                <w:sz w:val="20"/>
                <w:szCs w:val="20"/>
                <w:color w:val="auto"/>
              </w:rPr>
            </w:pPr>
            <w:r>
              <w:rPr>
                <w:rFonts w:ascii="Arial" w:cs="Arial" w:eastAsia="Arial" w:hAnsi="Arial"/>
                <w:sz w:val="13"/>
                <w:szCs w:val="13"/>
                <w:color w:val="auto"/>
              </w:rPr>
              <w:t>Net of Tax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663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6634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4210" w:space="720"/>
            <w:col w:w="6020"/>
          </w:cols>
          <w:pgMar w:left="810" w:top="585" w:right="139" w:bottom="1440" w:gutter="0" w:footer="0" w:header="0"/>
          <w:type w:val="continuous"/>
        </w:sectPr>
      </w:pPr>
    </w:p>
    <w:p>
      <w:pPr>
        <w:ind w:left="10"/>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390" w:hanging="390"/>
        <w:spacing w:after="0"/>
        <w:tabs>
          <w:tab w:leader="none" w:pos="39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These accumulated other comprehensive income components are included in the computation of net periodic pension and postretirement plan cost (see Note 9).</w:t>
      </w:r>
    </w:p>
    <w:p>
      <w:pPr>
        <w:spacing w:after="0" w:line="164" w:lineRule="exact"/>
        <w:rPr>
          <w:rFonts w:ascii="Arial" w:cs="Arial" w:eastAsia="Arial" w:hAnsi="Arial"/>
          <w:sz w:val="12"/>
          <w:szCs w:val="12"/>
          <w:color w:val="auto"/>
        </w:rPr>
      </w:pPr>
    </w:p>
    <w:p>
      <w:pPr>
        <w:ind w:left="270" w:hanging="269"/>
        <w:spacing w:after="0"/>
        <w:tabs>
          <w:tab w:leader="none" w:pos="270" w:val="left"/>
        </w:tabs>
        <w:numPr>
          <w:ilvl w:val="1"/>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w:t>
      </w:r>
    </w:p>
    <w:p>
      <w:pPr>
        <w:spacing w:after="0" w:line="177" w:lineRule="exact"/>
        <w:rPr>
          <w:sz w:val="20"/>
          <w:szCs w:val="20"/>
          <w:color w:val="auto"/>
        </w:rPr>
      </w:pPr>
    </w:p>
    <w:p>
      <w:pPr>
        <w:ind w:left="10"/>
        <w:spacing w:after="0" w:line="235" w:lineRule="auto"/>
        <w:rPr>
          <w:sz w:val="20"/>
          <w:szCs w:val="20"/>
          <w:color w:val="auto"/>
        </w:rPr>
      </w:pPr>
      <w:r>
        <w:rPr>
          <w:rFonts w:ascii="Arial" w:cs="Arial" w:eastAsia="Arial" w:hAnsi="Arial"/>
          <w:sz w:val="17"/>
          <w:szCs w:val="17"/>
          <w:b w:val="1"/>
          <w:bCs w:val="1"/>
          <w:color w:val="auto"/>
        </w:rPr>
        <w:t xml:space="preserve">Litigation and Legal Matters. </w:t>
      </w:r>
      <w:r>
        <w:rPr>
          <w:rFonts w:ascii="Arial" w:cs="Arial" w:eastAsia="Arial" w:hAnsi="Arial"/>
          <w:sz w:val="17"/>
          <w:szCs w:val="17"/>
          <w:color w:val="auto"/>
        </w:rPr>
        <w:t>The Company and its subsidiaries are involved in various legal proceedings that arise in the ordinary course of its busi</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future material losses from existing legal proceedings is not reasonably possible, or that future material losses in excess of the amounts accrued are n reasonably possible.</w:t>
      </w:r>
    </w:p>
    <w:p>
      <w:pPr>
        <w:spacing w:after="0" w:line="155" w:lineRule="exact"/>
        <w:rPr>
          <w:sz w:val="20"/>
          <w:szCs w:val="20"/>
          <w:color w:val="auto"/>
        </w:rPr>
      </w:pPr>
    </w:p>
    <w:p>
      <w:pPr>
        <w:jc w:val="both"/>
        <w:ind w:left="10"/>
        <w:spacing w:after="0" w:line="251" w:lineRule="auto"/>
        <w:rPr>
          <w:sz w:val="20"/>
          <w:szCs w:val="20"/>
          <w:color w:val="auto"/>
        </w:rPr>
      </w:pPr>
      <w:r>
        <w:rPr>
          <w:rFonts w:ascii="Arial" w:cs="Arial" w:eastAsia="Arial" w:hAnsi="Arial"/>
          <w:sz w:val="16"/>
          <w:szCs w:val="16"/>
          <w:b w:val="1"/>
          <w:bCs w:val="1"/>
          <w:color w:val="auto"/>
        </w:rPr>
        <w:t xml:space="preserve">DOE Program Reviews. </w:t>
      </w:r>
      <w:r>
        <w:rPr>
          <w:rFonts w:ascii="Arial" w:cs="Arial" w:eastAsia="Arial" w:hAnsi="Arial"/>
          <w:sz w:val="16"/>
          <w:szCs w:val="16"/>
          <w:color w:val="auto"/>
        </w:rPr>
        <w:t>The U.S. Department of Education (DOE) undertakes program reviews at Title IV participating institutions. Currently, there a</w:t>
      </w:r>
      <w:r>
        <w:rPr>
          <w:rFonts w:ascii="Arial" w:cs="Arial" w:eastAsia="Arial" w:hAnsi="Arial"/>
          <w:sz w:val="16"/>
          <w:szCs w:val="16"/>
          <w:b w:val="1"/>
          <w:bCs w:val="1"/>
          <w:color w:val="auto"/>
        </w:rPr>
        <w:t xml:space="preserve"> </w:t>
      </w:r>
      <w:r>
        <w:rPr>
          <w:rFonts w:ascii="Arial" w:cs="Arial" w:eastAsia="Arial" w:hAnsi="Arial"/>
          <w:sz w:val="16"/>
          <w:szCs w:val="16"/>
          <w:color w:val="auto"/>
        </w:rPr>
        <w:t>four open and/or pending program reviews (including Kaplan University and Broomall, PA.) The Company is awaiting the DOE’s final report on the pro review at KHE’s Broomall, PA, location. In May 2012, the DOE issued a preliminary report on its 2009 onsite program review at Kaplan University cont several findings that required Kaplan University to conduct additional, detailed file reviews and submit additional data. In January 2013, Kaplan submit response to the DOE’s data request and is awaiting a final report on this review. The Company does not expect the final program review reports to ha material impact on KHE; however, the results of these and the other open reviews and their impact on Kaplan’s operations are uncertain.</w:t>
      </w:r>
    </w:p>
    <w:p>
      <w:pPr>
        <w:spacing w:after="0" w:line="149" w:lineRule="exact"/>
        <w:rPr>
          <w:sz w:val="20"/>
          <w:szCs w:val="20"/>
          <w:color w:val="auto"/>
        </w:rPr>
      </w:pPr>
    </w:p>
    <w:p>
      <w:pPr>
        <w:ind w:left="10"/>
        <w:spacing w:after="0" w:line="247" w:lineRule="auto"/>
        <w:rPr>
          <w:sz w:val="20"/>
          <w:szCs w:val="20"/>
          <w:color w:val="auto"/>
        </w:rPr>
      </w:pPr>
      <w:r>
        <w:rPr>
          <w:rFonts w:ascii="Arial" w:cs="Arial" w:eastAsia="Arial" w:hAnsi="Arial"/>
          <w:sz w:val="16"/>
          <w:szCs w:val="16"/>
          <w:b w:val="1"/>
          <w:bCs w:val="1"/>
          <w:color w:val="auto"/>
        </w:rPr>
        <w:t>The 90/10 Rule</w:t>
      </w:r>
      <w:r>
        <w:rPr>
          <w:rFonts w:ascii="Arial" w:cs="Arial" w:eastAsia="Arial" w:hAnsi="Arial"/>
          <w:sz w:val="16"/>
          <w:szCs w:val="16"/>
          <w:color w:val="auto"/>
        </w:rPr>
        <w:t>. Under regulations referred to as the 90/10 rule, a KHE OPEID unit would lose its eligibility to participate in Title IV programs for a per</w:t>
      </w:r>
      <w:r>
        <w:rPr>
          <w:rFonts w:ascii="Arial" w:cs="Arial" w:eastAsia="Arial" w:hAnsi="Arial"/>
          <w:sz w:val="16"/>
          <w:szCs w:val="16"/>
          <w:b w:val="1"/>
          <w:bCs w:val="1"/>
          <w:color w:val="auto"/>
        </w:rPr>
        <w:t xml:space="preserve"> </w:t>
      </w:r>
      <w:r>
        <w:rPr>
          <w:rFonts w:ascii="Arial" w:cs="Arial" w:eastAsia="Arial" w:hAnsi="Arial"/>
          <w:sz w:val="16"/>
          <w:szCs w:val="16"/>
          <w:color w:val="auto"/>
        </w:rPr>
        <w:t>at least two fiscal years if it derives more than 90% of its receipts from Title IV programs, as calculated on a cash basis in accordance with the Higher Education Act and applicable DOE regulations, in each of two consecutive fiscal years, commencing with the unit’s first fiscal year that ends after Aug 2008. Any OPEID unit with Title IV receipts exceeding 90% for a single fiscal year ending after August 14, 2008, will be placed on provisional certificat and may be subject to other enforcement measures. KHE is taking various measures to reduce the percentage of its receipts attributable to Title IV fu including modifying student payment options; emphasizing direct-pay and employer-paid education programs; encouraging students to carefully evalu the amount of their Title IV borrowing; eliminating some programs; cash-matching; and developing and offering additional non-Title IV-eligible certificat preparation, professional development and continuing education programs. Some of the other programs may currently be offered by other Kaplan businesses. Based on currently available information, management does not believe that any of the Kaplan OPEID units will have a 90/10 ratio over 9 2013. Kaplan continues taking steps to address compliance with the 90/10 rule; however, there can be no guarantee that these measures will be adeq to prevent the 90/10 rule calculations at some or all of the schools from exceeding 90% in the future.</w:t>
      </w:r>
    </w:p>
    <w:p>
      <w:pPr>
        <w:spacing w:after="0" w:line="35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50"/>
          </w:cols>
          <w:pgMar w:left="810" w:top="585" w:right="139" w:bottom="1440" w:gutter="0" w:footer="0" w:header="0"/>
          <w:type w:val="continuous"/>
        </w:sectPr>
      </w:pPr>
    </w:p>
    <w:bookmarkStart w:id="22" w:name="page23"/>
    <w:bookmarkEnd w:id="22"/>
    <w:p>
      <w:pPr>
        <w:spacing w:after="0" w:line="251" w:lineRule="auto"/>
        <w:rPr>
          <w:sz w:val="20"/>
          <w:szCs w:val="20"/>
          <w:color w:val="auto"/>
        </w:rPr>
      </w:pPr>
      <w:r>
        <w:rPr>
          <w:rFonts w:ascii="Arial" w:cs="Arial" w:eastAsia="Arial" w:hAnsi="Arial"/>
          <w:sz w:val="16"/>
          <w:szCs w:val="16"/>
          <w:b w:val="1"/>
          <w:bCs w:val="1"/>
          <w:color w:val="auto"/>
        </w:rPr>
        <w:t xml:space="preserve">Accreditation. </w:t>
      </w:r>
      <w:r>
        <w:rPr>
          <w:rFonts w:ascii="Arial" w:cs="Arial" w:eastAsia="Arial" w:hAnsi="Arial"/>
          <w:sz w:val="16"/>
          <w:szCs w:val="16"/>
          <w:color w:val="auto"/>
        </w:rPr>
        <w:t>In March 2011, Kaplan University’s institutional accreditor, the Higher Learning Commission of the North Central Association of Colleg</w:t>
      </w:r>
      <w:r>
        <w:rPr>
          <w:rFonts w:ascii="Arial" w:cs="Arial" w:eastAsia="Arial" w:hAnsi="Arial"/>
          <w:sz w:val="16"/>
          <w:szCs w:val="16"/>
          <w:b w:val="1"/>
          <w:bCs w:val="1"/>
          <w:color w:val="auto"/>
        </w:rPr>
        <w:t xml:space="preserve"> </w:t>
      </w:r>
      <w:r>
        <w:rPr>
          <w:rFonts w:ascii="Arial" w:cs="Arial" w:eastAsia="Arial" w:hAnsi="Arial"/>
          <w:sz w:val="16"/>
          <w:szCs w:val="16"/>
          <w:color w:val="auto"/>
        </w:rPr>
        <w:t>and Schools (HLC), sent a request to Kaplan University asking for documents and a report detailing Kaplan University’s admissions practices and des Kaplan University’s compliance with HLC Care Components and policies. Kaplan University complied with this request on April 29, 2011. Kaplan Univ provided additional information to the HLC in response to a follow-up request received on January 19, 2012. On June 19, 2013, the HLC notified Kapl University of their intention to conduct a focused evaluation regarding these matters and that is expected to take place in early 2014. At this time the Company cannot predict how the HLC will follow-up or what impact their additional inquires may have on Kaplan University.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BUSINESS SEGMENTS</w:t>
      </w:r>
    </w:p>
    <w:p>
      <w:pPr>
        <w:spacing w:after="0" w:line="197"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The Company has six reportable segments: Kaplan Higher Education, Kaplan Test Preparation, Kaplan International, cable television, television broadcasting and other businesses.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Kaplan’s Colloquy business moved from Kaplan International to Kaplan Corporate effective January 1, 2013. Segment operating results o</w:t>
      </w:r>
      <w:r>
        <w:rPr>
          <w:rFonts w:ascii="Arial" w:cs="Arial" w:eastAsia="Arial" w:hAnsi="Arial"/>
          <w:sz w:val="17"/>
          <w:szCs w:val="17"/>
          <w:b w:val="1"/>
          <w:bCs w:val="1"/>
          <w:color w:val="auto"/>
        </w:rPr>
        <w:t xml:space="preserve"> </w:t>
      </w:r>
      <w:r>
        <w:rPr>
          <w:rFonts w:ascii="Arial" w:cs="Arial" w:eastAsia="Arial" w:hAnsi="Arial"/>
          <w:sz w:val="17"/>
          <w:szCs w:val="17"/>
          <w:color w:val="auto"/>
        </w:rPr>
        <w:t>education division have been restated to reflect this change.</w:t>
      </w:r>
    </w:p>
    <w:p>
      <w:pPr>
        <w:spacing w:after="0" w:line="16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For the first nine months of 2012, Kaplan International results benefitted from a favorable $3.9 million out of period expense adjustment related to cert items recorded in 2011 and 2010. With respect to this out of period expense adjustment, the Company has concluded that it was not material to the Company’s financial position or results of operations for 2012, 2011 and 2010 and the related interim periods, based on its consideration of quantitativ qualitative factors.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 xml:space="preserve">Newspaper Publishing. </w:t>
      </w:r>
      <w:r>
        <w:rPr>
          <w:rFonts w:ascii="Arial" w:cs="Arial" w:eastAsia="Arial" w:hAnsi="Arial"/>
          <w:sz w:val="17"/>
          <w:szCs w:val="17"/>
          <w:color w:val="auto"/>
        </w:rPr>
        <w:t>Due to the sale of the Publishing Subsidiaries on October 1, 2013, the newspaper publishing segment is no longer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segment as its results have been reclassified to discontinued operations, net of tax, for all periods presented In March 2013, the Company completed the sale of The Herald, a daily and Sunday newspaper headquartered in Everett, WA. As a result, The Herald results are included in discon operations, net of tax, for all periods presented.</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The Slate Group and the FP Group have been moved to Other Businesses since the newspaper publishing segment is no longer</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segment. The results for these entities are included in Other Businesses for all periods presented. In August 2013, the Company acquired Fo a global supplier of products and systems that control and monitor combustion processes in electric utility and industrial applications, which is also incl in Other Businesses.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2"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following table summarizes the 2013 quarterly financial information related to each of the Company’s business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ind w:right="606"/>
              <w:spacing w:after="0"/>
              <w:rPr>
                <w:sz w:val="20"/>
                <w:szCs w:val="20"/>
                <w:color w:val="auto"/>
              </w:rPr>
            </w:pPr>
            <w:r>
              <w:rPr>
                <w:rFonts w:ascii="Arial" w:cs="Arial" w:eastAsia="Arial" w:hAnsi="Arial"/>
                <w:sz w:val="12"/>
                <w:szCs w:val="12"/>
                <w:color w:val="auto"/>
              </w:rPr>
              <w:t>March 31,</w:t>
            </w:r>
          </w:p>
        </w:tc>
        <w:tc>
          <w:tcPr>
            <w:tcW w:w="420" w:type="dxa"/>
            <w:vAlign w:val="bottom"/>
          </w:tcPr>
          <w:p>
            <w:pPr>
              <w:spacing w:after="0"/>
              <w:rPr>
                <w:sz w:val="12"/>
                <w:szCs w:val="12"/>
                <w:color w:val="auto"/>
              </w:rPr>
            </w:pPr>
          </w:p>
        </w:tc>
        <w:tc>
          <w:tcPr>
            <w:tcW w:w="1280" w:type="dxa"/>
            <w:vAlign w:val="bottom"/>
          </w:tcPr>
          <w:p>
            <w:pPr>
              <w:jc w:val="right"/>
              <w:ind w:right="586"/>
              <w:spacing w:after="0"/>
              <w:rPr>
                <w:sz w:val="20"/>
                <w:szCs w:val="20"/>
                <w:color w:val="auto"/>
              </w:rPr>
            </w:pPr>
            <w:r>
              <w:rPr>
                <w:rFonts w:ascii="Arial" w:cs="Arial" w:eastAsia="Arial" w:hAnsi="Arial"/>
                <w:sz w:val="12"/>
                <w:szCs w:val="12"/>
                <w:color w:val="auto"/>
              </w:rPr>
              <w:t>June 30,</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September</w:t>
            </w:r>
          </w:p>
        </w:tc>
        <w:tc>
          <w:tcPr>
            <w:tcW w:w="0" w:type="dxa"/>
            <w:vAlign w:val="bottom"/>
          </w:tcPr>
          <w:p>
            <w:pPr>
              <w:spacing w:after="0"/>
              <w:rPr>
                <w:sz w:val="1"/>
                <w:szCs w:val="1"/>
                <w:color w:val="auto"/>
              </w:rPr>
            </w:pPr>
          </w:p>
        </w:tc>
      </w:tr>
      <w:tr>
        <w:trPr>
          <w:trHeight w:val="151"/>
        </w:trPr>
        <w:tc>
          <w:tcPr>
            <w:tcW w:w="6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66"/>
              <w:spacing w:after="0"/>
              <w:rPr>
                <w:sz w:val="20"/>
                <w:szCs w:val="20"/>
                <w:color w:val="auto"/>
              </w:rPr>
            </w:pPr>
            <w:r>
              <w:rPr>
                <w:rFonts w:ascii="Arial" w:cs="Arial" w:eastAsia="Arial" w:hAnsi="Arial"/>
                <w:sz w:val="12"/>
                <w:szCs w:val="12"/>
                <w:color w:val="auto"/>
              </w:rPr>
              <w:t>2013</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06"/>
              <w:spacing w:after="0"/>
              <w:rPr>
                <w:sz w:val="20"/>
                <w:szCs w:val="20"/>
                <w:color w:val="auto"/>
              </w:rPr>
            </w:pPr>
            <w:r>
              <w:rPr>
                <w:rFonts w:ascii="Arial" w:cs="Arial" w:eastAsia="Arial" w:hAnsi="Arial"/>
                <w:sz w:val="12"/>
                <w:szCs w:val="12"/>
                <w:color w:val="auto"/>
              </w:rPr>
              <w:t>2013</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2013</w:t>
            </w:r>
          </w:p>
        </w:tc>
        <w:tc>
          <w:tcPr>
            <w:tcW w:w="0" w:type="dxa"/>
            <w:vAlign w:val="bottom"/>
          </w:tcPr>
          <w:p>
            <w:pPr>
              <w:spacing w:after="0"/>
              <w:rPr>
                <w:sz w:val="1"/>
                <w:szCs w:val="1"/>
                <w:color w:val="auto"/>
              </w:rPr>
            </w:pPr>
          </w:p>
        </w:tc>
      </w:tr>
      <w:tr>
        <w:trPr>
          <w:trHeight w:val="168"/>
        </w:trPr>
        <w:tc>
          <w:tcPr>
            <w:tcW w:w="642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56"/>
        </w:trPr>
        <w:tc>
          <w:tcPr>
            <w:tcW w:w="642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527,815</w:t>
            </w:r>
          </w:p>
        </w:tc>
        <w:tc>
          <w:tcPr>
            <w:tcW w:w="4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548,230</w:t>
            </w:r>
          </w:p>
        </w:tc>
        <w:tc>
          <w:tcPr>
            <w:tcW w:w="3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42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6"/>
                <w:szCs w:val="16"/>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200,138</w:t>
            </w:r>
          </w:p>
        </w:tc>
        <w:tc>
          <w:tcPr>
            <w:tcW w:w="420" w:type="dxa"/>
            <w:vAlign w:val="bottom"/>
          </w:tcPr>
          <w:p>
            <w:pPr>
              <w:spacing w:after="0"/>
              <w:rPr>
                <w:sz w:val="16"/>
                <w:szCs w:val="16"/>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204,550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85,270</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99,320</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23,814</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37,572</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(197)</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(76)</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836,840</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889,596</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9</w:t>
            </w:r>
          </w:p>
        </w:tc>
        <w:tc>
          <w:tcPr>
            <w:tcW w:w="0" w:type="dxa"/>
            <w:vAlign w:val="bottom"/>
          </w:tcPr>
          <w:p>
            <w:pPr>
              <w:spacing w:after="0"/>
              <w:rPr>
                <w:sz w:val="1"/>
                <w:szCs w:val="1"/>
                <w:color w:val="auto"/>
              </w:rPr>
            </w:pPr>
          </w:p>
        </w:tc>
      </w:tr>
      <w:tr>
        <w:trPr>
          <w:trHeight w:val="168"/>
        </w:trPr>
        <w:tc>
          <w:tcPr>
            <w:tcW w:w="6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(4,056)</w:t>
            </w:r>
          </w:p>
        </w:tc>
        <w:tc>
          <w:tcPr>
            <w:tcW w:w="4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23,726</w:t>
            </w:r>
          </w:p>
        </w:tc>
        <w:tc>
          <w:tcPr>
            <w:tcW w:w="3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36,613</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44,710</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35,362</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47,704</w:t>
            </w:r>
          </w:p>
        </w:tc>
        <w:tc>
          <w:tcPr>
            <w:tcW w:w="3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6"/>
        </w:trPr>
        <w:tc>
          <w:tcPr>
            <w:tcW w:w="6420" w:type="dxa"/>
            <w:vAlign w:val="bottom"/>
          </w:tcPr>
          <w:p>
            <w:pPr>
              <w:ind w:left="220"/>
              <w:spacing w:after="0" w:line="156" w:lineRule="exact"/>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3"/>
                <w:szCs w:val="13"/>
                <w:color w:val="auto"/>
              </w:rPr>
            </w:pP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(8,542)</w:t>
            </w:r>
          </w:p>
        </w:tc>
        <w:tc>
          <w:tcPr>
            <w:tcW w:w="420" w:type="dxa"/>
            <w:vAlign w:val="bottom"/>
          </w:tcPr>
          <w:p>
            <w:pPr>
              <w:spacing w:after="0"/>
              <w:rPr>
                <w:sz w:val="13"/>
                <w:szCs w:val="13"/>
                <w:color w:val="auto"/>
              </w:rPr>
            </w:pPr>
          </w:p>
        </w:tc>
        <w:tc>
          <w:tcPr>
            <w:tcW w:w="12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(5,968)</w:t>
            </w: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2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(5,979)</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(5,402)</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6"/>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53,398</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104,770</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4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3,418</w:t>
            </w:r>
          </w:p>
        </w:tc>
        <w:tc>
          <w:tcPr>
            <w:tcW w:w="420" w:type="dxa"/>
            <w:vAlign w:val="bottom"/>
          </w:tcPr>
          <w:p>
            <w:pPr>
              <w:spacing w:after="0"/>
              <w:rPr>
                <w:sz w:val="13"/>
                <w:szCs w:val="13"/>
                <w:color w:val="auto"/>
              </w:rPr>
            </w:pPr>
          </w:p>
        </w:tc>
        <w:tc>
          <w:tcPr>
            <w:tcW w:w="128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3,868</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(8,450)</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(8,526)</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20"/>
                <w:szCs w:val="20"/>
                <w:color w:val="auto"/>
              </w:rPr>
            </w:pPr>
            <w:r>
              <w:rPr>
                <w:rFonts w:ascii="Arial" w:cs="Arial" w:eastAsia="Arial" w:hAnsi="Arial"/>
                <w:sz w:val="15"/>
                <w:szCs w:val="15"/>
                <w:b w:val="1"/>
                <w:bCs w:val="1"/>
                <w:color w:val="auto"/>
              </w:rPr>
              <w:t>Other Income (Expense), Net</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(4,083)</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(12,858)</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420" w:type="dxa"/>
            <w:vAlign w:val="bottom"/>
          </w:tcPr>
          <w:p>
            <w:pPr>
              <w:spacing w:after="0" w:line="167"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44,283</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87,254</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22,588</w:t>
            </w:r>
          </w:p>
        </w:tc>
        <w:tc>
          <w:tcPr>
            <w:tcW w:w="4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20,064</w:t>
            </w:r>
          </w:p>
        </w:tc>
        <w:tc>
          <w:tcPr>
            <w:tcW w:w="3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33,733</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33,964</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3,145</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3,151</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429</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577</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60</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59,895</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57,816</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2,518</w:t>
            </w:r>
          </w:p>
        </w:tc>
        <w:tc>
          <w:tcPr>
            <w:tcW w:w="4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2,363</w:t>
            </w:r>
          </w:p>
        </w:tc>
        <w:tc>
          <w:tcPr>
            <w:tcW w:w="3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50</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57</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1,149</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893</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2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Net Pension (Credit) Expense</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3,717</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3,313</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4,106</w:t>
            </w:r>
          </w:p>
        </w:tc>
        <w:tc>
          <w:tcPr>
            <w:tcW w:w="4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4,231</w:t>
            </w:r>
          </w:p>
        </w:tc>
        <w:tc>
          <w:tcPr>
            <w:tcW w:w="3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882</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913</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1,288</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1,213</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116</w:t>
            </w:r>
          </w:p>
        </w:tc>
        <w:tc>
          <w:tcPr>
            <w:tcW w:w="420" w:type="dxa"/>
            <w:vAlign w:val="bottom"/>
          </w:tcPr>
          <w:p>
            <w:pPr>
              <w:spacing w:after="0"/>
              <w:rPr>
                <w:sz w:val="15"/>
                <w:szCs w:val="15"/>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color w:val="auto"/>
              </w:rPr>
              <w:t>134</w:t>
            </w:r>
          </w:p>
        </w:tc>
        <w:tc>
          <w:tcPr>
            <w:tcW w:w="3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2"/>
        </w:trPr>
        <w:tc>
          <w:tcPr>
            <w:tcW w:w="642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(9,121)</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(9,129)</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(2,729)</w:t>
            </w:r>
          </w:p>
        </w:tc>
        <w:tc>
          <w:tcPr>
            <w:tcW w:w="4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(2,638)</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following table summarizes the 2012 quarterly financial information related to each of the Company’s business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ind w:right="326"/>
              <w:spacing w:after="0"/>
              <w:rPr>
                <w:sz w:val="20"/>
                <w:szCs w:val="20"/>
                <w:color w:val="auto"/>
              </w:rPr>
            </w:pPr>
            <w:r>
              <w:rPr>
                <w:rFonts w:ascii="Arial" w:cs="Arial" w:eastAsia="Arial" w:hAnsi="Arial"/>
                <w:sz w:val="12"/>
                <w:szCs w:val="12"/>
                <w:color w:val="auto"/>
              </w:rPr>
              <w:t>March 31,</w:t>
            </w:r>
          </w:p>
        </w:tc>
        <w:tc>
          <w:tcPr>
            <w:tcW w:w="320" w:type="dxa"/>
            <w:vAlign w:val="bottom"/>
          </w:tcPr>
          <w:p>
            <w:pPr>
              <w:spacing w:after="0"/>
              <w:rPr>
                <w:sz w:val="12"/>
                <w:szCs w:val="12"/>
                <w:color w:val="auto"/>
              </w:rPr>
            </w:pPr>
          </w:p>
        </w:tc>
        <w:tc>
          <w:tcPr>
            <w:tcW w:w="1040" w:type="dxa"/>
            <w:vAlign w:val="bottom"/>
          </w:tcPr>
          <w:p>
            <w:pPr>
              <w:jc w:val="right"/>
              <w:ind w:right="366"/>
              <w:spacing w:after="0"/>
              <w:rPr>
                <w:sz w:val="20"/>
                <w:szCs w:val="20"/>
                <w:color w:val="auto"/>
              </w:rPr>
            </w:pPr>
            <w:r>
              <w:rPr>
                <w:rFonts w:ascii="Arial" w:cs="Arial" w:eastAsia="Arial" w:hAnsi="Arial"/>
                <w:sz w:val="12"/>
                <w:szCs w:val="12"/>
                <w:color w:val="auto"/>
              </w:rPr>
              <w:t>June 30,</w:t>
            </w:r>
          </w:p>
        </w:tc>
        <w:tc>
          <w:tcPr>
            <w:tcW w:w="240" w:type="dxa"/>
            <w:vAlign w:val="bottom"/>
          </w:tcPr>
          <w:p>
            <w:pPr>
              <w:spacing w:after="0"/>
              <w:rPr>
                <w:sz w:val="12"/>
                <w:szCs w:val="12"/>
                <w:color w:val="auto"/>
              </w:rPr>
            </w:pPr>
          </w:p>
        </w:tc>
        <w:tc>
          <w:tcPr>
            <w:tcW w:w="1180" w:type="dxa"/>
            <w:vAlign w:val="bottom"/>
          </w:tcPr>
          <w:p>
            <w:pPr>
              <w:jc w:val="right"/>
              <w:ind w:right="246"/>
              <w:spacing w:after="0"/>
              <w:rPr>
                <w:sz w:val="20"/>
                <w:szCs w:val="20"/>
                <w:color w:val="auto"/>
              </w:rPr>
            </w:pPr>
            <w:r>
              <w:rPr>
                <w:rFonts w:ascii="Arial" w:cs="Arial" w:eastAsia="Arial" w:hAnsi="Arial"/>
                <w:sz w:val="12"/>
                <w:szCs w:val="12"/>
                <w:color w:val="auto"/>
              </w:rPr>
              <w:t>September 30,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December</w:t>
            </w:r>
          </w:p>
        </w:tc>
        <w:tc>
          <w:tcPr>
            <w:tcW w:w="0" w:type="dxa"/>
            <w:vAlign w:val="bottom"/>
          </w:tcPr>
          <w:p>
            <w:pPr>
              <w:spacing w:after="0"/>
              <w:rPr>
                <w:sz w:val="1"/>
                <w:szCs w:val="1"/>
                <w:color w:val="auto"/>
              </w:rPr>
            </w:pPr>
          </w:p>
        </w:tc>
      </w:tr>
      <w:tr>
        <w:trPr>
          <w:trHeight w:val="137"/>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2012</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color w:val="auto"/>
              </w:rPr>
              <w:t>2012</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color w:val="auto"/>
              </w:rPr>
              <w:t>2012</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84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546,685</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551,774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551,696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190,210</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195,579</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199,625</w:t>
            </w:r>
          </w:p>
        </w:tc>
        <w:tc>
          <w:tcPr>
            <w:tcW w:w="280" w:type="dxa"/>
            <w:vAlign w:val="bottom"/>
          </w:tcPr>
          <w:p>
            <w:pPr>
              <w:spacing w:after="0"/>
              <w:rPr>
                <w:sz w:val="15"/>
                <w:szCs w:val="15"/>
                <w:color w:val="auto"/>
              </w:rPr>
            </w:pP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81,497</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95,591</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106,411</w:t>
            </w:r>
          </w:p>
        </w:tc>
        <w:tc>
          <w:tcPr>
            <w:tcW w:w="280" w:type="dxa"/>
            <w:vAlign w:val="bottom"/>
          </w:tcPr>
          <w:p>
            <w:pPr>
              <w:spacing w:after="0"/>
              <w:rPr>
                <w:sz w:val="15"/>
                <w:szCs w:val="15"/>
                <w:color w:val="auto"/>
              </w:rPr>
            </w:pP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9,329</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11,666</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20,187</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(109)</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(180)</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(282)</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827,612</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854,430</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877,637</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center"/>
              <w:ind w:left="427"/>
              <w:spacing w:after="0" w:line="167" w:lineRule="exact"/>
              <w:rPr>
                <w:sz w:val="20"/>
                <w:szCs w:val="20"/>
                <w:color w:val="auto"/>
              </w:rPr>
            </w:pP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r>
        <w:trPr>
          <w:trHeight w:val="168"/>
        </w:trPr>
        <w:tc>
          <w:tcPr>
            <w:tcW w:w="58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(11,915)</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3,728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14,693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32,777</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38,446</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39,913</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30,999</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43,728</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54,082</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(6,746)</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(9,005)</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(7,324)</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(7,454)</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(5,689)</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(8,128)</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37,661</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71,208</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93,236</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center"/>
              <w:ind w:left="427"/>
              <w:spacing w:after="0" w:line="167" w:lineRule="exact"/>
              <w:rPr>
                <w:sz w:val="20"/>
                <w:szCs w:val="20"/>
                <w:color w:val="auto"/>
              </w:rPr>
            </w:pPr>
            <w:r>
              <w:rPr>
                <w:rFonts w:ascii="Arial" w:cs="Arial" w:eastAsia="Arial" w:hAnsi="Arial"/>
                <w:sz w:val="15"/>
                <w:szCs w:val="15"/>
                <w:color w:val="auto"/>
                <w:w w:val="89"/>
              </w:rPr>
              <w:t>(2</w:t>
            </w:r>
          </w:p>
        </w:tc>
        <w:tc>
          <w:tcPr>
            <w:tcW w:w="0" w:type="dxa"/>
            <w:vAlign w:val="bottom"/>
          </w:tcPr>
          <w:p>
            <w:pPr>
              <w:spacing w:after="0"/>
              <w:rPr>
                <w:sz w:val="1"/>
                <w:szCs w:val="1"/>
                <w:color w:val="auto"/>
              </w:rPr>
            </w:pPr>
          </w:p>
        </w:tc>
      </w:tr>
      <w:tr>
        <w:trPr>
          <w:trHeight w:val="150"/>
        </w:trPr>
        <w:tc>
          <w:tcPr>
            <w:tcW w:w="5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6"/>
              <w:spacing w:after="0" w:line="150" w:lineRule="exact"/>
              <w:rPr>
                <w:sz w:val="20"/>
                <w:szCs w:val="20"/>
                <w:color w:val="auto"/>
              </w:rPr>
            </w:pPr>
            <w:r>
              <w:rPr>
                <w:rFonts w:ascii="Arial" w:cs="Arial" w:eastAsia="Arial" w:hAnsi="Arial"/>
                <w:sz w:val="15"/>
                <w:szCs w:val="15"/>
                <w:color w:val="auto"/>
              </w:rPr>
              <w:t>3,888</w:t>
            </w:r>
          </w:p>
        </w:tc>
        <w:tc>
          <w:tcPr>
            <w:tcW w:w="320" w:type="dxa"/>
            <w:vAlign w:val="bottom"/>
          </w:tcPr>
          <w:p>
            <w:pPr>
              <w:spacing w:after="0"/>
              <w:rPr>
                <w:sz w:val="13"/>
                <w:szCs w:val="13"/>
                <w:color w:val="auto"/>
              </w:rPr>
            </w:pPr>
          </w:p>
        </w:tc>
        <w:tc>
          <w:tcPr>
            <w:tcW w:w="1040" w:type="dxa"/>
            <w:vAlign w:val="bottom"/>
          </w:tcPr>
          <w:p>
            <w:pPr>
              <w:jc w:val="right"/>
              <w:ind w:right="6"/>
              <w:spacing w:after="0" w:line="150" w:lineRule="exact"/>
              <w:rPr>
                <w:sz w:val="20"/>
                <w:szCs w:val="20"/>
                <w:color w:val="auto"/>
              </w:rPr>
            </w:pPr>
            <w:r>
              <w:rPr>
                <w:rFonts w:ascii="Arial" w:cs="Arial" w:eastAsia="Arial" w:hAnsi="Arial"/>
                <w:sz w:val="15"/>
                <w:szCs w:val="15"/>
                <w:color w:val="auto"/>
              </w:rPr>
              <w:t>3,314</w:t>
            </w:r>
          </w:p>
        </w:tc>
        <w:tc>
          <w:tcPr>
            <w:tcW w:w="240" w:type="dxa"/>
            <w:vAlign w:val="bottom"/>
          </w:tcPr>
          <w:p>
            <w:pPr>
              <w:spacing w:after="0"/>
              <w:rPr>
                <w:sz w:val="13"/>
                <w:szCs w:val="13"/>
                <w:color w:val="auto"/>
              </w:rPr>
            </w:pPr>
          </w:p>
        </w:tc>
        <w:tc>
          <w:tcPr>
            <w:tcW w:w="1180" w:type="dxa"/>
            <w:vAlign w:val="bottom"/>
          </w:tcPr>
          <w:p>
            <w:pPr>
              <w:jc w:val="right"/>
              <w:ind w:right="66"/>
              <w:spacing w:after="0" w:line="150" w:lineRule="exact"/>
              <w:rPr>
                <w:sz w:val="20"/>
                <w:szCs w:val="20"/>
                <w:color w:val="auto"/>
              </w:rPr>
            </w:pPr>
            <w:r>
              <w:rPr>
                <w:rFonts w:ascii="Arial" w:cs="Arial" w:eastAsia="Arial" w:hAnsi="Arial"/>
                <w:sz w:val="15"/>
                <w:szCs w:val="15"/>
                <w:color w:val="auto"/>
              </w:rPr>
              <w:t>4,099</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4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(8,094)</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(8,204)</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(8,090)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5"/>
                <w:szCs w:val="15"/>
                <w:b w:val="1"/>
                <w:bCs w:val="1"/>
                <w:color w:val="auto"/>
              </w:rPr>
              <w:t>Other Income (Expense), Net</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8,588</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(635)</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4,163</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left="427"/>
              <w:spacing w:after="0"/>
              <w:rPr>
                <w:sz w:val="20"/>
                <w:szCs w:val="20"/>
                <w:color w:val="auto"/>
              </w:rPr>
            </w:pPr>
            <w:r>
              <w:rPr>
                <w:rFonts w:ascii="Arial" w:cs="Arial" w:eastAsia="Arial" w:hAnsi="Arial"/>
                <w:sz w:val="15"/>
                <w:szCs w:val="15"/>
                <w:color w:val="auto"/>
                <w:w w:val="89"/>
              </w:rPr>
              <w:t>(1</w:t>
            </w:r>
          </w:p>
        </w:tc>
        <w:tc>
          <w:tcPr>
            <w:tcW w:w="0" w:type="dxa"/>
            <w:vAlign w:val="bottom"/>
          </w:tcPr>
          <w:p>
            <w:pPr>
              <w:spacing w:after="0"/>
              <w:rPr>
                <w:sz w:val="1"/>
                <w:szCs w:val="1"/>
                <w:color w:val="auto"/>
              </w:rPr>
            </w:pPr>
          </w:p>
        </w:tc>
      </w:tr>
      <w:tr>
        <w:trPr>
          <w:trHeight w:val="166"/>
        </w:trPr>
        <w:tc>
          <w:tcPr>
            <w:tcW w:w="5840" w:type="dxa"/>
            <w:vAlign w:val="bottom"/>
          </w:tcPr>
          <w:p>
            <w:pPr>
              <w:spacing w:after="0" w:line="167" w:lineRule="exact"/>
              <w:rPr>
                <w:sz w:val="20"/>
                <w:szCs w:val="20"/>
                <w:color w:val="auto"/>
              </w:rPr>
            </w:pPr>
            <w:r>
              <w:rPr>
                <w:rFonts w:ascii="Arial" w:cs="Arial" w:eastAsia="Arial" w:hAnsi="Arial"/>
                <w:sz w:val="15"/>
                <w:szCs w:val="15"/>
                <w:b w:val="1"/>
                <w:bCs w:val="1"/>
                <w:color w:val="auto"/>
              </w:rPr>
              <w:t>Income (Loss) from Continuing Operations Before Income Taxes</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42,043</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65,683</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93,408</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center"/>
              <w:ind w:left="427"/>
              <w:spacing w:after="0" w:line="167" w:lineRule="exact"/>
              <w:rPr>
                <w:sz w:val="20"/>
                <w:szCs w:val="20"/>
                <w:color w:val="auto"/>
              </w:rPr>
            </w:pP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20,717</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21,011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22,024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32,197</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32,234</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32,310</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3,125</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3,222</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3,126</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126</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127</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128</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 and</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56,165</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56,594</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57,588</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8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840" w:type="dxa"/>
            <w:vAlign w:val="bottom"/>
          </w:tcPr>
          <w:p>
            <w:pPr>
              <w:ind w:left="220"/>
              <w:spacing w:after="0"/>
              <w:rPr>
                <w:sz w:val="20"/>
                <w:szCs w:val="20"/>
                <w:color w:val="auto"/>
              </w:rPr>
            </w:pPr>
            <w:r>
              <w:rPr>
                <w:rFonts w:ascii="Arial" w:cs="Arial" w:eastAsia="Arial" w:hAnsi="Arial"/>
                <w:sz w:val="15"/>
                <w:szCs w:val="15"/>
                <w:b w:val="1"/>
                <w:bCs w:val="1"/>
                <w:color w:val="auto"/>
              </w:rPr>
              <w:t>Impairment of Goodwill and Other Long-Lived Assets</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3,236</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3,803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4,489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center"/>
              <w:ind w:left="427"/>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54</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53</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52</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549</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551</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549</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Net Pension (Credit) Expense</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3,839</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4,407</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5,090</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center"/>
              <w:ind w:left="427"/>
              <w:spacing w:after="0" w:line="167" w:lineRule="exact"/>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68"/>
        </w:trPr>
        <w:tc>
          <w:tcPr>
            <w:tcW w:w="58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2,392</w:t>
            </w:r>
          </w:p>
        </w:tc>
        <w:tc>
          <w:tcPr>
            <w:tcW w:w="3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1,969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3,522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530</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514</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694</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960</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1,055</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1,432</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4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60" w:type="dxa"/>
            <w:vAlign w:val="bottom"/>
          </w:tcPr>
          <w:p>
            <w:pPr>
              <w:spacing w:after="0"/>
              <w:rPr>
                <w:sz w:val="15"/>
                <w:szCs w:val="15"/>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36</w:t>
            </w:r>
          </w:p>
        </w:tc>
        <w:tc>
          <w:tcPr>
            <w:tcW w:w="32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5"/>
                <w:szCs w:val="15"/>
                <w:color w:val="auto"/>
              </w:rPr>
              <w:t>33</w:t>
            </w:r>
          </w:p>
        </w:tc>
        <w:tc>
          <w:tcPr>
            <w:tcW w:w="24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5"/>
                <w:szCs w:val="15"/>
                <w:color w:val="auto"/>
              </w:rPr>
              <w:t>45</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4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(7,393)</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(6,939)</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(6,827)</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840" w:type="dxa"/>
            <w:vAlign w:val="bottom"/>
          </w:tcPr>
          <w:p>
            <w:pPr>
              <w:spacing w:after="0"/>
              <w:rPr>
                <w:sz w:val="14"/>
                <w:szCs w:val="14"/>
                <w:color w:val="auto"/>
              </w:rPr>
            </w:pP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(3,475)</w:t>
            </w:r>
          </w:p>
        </w:tc>
        <w:tc>
          <w:tcPr>
            <w:tcW w:w="3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(3,368)</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(1,134)</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The following table summarizes financial information related to each of the Company’s business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Nine Months Ended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3"/>
          </w:tcPr>
          <w:p>
            <w:pPr>
              <w:jc w:val="right"/>
              <w:spacing w:after="0"/>
              <w:rPr>
                <w:sz w:val="20"/>
                <w:szCs w:val="20"/>
                <w:color w:val="auto"/>
              </w:rPr>
            </w:pPr>
            <w:r>
              <w:rPr>
                <w:rFonts w:ascii="Arial" w:cs="Arial" w:eastAsia="Arial" w:hAnsi="Arial"/>
                <w:sz w:val="12"/>
                <w:szCs w:val="12"/>
                <w:color w:val="auto"/>
              </w:rPr>
              <w:t>Fiscal Year Ended</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2"/>
                <w:szCs w:val="12"/>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2"/>
                <w:szCs w:val="12"/>
                <w:color w:val="auto"/>
              </w:rPr>
              <w:t>December 31,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67"/>
              <w:spacing w:after="0" w:line="129" w:lineRule="exact"/>
              <w:rPr>
                <w:sz w:val="20"/>
                <w:szCs w:val="20"/>
                <w:color w:val="auto"/>
              </w:rPr>
            </w:pPr>
            <w:r>
              <w:rPr>
                <w:rFonts w:ascii="Arial" w:cs="Arial" w:eastAsia="Arial" w:hAnsi="Arial"/>
                <w:sz w:val="12"/>
                <w:szCs w:val="12"/>
                <w:b w:val="1"/>
                <w:bCs w:val="1"/>
                <w:color w:val="auto"/>
              </w:rPr>
              <w:t>2013</w:t>
            </w:r>
          </w:p>
        </w:tc>
        <w:tc>
          <w:tcPr>
            <w:tcW w:w="5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6"/>
              <w:spacing w:after="0" w:line="129" w:lineRule="exact"/>
              <w:rPr>
                <w:sz w:val="20"/>
                <w:szCs w:val="20"/>
                <w:color w:val="auto"/>
              </w:rPr>
            </w:pPr>
            <w:r>
              <w:rPr>
                <w:rFonts w:ascii="Arial" w:cs="Arial" w:eastAsia="Arial" w:hAnsi="Arial"/>
                <w:sz w:val="12"/>
                <w:szCs w:val="12"/>
                <w:color w:val="auto"/>
              </w:rPr>
              <w:t>2012</w:t>
            </w: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7"/>
              <w:spacing w:after="0" w:line="129" w:lineRule="exact"/>
              <w:rPr>
                <w:sz w:val="20"/>
                <w:szCs w:val="20"/>
                <w:color w:val="auto"/>
              </w:rPr>
            </w:pPr>
            <w:r>
              <w:rPr>
                <w:rFonts w:ascii="Arial" w:cs="Arial" w:eastAsia="Arial" w:hAnsi="Arial"/>
                <w:sz w:val="12"/>
                <w:szCs w:val="12"/>
                <w:color w:val="auto"/>
              </w:rPr>
              <w:t>2012</w:t>
            </w:r>
          </w:p>
        </w:tc>
        <w:tc>
          <w:tcPr>
            <w:tcW w:w="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line="129"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528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1,622,497</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60" w:type="dxa"/>
            <w:vAlign w:val="bottom"/>
          </w:tcPr>
          <w:p>
            <w:pPr>
              <w:jc w:val="right"/>
              <w:ind w:right="206"/>
              <w:spacing w:after="0" w:line="156"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6"/>
              <w:spacing w:after="0" w:line="156" w:lineRule="exact"/>
              <w:rPr>
                <w:sz w:val="20"/>
                <w:szCs w:val="20"/>
                <w:color w:val="auto"/>
              </w:rPr>
            </w:pPr>
            <w:r>
              <w:rPr>
                <w:rFonts w:ascii="Arial" w:cs="Arial" w:eastAsia="Arial" w:hAnsi="Arial"/>
                <w:sz w:val="15"/>
                <w:szCs w:val="15"/>
                <w:color w:val="auto"/>
              </w:rPr>
              <w:t>1,650,155</w:t>
            </w:r>
          </w:p>
        </w:tc>
        <w:tc>
          <w:tcPr>
            <w:tcW w:w="4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line="156" w:lineRule="exact"/>
              <w:rPr>
                <w:sz w:val="20"/>
                <w:szCs w:val="20"/>
                <w:color w:val="auto"/>
              </w:rPr>
            </w:pPr>
            <w:r>
              <w:rPr>
                <w:rFonts w:ascii="Arial" w:cs="Arial" w:eastAsia="Arial" w:hAnsi="Arial"/>
                <w:sz w:val="15"/>
                <w:szCs w:val="15"/>
                <w:color w:val="auto"/>
              </w:rPr>
              <w:t>2,196,496</w:t>
            </w:r>
          </w:p>
        </w:tc>
        <w:tc>
          <w:tcPr>
            <w:tcW w:w="240" w:type="dxa"/>
            <w:vAlign w:val="bottom"/>
          </w:tcPr>
          <w:p>
            <w:pPr>
              <w:spacing w:after="0"/>
              <w:rPr>
                <w:sz w:val="13"/>
                <w:szCs w:val="13"/>
                <w:color w:val="auto"/>
              </w:rPr>
            </w:pPr>
          </w:p>
        </w:tc>
        <w:tc>
          <w:tcPr>
            <w:tcW w:w="340" w:type="dxa"/>
            <w:vAlign w:val="bottom"/>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607,069</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585,414</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787,117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271,653</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283,499</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399,691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128,018</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41,182</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72,837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(322)</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rPr>
              <w:t>(571)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(571)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8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2,628,915</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46"/>
              <w:spacing w:after="0" w:line="167" w:lineRule="exact"/>
              <w:rPr>
                <w:sz w:val="20"/>
                <w:szCs w:val="20"/>
                <w:color w:val="auto"/>
              </w:rPr>
            </w:pPr>
            <w:r>
              <w:rPr>
                <w:rFonts w:ascii="Arial" w:cs="Arial" w:eastAsia="Arial" w:hAnsi="Arial"/>
                <w:sz w:val="15"/>
                <w:szCs w:val="15"/>
                <w:color w:val="auto"/>
              </w:rPr>
              <w:t>2,559,679</w:t>
            </w:r>
          </w:p>
        </w:tc>
        <w:tc>
          <w:tcPr>
            <w:tcW w:w="4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3,455,570</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8"/>
        </w:trPr>
        <w:tc>
          <w:tcPr>
            <w:tcW w:w="5280" w:type="dxa"/>
            <w:vAlign w:val="bottom"/>
            <w:vMerge w:val="continue"/>
          </w:tcPr>
          <w:p>
            <w:pPr>
              <w:spacing w:after="0"/>
              <w:rPr>
                <w:sz w:val="14"/>
                <w:szCs w:val="14"/>
                <w:color w:val="auto"/>
              </w:rPr>
            </w:pPr>
          </w:p>
        </w:tc>
        <w:tc>
          <w:tcPr>
            <w:tcW w:w="38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36,705</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60" w:type="dxa"/>
            <w:vAlign w:val="bottom"/>
          </w:tcPr>
          <w:p>
            <w:pPr>
              <w:jc w:val="right"/>
              <w:ind w:right="206"/>
              <w:spacing w:after="0" w:line="156"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6"/>
              <w:spacing w:after="0" w:line="156" w:lineRule="exact"/>
              <w:rPr>
                <w:sz w:val="20"/>
                <w:szCs w:val="20"/>
                <w:color w:val="auto"/>
              </w:rPr>
            </w:pPr>
            <w:r>
              <w:rPr>
                <w:rFonts w:ascii="Arial" w:cs="Arial" w:eastAsia="Arial" w:hAnsi="Arial"/>
                <w:sz w:val="15"/>
                <w:szCs w:val="15"/>
                <w:color w:val="auto"/>
              </w:rPr>
              <w:t>6,506</w:t>
            </w:r>
          </w:p>
        </w:tc>
        <w:tc>
          <w:tcPr>
            <w:tcW w:w="4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line="156" w:lineRule="exact"/>
              <w:rPr>
                <w:sz w:val="20"/>
                <w:szCs w:val="20"/>
                <w:color w:val="auto"/>
              </w:rPr>
            </w:pPr>
            <w:r>
              <w:rPr>
                <w:rFonts w:ascii="Arial" w:cs="Arial" w:eastAsia="Arial" w:hAnsi="Arial"/>
                <w:sz w:val="15"/>
                <w:szCs w:val="15"/>
                <w:color w:val="auto"/>
              </w:rPr>
              <w:t>(105,368)</w:t>
            </w:r>
          </w:p>
        </w:tc>
        <w:tc>
          <w:tcPr>
            <w:tcW w:w="240" w:type="dxa"/>
            <w:vAlign w:val="bottom"/>
          </w:tcPr>
          <w:p>
            <w:pPr>
              <w:spacing w:after="0"/>
              <w:rPr>
                <w:sz w:val="13"/>
                <w:szCs w:val="13"/>
                <w:color w:val="auto"/>
              </w:rPr>
            </w:pPr>
          </w:p>
        </w:tc>
        <w:tc>
          <w:tcPr>
            <w:tcW w:w="340" w:type="dxa"/>
            <w:vAlign w:val="bottom"/>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121,038</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111,136</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154,581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119,370</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128,809</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191,642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(19,556)</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(23,075)</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(33,010)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(17,516)</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rPr>
              <w:t>(21,271)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(28,665)</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38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240,041</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46"/>
              <w:spacing w:after="0" w:line="167" w:lineRule="exact"/>
              <w:rPr>
                <w:sz w:val="20"/>
                <w:szCs w:val="20"/>
                <w:color w:val="auto"/>
              </w:rPr>
            </w:pPr>
            <w:r>
              <w:rPr>
                <w:rFonts w:ascii="Arial" w:cs="Arial" w:eastAsia="Arial" w:hAnsi="Arial"/>
                <w:sz w:val="15"/>
                <w:szCs w:val="15"/>
                <w:color w:val="auto"/>
              </w:rPr>
              <w:t>202,105</w:t>
            </w:r>
          </w:p>
        </w:tc>
        <w:tc>
          <w:tcPr>
            <w:tcW w:w="4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179,180</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50"/>
        </w:trPr>
        <w:tc>
          <w:tcPr>
            <w:tcW w:w="52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ind w:right="127"/>
              <w:spacing w:after="0" w:line="150" w:lineRule="exact"/>
              <w:rPr>
                <w:sz w:val="20"/>
                <w:szCs w:val="20"/>
                <w:color w:val="auto"/>
              </w:rPr>
            </w:pPr>
            <w:r>
              <w:rPr>
                <w:rFonts w:ascii="Arial" w:cs="Arial" w:eastAsia="Arial" w:hAnsi="Arial"/>
                <w:sz w:val="15"/>
                <w:szCs w:val="15"/>
                <w:b w:val="1"/>
                <w:bCs w:val="1"/>
                <w:color w:val="auto"/>
              </w:rPr>
              <w:t>13,178</w:t>
            </w:r>
          </w:p>
        </w:tc>
        <w:tc>
          <w:tcPr>
            <w:tcW w:w="560" w:type="dxa"/>
            <w:vAlign w:val="bottom"/>
          </w:tcPr>
          <w:p>
            <w:pPr>
              <w:spacing w:after="0"/>
              <w:rPr>
                <w:sz w:val="13"/>
                <w:szCs w:val="13"/>
                <w:color w:val="auto"/>
              </w:rPr>
            </w:pPr>
          </w:p>
        </w:tc>
        <w:tc>
          <w:tcPr>
            <w:tcW w:w="940" w:type="dxa"/>
            <w:vAlign w:val="bottom"/>
            <w:gridSpan w:val="2"/>
          </w:tcPr>
          <w:p>
            <w:pPr>
              <w:jc w:val="right"/>
              <w:ind w:right="46"/>
              <w:spacing w:after="0" w:line="150" w:lineRule="exact"/>
              <w:rPr>
                <w:sz w:val="20"/>
                <w:szCs w:val="20"/>
                <w:color w:val="auto"/>
              </w:rPr>
            </w:pPr>
            <w:r>
              <w:rPr>
                <w:rFonts w:ascii="Arial" w:cs="Arial" w:eastAsia="Arial" w:hAnsi="Arial"/>
                <w:sz w:val="15"/>
                <w:szCs w:val="15"/>
                <w:color w:val="auto"/>
              </w:rPr>
              <w:t>11,301</w:t>
            </w:r>
          </w:p>
        </w:tc>
        <w:tc>
          <w:tcPr>
            <w:tcW w:w="480" w:type="dxa"/>
            <w:vAlign w:val="bottom"/>
          </w:tcPr>
          <w:p>
            <w:pPr>
              <w:spacing w:after="0"/>
              <w:rPr>
                <w:sz w:val="13"/>
                <w:szCs w:val="13"/>
                <w:color w:val="auto"/>
              </w:rPr>
            </w:pPr>
          </w:p>
        </w:tc>
        <w:tc>
          <w:tcPr>
            <w:tcW w:w="1080" w:type="dxa"/>
            <w:vAlign w:val="bottom"/>
          </w:tcPr>
          <w:p>
            <w:pPr>
              <w:jc w:val="right"/>
              <w:ind w:right="7"/>
              <w:spacing w:after="0" w:line="150" w:lineRule="exact"/>
              <w:rPr>
                <w:sz w:val="20"/>
                <w:szCs w:val="20"/>
                <w:color w:val="auto"/>
              </w:rPr>
            </w:pPr>
            <w:r>
              <w:rPr>
                <w:rFonts w:ascii="Arial" w:cs="Arial" w:eastAsia="Arial" w:hAnsi="Arial"/>
                <w:sz w:val="15"/>
                <w:szCs w:val="15"/>
                <w:color w:val="auto"/>
              </w:rPr>
              <w:t>14,086</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(25,555)</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(24,388)</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(32,551)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20"/>
                <w:szCs w:val="20"/>
                <w:color w:val="auto"/>
              </w:rPr>
            </w:pPr>
            <w:r>
              <w:rPr>
                <w:rFonts w:ascii="Arial" w:cs="Arial" w:eastAsia="Arial" w:hAnsi="Arial"/>
                <w:sz w:val="15"/>
                <w:szCs w:val="15"/>
                <w:b w:val="1"/>
                <w:bCs w:val="1"/>
                <w:color w:val="auto"/>
              </w:rPr>
              <w:t>Other (Expense) Income, Net</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(8,831)</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rPr>
              <w:t>12,116</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(5,456)</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6"/>
        </w:trPr>
        <w:tc>
          <w:tcPr>
            <w:tcW w:w="5280" w:type="dxa"/>
            <w:vAlign w:val="bottom"/>
          </w:tcPr>
          <w:p>
            <w:pPr>
              <w:spacing w:after="0" w:line="167"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8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218,833</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46"/>
              <w:spacing w:after="0" w:line="167" w:lineRule="exact"/>
              <w:rPr>
                <w:sz w:val="20"/>
                <w:szCs w:val="20"/>
                <w:color w:val="auto"/>
              </w:rPr>
            </w:pPr>
            <w:r>
              <w:rPr>
                <w:rFonts w:ascii="Arial" w:cs="Arial" w:eastAsia="Arial" w:hAnsi="Arial"/>
                <w:sz w:val="15"/>
                <w:szCs w:val="15"/>
                <w:color w:val="auto"/>
              </w:rPr>
              <w:t>201,134</w:t>
            </w:r>
          </w:p>
        </w:tc>
        <w:tc>
          <w:tcPr>
            <w:tcW w:w="4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155,259</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80" w:type="dxa"/>
            <w:vAlign w:val="bottom"/>
            <w:vMerge w:val="continue"/>
          </w:tcPr>
          <w:p>
            <w:pPr>
              <w:spacing w:after="0"/>
              <w:rPr>
                <w:sz w:val="13"/>
                <w:szCs w:val="13"/>
                <w:color w:val="auto"/>
              </w:rPr>
            </w:pPr>
          </w:p>
        </w:tc>
        <w:tc>
          <w:tcPr>
            <w:tcW w:w="38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61,630</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60" w:type="dxa"/>
            <w:vAlign w:val="bottom"/>
          </w:tcPr>
          <w:p>
            <w:pPr>
              <w:jc w:val="right"/>
              <w:ind w:right="206"/>
              <w:spacing w:after="0" w:line="156"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6"/>
              <w:spacing w:after="0" w:line="156" w:lineRule="exact"/>
              <w:rPr>
                <w:sz w:val="20"/>
                <w:szCs w:val="20"/>
                <w:color w:val="auto"/>
              </w:rPr>
            </w:pPr>
            <w:r>
              <w:rPr>
                <w:rFonts w:ascii="Arial" w:cs="Arial" w:eastAsia="Arial" w:hAnsi="Arial"/>
                <w:sz w:val="15"/>
                <w:szCs w:val="15"/>
                <w:color w:val="auto"/>
              </w:rPr>
              <w:t>63,752</w:t>
            </w:r>
          </w:p>
        </w:tc>
        <w:tc>
          <w:tcPr>
            <w:tcW w:w="4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line="156" w:lineRule="exact"/>
              <w:rPr>
                <w:sz w:val="20"/>
                <w:szCs w:val="20"/>
                <w:color w:val="auto"/>
              </w:rPr>
            </w:pPr>
            <w:r>
              <w:rPr>
                <w:rFonts w:ascii="Arial" w:cs="Arial" w:eastAsia="Arial" w:hAnsi="Arial"/>
                <w:sz w:val="15"/>
                <w:szCs w:val="15"/>
                <w:color w:val="auto"/>
              </w:rPr>
              <w:t>101,183</w:t>
            </w:r>
          </w:p>
        </w:tc>
        <w:tc>
          <w:tcPr>
            <w:tcW w:w="240" w:type="dxa"/>
            <w:vAlign w:val="bottom"/>
          </w:tcPr>
          <w:p>
            <w:pPr>
              <w:spacing w:after="0"/>
              <w:rPr>
                <w:sz w:val="13"/>
                <w:szCs w:val="13"/>
                <w:color w:val="auto"/>
              </w:rPr>
            </w:pPr>
          </w:p>
        </w:tc>
        <w:tc>
          <w:tcPr>
            <w:tcW w:w="340" w:type="dxa"/>
            <w:vAlign w:val="bottom"/>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100,643</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96,741</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129,107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9,405</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9,473</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13,018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1,561</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381</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770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105</w:t>
            </w: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 and</w:t>
            </w:r>
          </w:p>
        </w:tc>
        <w:tc>
          <w:tcPr>
            <w:tcW w:w="38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173,344</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46"/>
              <w:spacing w:after="0" w:line="167" w:lineRule="exact"/>
              <w:rPr>
                <w:sz w:val="20"/>
                <w:szCs w:val="20"/>
                <w:color w:val="auto"/>
              </w:rPr>
            </w:pPr>
            <w:r>
              <w:rPr>
                <w:rFonts w:ascii="Arial" w:cs="Arial" w:eastAsia="Arial" w:hAnsi="Arial"/>
                <w:sz w:val="15"/>
                <w:szCs w:val="15"/>
                <w:color w:val="auto"/>
              </w:rPr>
              <w:t>170,347</w:t>
            </w:r>
          </w:p>
        </w:tc>
        <w:tc>
          <w:tcPr>
            <w:tcW w:w="4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244,078</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0"/>
        </w:trPr>
        <w:tc>
          <w:tcPr>
            <w:tcW w:w="52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280" w:type="dxa"/>
            <w:vAlign w:val="bottom"/>
          </w:tcPr>
          <w:p>
            <w:pPr>
              <w:ind w:left="220"/>
              <w:spacing w:after="0"/>
              <w:rPr>
                <w:sz w:val="20"/>
                <w:szCs w:val="20"/>
                <w:color w:val="auto"/>
              </w:rPr>
            </w:pPr>
            <w:r>
              <w:rPr>
                <w:rFonts w:ascii="Arial" w:cs="Arial" w:eastAsia="Arial" w:hAnsi="Arial"/>
                <w:sz w:val="15"/>
                <w:szCs w:val="15"/>
                <w:b w:val="1"/>
                <w:bCs w:val="1"/>
                <w:color w:val="auto"/>
              </w:rPr>
              <w:t>Impairment of Goodwill and Other Intangible Assets</w:t>
            </w:r>
          </w:p>
        </w:tc>
        <w:tc>
          <w:tcPr>
            <w:tcW w:w="38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7,168</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60" w:type="dxa"/>
            <w:vAlign w:val="bottom"/>
          </w:tcPr>
          <w:p>
            <w:pPr>
              <w:jc w:val="right"/>
              <w:ind w:right="206"/>
              <w:spacing w:after="0" w:line="156"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6"/>
              <w:spacing w:after="0" w:line="156" w:lineRule="exact"/>
              <w:rPr>
                <w:sz w:val="20"/>
                <w:szCs w:val="20"/>
                <w:color w:val="auto"/>
              </w:rPr>
            </w:pPr>
            <w:r>
              <w:rPr>
                <w:rFonts w:ascii="Arial" w:cs="Arial" w:eastAsia="Arial" w:hAnsi="Arial"/>
                <w:sz w:val="15"/>
                <w:szCs w:val="15"/>
                <w:color w:val="auto"/>
              </w:rPr>
              <w:t>11,528</w:t>
            </w:r>
          </w:p>
        </w:tc>
        <w:tc>
          <w:tcPr>
            <w:tcW w:w="4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line="156" w:lineRule="exact"/>
              <w:rPr>
                <w:sz w:val="20"/>
                <w:szCs w:val="20"/>
                <w:color w:val="auto"/>
              </w:rPr>
            </w:pPr>
            <w:r>
              <w:rPr>
                <w:rFonts w:ascii="Arial" w:cs="Arial" w:eastAsia="Arial" w:hAnsi="Arial"/>
                <w:sz w:val="15"/>
                <w:szCs w:val="15"/>
                <w:color w:val="auto"/>
              </w:rPr>
              <w:t>129,312</w:t>
            </w:r>
          </w:p>
        </w:tc>
        <w:tc>
          <w:tcPr>
            <w:tcW w:w="240" w:type="dxa"/>
            <w:vAlign w:val="bottom"/>
          </w:tcPr>
          <w:p>
            <w:pPr>
              <w:spacing w:after="0"/>
              <w:rPr>
                <w:sz w:val="13"/>
                <w:szCs w:val="13"/>
                <w:color w:val="auto"/>
              </w:rPr>
            </w:pPr>
          </w:p>
        </w:tc>
        <w:tc>
          <w:tcPr>
            <w:tcW w:w="340" w:type="dxa"/>
            <w:vAlign w:val="bottom"/>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168</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159</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211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2,531</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1,649</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3,016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Net Pension (Credit) Expense</w:t>
            </w:r>
          </w:p>
        </w:tc>
        <w:tc>
          <w:tcPr>
            <w:tcW w:w="38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9,867</w:t>
            </w:r>
          </w:p>
        </w:tc>
        <w:tc>
          <w:tcPr>
            <w:tcW w:w="5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46"/>
              <w:spacing w:after="0" w:line="167" w:lineRule="exact"/>
              <w:rPr>
                <w:sz w:val="20"/>
                <w:szCs w:val="20"/>
                <w:color w:val="auto"/>
              </w:rPr>
            </w:pPr>
            <w:r>
              <w:rPr>
                <w:rFonts w:ascii="Arial" w:cs="Arial" w:eastAsia="Arial" w:hAnsi="Arial"/>
                <w:sz w:val="15"/>
                <w:szCs w:val="15"/>
                <w:color w:val="auto"/>
              </w:rPr>
              <w:t>13,336</w:t>
            </w:r>
          </w:p>
        </w:tc>
        <w:tc>
          <w:tcPr>
            <w:tcW w:w="4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132,539</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07"/>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80" w:type="dxa"/>
            <w:vAlign w:val="bottom"/>
            <w:vMerge w:val="continue"/>
          </w:tcPr>
          <w:p>
            <w:pPr>
              <w:spacing w:after="0"/>
              <w:rPr>
                <w:sz w:val="14"/>
                <w:szCs w:val="14"/>
                <w:color w:val="auto"/>
              </w:rPr>
            </w:pPr>
          </w:p>
        </w:tc>
        <w:tc>
          <w:tcPr>
            <w:tcW w:w="38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12,506</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560" w:type="dxa"/>
            <w:vAlign w:val="bottom"/>
          </w:tcPr>
          <w:p>
            <w:pPr>
              <w:jc w:val="right"/>
              <w:ind w:right="206"/>
              <w:spacing w:after="0" w:line="156"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6"/>
              <w:spacing w:after="0" w:line="156" w:lineRule="exact"/>
              <w:rPr>
                <w:sz w:val="20"/>
                <w:szCs w:val="20"/>
                <w:color w:val="auto"/>
              </w:rPr>
            </w:pPr>
            <w:r>
              <w:rPr>
                <w:rFonts w:ascii="Arial" w:cs="Arial" w:eastAsia="Arial" w:hAnsi="Arial"/>
                <w:sz w:val="15"/>
                <w:szCs w:val="15"/>
                <w:color w:val="auto"/>
              </w:rPr>
              <w:t>7,883</w:t>
            </w:r>
          </w:p>
        </w:tc>
        <w:tc>
          <w:tcPr>
            <w:tcW w:w="4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7"/>
              <w:spacing w:after="0" w:line="156" w:lineRule="exact"/>
              <w:rPr>
                <w:sz w:val="20"/>
                <w:szCs w:val="20"/>
                <w:color w:val="auto"/>
              </w:rPr>
            </w:pPr>
            <w:r>
              <w:rPr>
                <w:rFonts w:ascii="Arial" w:cs="Arial" w:eastAsia="Arial" w:hAnsi="Arial"/>
                <w:sz w:val="15"/>
                <w:szCs w:val="15"/>
                <w:color w:val="auto"/>
              </w:rPr>
              <w:t>11,584</w:t>
            </w:r>
          </w:p>
        </w:tc>
        <w:tc>
          <w:tcPr>
            <w:tcW w:w="240" w:type="dxa"/>
            <w:vAlign w:val="bottom"/>
          </w:tcPr>
          <w:p>
            <w:pPr>
              <w:spacing w:after="0"/>
              <w:rPr>
                <w:sz w:val="13"/>
                <w:szCs w:val="13"/>
                <w:color w:val="auto"/>
              </w:rPr>
            </w:pPr>
          </w:p>
        </w:tc>
        <w:tc>
          <w:tcPr>
            <w:tcW w:w="340" w:type="dxa"/>
            <w:vAlign w:val="bottom"/>
          </w:tcPr>
          <w:p>
            <w:pPr>
              <w:jc w:val="right"/>
              <w:ind w:right="107"/>
              <w:spacing w:after="0" w:line="156"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2,768</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1,738</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2,540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3,752</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3,447</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4,970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Arial" w:cs="Arial" w:eastAsia="Arial" w:hAnsi="Arial"/>
                <w:sz w:val="15"/>
                <w:szCs w:val="15"/>
                <w:b w:val="1"/>
                <w:bCs w:val="1"/>
                <w:color w:val="auto"/>
              </w:rPr>
              <w:t>423</w:t>
            </w:r>
          </w:p>
        </w:tc>
        <w:tc>
          <w:tcPr>
            <w:tcW w:w="560" w:type="dxa"/>
            <w:vAlign w:val="bottom"/>
          </w:tcPr>
          <w:p>
            <w:pPr>
              <w:spacing w:after="0"/>
              <w:rPr>
                <w:sz w:val="15"/>
                <w:szCs w:val="15"/>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5"/>
                <w:szCs w:val="15"/>
                <w:color w:val="auto"/>
              </w:rPr>
              <w:t>114</w:t>
            </w:r>
          </w:p>
        </w:tc>
        <w:tc>
          <w:tcPr>
            <w:tcW w:w="48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169</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(27,549)</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rPr>
              <w:t>(21,159)</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(27,871)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9"/>
        </w:trPr>
        <w:tc>
          <w:tcPr>
            <w:tcW w:w="5280" w:type="dxa"/>
            <w:vAlign w:val="bottom"/>
          </w:tcPr>
          <w:p>
            <w:pPr>
              <w:spacing w:after="0"/>
              <w:rPr>
                <w:sz w:val="15"/>
                <w:szCs w:val="15"/>
                <w:color w:val="auto"/>
              </w:rPr>
            </w:pPr>
          </w:p>
        </w:tc>
        <w:tc>
          <w:tcPr>
            <w:tcW w:w="380" w:type="dxa"/>
            <w:vAlign w:val="bottom"/>
            <w:tcBorders>
              <w:bottom w:val="single" w:sz="8" w:color="auto"/>
            </w:tcBorders>
          </w:tcPr>
          <w:p>
            <w:pPr>
              <w:jc w:val="right"/>
              <w:ind w:right="65"/>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(8,100)</w:t>
            </w:r>
          </w:p>
        </w:tc>
        <w:tc>
          <w:tcPr>
            <w:tcW w:w="5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rPr>
              <w:t>(7,977)</w:t>
            </w: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(8,608)</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75"/>
        </w:trPr>
        <w:tc>
          <w:tcPr>
            <w:tcW w:w="5280" w:type="dxa"/>
            <w:vAlign w:val="bottom"/>
          </w:tcPr>
          <w:p>
            <w:pPr>
              <w:spacing w:after="0"/>
              <w:rPr>
                <w:sz w:val="20"/>
                <w:szCs w:val="20"/>
                <w:color w:val="auto"/>
              </w:rPr>
            </w:pPr>
            <w:r>
              <w:rPr>
                <w:rFonts w:ascii="Arial" w:cs="Arial" w:eastAsia="Arial" w:hAnsi="Arial"/>
                <w:sz w:val="17"/>
                <w:szCs w:val="17"/>
                <w:color w:val="auto"/>
                <w:w w:val="97"/>
              </w:rPr>
              <w:t>Asset information for the Company’s business segments are as follows: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2"/>
                <w:szCs w:val="12"/>
                <w:b w:val="1"/>
                <w:bCs w:val="1"/>
                <w:color w:val="auto"/>
              </w:rPr>
              <w:t>As of</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gridSpan w:val="2"/>
          </w:tcPr>
          <w:p>
            <w:pPr>
              <w:jc w:val="right"/>
              <w:ind w:right="567"/>
              <w:spacing w:after="0" w:line="114" w:lineRule="exact"/>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9"/>
                <w:szCs w:val="9"/>
                <w:color w:val="auto"/>
              </w:rPr>
            </w:pPr>
          </w:p>
        </w:tc>
        <w:tc>
          <w:tcPr>
            <w:tcW w:w="820" w:type="dxa"/>
            <w:vAlign w:val="bottom"/>
            <w:gridSpan w:val="2"/>
          </w:tcPr>
          <w:p>
            <w:pPr>
              <w:jc w:val="right"/>
              <w:spacing w:after="0" w:line="114" w:lineRule="exact"/>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51"/>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867"/>
              <w:spacing w:after="0"/>
              <w:rPr>
                <w:sz w:val="20"/>
                <w:szCs w:val="20"/>
                <w:color w:val="auto"/>
              </w:rPr>
            </w:pPr>
            <w:r>
              <w:rPr>
                <w:rFonts w:ascii="Arial" w:cs="Arial" w:eastAsia="Arial" w:hAnsi="Arial"/>
                <w:sz w:val="12"/>
                <w:szCs w:val="12"/>
                <w:b w:val="1"/>
                <w:bCs w:val="1"/>
                <w:color w:val="auto"/>
              </w:rPr>
              <w:t>2013</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color w:val="auto"/>
                <w:w w:val="97"/>
              </w:rPr>
              <w:t>2012</w:t>
            </w:r>
          </w:p>
        </w:tc>
        <w:tc>
          <w:tcPr>
            <w:tcW w:w="0" w:type="dxa"/>
            <w:vAlign w:val="bottom"/>
          </w:tcPr>
          <w:p>
            <w:pPr>
              <w:spacing w:after="0"/>
              <w:rPr>
                <w:sz w:val="1"/>
                <w:szCs w:val="1"/>
                <w:color w:val="auto"/>
              </w:rPr>
            </w:pPr>
          </w:p>
        </w:tc>
      </w:tr>
      <w:tr>
        <w:trPr>
          <w:trHeight w:val="168"/>
        </w:trPr>
        <w:tc>
          <w:tcPr>
            <w:tcW w:w="528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4"/>
                <w:szCs w:val="14"/>
                <w:color w:val="auto"/>
              </w:rPr>
            </w:pPr>
          </w:p>
        </w:tc>
        <w:tc>
          <w:tcPr>
            <w:tcW w:w="108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1,739,301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ind w:left="22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b w:val="1"/>
                <w:bCs w:val="1"/>
                <w:color w:val="auto"/>
              </w:rPr>
              <w:t>1,189,084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b w:val="1"/>
                <w:bCs w:val="1"/>
                <w:color w:val="auto"/>
              </w:rPr>
              <w:t>371,726</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5280" w:type="dxa"/>
            <w:vAlign w:val="bottom"/>
          </w:tcPr>
          <w:p>
            <w:pPr>
              <w:ind w:left="22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b w:val="1"/>
                <w:bCs w:val="1"/>
                <w:color w:val="auto"/>
              </w:rPr>
              <w:t>137,068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220"/>
              <w:spacing w:after="0"/>
              <w:rPr>
                <w:sz w:val="20"/>
                <w:szCs w:val="20"/>
                <w:color w:val="auto"/>
              </w:rPr>
            </w:pPr>
            <w:r>
              <w:rPr>
                <w:rFonts w:ascii="Arial" w:cs="Arial" w:eastAsia="Arial" w:hAnsi="Arial"/>
                <w:sz w:val="15"/>
                <w:szCs w:val="15"/>
                <w:color w:val="auto"/>
              </w:rPr>
              <w:t>Corporate office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383,471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6"/>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Investments in Marketable Equity Securities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3,820,650</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50"/>
        </w:trPr>
        <w:tc>
          <w:tcPr>
            <w:tcW w:w="52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247"/>
              <w:spacing w:after="0" w:line="150" w:lineRule="exact"/>
              <w:rPr>
                <w:sz w:val="20"/>
                <w:szCs w:val="20"/>
                <w:color w:val="auto"/>
              </w:rPr>
            </w:pPr>
            <w:r>
              <w:rPr>
                <w:rFonts w:ascii="Arial" w:cs="Arial" w:eastAsia="Arial" w:hAnsi="Arial"/>
                <w:sz w:val="15"/>
                <w:szCs w:val="15"/>
                <w:b w:val="1"/>
                <w:bCs w:val="1"/>
                <w:color w:val="auto"/>
              </w:rPr>
              <w:t>457,969</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b w:val="1"/>
                <w:bCs w:val="1"/>
                <w:color w:val="auto"/>
              </w:rPr>
              <w:t>32,997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b w:val="1"/>
                <w:bCs w:val="1"/>
                <w:color w:val="auto"/>
              </w:rPr>
              <w:t>529,165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20"/>
                <w:szCs w:val="20"/>
                <w:color w:val="auto"/>
              </w:rPr>
            </w:pPr>
            <w:r>
              <w:rPr>
                <w:rFonts w:ascii="Arial" w:cs="Arial" w:eastAsia="Arial" w:hAnsi="Arial"/>
                <w:sz w:val="15"/>
                <w:szCs w:val="15"/>
                <w:b w:val="1"/>
                <w:bCs w:val="1"/>
                <w:color w:val="auto"/>
              </w:rPr>
              <w:t>Assets of Discontinued Operations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255,100</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280" w:type="dxa"/>
            <w:vAlign w:val="bottom"/>
          </w:tcPr>
          <w:p>
            <w:pPr>
              <w:spacing w:after="0" w:line="167" w:lineRule="exact"/>
              <w:rPr>
                <w:sz w:val="20"/>
                <w:szCs w:val="20"/>
                <w:color w:val="auto"/>
              </w:rPr>
            </w:pPr>
            <w:r>
              <w:rPr>
                <w:rFonts w:ascii="Arial" w:cs="Arial" w:eastAsia="Arial" w:hAnsi="Arial"/>
                <w:sz w:val="15"/>
                <w:szCs w:val="15"/>
                <w:b w:val="1"/>
                <w:bCs w:val="1"/>
                <w:color w:val="auto"/>
              </w:rPr>
              <w:t>Total Assets</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5,095,881</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6" w:name="page27"/>
    <w:bookmarkEnd w:id="26"/>
    <w:p>
      <w:pPr>
        <w:ind w:left="580"/>
        <w:spacing w:after="0"/>
        <w:rPr>
          <w:sz w:val="20"/>
          <w:szCs w:val="20"/>
          <w:color w:val="auto"/>
        </w:rPr>
      </w:pPr>
      <w:r>
        <w:rPr>
          <w:rFonts w:ascii="Arial" w:cs="Arial" w:eastAsia="Arial" w:hAnsi="Arial"/>
          <w:sz w:val="17"/>
          <w:szCs w:val="17"/>
          <w:color w:val="auto"/>
        </w:rPr>
        <w:t>The Company’s education division comprises the following operating segments: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gridSpan w:val="3"/>
          </w:tcPr>
          <w:p>
            <w:pPr>
              <w:jc w:val="right"/>
              <w:ind w:right="227"/>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51"/>
        </w:trPr>
        <w:tc>
          <w:tcPr>
            <w:tcW w:w="55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2"/>
                <w:szCs w:val="12"/>
                <w:b w:val="1"/>
                <w:bCs w:val="1"/>
                <w:color w:val="auto"/>
              </w:rPr>
              <w:t>September 30,</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5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67"/>
              <w:spacing w:after="0" w:line="129" w:lineRule="exact"/>
              <w:rPr>
                <w:sz w:val="20"/>
                <w:szCs w:val="20"/>
                <w:color w:val="auto"/>
              </w:rPr>
            </w:pPr>
            <w:r>
              <w:rPr>
                <w:rFonts w:ascii="Arial" w:cs="Arial" w:eastAsia="Arial" w:hAnsi="Arial"/>
                <w:sz w:val="12"/>
                <w:szCs w:val="12"/>
                <w:b w:val="1"/>
                <w:bCs w:val="1"/>
                <w:color w:val="auto"/>
              </w:rPr>
              <w:t>2013</w:t>
            </w:r>
          </w:p>
        </w:tc>
        <w:tc>
          <w:tcPr>
            <w:tcW w:w="5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66"/>
              <w:spacing w:after="0" w:line="129" w:lineRule="exact"/>
              <w:rPr>
                <w:sz w:val="20"/>
                <w:szCs w:val="20"/>
                <w:color w:val="auto"/>
              </w:rPr>
            </w:pPr>
            <w:r>
              <w:rPr>
                <w:rFonts w:ascii="Arial" w:cs="Arial" w:eastAsia="Arial" w:hAnsi="Arial"/>
                <w:sz w:val="12"/>
                <w:szCs w:val="12"/>
                <w:color w:val="auto"/>
                <w:w w:val="97"/>
              </w:rPr>
              <w:t>2012</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87"/>
              <w:spacing w:after="0" w:line="129" w:lineRule="exact"/>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68"/>
        </w:trPr>
        <w:tc>
          <w:tcPr>
            <w:tcW w:w="550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266,061</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811,013</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273,703</w:t>
            </w:r>
          </w:p>
        </w:tc>
        <w:tc>
          <w:tcPr>
            <w:tcW w:w="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38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77,431</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81,151</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232,064</w:t>
            </w:r>
          </w:p>
        </w:tc>
        <w:tc>
          <w:tcPr>
            <w:tcW w:w="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201,305</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194,158</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574,086</w:t>
            </w:r>
          </w:p>
        </w:tc>
        <w:tc>
          <w:tcPr>
            <w:tcW w:w="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2,223</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3,809</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6,496</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(568)</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(1,125)</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(1,162)</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50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546,452</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551,696</w:t>
            </w:r>
          </w:p>
        </w:tc>
        <w:tc>
          <w:tcPr>
            <w:tcW w:w="4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1,622,497</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14,719</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42,354</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1,510</w:t>
            </w:r>
          </w:p>
        </w:tc>
        <w:tc>
          <w:tcPr>
            <w:tcW w:w="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3,820</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3,446</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7,306</w:t>
            </w:r>
          </w:p>
        </w:tc>
        <w:tc>
          <w:tcPr>
            <w:tcW w:w="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12,020</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20,365</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24,907</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(13,680)</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(10,852)</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(38,243)</w:t>
            </w:r>
          </w:p>
        </w:tc>
        <w:tc>
          <w:tcPr>
            <w:tcW w:w="4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0"/>
        </w:trPr>
        <w:tc>
          <w:tcPr>
            <w:tcW w:w="550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156</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224</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381</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50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17,035</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14,693</w:t>
            </w:r>
          </w:p>
        </w:tc>
        <w:tc>
          <w:tcPr>
            <w:tcW w:w="4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36,705</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00" w:type="dxa"/>
            <w:vAlign w:val="bottom"/>
            <w:vMerge w:val="continue"/>
          </w:tcPr>
          <w:p>
            <w:pPr>
              <w:spacing w:after="0"/>
              <w:rPr>
                <w:sz w:val="14"/>
                <w:szCs w:val="14"/>
                <w:color w:val="auto"/>
              </w:rPr>
            </w:pP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9,739</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33,919</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12,168</w:t>
            </w:r>
          </w:p>
        </w:tc>
        <w:tc>
          <w:tcPr>
            <w:tcW w:w="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5,034</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5,544</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14,658</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3,903</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3,841</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12,015</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302</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471</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1,038</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50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18,978</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22,024</w:t>
            </w:r>
          </w:p>
        </w:tc>
        <w:tc>
          <w:tcPr>
            <w:tcW w:w="4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61,630</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500" w:type="dxa"/>
            <w:vAlign w:val="bottom"/>
            <w:vMerge w:val="continue"/>
          </w:tcPr>
          <w:p>
            <w:pPr>
              <w:spacing w:after="0"/>
              <w:rPr>
                <w:sz w:val="13"/>
                <w:szCs w:val="13"/>
                <w:color w:val="auto"/>
              </w:rPr>
            </w:pPr>
          </w:p>
        </w:tc>
        <w:tc>
          <w:tcPr>
            <w:tcW w:w="38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47"/>
              <w:spacing w:after="0" w:line="150" w:lineRule="exact"/>
              <w:rPr>
                <w:sz w:val="20"/>
                <w:szCs w:val="20"/>
                <w:color w:val="auto"/>
              </w:rPr>
            </w:pPr>
            <w:r>
              <w:rPr>
                <w:rFonts w:ascii="Arial" w:cs="Arial" w:eastAsia="Arial" w:hAnsi="Arial"/>
                <w:sz w:val="15"/>
                <w:szCs w:val="15"/>
                <w:b w:val="1"/>
                <w:bCs w:val="1"/>
                <w:color w:val="auto"/>
              </w:rPr>
              <w:t>2,287</w:t>
            </w:r>
          </w:p>
        </w:tc>
        <w:tc>
          <w:tcPr>
            <w:tcW w:w="580" w:type="dxa"/>
            <w:vAlign w:val="bottom"/>
          </w:tcPr>
          <w:p>
            <w:pPr>
              <w:jc w:val="right"/>
              <w:ind w:right="226"/>
              <w:spacing w:after="0" w:line="150"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4,489</w:t>
            </w:r>
          </w:p>
        </w:tc>
        <w:tc>
          <w:tcPr>
            <w:tcW w:w="40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27"/>
              <w:spacing w:after="0" w:line="150" w:lineRule="exact"/>
              <w:rPr>
                <w:sz w:val="20"/>
                <w:szCs w:val="20"/>
                <w:color w:val="auto"/>
              </w:rPr>
            </w:pPr>
            <w:r>
              <w:rPr>
                <w:rFonts w:ascii="Arial" w:cs="Arial" w:eastAsia="Arial" w:hAnsi="Arial"/>
                <w:sz w:val="15"/>
                <w:szCs w:val="15"/>
                <w:b w:val="1"/>
                <w:bCs w:val="1"/>
                <w:color w:val="auto"/>
              </w:rPr>
              <w:t>7,168</w:t>
            </w:r>
          </w:p>
        </w:tc>
        <w:tc>
          <w:tcPr>
            <w:tcW w:w="44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20"/>
                <w:szCs w:val="20"/>
                <w:color w:val="auto"/>
              </w:rPr>
            </w:pPr>
            <w:r>
              <w:rPr>
                <w:rFonts w:ascii="Arial" w:cs="Arial" w:eastAsia="Arial" w:hAnsi="Arial"/>
                <w:sz w:val="15"/>
                <w:szCs w:val="15"/>
                <w:b w:val="1"/>
                <w:bCs w:val="1"/>
                <w:color w:val="auto"/>
              </w:rPr>
              <w:t>Pension Expense</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11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3,201</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8,815</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50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58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2,234</w:t>
            </w:r>
          </w:p>
        </w:tc>
        <w:tc>
          <w:tcPr>
            <w:tcW w:w="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731</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554</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2,012</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50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80" w:type="dxa"/>
            <w:vAlign w:val="bottom"/>
          </w:tcPr>
          <w:p>
            <w:pPr>
              <w:spacing w:after="0"/>
              <w:rPr>
                <w:sz w:val="15"/>
                <w:szCs w:val="15"/>
                <w:color w:val="auto"/>
              </w:rPr>
            </w:pPr>
          </w:p>
        </w:tc>
        <w:tc>
          <w:tcPr>
            <w:tcW w:w="1180" w:type="dxa"/>
            <w:vAlign w:val="bottom"/>
          </w:tcPr>
          <w:p>
            <w:pPr>
              <w:jc w:val="right"/>
              <w:ind w:right="147"/>
              <w:spacing w:after="0"/>
              <w:rPr>
                <w:sz w:val="20"/>
                <w:szCs w:val="20"/>
                <w:color w:val="auto"/>
              </w:rPr>
            </w:pPr>
            <w:r>
              <w:rPr>
                <w:rFonts w:ascii="Arial" w:cs="Arial" w:eastAsia="Arial" w:hAnsi="Arial"/>
                <w:sz w:val="15"/>
                <w:szCs w:val="15"/>
                <w:b w:val="1"/>
                <w:bCs w:val="1"/>
                <w:color w:val="auto"/>
              </w:rPr>
              <w:t>99</w:t>
            </w:r>
          </w:p>
        </w:tc>
        <w:tc>
          <w:tcPr>
            <w:tcW w:w="5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112</w:t>
            </w:r>
          </w:p>
        </w:tc>
        <w:tc>
          <w:tcPr>
            <w:tcW w:w="400" w:type="dxa"/>
            <w:vAlign w:val="bottom"/>
          </w:tcPr>
          <w:p>
            <w:pPr>
              <w:spacing w:after="0"/>
              <w:rPr>
                <w:sz w:val="15"/>
                <w:szCs w:val="15"/>
                <w:color w:val="auto"/>
              </w:rPr>
            </w:pPr>
          </w:p>
        </w:tc>
        <w:tc>
          <w:tcPr>
            <w:tcW w:w="1060" w:type="dxa"/>
            <w:vAlign w:val="bottom"/>
          </w:tcPr>
          <w:p>
            <w:pPr>
              <w:jc w:val="right"/>
              <w:ind w:right="127"/>
              <w:spacing w:after="0"/>
              <w:rPr>
                <w:sz w:val="20"/>
                <w:szCs w:val="20"/>
                <w:color w:val="auto"/>
              </w:rPr>
            </w:pPr>
            <w:r>
              <w:rPr>
                <w:rFonts w:ascii="Arial" w:cs="Arial" w:eastAsia="Arial" w:hAnsi="Arial"/>
                <w:sz w:val="15"/>
                <w:szCs w:val="15"/>
                <w:b w:val="1"/>
                <w:bCs w:val="1"/>
                <w:color w:val="auto"/>
              </w:rPr>
              <w:t>273</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138</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622</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1,406</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50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4,169</w:t>
            </w:r>
          </w:p>
        </w:tc>
        <w:tc>
          <w:tcPr>
            <w:tcW w:w="58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3,522</w:t>
            </w:r>
          </w:p>
        </w:tc>
        <w:tc>
          <w:tcPr>
            <w:tcW w:w="4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12,506</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Identifiable assets for the Company’s education division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w w:val="93"/>
              </w:rPr>
              <w:t>As of</w:t>
            </w: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right"/>
              <w:ind w:right="209"/>
              <w:spacing w:after="0" w:line="114" w:lineRule="exact"/>
              <w:rPr>
                <w:sz w:val="20"/>
                <w:szCs w:val="20"/>
                <w:color w:val="auto"/>
              </w:rPr>
            </w:pPr>
            <w:r>
              <w:rPr>
                <w:rFonts w:ascii="Arial" w:cs="Arial" w:eastAsia="Arial" w:hAnsi="Arial"/>
                <w:sz w:val="12"/>
                <w:szCs w:val="12"/>
                <w:b w:val="1"/>
                <w:bCs w:val="1"/>
                <w:color w:val="auto"/>
              </w:rPr>
              <w:t>September 30,</w:t>
            </w:r>
          </w:p>
        </w:tc>
        <w:tc>
          <w:tcPr>
            <w:tcW w:w="520" w:type="dxa"/>
            <w:vAlign w:val="bottom"/>
          </w:tcPr>
          <w:p>
            <w:pPr>
              <w:spacing w:after="0"/>
              <w:rPr>
                <w:sz w:val="9"/>
                <w:szCs w:val="9"/>
                <w:color w:val="auto"/>
              </w:rPr>
            </w:pPr>
          </w:p>
        </w:tc>
        <w:tc>
          <w:tcPr>
            <w:tcW w:w="740" w:type="dxa"/>
            <w:vAlign w:val="bottom"/>
            <w:gridSpan w:val="2"/>
          </w:tcPr>
          <w:p>
            <w:pPr>
              <w:jc w:val="right"/>
              <w:spacing w:after="0" w:line="114" w:lineRule="exact"/>
              <w:rPr>
                <w:sz w:val="20"/>
                <w:szCs w:val="20"/>
                <w:color w:val="auto"/>
              </w:rPr>
            </w:pPr>
            <w:r>
              <w:rPr>
                <w:rFonts w:ascii="Arial" w:cs="Arial" w:eastAsia="Arial" w:hAnsi="Arial"/>
                <w:sz w:val="12"/>
                <w:szCs w:val="12"/>
                <w:color w:val="auto"/>
              </w:rPr>
              <w:t>December 3</w:t>
            </w: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color w:val="auto"/>
              </w:rPr>
              <w:t>2012</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820" w:type="dxa"/>
            <w:vAlign w:val="bottom"/>
          </w:tcPr>
          <w:p>
            <w:pPr>
              <w:spacing w:after="0" w:line="168" w:lineRule="exact"/>
              <w:rPr>
                <w:sz w:val="20"/>
                <w:szCs w:val="20"/>
                <w:color w:val="auto"/>
              </w:rPr>
            </w:pPr>
            <w:r>
              <w:rPr>
                <w:rFonts w:ascii="Arial" w:cs="Arial" w:eastAsia="Arial" w:hAnsi="Arial"/>
                <w:sz w:val="15"/>
                <w:szCs w:val="15"/>
                <w:color w:val="auto"/>
              </w:rPr>
              <w:t>Identifiable assets</w:t>
            </w:r>
          </w:p>
        </w:tc>
        <w:tc>
          <w:tcPr>
            <w:tcW w:w="4660" w:type="dxa"/>
            <w:vAlign w:val="bottom"/>
            <w:gridSpan w:val="2"/>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643,342</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466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520" w:type="dxa"/>
            <w:vAlign w:val="bottom"/>
          </w:tcPr>
          <w:p>
            <w:pPr>
              <w:jc w:val="right"/>
              <w:ind w:right="30"/>
              <w:spacing w:after="0" w:line="156"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182,450</w:t>
            </w:r>
          </w:p>
        </w:tc>
        <w:tc>
          <w:tcPr>
            <w:tcW w:w="5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878,123</w:t>
            </w:r>
          </w:p>
        </w:tc>
        <w:tc>
          <w:tcPr>
            <w:tcW w:w="5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382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35,386</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1,739,301</w:t>
            </w:r>
          </w:p>
        </w:tc>
        <w:tc>
          <w:tcPr>
            <w:tcW w:w="520" w:type="dxa"/>
            <w:vAlign w:val="bottom"/>
            <w:tcBorders>
              <w:bottom w:val="single" w:sz="8" w:color="auto"/>
            </w:tcBorders>
          </w:tcPr>
          <w:p>
            <w:pPr>
              <w:jc w:val="right"/>
              <w:ind w:right="30"/>
              <w:spacing w:after="0" w:line="167"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375"/>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20" w:type="dxa"/>
            <w:vAlign w:val="bottom"/>
          </w:tcPr>
          <w:p>
            <w:pPr>
              <w:jc w:val="right"/>
              <w:ind w:right="2361"/>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8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5" w:right="139" w:bottom="1440" w:gutter="0" w:footer="0" w:header="0"/>
        </w:sectPr>
      </w:pPr>
    </w:p>
    <w:bookmarkStart w:id="27" w:name="page28"/>
    <w:bookmarkEnd w:id="27"/>
    <w:p>
      <w:pPr>
        <w:spacing w:after="0"/>
        <w:tabs>
          <w:tab w:leader="none" w:pos="8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This analysis should be read in conjunction with the condensed consolidated financial statements and the notes thereto.</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Company reported income from continuing operations attributable to common shares of $56.0 million ($7.53 per share) for the third quarter of 201 compared to $56.3 million ($7.58 per share) for the third quarter of 2012. Net income attributable to common shares was $30.1 million ($4.05 per shar the third quarter ended September 30, 2013, compared to $93.8 million ($12.64 per share) for the third quarter of last year. Net income includes $25.9 million ($3.48 per share) in losses and $37.5 million ($5.06 per share) in income from discontinued operations for the third quarter of 2013 and 2012, respectively.</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October 1, 2013, the Company completed the sale of most of its newspaper publishing businesses, including The Washington Post. Consequently, Company's income from continuing operations for the third quarter and year-to-date periods excludes these sold businesses, which have been reclass to discontinued operations for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2013:</w:t>
      </w:r>
    </w:p>
    <w:p>
      <w:pPr>
        <w:spacing w:after="0" w:line="140" w:lineRule="exact"/>
        <w:rPr>
          <w:sz w:val="20"/>
          <w:szCs w:val="20"/>
          <w:color w:val="auto"/>
        </w:rPr>
      </w:pPr>
    </w:p>
    <w:p>
      <w:pPr>
        <w:ind w:left="260" w:hanging="115"/>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$4.0 million in severance and restructuring charges at the education division (after-tax impact of $3.1 million, or $0.42 per share); and</w:t>
      </w:r>
    </w:p>
    <w:p>
      <w:pPr>
        <w:spacing w:after="0" w:line="77" w:lineRule="exact"/>
        <w:rPr>
          <w:rFonts w:ascii="Arial" w:cs="Arial" w:eastAsia="Arial" w:hAnsi="Arial"/>
          <w:sz w:val="17"/>
          <w:szCs w:val="17"/>
          <w:color w:val="auto"/>
        </w:rPr>
      </w:pPr>
    </w:p>
    <w:p>
      <w:pPr>
        <w:ind w:left="260" w:hanging="120"/>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$7.9 million in non-operating unrealized foreign currency gains (after-tax impact of $5.0 million, or $0.69 per share).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2012:</w:t>
      </w:r>
    </w:p>
    <w:p>
      <w:pPr>
        <w:spacing w:after="0" w:line="140" w:lineRule="exact"/>
        <w:rPr>
          <w:sz w:val="20"/>
          <w:szCs w:val="20"/>
          <w:color w:val="auto"/>
        </w:rPr>
      </w:pPr>
    </w:p>
    <w:p>
      <w:pPr>
        <w:ind w:left="260" w:hanging="115"/>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$4.3 million in severance and restructuring charges at the education division (after-tax impact of $2.7 million, or $0.37 per share); and</w:t>
      </w:r>
    </w:p>
    <w:p>
      <w:pPr>
        <w:spacing w:after="0" w:line="77" w:lineRule="exact"/>
        <w:rPr>
          <w:rFonts w:ascii="Arial" w:cs="Arial" w:eastAsia="Arial" w:hAnsi="Arial"/>
          <w:sz w:val="17"/>
          <w:szCs w:val="17"/>
          <w:color w:val="auto"/>
        </w:rPr>
      </w:pPr>
    </w:p>
    <w:p>
      <w:pPr>
        <w:ind w:left="260" w:hanging="115"/>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$3.1 million in non-operating unrealized foreign currency gains (after-tax impact of $1.9 million, or $0.26 per share).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for the third quarter of 2013 was $902.5 million, up 3% from $877.6 million in the third quarter of 2012. The Company reported operating inco $81.9 million in the third quarter of 2013, compared to operating income of $93.2 million in the third quarter of 2012. Revenues increased at the cable television division and in other businesses, offset by declines at the television broadcasting and education divisions. Operating results declined at the television broadcasting division and declined very slightly at the cable television division, offset by improved results at the education division.</w:t>
      </w:r>
    </w:p>
    <w:p>
      <w:pPr>
        <w:spacing w:after="0" w:line="170"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For the first nine months of 2013, the Company reported income from continuing operations attributable to common shares of $134.3 million ($18.07 p share), compared to $ 122.1 million ($16.17 per share) for the first nine months of 2012. Net income attributable to common shares was $79.5 million ($10.70 per share) for the first nine months of 2013, compared to $176.7 million ($23.39 per share) for the same period of 2012. Net income includes million ($7.37 per share) in losses and $54.5 million ($7.22 per share) in income from discontinued operations for the first nine months of 2013 and 20 respectively (refer to “Discontinued Operations” discussion below). As a result of the Company’s share repurchases, there were 3% fewer diluted aver shares outstanding in the first nine months of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2013:</w:t>
      </w:r>
    </w:p>
    <w:p>
      <w:pPr>
        <w:spacing w:after="0" w:line="140" w:lineRule="exact"/>
        <w:rPr>
          <w:sz w:val="20"/>
          <w:szCs w:val="20"/>
          <w:color w:val="auto"/>
        </w:rPr>
      </w:pPr>
    </w:p>
    <w:p>
      <w:pPr>
        <w:ind w:left="260" w:hanging="115"/>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$18.3 million in severance and restructuring charges at the education division (after-tax impact of $13.1 million, or $1.79 per share); and</w:t>
      </w:r>
    </w:p>
    <w:p>
      <w:pPr>
        <w:spacing w:after="0" w:line="89" w:lineRule="exact"/>
        <w:rPr>
          <w:rFonts w:ascii="Arial" w:cs="Arial" w:eastAsia="Arial" w:hAnsi="Arial"/>
          <w:sz w:val="17"/>
          <w:szCs w:val="17"/>
          <w:color w:val="auto"/>
        </w:rPr>
      </w:pPr>
    </w:p>
    <w:p>
      <w:pPr>
        <w:ind w:left="260" w:hanging="120"/>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$9.4 million in non-operating unrealized foreign currency losses (after-tax impact of $6.0 million, or $0.83 per share).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2012:</w:t>
      </w:r>
    </w:p>
    <w:p>
      <w:pPr>
        <w:spacing w:after="0" w:line="140" w:lineRule="exact"/>
        <w:rPr>
          <w:sz w:val="20"/>
          <w:szCs w:val="20"/>
          <w:color w:val="auto"/>
        </w:rPr>
      </w:pPr>
    </w:p>
    <w:p>
      <w:pPr>
        <w:ind w:left="260" w:hanging="115"/>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$9.3 million in severance and restructuring charges at the education division (after-tax impact of $5.8 million, or $0.78 per share);</w:t>
      </w:r>
    </w:p>
    <w:p>
      <w:pPr>
        <w:spacing w:after="0" w:line="89" w:lineRule="exact"/>
        <w:rPr>
          <w:rFonts w:ascii="Arial" w:cs="Arial" w:eastAsia="Arial" w:hAnsi="Arial"/>
          <w:sz w:val="17"/>
          <w:szCs w:val="17"/>
          <w:color w:val="auto"/>
        </w:rPr>
      </w:pPr>
    </w:p>
    <w:p>
      <w:pPr>
        <w:ind w:left="260" w:hanging="115"/>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 and</w:t>
      </w:r>
    </w:p>
    <w:p>
      <w:pPr>
        <w:spacing w:after="0" w:line="77" w:lineRule="exact"/>
        <w:rPr>
          <w:rFonts w:ascii="Arial" w:cs="Arial" w:eastAsia="Arial" w:hAnsi="Arial"/>
          <w:sz w:val="17"/>
          <w:szCs w:val="17"/>
          <w:color w:val="auto"/>
        </w:rPr>
      </w:pPr>
    </w:p>
    <w:p>
      <w:pPr>
        <w:ind w:left="260" w:hanging="120"/>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$3.2 million in non-operating unrealized foreign currency gains (after-tax impact of $2.0 million, or $0.27 per share).</w:t>
      </w:r>
    </w:p>
    <w:p>
      <w:pPr>
        <w:spacing w:after="0" w:line="18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17"/>
          <w:szCs w:val="17"/>
          <w:color w:val="auto"/>
        </w:rPr>
        <w:t>Revenue for the first nine months of 2013 was $2,628.9 million, up 3% from $2,559.7 million in the first nine months of 2012. Revenues increased at t cable television division and in other businesses, offset by declines at the television broadcasting and education divisions. The Company reported ope income of $240.0 million for the first nine months of 2013, compared to $202.1 million for the first nine months of 2012. Operating results improved at t education and cable television divisions, offset by a decline at the television broadcasting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6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Education division revenue totaled $546.5 million for the third quarter of 2013, a 1% decline from revenue of $551.7 million for the third quarter of 201 Kaplan reported third quarter 2013 operating income of $17.0 million, compared to $14.7 million in the third quarter of 2012.</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first nine months of 2013, education division revenue totaled $1,622.5 million, a 2% decline from revenue of $1,650.2 million for the same peri 2012. Kaplan reported operating income of $36.7 million for the first nine months of 2013, compared to operating income of $6.5 million for the first nin months of 2012.</w:t>
      </w:r>
    </w:p>
    <w:p>
      <w:pPr>
        <w:spacing w:after="0" w:line="13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response to student demand levels, Kaplan has formulated and implemented restructuring plans at its various businesses, with the objective of establishing lower cost levels in future periods. Across all businesses, restructuring costs totaled $4.0 million and $18.3 million in the third quarter and nine months of 2013, respectively, compared to $4.3 million and $9.3 million in the third quarter and first nine months of 2012, respectively. In conjunct with completing these restructuring plans at Kaplan Higher Education (KHE) and Kaplan International, Kaplan currently plans to incur approximately $ million in additional restructuring costs for the remainder of 2013. Kaplan may also incur additional restructuring charges in 2013 as Kaplan managem continues to evaluate its cost structure.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for the third quarter and the first nine months of 2013 compared to 2012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2"/>
                <w:szCs w:val="12"/>
                <w:b w:val="1"/>
                <w:bCs w:val="1"/>
                <w:color w:val="auto"/>
              </w:rPr>
              <w:t>Three Months Ended September 30,</w:t>
            </w:r>
          </w:p>
        </w:tc>
        <w:tc>
          <w:tcPr>
            <w:tcW w:w="1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326"/>
              <w:spacing w:after="0"/>
              <w:rPr>
                <w:sz w:val="20"/>
                <w:szCs w:val="20"/>
                <w:color w:val="auto"/>
              </w:rPr>
            </w:pPr>
            <w:r>
              <w:rPr>
                <w:rFonts w:ascii="Arial" w:cs="Arial" w:eastAsia="Arial" w:hAnsi="Arial"/>
                <w:sz w:val="12"/>
                <w:szCs w:val="12"/>
                <w:b w:val="1"/>
                <w:bCs w:val="1"/>
                <w:color w:val="auto"/>
              </w:rPr>
              <w:t>Nine Months Ended September 30,</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67"/>
              <w:spacing w:after="0" w:line="129" w:lineRule="exact"/>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6"/>
              <w:spacing w:after="0" w:line="129" w:lineRule="exact"/>
              <w:rPr>
                <w:sz w:val="20"/>
                <w:szCs w:val="20"/>
                <w:color w:val="auto"/>
              </w:rPr>
            </w:pPr>
            <w:r>
              <w:rPr>
                <w:rFonts w:ascii="Arial" w:cs="Arial" w:eastAsia="Arial" w:hAnsi="Arial"/>
                <w:sz w:val="12"/>
                <w:szCs w:val="12"/>
                <w:color w:val="auto"/>
              </w:rPr>
              <w:t>2012</w:t>
            </w:r>
          </w:p>
        </w:tc>
        <w:tc>
          <w:tcPr>
            <w:tcW w:w="1120" w:type="dxa"/>
            <w:vAlign w:val="bottom"/>
            <w:tcBorders>
              <w:bottom w:val="single" w:sz="8" w:color="auto"/>
            </w:tcBorders>
          </w:tcPr>
          <w:p>
            <w:pPr>
              <w:jc w:val="right"/>
              <w:ind w:right="246"/>
              <w:spacing w:after="0" w:line="129" w:lineRule="exact"/>
              <w:rPr>
                <w:sz w:val="20"/>
                <w:szCs w:val="20"/>
                <w:color w:val="auto"/>
              </w:rPr>
            </w:pPr>
            <w:r>
              <w:rPr>
                <w:rFonts w:ascii="Arial" w:cs="Arial" w:eastAsia="Arial" w:hAnsi="Arial"/>
                <w:sz w:val="12"/>
                <w:szCs w:val="12"/>
                <w:color w:val="auto"/>
              </w:rPr>
              <w:t>% Change</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7"/>
              <w:spacing w:after="0" w:line="129" w:lineRule="exact"/>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6"/>
              <w:spacing w:after="0" w:line="129" w:lineRule="exact"/>
              <w:rPr>
                <w:sz w:val="20"/>
                <w:szCs w:val="20"/>
                <w:color w:val="auto"/>
              </w:rPr>
            </w:pPr>
            <w:r>
              <w:rPr>
                <w:rFonts w:ascii="Arial" w:cs="Arial" w:eastAsia="Arial" w:hAnsi="Arial"/>
                <w:sz w:val="12"/>
                <w:szCs w:val="12"/>
                <w:color w:val="auto"/>
              </w:rPr>
              <w:t>2012</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3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22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266,061</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811,013</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273,703</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(3)</w:t>
            </w:r>
          </w:p>
        </w:tc>
        <w:tc>
          <w:tcPr>
            <w:tcW w:w="3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3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872,948</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77,431</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81,151</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(5)</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232,064</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223,767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201,305</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194,158</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574,086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546,862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2,223</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3,809</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(42)</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6,496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10,283</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34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(568)</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(1,162)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546,452</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551,696</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1,622,497</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1,650,155</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34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22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14,719</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42,354</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1,510</w:t>
            </w:r>
          </w:p>
        </w:tc>
        <w:tc>
          <w:tcPr>
            <w:tcW w:w="1120" w:type="dxa"/>
            <w:vAlign w:val="bottom"/>
          </w:tcPr>
          <w:p>
            <w:pPr>
              <w:jc w:val="right"/>
              <w:ind w:right="406"/>
              <w:spacing w:after="0" w:line="156" w:lineRule="exact"/>
              <w:rPr>
                <w:sz w:val="20"/>
                <w:szCs w:val="20"/>
                <w:color w:val="auto"/>
              </w:rPr>
            </w:pPr>
            <w:r>
              <w:rPr>
                <w:rFonts w:ascii="Arial" w:cs="Arial" w:eastAsia="Arial" w:hAnsi="Arial"/>
                <w:sz w:val="15"/>
                <w:szCs w:val="15"/>
                <w:color w:val="auto"/>
              </w:rPr>
              <w:t>―</w:t>
            </w:r>
          </w:p>
        </w:tc>
        <w:tc>
          <w:tcPr>
            <w:tcW w:w="3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3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16,329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3,820</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3,446</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11</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7,306</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(4,067)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12,020</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20,365</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(41)</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24,907</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34,293</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344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220" w:type="dxa"/>
            <w:vAlign w:val="bottom"/>
          </w:tcPr>
          <w:p>
            <w:pPr>
              <w:jc w:val="right"/>
              <w:ind w:right="147"/>
              <w:spacing w:after="0"/>
              <w:rPr>
                <w:sz w:val="20"/>
                <w:szCs w:val="20"/>
                <w:color w:val="auto"/>
              </w:rPr>
            </w:pPr>
            <w:r>
              <w:rPr>
                <w:rFonts w:ascii="Arial" w:cs="Arial" w:eastAsia="Arial" w:hAnsi="Arial"/>
                <w:sz w:val="15"/>
                <w:szCs w:val="15"/>
                <w:b w:val="1"/>
                <w:bCs w:val="1"/>
                <w:color w:val="auto"/>
              </w:rPr>
              <w:t>(13,680)</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(10,852)</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(26)</w:t>
            </w:r>
          </w:p>
        </w:tc>
        <w:tc>
          <w:tcPr>
            <w:tcW w:w="320" w:type="dxa"/>
            <w:vAlign w:val="bottom"/>
          </w:tcPr>
          <w:p>
            <w:pPr>
              <w:spacing w:after="0"/>
              <w:rPr>
                <w:sz w:val="15"/>
                <w:szCs w:val="15"/>
                <w:color w:val="auto"/>
              </w:rPr>
            </w:pPr>
          </w:p>
        </w:tc>
        <w:tc>
          <w:tcPr>
            <w:tcW w:w="1160" w:type="dxa"/>
            <w:vAlign w:val="bottom"/>
          </w:tcPr>
          <w:p>
            <w:pPr>
              <w:jc w:val="right"/>
              <w:ind w:right="87"/>
              <w:spacing w:after="0"/>
              <w:rPr>
                <w:sz w:val="20"/>
                <w:szCs w:val="20"/>
                <w:color w:val="auto"/>
              </w:rPr>
            </w:pPr>
            <w:r>
              <w:rPr>
                <w:rFonts w:ascii="Arial" w:cs="Arial" w:eastAsia="Arial" w:hAnsi="Arial"/>
                <w:sz w:val="15"/>
                <w:szCs w:val="15"/>
                <w:b w:val="1"/>
                <w:bCs w:val="1"/>
                <w:color w:val="auto"/>
              </w:rPr>
              <w:t>(38,243)</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(40,628)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156</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c>
          <w:tcPr>
            <w:tcW w:w="1120" w:type="dxa"/>
            <w:vAlign w:val="bottom"/>
          </w:tcPr>
          <w:p>
            <w:pPr>
              <w:jc w:val="right"/>
              <w:ind w:right="40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381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17,035</w:t>
            </w:r>
          </w:p>
        </w:tc>
        <w:tc>
          <w:tcPr>
            <w:tcW w:w="4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14,693</w:t>
            </w:r>
          </w:p>
        </w:tc>
        <w:tc>
          <w:tcPr>
            <w:tcW w:w="1120" w:type="dxa"/>
            <w:vAlign w:val="bottom"/>
          </w:tcPr>
          <w:p>
            <w:pPr>
              <w:jc w:val="right"/>
              <w:ind w:right="406"/>
              <w:spacing w:after="0" w:line="167" w:lineRule="exact"/>
              <w:rPr>
                <w:sz w:val="20"/>
                <w:szCs w:val="20"/>
                <w:color w:val="auto"/>
              </w:rPr>
            </w:pPr>
            <w:r>
              <w:rPr>
                <w:rFonts w:ascii="Arial" w:cs="Arial" w:eastAsia="Arial" w:hAnsi="Arial"/>
                <w:sz w:val="15"/>
                <w:szCs w:val="15"/>
                <w:color w:val="auto"/>
              </w:rPr>
              <w:t>16</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36,705</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6,506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KHE includes Kaplan’s domestic postsecondary education businesses, made up of fixed-facility colleges and online postsecondary and career progra KHE also includes the domestic professional training and other continuing education businesses.</w:t>
      </w:r>
    </w:p>
    <w:p>
      <w:pPr>
        <w:spacing w:after="0" w:line="13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2012, KHE began implementing plans to close or merge 13 ground campuses, consolidate other facilities and reduce its workforce. In connection w these and other plans, KHE incurred $2.5 million and $ 14.1 million in total restructuring costs in the third quarter and first nine months of 2013, respec compared to $2.7 million and $6.5 million in severance and restructuring costs for the third quarter and first nine months of 2012, respectively. For the quarter of 2013, these costs included accelerated depreciation ($0.8 million), severance ($1.6 million) and lease obligation losses ($0.1 million). For th nine months of 2013, these costs included accelerated depreciation ($5.8 million), severance ($3.0 million), lease obligation losses ($4.4 million) and o items ($0.9 million). In the first nine months of 2013, ten KHE campuses were closed. For the third quarter and first nine months of 2012, restructuring were mostly severance, but also included $0.6 million in accelerated depreciation.</w:t>
      </w:r>
    </w:p>
    <w:p>
      <w:pPr>
        <w:spacing w:after="0" w:line="141" w:lineRule="exact"/>
        <w:rPr>
          <w:sz w:val="20"/>
          <w:szCs w:val="20"/>
          <w:color w:val="auto"/>
        </w:rPr>
      </w:pPr>
    </w:p>
    <w:p>
      <w:pPr>
        <w:ind w:right="400"/>
        <w:spacing w:after="0" w:line="235" w:lineRule="auto"/>
        <w:rPr>
          <w:sz w:val="20"/>
          <w:szCs w:val="20"/>
          <w:color w:val="auto"/>
        </w:rPr>
      </w:pPr>
      <w:r>
        <w:rPr>
          <w:rFonts w:ascii="Arial" w:cs="Arial" w:eastAsia="Arial" w:hAnsi="Arial"/>
          <w:sz w:val="17"/>
          <w:szCs w:val="17"/>
          <w:color w:val="auto"/>
        </w:rPr>
        <w:t>In the third quarter and first nine months of 2013, higher education revenue declined 3% and 7%, respectively, due largely to declines in average enrollments that reflect weaker market demand over the past year and the impact of campuses in the process of closing.</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9" w:name="page30"/>
    <w:bookmarkEnd w:id="29"/>
    <w:p>
      <w:pPr>
        <w:jc w:val="both"/>
        <w:ind w:right="20"/>
        <w:spacing w:after="0" w:line="235" w:lineRule="auto"/>
        <w:rPr>
          <w:sz w:val="20"/>
          <w:szCs w:val="20"/>
          <w:color w:val="auto"/>
        </w:rPr>
      </w:pPr>
      <w:r>
        <w:rPr>
          <w:rFonts w:ascii="Arial" w:cs="Arial" w:eastAsia="Arial" w:hAnsi="Arial"/>
          <w:sz w:val="17"/>
          <w:szCs w:val="17"/>
          <w:color w:val="auto"/>
        </w:rPr>
        <w:t>KHE operating income increased significantly in the third quarter and first nine months of 2013, due largely to expense reductions associated with low enrollments and recent restructuring efforts.</w:t>
      </w:r>
    </w:p>
    <w:p>
      <w:pPr>
        <w:spacing w:after="0" w:line="176"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New student enrollments at KHE declined 7% and 1% in the third quarter and first nine months of 2013, respectively. New student enrollments were d due to the impact of closed campuses and those planned for closure that are no longer recruiting students, offset by the positive impact of trial period modifications and process improvements.</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Total students at September 30, 2013, were down 11% compared to September 30, 2012, but increased 5% compared to June 30, 2013. Excluding campuses closed or planned for closure, total students at September 30, 2013, were down 7% compared to September 30, 2012, but up 5% compare June 30, 2013. A summary of student enrollments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Students as of</w:t>
            </w:r>
          </w:p>
        </w:tc>
        <w:tc>
          <w:tcPr>
            <w:tcW w:w="800" w:type="dxa"/>
            <w:vAlign w:val="bottom"/>
            <w:tcBorders>
              <w:bottom w:val="single" w:sz="8" w:color="auto"/>
            </w:tcBorders>
          </w:tcPr>
          <w:p>
            <w:pPr>
              <w:spacing w:after="0"/>
              <w:rPr>
                <w:sz w:val="12"/>
                <w:szCs w:val="12"/>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September 30,</w:t>
            </w:r>
          </w:p>
        </w:tc>
        <w:tc>
          <w:tcPr>
            <w:tcW w:w="1480" w:type="dxa"/>
            <w:vAlign w:val="bottom"/>
          </w:tcPr>
          <w:p>
            <w:pPr>
              <w:jc w:val="center"/>
              <w:ind w:right="92"/>
              <w:spacing w:after="0" w:line="114" w:lineRule="exact"/>
              <w:rPr>
                <w:sz w:val="20"/>
                <w:szCs w:val="20"/>
                <w:color w:val="auto"/>
              </w:rPr>
            </w:pPr>
            <w:r>
              <w:rPr>
                <w:rFonts w:ascii="Arial" w:cs="Arial" w:eastAsia="Arial" w:hAnsi="Arial"/>
                <w:sz w:val="12"/>
                <w:szCs w:val="12"/>
                <w:color w:val="auto"/>
              </w:rPr>
              <w:t>June 30,</w:t>
            </w:r>
          </w:p>
        </w:tc>
        <w:tc>
          <w:tcPr>
            <w:tcW w:w="800" w:type="dxa"/>
            <w:vAlign w:val="bottom"/>
          </w:tcPr>
          <w:p>
            <w:pPr>
              <w:jc w:val="right"/>
              <w:spacing w:after="0" w:line="114" w:lineRule="exact"/>
              <w:rPr>
                <w:sz w:val="20"/>
                <w:szCs w:val="20"/>
                <w:color w:val="auto"/>
              </w:rPr>
            </w:pPr>
            <w:r>
              <w:rPr>
                <w:rFonts w:ascii="Arial" w:cs="Arial" w:eastAsia="Arial" w:hAnsi="Arial"/>
                <w:sz w:val="12"/>
                <w:szCs w:val="12"/>
                <w:color w:val="auto"/>
              </w:rPr>
              <w:t>Septembe</w:t>
            </w:r>
          </w:p>
        </w:tc>
      </w:tr>
      <w:tr>
        <w:trPr>
          <w:trHeight w:val="151"/>
        </w:trPr>
        <w:tc>
          <w:tcPr>
            <w:tcW w:w="7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48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color w:val="auto"/>
              </w:rPr>
              <w:t>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46,340</w:t>
            </w:r>
          </w:p>
        </w:tc>
        <w:tc>
          <w:tcPr>
            <w:tcW w:w="1480" w:type="dxa"/>
            <w:vAlign w:val="bottom"/>
          </w:tcPr>
          <w:p>
            <w:pPr>
              <w:jc w:val="right"/>
              <w:ind w:right="172"/>
              <w:spacing w:after="0" w:line="150" w:lineRule="exact"/>
              <w:rPr>
                <w:sz w:val="20"/>
                <w:szCs w:val="20"/>
                <w:color w:val="auto"/>
              </w:rPr>
            </w:pPr>
            <w:r>
              <w:rPr>
                <w:rFonts w:ascii="Arial" w:cs="Arial" w:eastAsia="Arial" w:hAnsi="Arial"/>
                <w:sz w:val="15"/>
                <w:szCs w:val="15"/>
                <w:color w:val="auto"/>
              </w:rPr>
              <w:t>43,601</w:t>
            </w:r>
          </w:p>
        </w:tc>
        <w:tc>
          <w:tcPr>
            <w:tcW w:w="80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Other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18,818</w:t>
            </w: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color w:val="auto"/>
              </w:rPr>
              <w:t>18,591</w:t>
            </w:r>
          </w:p>
        </w:tc>
        <w:tc>
          <w:tcPr>
            <w:tcW w:w="80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65,158</w:t>
            </w:r>
          </w:p>
        </w:tc>
        <w:tc>
          <w:tcPr>
            <w:tcW w:w="1480" w:type="dxa"/>
            <w:vAlign w:val="bottom"/>
            <w:tcBorders>
              <w:bottom w:val="single" w:sz="8" w:color="auto"/>
            </w:tcBorders>
          </w:tcPr>
          <w:p>
            <w:pPr>
              <w:jc w:val="right"/>
              <w:ind w:right="172"/>
              <w:spacing w:after="0" w:line="167" w:lineRule="exact"/>
              <w:rPr>
                <w:sz w:val="20"/>
                <w:szCs w:val="20"/>
                <w:color w:val="auto"/>
              </w:rPr>
            </w:pPr>
            <w:r>
              <w:rPr>
                <w:rFonts w:ascii="Arial" w:cs="Arial" w:eastAsia="Arial" w:hAnsi="Arial"/>
                <w:sz w:val="15"/>
                <w:szCs w:val="15"/>
                <w:color w:val="auto"/>
              </w:rPr>
              <w:t>62,192</w:t>
            </w:r>
          </w:p>
        </w:tc>
        <w:tc>
          <w:tcPr>
            <w:tcW w:w="80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37"/>
        </w:trPr>
        <w:tc>
          <w:tcPr>
            <w:tcW w:w="72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Students as of</w:t>
            </w:r>
          </w:p>
        </w:tc>
        <w:tc>
          <w:tcPr>
            <w:tcW w:w="800" w:type="dxa"/>
            <w:vAlign w:val="bottom"/>
            <w:tcBorders>
              <w:bottom w:val="single" w:sz="8" w:color="auto"/>
            </w:tcBorders>
          </w:tcPr>
          <w:p>
            <w:pPr>
              <w:spacing w:after="0"/>
              <w:rPr>
                <w:sz w:val="24"/>
                <w:szCs w:val="24"/>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center"/>
              <w:ind w:right="131"/>
              <w:spacing w:after="0" w:line="114" w:lineRule="exact"/>
              <w:rPr>
                <w:sz w:val="20"/>
                <w:szCs w:val="20"/>
                <w:color w:val="auto"/>
              </w:rPr>
            </w:pPr>
            <w:r>
              <w:rPr>
                <w:rFonts w:ascii="Arial" w:cs="Arial" w:eastAsia="Arial" w:hAnsi="Arial"/>
                <w:sz w:val="12"/>
                <w:szCs w:val="12"/>
                <w:b w:val="1"/>
                <w:bCs w:val="1"/>
                <w:color w:val="auto"/>
              </w:rPr>
              <w:t>September 30,</w:t>
            </w:r>
          </w:p>
        </w:tc>
        <w:tc>
          <w:tcPr>
            <w:tcW w:w="1480" w:type="dxa"/>
            <w:vAlign w:val="bottom"/>
          </w:tcPr>
          <w:p>
            <w:pPr>
              <w:jc w:val="center"/>
              <w:ind w:right="92"/>
              <w:spacing w:after="0" w:line="114" w:lineRule="exact"/>
              <w:rPr>
                <w:sz w:val="20"/>
                <w:szCs w:val="20"/>
                <w:color w:val="auto"/>
              </w:rPr>
            </w:pPr>
            <w:r>
              <w:rPr>
                <w:rFonts w:ascii="Arial" w:cs="Arial" w:eastAsia="Arial" w:hAnsi="Arial"/>
                <w:sz w:val="12"/>
                <w:szCs w:val="12"/>
                <w:color w:val="auto"/>
              </w:rPr>
              <w:t>June 30,</w:t>
            </w:r>
          </w:p>
        </w:tc>
        <w:tc>
          <w:tcPr>
            <w:tcW w:w="800" w:type="dxa"/>
            <w:vAlign w:val="bottom"/>
          </w:tcPr>
          <w:p>
            <w:pPr>
              <w:jc w:val="right"/>
              <w:spacing w:after="0" w:line="114" w:lineRule="exact"/>
              <w:rPr>
                <w:sz w:val="20"/>
                <w:szCs w:val="20"/>
                <w:color w:val="auto"/>
              </w:rPr>
            </w:pPr>
            <w:r>
              <w:rPr>
                <w:rFonts w:ascii="Arial" w:cs="Arial" w:eastAsia="Arial" w:hAnsi="Arial"/>
                <w:sz w:val="12"/>
                <w:szCs w:val="12"/>
                <w:color w:val="auto"/>
              </w:rPr>
              <w:t>Septembe</w:t>
            </w:r>
          </w:p>
        </w:tc>
      </w:tr>
      <w:tr>
        <w:trPr>
          <w:trHeight w:val="151"/>
        </w:trPr>
        <w:tc>
          <w:tcPr>
            <w:tcW w:w="7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(excluding campuses closing)</w:t>
            </w:r>
          </w:p>
        </w:tc>
        <w:tc>
          <w:tcPr>
            <w:tcW w:w="14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rPr>
              <w:t>2013</w:t>
            </w:r>
          </w:p>
        </w:tc>
        <w:tc>
          <w:tcPr>
            <w:tcW w:w="148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color w:val="auto"/>
              </w:rPr>
              <w:t>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2012</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46,340</w:t>
            </w:r>
          </w:p>
        </w:tc>
        <w:tc>
          <w:tcPr>
            <w:tcW w:w="1480" w:type="dxa"/>
            <w:vAlign w:val="bottom"/>
          </w:tcPr>
          <w:p>
            <w:pPr>
              <w:jc w:val="right"/>
              <w:ind w:right="172"/>
              <w:spacing w:after="0" w:line="150" w:lineRule="exact"/>
              <w:rPr>
                <w:sz w:val="20"/>
                <w:szCs w:val="20"/>
                <w:color w:val="auto"/>
              </w:rPr>
            </w:pPr>
            <w:r>
              <w:rPr>
                <w:rFonts w:ascii="Arial" w:cs="Arial" w:eastAsia="Arial" w:hAnsi="Arial"/>
                <w:sz w:val="15"/>
                <w:szCs w:val="15"/>
                <w:color w:val="auto"/>
              </w:rPr>
              <w:t>43,601</w:t>
            </w:r>
          </w:p>
        </w:tc>
        <w:tc>
          <w:tcPr>
            <w:tcW w:w="80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Other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18,619</w:t>
            </w: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color w:val="auto"/>
              </w:rPr>
              <w:t>18,181</w:t>
            </w:r>
          </w:p>
        </w:tc>
        <w:tc>
          <w:tcPr>
            <w:tcW w:w="80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64,959</w:t>
            </w:r>
          </w:p>
        </w:tc>
        <w:tc>
          <w:tcPr>
            <w:tcW w:w="1480" w:type="dxa"/>
            <w:vAlign w:val="bottom"/>
            <w:tcBorders>
              <w:bottom w:val="single" w:sz="8" w:color="auto"/>
            </w:tcBorders>
          </w:tcPr>
          <w:p>
            <w:pPr>
              <w:jc w:val="right"/>
              <w:ind w:right="172"/>
              <w:spacing w:after="0" w:line="167" w:lineRule="exact"/>
              <w:rPr>
                <w:sz w:val="20"/>
                <w:szCs w:val="20"/>
                <w:color w:val="auto"/>
              </w:rPr>
            </w:pPr>
            <w:r>
              <w:rPr>
                <w:rFonts w:ascii="Arial" w:cs="Arial" w:eastAsia="Arial" w:hAnsi="Arial"/>
                <w:sz w:val="15"/>
                <w:szCs w:val="15"/>
                <w:color w:val="auto"/>
              </w:rPr>
              <w:t>61,782</w:t>
            </w:r>
          </w:p>
        </w:tc>
        <w:tc>
          <w:tcPr>
            <w:tcW w:w="80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Other Campuses’ enrollments at September 30, 2013 and 2012, by degree and certificate programs, are as follows:</w:t>
      </w:r>
    </w:p>
    <w:tbl>
      <w:tblPr>
        <w:tblLayout w:type="fixed"/>
        <w:tblInd w:w="0" w:type="dxa"/>
        <w:tblCellMar>
          <w:top w:w="0" w:type="dxa"/>
          <w:left w:w="0" w:type="dxa"/>
          <w:bottom w:w="0" w:type="dxa"/>
          <w:right w:w="0" w:type="dxa"/>
        </w:tblCellMar>
      </w:tblPr>
      <w:tr>
        <w:trPr>
          <w:trHeight w:val="137"/>
        </w:trPr>
        <w:tc>
          <w:tcPr>
            <w:tcW w:w="8460" w:type="dxa"/>
            <w:vAlign w:val="bottom"/>
          </w:tcPr>
          <w:p>
            <w:pPr>
              <w:spacing w:after="0"/>
              <w:rPr>
                <w:sz w:val="11"/>
                <w:szCs w:val="11"/>
                <w:color w:val="auto"/>
              </w:rPr>
            </w:pPr>
          </w:p>
        </w:tc>
        <w:tc>
          <w:tcPr>
            <w:tcW w:w="216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As of September 30,</w:t>
            </w:r>
          </w:p>
        </w:tc>
        <w:tc>
          <w:tcPr>
            <w:tcW w:w="320" w:type="dxa"/>
            <w:vAlign w:val="bottom"/>
            <w:tcBorders>
              <w:bottom w:val="single" w:sz="8" w:color="auto"/>
            </w:tcBorders>
          </w:tcPr>
          <w:p>
            <w:pPr>
              <w:spacing w:after="0"/>
              <w:rPr>
                <w:sz w:val="11"/>
                <w:szCs w:val="11"/>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jc w:val="right"/>
              <w:ind w:right="1329"/>
              <w:spacing w:after="0" w:line="129" w:lineRule="exact"/>
              <w:rPr>
                <w:sz w:val="20"/>
                <w:szCs w:val="20"/>
                <w:color w:val="auto"/>
              </w:rPr>
            </w:pPr>
            <w:r>
              <w:rPr>
                <w:rFonts w:ascii="Arial" w:cs="Arial" w:eastAsia="Arial" w:hAnsi="Arial"/>
                <w:sz w:val="12"/>
                <w:szCs w:val="12"/>
                <w:b w:val="1"/>
                <w:bCs w:val="1"/>
                <w:color w:val="auto"/>
              </w:rPr>
              <w:t>2013</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160" w:type="dxa"/>
            <w:vAlign w:val="bottom"/>
          </w:tcPr>
          <w:p>
            <w:pPr>
              <w:jc w:val="right"/>
              <w:ind w:right="929"/>
              <w:spacing w:after="0" w:line="150" w:lineRule="exact"/>
              <w:rPr>
                <w:sz w:val="20"/>
                <w:szCs w:val="20"/>
                <w:color w:val="auto"/>
              </w:rPr>
            </w:pPr>
            <w:r>
              <w:rPr>
                <w:rFonts w:ascii="Arial" w:cs="Arial" w:eastAsia="Arial" w:hAnsi="Arial"/>
                <w:sz w:val="15"/>
                <w:szCs w:val="15"/>
                <w:b w:val="1"/>
                <w:bCs w:val="1"/>
                <w:color w:val="auto"/>
              </w:rPr>
              <w:t>21.3 %</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160" w:type="dxa"/>
            <w:vAlign w:val="bottom"/>
          </w:tcPr>
          <w:p>
            <w:pPr>
              <w:jc w:val="right"/>
              <w:ind w:right="929"/>
              <w:spacing w:after="0"/>
              <w:rPr>
                <w:sz w:val="20"/>
                <w:szCs w:val="20"/>
                <w:color w:val="auto"/>
              </w:rPr>
            </w:pPr>
            <w:r>
              <w:rPr>
                <w:rFonts w:ascii="Arial" w:cs="Arial" w:eastAsia="Arial" w:hAnsi="Arial"/>
                <w:sz w:val="15"/>
                <w:szCs w:val="15"/>
                <w:b w:val="1"/>
                <w:bCs w:val="1"/>
                <w:color w:val="auto"/>
              </w:rPr>
              <w:t>30.8 %</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160" w:type="dxa"/>
            <w:vAlign w:val="bottom"/>
          </w:tcPr>
          <w:p>
            <w:pPr>
              <w:jc w:val="right"/>
              <w:ind w:right="929"/>
              <w:spacing w:after="0"/>
              <w:rPr>
                <w:sz w:val="20"/>
                <w:szCs w:val="20"/>
                <w:color w:val="auto"/>
              </w:rPr>
            </w:pPr>
            <w:r>
              <w:rPr>
                <w:rFonts w:ascii="Arial" w:cs="Arial" w:eastAsia="Arial" w:hAnsi="Arial"/>
                <w:sz w:val="15"/>
                <w:szCs w:val="15"/>
                <w:b w:val="1"/>
                <w:bCs w:val="1"/>
                <w:color w:val="auto"/>
              </w:rPr>
              <w:t>32.6 %</w:t>
            </w: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160" w:type="dxa"/>
            <w:vAlign w:val="bottom"/>
            <w:tcBorders>
              <w:bottom w:val="single" w:sz="8" w:color="auto"/>
            </w:tcBorders>
          </w:tcPr>
          <w:p>
            <w:pPr>
              <w:jc w:val="right"/>
              <w:ind w:right="929"/>
              <w:spacing w:after="0"/>
              <w:rPr>
                <w:sz w:val="20"/>
                <w:szCs w:val="20"/>
                <w:color w:val="auto"/>
              </w:rPr>
            </w:pPr>
            <w:r>
              <w:rPr>
                <w:rFonts w:ascii="Arial" w:cs="Arial" w:eastAsia="Arial" w:hAnsi="Arial"/>
                <w:sz w:val="15"/>
                <w:szCs w:val="15"/>
                <w:b w:val="1"/>
                <w:bCs w:val="1"/>
                <w:color w:val="auto"/>
              </w:rPr>
              <w:t>15.3 %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160" w:type="dxa"/>
            <w:vAlign w:val="bottom"/>
            <w:tcBorders>
              <w:bottom w:val="single" w:sz="8" w:color="auto"/>
            </w:tcBorders>
          </w:tcPr>
          <w:p>
            <w:pPr>
              <w:jc w:val="right"/>
              <w:ind w:right="929"/>
              <w:spacing w:after="0" w:line="167" w:lineRule="exact"/>
              <w:rPr>
                <w:sz w:val="20"/>
                <w:szCs w:val="20"/>
                <w:color w:val="auto"/>
              </w:rPr>
            </w:pPr>
            <w:r>
              <w:rPr>
                <w:rFonts w:ascii="Arial" w:cs="Arial" w:eastAsia="Arial" w:hAnsi="Arial"/>
                <w:sz w:val="15"/>
                <w:szCs w:val="15"/>
                <w:b w:val="1"/>
                <w:bCs w:val="1"/>
                <w:color w:val="auto"/>
              </w:rPr>
              <w:t>100.0 %</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Test Preparation (KTP) includes Kaplan’s standardized test preparation programs. KTP revenue declined 5% for the third quarter of 2013, but increased 4% for the first nine months of 2013. Enrollment declined 8% and 2% for the third quarter and first nine months of 2013, respectively, due to declines in graduate programs, offset by growth in nursing and bar review programs. KTP operating results improved in the first nine months of 2013 d largely to increased revenues.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 Kaplan International revenue increased 4% and 5% in the third quarter and first nine months of 2013, respectively, due to enrollment growth in the pathways, English-language and Singapore higher education programs. Kaplan International operating income declined in the third quarter of 2013 du reduced earnings in professional training, and increased investment to support growth in English-language and Singapore higher education programs. the first nine months of 2013, operating income declined due to reduced earnings in professional training, and increased investment to support growth English-language programs, offset by better results in Singapore. The results in Australia included restructuring costs of $1.5 million and $4.1 million f third quarter and first nine months of 2013, respectively, compared to $1.0 million in the third quarter and first nine months of 2012. In the third quarter first nine months of 2012, respectively, Kaplan International results benefited from a $2.0 million and $3.9 million favorable adjustment to certain items recorded in prior periods.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other minor businesses and certain shared activities.</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Cable television division revenue increased 1% in the third quarter of 2013 to $202.4 million, from $199.6 million for the third quarter of 2012; for the fi nine months of 2013, revenue increased 4% to $607.1 million, from $ 585.4 million in the same period of 2012. The revenue increase for the first nine months of 2013 is due to recent rate increases for many subscribers, growth in commercial sales and a reduction in promotional discounts. The increa was partially offset by a decline in basic video subscribers, as the cable division focuses its efforts on churn reduction and retention of its high-value subscribers.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Cable television division operating income declined slightly in the third quarter of 2013 to $39.7 million, from $39.9 million in the third quarter of 2012; f first nine months of 2013, operating income increased 9% to $121.0 million, from $111.1 million for the first nine months of 2012. The division’s operat income improved in the first nine months of 2013 due to increased revenues, partially offset by higher programming and depreciation costs.</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At September 30, 2013, Primary Service Units (PSUs) were down 3% from the prior year due to a decline in basic video subscribers. PSUs include ab 6,400 subscribers who receive free basic cable service, primarily local governments, schools and other organizations as required by various franchise agreements. A summary of PSUs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As of September 30,</w:t>
            </w:r>
          </w:p>
        </w:tc>
        <w:tc>
          <w:tcPr>
            <w:tcW w:w="0" w:type="dxa"/>
            <w:vAlign w:val="bottom"/>
          </w:tcPr>
          <w:p>
            <w:pPr>
              <w:spacing w:after="0"/>
              <w:rPr>
                <w:sz w:val="1"/>
                <w:szCs w:val="1"/>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29"/>
              <w:spacing w:after="0" w:line="129" w:lineRule="exact"/>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561,119</w:t>
            </w:r>
          </w:p>
        </w:tc>
        <w:tc>
          <w:tcPr>
            <w:tcW w:w="520" w:type="dxa"/>
            <w:vAlign w:val="bottom"/>
          </w:tcPr>
          <w:p>
            <w:pPr>
              <w:spacing w:after="0"/>
              <w:rPr>
                <w:sz w:val="13"/>
                <w:szCs w:val="13"/>
                <w:color w:val="auto"/>
              </w:rPr>
            </w:pPr>
          </w:p>
        </w:tc>
        <w:tc>
          <w:tcPr>
            <w:tcW w:w="38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High-speed data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5"/>
                <w:szCs w:val="15"/>
                <w:b w:val="1"/>
                <w:bCs w:val="1"/>
                <w:color w:val="auto"/>
              </w:rPr>
              <w:t>469,296</w:t>
            </w:r>
          </w:p>
        </w:tc>
        <w:tc>
          <w:tcPr>
            <w:tcW w:w="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Telephony</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182,643</w:t>
            </w:r>
          </w:p>
        </w:tc>
        <w:tc>
          <w:tcPr>
            <w:tcW w:w="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6"/>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1,213,058</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7"/>
                <w:szCs w:val="17"/>
                <w:color w:val="auto"/>
              </w:rPr>
              <w:t>Below are details of Cable division capital expenditures as defined by the NCTA Standard Reporting Categories:</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2"/>
                <w:szCs w:val="12"/>
                <w:b w:val="1"/>
                <w:bCs w:val="1"/>
                <w:color w:val="auto"/>
              </w:rPr>
              <w:t>Nine Months Ended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09"/>
              <w:spacing w:after="0" w:line="129" w:lineRule="exact"/>
              <w:rPr>
                <w:sz w:val="20"/>
                <w:szCs w:val="20"/>
                <w:color w:val="auto"/>
              </w:rPr>
            </w:pPr>
            <w:r>
              <w:rPr>
                <w:rFonts w:ascii="Arial" w:cs="Arial" w:eastAsia="Arial" w:hAnsi="Arial"/>
                <w:sz w:val="12"/>
                <w:szCs w:val="12"/>
                <w:b w:val="1"/>
                <w:bCs w:val="1"/>
                <w:color w:val="auto"/>
              </w:rPr>
              <w:t>2013</w:t>
            </w: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9"/>
              <w:spacing w:after="0" w:line="129"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Customer Premise Equipment</w:t>
            </w:r>
          </w:p>
        </w:tc>
        <w:tc>
          <w:tcPr>
            <w:tcW w:w="380" w:type="dxa"/>
            <w:vAlign w:val="bottom"/>
            <w:gridSpan w:val="2"/>
          </w:tcPr>
          <w:p>
            <w:pPr>
              <w:jc w:val="right"/>
              <w:ind w:right="140"/>
              <w:spacing w:after="0" w:line="150" w:lineRule="exact"/>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169"/>
              <w:spacing w:after="0" w:line="150" w:lineRule="exact"/>
              <w:rPr>
                <w:sz w:val="20"/>
                <w:szCs w:val="20"/>
                <w:color w:val="auto"/>
              </w:rPr>
            </w:pPr>
            <w:r>
              <w:rPr>
                <w:rFonts w:ascii="Arial" w:cs="Arial" w:eastAsia="Arial" w:hAnsi="Arial"/>
                <w:sz w:val="15"/>
                <w:szCs w:val="15"/>
                <w:b w:val="1"/>
                <w:bCs w:val="1"/>
                <w:color w:val="auto"/>
              </w:rPr>
              <w:t>26,496</w:t>
            </w:r>
          </w:p>
        </w:tc>
        <w:tc>
          <w:tcPr>
            <w:tcW w:w="520" w:type="dxa"/>
            <w:vAlign w:val="bottom"/>
          </w:tcPr>
          <w:p>
            <w:pPr>
              <w:jc w:val="right"/>
              <w:ind w:right="206"/>
              <w:spacing w:after="0" w:line="150"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Commercial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69"/>
              <w:spacing w:after="0"/>
              <w:rPr>
                <w:sz w:val="20"/>
                <w:szCs w:val="20"/>
                <w:color w:val="auto"/>
              </w:rPr>
            </w:pPr>
            <w:r>
              <w:rPr>
                <w:rFonts w:ascii="Arial" w:cs="Arial" w:eastAsia="Arial" w:hAnsi="Arial"/>
                <w:sz w:val="15"/>
                <w:szCs w:val="15"/>
                <w:b w:val="1"/>
                <w:bCs w:val="1"/>
                <w:color w:val="auto"/>
              </w:rPr>
              <w:t>3,613</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69"/>
              <w:spacing w:after="0"/>
              <w:rPr>
                <w:sz w:val="20"/>
                <w:szCs w:val="20"/>
                <w:color w:val="auto"/>
              </w:rPr>
            </w:pPr>
            <w:r>
              <w:rPr>
                <w:rFonts w:ascii="Arial" w:cs="Arial" w:eastAsia="Arial" w:hAnsi="Arial"/>
                <w:sz w:val="15"/>
                <w:szCs w:val="15"/>
                <w:b w:val="1"/>
                <w:bCs w:val="1"/>
                <w:color w:val="auto"/>
              </w:rPr>
              <w:t>13,062</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Line Extensions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69"/>
              <w:spacing w:after="0"/>
              <w:rPr>
                <w:sz w:val="20"/>
                <w:szCs w:val="20"/>
                <w:color w:val="auto"/>
              </w:rPr>
            </w:pPr>
            <w:r>
              <w:rPr>
                <w:rFonts w:ascii="Arial" w:cs="Arial" w:eastAsia="Arial" w:hAnsi="Arial"/>
                <w:sz w:val="15"/>
                <w:szCs w:val="15"/>
                <w:b w:val="1"/>
                <w:bCs w:val="1"/>
                <w:color w:val="auto"/>
              </w:rPr>
              <w:t>4,248</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Upgrade/Rebuild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69"/>
              <w:spacing w:after="0"/>
              <w:rPr>
                <w:sz w:val="20"/>
                <w:szCs w:val="20"/>
                <w:color w:val="auto"/>
              </w:rPr>
            </w:pPr>
            <w:r>
              <w:rPr>
                <w:rFonts w:ascii="Arial" w:cs="Arial" w:eastAsia="Arial" w:hAnsi="Arial"/>
                <w:sz w:val="15"/>
                <w:szCs w:val="15"/>
                <w:b w:val="1"/>
                <w:bCs w:val="1"/>
                <w:color w:val="auto"/>
              </w:rPr>
              <w:t>23,014</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Support Capital</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9"/>
              <w:spacing w:after="0"/>
              <w:rPr>
                <w:sz w:val="20"/>
                <w:szCs w:val="20"/>
                <w:color w:val="auto"/>
              </w:rPr>
            </w:pPr>
            <w:r>
              <w:rPr>
                <w:rFonts w:ascii="Arial" w:cs="Arial" w:eastAsia="Arial" w:hAnsi="Arial"/>
                <w:sz w:val="15"/>
                <w:szCs w:val="15"/>
                <w:b w:val="1"/>
                <w:bCs w:val="1"/>
                <w:color w:val="auto"/>
              </w:rPr>
              <w:t>35,494</w:t>
            </w:r>
          </w:p>
        </w:tc>
        <w:tc>
          <w:tcPr>
            <w:tcW w:w="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460" w:type="dxa"/>
            <w:vAlign w:val="bottom"/>
          </w:tcPr>
          <w:p>
            <w:pPr>
              <w:spacing w:after="0"/>
              <w:rPr>
                <w:sz w:val="14"/>
                <w:szCs w:val="14"/>
                <w:color w:val="auto"/>
              </w:rPr>
            </w:pPr>
          </w:p>
        </w:tc>
        <w:tc>
          <w:tcPr>
            <w:tcW w:w="380" w:type="dxa"/>
            <w:vAlign w:val="bottom"/>
            <w:tcBorders>
              <w:bottom w:val="single" w:sz="8" w:color="auto"/>
            </w:tcBorders>
            <w:gridSpan w:val="2"/>
          </w:tcPr>
          <w:p>
            <w:pPr>
              <w:jc w:val="right"/>
              <w:ind w:right="140"/>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169"/>
              <w:spacing w:after="0" w:line="167" w:lineRule="exact"/>
              <w:rPr>
                <w:sz w:val="20"/>
                <w:szCs w:val="20"/>
                <w:color w:val="auto"/>
              </w:rPr>
            </w:pPr>
            <w:r>
              <w:rPr>
                <w:rFonts w:ascii="Arial" w:cs="Arial" w:eastAsia="Arial" w:hAnsi="Arial"/>
                <w:sz w:val="15"/>
                <w:szCs w:val="15"/>
                <w:b w:val="1"/>
                <w:bCs w:val="1"/>
                <w:color w:val="auto"/>
              </w:rPr>
              <w:t>105,927</w:t>
            </w:r>
          </w:p>
        </w:tc>
        <w:tc>
          <w:tcPr>
            <w:tcW w:w="52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Revenue at the television broadcasting division declined 18% to $87.1 million in the third quarter of 2013, from $106.4 million in the same period of 20 operating income for the third quarter of 2013 was down 33% to $36.3 million, from $ 54.1 million in the same period of 2012. For the first nine months 2013, revenue declined 4% to $271.7 million, from $283.5 million in the same period of 2012; operating income for the first nine months of 2013 was d 7% to $119.4 million, from $128.8 million in the same period of 2012.</w:t>
      </w:r>
    </w:p>
    <w:p>
      <w:pPr>
        <w:spacing w:after="0" w:line="13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decline in revenue and operating income is due to a $15.9 million and $ 24.1 million decrease in political advertising revenue in the third quarter a nine months of 2013, respectively, and $10.8 million in incremental summer Olympics-related advertising at the Company’s NBC affiliates in the third q of 2012. The decline in revenue and operating income was partially offset by incremental advertising revenue from the NBA finals broadcast at the divi ABC affiliates in Miami and San Antonio, and increased retransmission revenues.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2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Other businesses includes the operating results of Social Code, a marketing solutions provider helping companies with marketing on social media plat Celtic Healthcare, a provider of home health care and hospice services in the northeastern and mid-Atlantic regions, acquired by the Company in Nov 2012; Forney, a global supplier of products and systems that control and monitor combustion processes in electric utility and industrial applications, ac by the Company in August 2013; and WaPo Labs, a digital team focused on emerging technologies and new product development. Also included are t Slate Group and the FP Group, previously included as part of the Company’s newspaper publishing division.</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31" w:name="page32"/>
    <w:bookmarkEnd w:id="31"/>
    <w:p>
      <w:pPr>
        <w:ind w:right="100"/>
        <w:spacing w:after="0" w:line="235" w:lineRule="auto"/>
        <w:rPr>
          <w:sz w:val="20"/>
          <w:szCs w:val="20"/>
          <w:color w:val="auto"/>
        </w:rPr>
      </w:pPr>
      <w:r>
        <w:rPr>
          <w:rFonts w:ascii="Arial" w:cs="Arial" w:eastAsia="Arial" w:hAnsi="Arial"/>
          <w:sz w:val="17"/>
          <w:szCs w:val="17"/>
          <w:color w:val="auto"/>
        </w:rPr>
        <w:t>The revenue increase in other businesses for the first nine months of 2013 is primarily due to growth at Social Code and Slate, and revenue from the Company’s recently acquired Celtic Healthcare and Forney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16.5% interest in Classified Ventures, LLC and interests in several other affiliates.</w:t>
      </w:r>
    </w:p>
    <w:p>
      <w:pPr>
        <w:spacing w:after="0" w:line="14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equity in earnings of affiliates, net, was $5.9 million for the third quarter of 2013, compared to $4.1 million for the third quarter of 2012. the first nine months of 2013, the Company’s equity in earnings of affiliates, net, totaled $13.2 million, compared to $11.3 million for the same period o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recorded other non-operating income, net, of $8.1 million for the third quarter of 2013, compared to $4.2 million for the third quarter of 2 The third quarter 2013 non-operating income, net, included $7.9 million in unrealized foreign currency gains and other items. The third quarter 2012 n operating income, net, included $3.1 million in unrealized foreign currency gains and other items.</w:t>
      </w:r>
    </w:p>
    <w:p>
      <w:pPr>
        <w:spacing w:after="0" w:line="175"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Company recorded non-operating expense, net, of $8.8 million for the first nine months of 2013, compared to other non-operating income, net, of million for the same period of the prior year. The 2013 non-operating expense, net, included $ 9.4 million in unrealized foreign currency losses, offset b other items. The 2012 non-operating income, net, included a net $6.8 million gain on sales or write-downs of cost method investments, $3.2 million in unrealized foreign currency gains and 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income (expense)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gridSpan w:val="2"/>
          </w:tcPr>
          <w:p>
            <w:pPr>
              <w:jc w:val="right"/>
              <w:ind w:right="250"/>
              <w:spacing w:after="0"/>
              <w:rPr>
                <w:sz w:val="20"/>
                <w:szCs w:val="20"/>
                <w:color w:val="auto"/>
              </w:rPr>
            </w:pPr>
            <w:r>
              <w:rPr>
                <w:rFonts w:ascii="Arial" w:cs="Arial" w:eastAsia="Arial" w:hAnsi="Arial"/>
                <w:sz w:val="12"/>
                <w:szCs w:val="12"/>
                <w:b w:val="1"/>
                <w:bCs w:val="1"/>
                <w:color w:val="auto"/>
              </w:rPr>
              <w:t>Three Months Ended</w:t>
            </w:r>
          </w:p>
        </w:tc>
        <w:tc>
          <w:tcPr>
            <w:tcW w:w="520" w:type="dxa"/>
            <w:vAlign w:val="bottom"/>
          </w:tcPr>
          <w:p>
            <w:pPr>
              <w:spacing w:after="0"/>
              <w:rPr>
                <w:sz w:val="12"/>
                <w:szCs w:val="12"/>
                <w:color w:val="auto"/>
              </w:rPr>
            </w:pPr>
          </w:p>
        </w:tc>
        <w:tc>
          <w:tcPr>
            <w:tcW w:w="2320" w:type="dxa"/>
            <w:vAlign w:val="bottom"/>
            <w:gridSpan w:val="3"/>
          </w:tcPr>
          <w:p>
            <w:pPr>
              <w:jc w:val="right"/>
              <w:ind w:right="230"/>
              <w:spacing w:after="0"/>
              <w:rPr>
                <w:sz w:val="20"/>
                <w:szCs w:val="20"/>
                <w:color w:val="auto"/>
              </w:rPr>
            </w:pPr>
            <w:r>
              <w:rPr>
                <w:rFonts w:ascii="Arial" w:cs="Arial" w:eastAsia="Arial" w:hAnsi="Arial"/>
                <w:sz w:val="12"/>
                <w:szCs w:val="12"/>
                <w:b w:val="1"/>
                <w:bCs w:val="1"/>
                <w:color w:val="auto"/>
              </w:rPr>
              <w:t>Nine Months Ended</w:t>
            </w:r>
          </w:p>
        </w:tc>
      </w:tr>
      <w:tr>
        <w:trPr>
          <w:trHeight w:val="151"/>
        </w:trPr>
        <w:tc>
          <w:tcPr>
            <w:tcW w:w="5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2"/>
                <w:szCs w:val="12"/>
                <w:b w:val="1"/>
                <w:bCs w:val="1"/>
                <w:color w:val="auto"/>
              </w:rPr>
              <w:t>September 30,</w:t>
            </w: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2"/>
                <w:szCs w:val="12"/>
                <w:b w:val="1"/>
                <w:bCs w:val="1"/>
                <w:color w:val="auto"/>
              </w:rPr>
              <w:t>September 30,</w:t>
            </w:r>
          </w:p>
        </w:tc>
      </w:tr>
      <w:tr>
        <w:trPr>
          <w:trHeight w:val="129"/>
        </w:trPr>
        <w:tc>
          <w:tcPr>
            <w:tcW w:w="57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6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0"/>
              <w:spacing w:after="0" w:line="129" w:lineRule="exact"/>
              <w:rPr>
                <w:sz w:val="20"/>
                <w:szCs w:val="20"/>
                <w:color w:val="auto"/>
              </w:rPr>
            </w:pPr>
            <w:r>
              <w:rPr>
                <w:rFonts w:ascii="Arial" w:cs="Arial" w:eastAsia="Arial" w:hAnsi="Arial"/>
                <w:sz w:val="12"/>
                <w:szCs w:val="12"/>
                <w:color w:val="auto"/>
              </w:rPr>
              <w:t>2012</w:t>
            </w:r>
          </w:p>
        </w:tc>
        <w:tc>
          <w:tcPr>
            <w:tcW w:w="5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2013</w:t>
            </w:r>
          </w:p>
        </w:tc>
        <w:tc>
          <w:tcPr>
            <w:tcW w:w="5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2012</w:t>
            </w:r>
          </w:p>
        </w:tc>
      </w:tr>
      <w:tr>
        <w:trPr>
          <w:trHeight w:val="150"/>
        </w:trPr>
        <w:tc>
          <w:tcPr>
            <w:tcW w:w="5720" w:type="dxa"/>
            <w:vAlign w:val="bottom"/>
          </w:tcPr>
          <w:p>
            <w:pPr>
              <w:spacing w:after="0" w:line="150" w:lineRule="exact"/>
              <w:rPr>
                <w:sz w:val="20"/>
                <w:szCs w:val="20"/>
                <w:color w:val="auto"/>
              </w:rPr>
            </w:pPr>
            <w:r>
              <w:rPr>
                <w:rFonts w:ascii="Arial" w:cs="Arial" w:eastAsia="Arial" w:hAnsi="Arial"/>
                <w:sz w:val="15"/>
                <w:szCs w:val="15"/>
                <w:color w:val="auto"/>
              </w:rPr>
              <w:t>Foreign currency gain (loss), net</w:t>
            </w:r>
          </w:p>
        </w:tc>
        <w:tc>
          <w:tcPr>
            <w:tcW w:w="820" w:type="dxa"/>
            <w:vAlign w:val="bottom"/>
          </w:tcPr>
          <w:p>
            <w:pPr>
              <w:jc w:val="right"/>
              <w:ind w:right="670"/>
              <w:spacing w:after="0" w:line="150" w:lineRule="exact"/>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7,886</w:t>
            </w:r>
          </w:p>
        </w:tc>
        <w:tc>
          <w:tcPr>
            <w:tcW w:w="960" w:type="dxa"/>
            <w:vAlign w:val="bottom"/>
          </w:tcPr>
          <w:p>
            <w:pPr>
              <w:jc w:val="right"/>
              <w:ind w:right="730"/>
              <w:spacing w:after="0" w:line="150"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6"/>
              <w:spacing w:after="0" w:line="150" w:lineRule="exact"/>
              <w:rPr>
                <w:sz w:val="20"/>
                <w:szCs w:val="20"/>
                <w:color w:val="auto"/>
              </w:rPr>
            </w:pPr>
            <w:r>
              <w:rPr>
                <w:rFonts w:ascii="Arial" w:cs="Arial" w:eastAsia="Arial" w:hAnsi="Arial"/>
                <w:sz w:val="15"/>
                <w:szCs w:val="15"/>
                <w:color w:val="auto"/>
              </w:rPr>
              <w:t>3,111</w:t>
            </w:r>
          </w:p>
        </w:tc>
        <w:tc>
          <w:tcPr>
            <w:tcW w:w="920" w:type="dxa"/>
            <w:vAlign w:val="bottom"/>
          </w:tcPr>
          <w:p>
            <w:pPr>
              <w:jc w:val="right"/>
              <w:ind w:right="692"/>
              <w:spacing w:after="0" w:line="150" w:lineRule="exact"/>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8"/>
              <w:spacing w:after="0" w:line="150" w:lineRule="exact"/>
              <w:rPr>
                <w:sz w:val="20"/>
                <w:szCs w:val="20"/>
                <w:color w:val="auto"/>
              </w:rPr>
            </w:pPr>
            <w:r>
              <w:rPr>
                <w:rFonts w:ascii="Arial" w:cs="Arial" w:eastAsia="Arial" w:hAnsi="Arial"/>
                <w:sz w:val="15"/>
                <w:szCs w:val="15"/>
                <w:b w:val="1"/>
                <w:bCs w:val="1"/>
                <w:color w:val="auto"/>
                <w:w w:val="96"/>
              </w:rPr>
              <w:t>(9,350)</w:t>
            </w:r>
          </w:p>
        </w:tc>
        <w:tc>
          <w:tcPr>
            <w:tcW w:w="840" w:type="dxa"/>
            <w:vAlign w:val="bottom"/>
          </w:tcPr>
          <w:p>
            <w:pPr>
              <w:jc w:val="right"/>
              <w:ind w:right="610"/>
              <w:spacing w:after="0" w:line="150" w:lineRule="exact"/>
              <w:rPr>
                <w:sz w:val="20"/>
                <w:szCs w:val="20"/>
                <w:color w:val="auto"/>
              </w:rPr>
            </w:pPr>
            <w:r>
              <w:rPr>
                <w:rFonts w:ascii="Arial" w:cs="Arial" w:eastAsia="Arial" w:hAnsi="Arial"/>
                <w:sz w:val="15"/>
                <w:szCs w:val="15"/>
                <w:color w:val="auto"/>
              </w:rPr>
              <w:t>$</w:t>
            </w: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(Loss) gain on sales of marketable equity securities</w:t>
            </w: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spacing w:after="0"/>
              <w:rPr>
                <w:sz w:val="15"/>
                <w:szCs w:val="15"/>
                <w:color w:val="auto"/>
              </w:rPr>
            </w:pPr>
          </w:p>
        </w:tc>
        <w:tc>
          <w:tcPr>
            <w:tcW w:w="520" w:type="dxa"/>
            <w:vAlign w:val="bottom"/>
          </w:tcPr>
          <w:p>
            <w:pPr>
              <w:jc w:val="right"/>
              <w:ind w:right="6"/>
              <w:spacing w:after="0"/>
              <w:rPr>
                <w:sz w:val="20"/>
                <w:szCs w:val="20"/>
                <w:color w:val="auto"/>
              </w:rPr>
            </w:pPr>
            <w:r>
              <w:rPr>
                <w:rFonts w:ascii="Arial" w:cs="Arial" w:eastAsia="Arial" w:hAnsi="Arial"/>
                <w:sz w:val="15"/>
                <w:szCs w:val="15"/>
                <w:color w:val="auto"/>
              </w:rPr>
              <w:t>(28)</w:t>
            </w:r>
          </w:p>
        </w:tc>
        <w:tc>
          <w:tcPr>
            <w:tcW w:w="92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b w:val="1"/>
                <w:bCs w:val="1"/>
                <w:color w:val="auto"/>
              </w:rPr>
              <w:t>879</w:t>
            </w:r>
          </w:p>
        </w:tc>
        <w:tc>
          <w:tcPr>
            <w:tcW w:w="840" w:type="dxa"/>
            <w:vAlign w:val="bottom"/>
          </w:tcPr>
          <w:p>
            <w:pPr>
              <w:spacing w:after="0"/>
              <w:rPr>
                <w:sz w:val="15"/>
                <w:szCs w:val="15"/>
                <w:color w:val="auto"/>
              </w:rPr>
            </w:pPr>
          </w:p>
        </w:tc>
      </w:tr>
      <w:tr>
        <w:trPr>
          <w:trHeight w:val="174"/>
        </w:trPr>
        <w:tc>
          <w:tcPr>
            <w:tcW w:w="5720" w:type="dxa"/>
            <w:vAlign w:val="bottom"/>
          </w:tcPr>
          <w:p>
            <w:pPr>
              <w:spacing w:after="0"/>
              <w:rPr>
                <w:sz w:val="20"/>
                <w:szCs w:val="20"/>
                <w:color w:val="auto"/>
              </w:rPr>
            </w:pPr>
            <w:r>
              <w:rPr>
                <w:rFonts w:ascii="Arial" w:cs="Arial" w:eastAsia="Arial" w:hAnsi="Arial"/>
                <w:sz w:val="15"/>
                <w:szCs w:val="15"/>
                <w:color w:val="auto"/>
              </w:rPr>
              <w:t>Gain (loss) on sales or write-downs of cost method investments, net</w:t>
            </w:r>
          </w:p>
        </w:tc>
        <w:tc>
          <w:tcPr>
            <w:tcW w:w="8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960" w:type="dxa"/>
            <w:vAlign w:val="bottom"/>
          </w:tcPr>
          <w:p>
            <w:pPr>
              <w:spacing w:after="0"/>
              <w:rPr>
                <w:sz w:val="15"/>
                <w:szCs w:val="15"/>
                <w:color w:val="auto"/>
              </w:rPr>
            </w:pPr>
          </w:p>
        </w:tc>
        <w:tc>
          <w:tcPr>
            <w:tcW w:w="520" w:type="dxa"/>
            <w:vAlign w:val="bottom"/>
          </w:tcPr>
          <w:p>
            <w:pPr>
              <w:jc w:val="right"/>
              <w:ind w:right="6"/>
              <w:spacing w:after="0"/>
              <w:rPr>
                <w:sz w:val="20"/>
                <w:szCs w:val="20"/>
                <w:color w:val="auto"/>
              </w:rPr>
            </w:pPr>
            <w:r>
              <w:rPr>
                <w:rFonts w:ascii="Arial" w:cs="Arial" w:eastAsia="Arial" w:hAnsi="Arial"/>
                <w:sz w:val="15"/>
                <w:szCs w:val="15"/>
                <w:color w:val="auto"/>
              </w:rPr>
              <w:t>(112)</w:t>
            </w:r>
          </w:p>
        </w:tc>
        <w:tc>
          <w:tcPr>
            <w:tcW w:w="92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5"/>
                <w:szCs w:val="15"/>
                <w:b w:val="1"/>
                <w:bCs w:val="1"/>
                <w:color w:val="auto"/>
              </w:rPr>
              <w:t>(160)</w:t>
            </w:r>
          </w:p>
        </w:tc>
        <w:tc>
          <w:tcPr>
            <w:tcW w:w="840" w:type="dxa"/>
            <w:vAlign w:val="bottom"/>
          </w:tcPr>
          <w:p>
            <w:pPr>
              <w:spacing w:after="0"/>
              <w:rPr>
                <w:sz w:val="15"/>
                <w:szCs w:val="15"/>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5"/>
                <w:szCs w:val="15"/>
                <w:color w:val="auto"/>
              </w:rPr>
              <w:t>Other, net</w:t>
            </w:r>
          </w:p>
        </w:tc>
        <w:tc>
          <w:tcPr>
            <w:tcW w:w="8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w:t>
            </w: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1,192</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(200)</w:t>
            </w:r>
          </w:p>
        </w:tc>
        <w:tc>
          <w:tcPr>
            <w:tcW w:w="840" w:type="dxa"/>
            <w:vAlign w:val="bottom"/>
            <w:tcBorders>
              <w:bottom w:val="single" w:sz="8" w:color="auto"/>
            </w:tcBorders>
          </w:tcPr>
          <w:p>
            <w:pPr>
              <w:spacing w:after="0"/>
              <w:rPr>
                <w:sz w:val="16"/>
                <w:szCs w:val="16"/>
                <w:color w:val="auto"/>
              </w:rPr>
            </w:pPr>
          </w:p>
        </w:tc>
      </w:tr>
      <w:tr>
        <w:trPr>
          <w:trHeight w:val="166"/>
        </w:trPr>
        <w:tc>
          <w:tcPr>
            <w:tcW w:w="5720" w:type="dxa"/>
            <w:vAlign w:val="bottom"/>
          </w:tcPr>
          <w:p>
            <w:pPr>
              <w:ind w:left="220"/>
              <w:spacing w:after="0" w:line="167" w:lineRule="exact"/>
              <w:rPr>
                <w:sz w:val="20"/>
                <w:szCs w:val="20"/>
                <w:color w:val="auto"/>
              </w:rPr>
            </w:pPr>
            <w:r>
              <w:rPr>
                <w:rFonts w:ascii="Arial" w:cs="Arial" w:eastAsia="Arial" w:hAnsi="Arial"/>
                <w:sz w:val="15"/>
                <w:szCs w:val="15"/>
                <w:b w:val="1"/>
                <w:bCs w:val="1"/>
                <w:color w:val="auto"/>
              </w:rPr>
              <w:t>Total Other Non-Operating Income (Expense)</w:t>
            </w:r>
          </w:p>
        </w:tc>
        <w:tc>
          <w:tcPr>
            <w:tcW w:w="820" w:type="dxa"/>
            <w:vAlign w:val="bottom"/>
            <w:tcBorders>
              <w:bottom w:val="single" w:sz="8" w:color="auto"/>
            </w:tcBorders>
          </w:tcPr>
          <w:p>
            <w:pPr>
              <w:jc w:val="right"/>
              <w:ind w:right="670"/>
              <w:spacing w:after="0" w:line="167" w:lineRule="exact"/>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8,110</w:t>
            </w:r>
          </w:p>
        </w:tc>
        <w:tc>
          <w:tcPr>
            <w:tcW w:w="960" w:type="dxa"/>
            <w:vAlign w:val="bottom"/>
            <w:tcBorders>
              <w:bottom w:val="single" w:sz="8" w:color="auto"/>
            </w:tcBorders>
          </w:tcPr>
          <w:p>
            <w:pPr>
              <w:jc w:val="right"/>
              <w:ind w:right="730"/>
              <w:spacing w:after="0" w:line="167"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4,163</w:t>
            </w:r>
          </w:p>
        </w:tc>
        <w:tc>
          <w:tcPr>
            <w:tcW w:w="920" w:type="dxa"/>
            <w:vAlign w:val="bottom"/>
            <w:tcBorders>
              <w:bottom w:val="single" w:sz="8" w:color="auto"/>
            </w:tcBorders>
          </w:tcPr>
          <w:p>
            <w:pPr>
              <w:jc w:val="right"/>
              <w:ind w:right="692"/>
              <w:spacing w:after="0" w:line="167" w:lineRule="exact"/>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b w:val="1"/>
                <w:bCs w:val="1"/>
                <w:color w:val="auto"/>
                <w:w w:val="96"/>
              </w:rPr>
              <w:t>(8,831)</w:t>
            </w:r>
          </w:p>
        </w:tc>
        <w:tc>
          <w:tcPr>
            <w:tcW w:w="840" w:type="dxa"/>
            <w:vAlign w:val="bottom"/>
            <w:tcBorders>
              <w:bottom w:val="single" w:sz="8" w:color="auto"/>
            </w:tcBorders>
          </w:tcPr>
          <w:p>
            <w:pPr>
              <w:jc w:val="right"/>
              <w:ind w:right="610"/>
              <w:spacing w:after="0" w:line="167" w:lineRule="exact"/>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incurred net interest expense of $8.6 million and $25.6 million for the third quarter and first nine months of 2013, respectively, compared $8.1 million and $24.4 million for the same periods of 2012. At September 30, 2013, the Company had $451.1 million in borrowings outstanding, at an average interest rate of 7.0%.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nine months of 2013 was 38.1%, compared to 38.8% for the first nine months 2012.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On August 5, 2013, the Company announced that it had entered into an agreement to sell its Publishing Subsidiaries that together conducted most of Company’s publishing businesses and related services, including publishing The Washington Post, Express, The Gazette Newspapers, Southern Mar Newspapers, Fairfax County Times and El Tiempo Latino and related websites. Slate magazine, TheRoot.com and Foreign Policy are not part of the transaction and remain with The Washington Post Company, as do the WaPo Labs and SocialCode businesses, the Company’s interest in Classified Ventures and certain real estate assets, including the headquarters building in downtown Washington, DC. On October 1, 2013, the Company complet the sale. Consequently, the Company’s income from continuing operations excludes these sold businesses, which have been reclassified to discontinu operations, net of tax, for all periods presented.</w:t>
      </w:r>
    </w:p>
    <w:p>
      <w:pPr>
        <w:spacing w:after="0" w:line="3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2" w:name="page33"/>
    <w:bookmarkEnd w:id="32"/>
    <w:p>
      <w:pPr>
        <w:spacing w:after="0" w:line="230" w:lineRule="auto"/>
        <w:rPr>
          <w:sz w:val="20"/>
          <w:szCs w:val="20"/>
          <w:color w:val="auto"/>
        </w:rPr>
      </w:pPr>
      <w:r>
        <w:rPr>
          <w:rFonts w:ascii="Arial" w:cs="Arial" w:eastAsia="Arial" w:hAnsi="Arial"/>
          <w:sz w:val="17"/>
          <w:szCs w:val="17"/>
          <w:color w:val="auto"/>
        </w:rPr>
        <w:t>The Purchaser acquired all the issued and outstanding equity securities of the Publishing Subsidiaries for $250 million, subject to customary adjustme cash, debt and working capital at closing. The Company will not record the gain on the sale until the fourth quarter of 2013; however, the Company recognized $ 28.4 million (after-tax impact of $18.3 million) in expenses related to the sale that are included in discontinued operations in the third quar 2013. These costs include the net impact of accelerated vesting provisions and forfeitures of restricted stock awards and stock options that were mad contemplation of the sale, and certain other transaction-related expenses. Also included in discontinued operations is $22.7 million (after-tax basis of $ million) in early retirement program expense for the first nine months of 2013, and $7.5 million (after-tax basis of $4.6 million) and $8.5 million (after-ta basis of $5.3 million) for the third quarter and first nine months of 2012, respectively.</w:t>
      </w:r>
    </w:p>
    <w:p>
      <w:pPr>
        <w:spacing w:after="0" w:line="178"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In March 2013, the Company sold The Herald. Kaplan sold Kidum in August 2012, EduNeering in April 2012 and Kaplan Learning Technologies (KLT) February 2012. The Company divested its interest in Avenue100 Media Solutions in July 2012. Consequently, the Company’s income from continuing operations also excludes the operating results and related net gains on disposition of these businesses, which have been reclassified to discontinued operations, net of tax.</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calculation of diluted earnings per share for the third quarter and first nine months of 2013 was based on 7,336,752 and 7,315,971 weighted aver shares outstanding, respectively, compared to 7,376,255 and 7,507,946, respectively, for the third quarter and first nine months of 2012. At Septembe 2013, there were 7,423,913 shares outstanding and the Company had remaining authorization from the Board of Directors to purchase up to 180,993 shares of Class B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 Capital Resources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and Dispositions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In the first nine months of 2013, the Company acquired five small businesses included in other businesses and in its education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price allocation mostly comprised goodwill and other intangible assets on a preliminary basis. In the first nine months of 2012, the Company acquired four small businesses included in its education division and in other businesses; the purchase price allocation mostly comprised goodwill and intangible assets. The assets and liabilities of the companies acquired have been recorded at their estimated fair values at the date of acquisition.</w:t>
      </w:r>
    </w:p>
    <w:p>
      <w:pPr>
        <w:spacing w:after="0" w:line="16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 August 1, 2013, the Company completed its acquisition of Forney Corporation, a global supplier of products and systems that control and monitor combustion processes in electric utility and industrial applications. The operating results of Forney are included in other businesses.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the second quarter of 2013, Kaplan purchased the remaining 15% noncontrolling interest in Kaplan China; this additional interest was accounted for equity transaction.</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September 2012, the Company entered into a stock purchase agreement to acquire a controlling interest in Celtic Healthcare, Inc. (Celtic), a provid home healthcare and hospice services in the northeastern and mid-Atlantic regions. The transaction closed on November 5, 2012. The operating resu Celtic are included in other businesses.</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auto"/>
        </w:rPr>
        <w:t xml:space="preserve">Dispositions. </w:t>
      </w:r>
      <w:r>
        <w:rPr>
          <w:rFonts w:ascii="Arial" w:cs="Arial" w:eastAsia="Arial" w:hAnsi="Arial"/>
          <w:sz w:val="16"/>
          <w:szCs w:val="16"/>
          <w:color w:val="auto"/>
        </w:rPr>
        <w:t>On August 5, 2013, after approval by the Company’s Board of Directors on the same day, the Company announced that it had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binding letter agreement (the Letter Agreement) with Nash Holdings LLC, a Delaware limited liability company (the Purchaser), and Explore Holdings Washington limited liability company, as guarantor (the Guarantor), to sell all the issued and outstanding equity securities of each of WP Company LL Express Publications Company, LLC, El Tiempo Latino, LLC, Robinson Terminal Warehouse, LLC, Greater Washington Publishing, LLC and Post-Newsweek Media, LLC (the Publishing Subsidiaries). The Publishing Subsidiaries together conducted most of the Company’s publishing businesses, including publishing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w:t>
      </w:r>
      <w:r>
        <w:rPr>
          <w:rFonts w:ascii="Arial" w:cs="Arial" w:eastAsia="Arial" w:hAnsi="Arial"/>
          <w:sz w:val="16"/>
          <w:szCs w:val="16"/>
          <w:i w:val="1"/>
          <w:iCs w:val="1"/>
          <w:color w:val="auto"/>
        </w:rPr>
        <w:t>Fairfax County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El Tiempo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Latino </w:t>
      </w:r>
      <w:r>
        <w:rPr>
          <w:rFonts w:ascii="Arial" w:cs="Arial" w:eastAsia="Arial" w:hAnsi="Arial"/>
          <w:sz w:val="16"/>
          <w:szCs w:val="16"/>
          <w:color w:val="auto"/>
        </w:rPr>
        <w:t>and related websites, and operating Washington Post Live and Washington Post News Media Services and the Company’s commercial printing</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business and paper handling and storage business (collectively, the Publishing Business), subject to satisfying certain conditions.</w:t>
      </w:r>
    </w:p>
    <w:p>
      <w:pPr>
        <w:spacing w:after="0" w:line="16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October 1, 2013, the Company entered into a Purchase Agreement and completed the sale. Under the terms of the Purchase Agreement, the Purc acquired all the issued and outstanding equity securities of each of the entities that comprise the Publishing Subsidiaries for $250 million, subject to customary adjustment for cash, debt and working capital</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72" w:right="139" w:bottom="1440" w:gutter="0" w:footer="0" w:header="0"/>
        </w:sectPr>
      </w:pPr>
    </w:p>
    <w:bookmarkStart w:id="33" w:name="page34"/>
    <w:bookmarkEnd w:id="33"/>
    <w:p>
      <w:pPr>
        <w:spacing w:after="0" w:line="245" w:lineRule="auto"/>
        <w:rPr>
          <w:sz w:val="20"/>
          <w:szCs w:val="20"/>
          <w:color w:val="auto"/>
        </w:rPr>
      </w:pPr>
      <w:r>
        <w:rPr>
          <w:rFonts w:ascii="Arial" w:cs="Arial" w:eastAsia="Arial" w:hAnsi="Arial"/>
          <w:sz w:val="16"/>
          <w:szCs w:val="16"/>
          <w:color w:val="auto"/>
        </w:rPr>
        <w:t>of the Publishing Subsidiaries at closing. The Purchaser also acquired all other assets of the Company primarily related to the Publishing Business, including all of the Company’s rights in the name “The Washington Post”. The Company will change its corporate name within 60 days of the October closing. The Company retained its interest in Classified Ventures, LLC, Slate magazine, TheRoot.com and Foreign Policy, as well as the WaPo Labs a SocialCode business and certain real estate, including the headquarters building in downtown Washington, DC and certain land and property in Alexa VA. The liabilities under the Retirement Plan for The Washington Post Companies relating to the active employees of the Publishing Business will be transferred to the Purchaser, along with pension assets that have a value equal to the projected benefit obligation in respect of these active employee an additional $ 50 million. The results of operations of Publishing Subsidiaries for the three and nine months ended September 30, 2013 and 2012, are included in the Company’s Condensed Consolidated Statements of Operations as Income (Loss) from Discontinued Operations, Net of Tax.</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Company will not record the gain or the net proceeds on the sale until the fourth quarter of 2013; however, the Company recognized $28.4 million tax impact of $18.3 million) in expenses related to the sale that are included in discontinued operations in the third quarter of 2013. These costs includ net impact of accelerated vesting provisions and forfeitures of restricted stock awards and stock options that were made in contemplation of the sale, certain other transaction-related expenses. Including the $28.4 million in expenses related to the sale recorded in the third quarter of 2013, the Compa estimates a $125 million pre-tax gain and an $80 million after-tax gain on the sale. This includes a preliminary estimate of net curtailment and settleme gains from the Company’s pension and postretirement benefit plans, along with other estimates. As a result, the final gain amount reported in the fourt quarter of 2013 will likely differ from this preliminary estimate.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October 2013, of the total restricted shares where vesting was accelerated, the Company purchased 21,774 shares from former employees for $13.</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million.</w:t>
      </w:r>
    </w:p>
    <w:p>
      <w:pPr>
        <w:spacing w:after="0" w:line="17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 March 2013, the Company completed the sale of The Herald, a daily and Sunday newspaper headquartered in Everett, WA. The Herald was previo reported in the newspaper publishing division.</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divested its interested in Avenue100 Media Solutions in July 2012, which was previously reported in other businesses. Kaplan complete sales of Kidum in August 2012, EduNeering in April 2012 and Kaplan Learning Technologies in February 2012, which were part of the Kaplan Venture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9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During the first nine months of 2013, the Company’s capital expenditures totaled $143.3 million. The Company estimates that its capital expenditures in the range of $190 million to $215 million in 2013.</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Company’s borrowings decreased by $245.6 million, to $451.1 million at September 30, 2013, as compared to borrowings of $696.7 million at December 31, 2012</w:t>
      </w:r>
      <w:r>
        <w:rPr>
          <w:rFonts w:ascii="Arial" w:cs="Arial" w:eastAsia="Arial" w:hAnsi="Arial"/>
          <w:sz w:val="17"/>
          <w:szCs w:val="17"/>
          <w:i w:val="1"/>
          <w:iCs w:val="1"/>
          <w:color w:val="auto"/>
        </w:rPr>
        <w:t>.</w:t>
      </w:r>
      <w:r>
        <w:rPr>
          <w:rFonts w:ascii="Arial" w:cs="Arial" w:eastAsia="Arial" w:hAnsi="Arial"/>
          <w:sz w:val="17"/>
          <w:szCs w:val="17"/>
          <w:color w:val="auto"/>
        </w:rPr>
        <w:t xml:space="preserve"> At September 30, 2013, the Company had $441.7 million in cash and cash equivalents, compared to $512.4 million at December 2012. The Company had money market investments of $ 296.9 million and $432.7 million that are classified as cash, cash equivalents and restricted c the Company’s condensed consolidated Balance Sheets as of September 30, 2013 and December 31, 2012, respectively.</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total debt outstanding of $451.1 million at September 30, 2013 included $397.8 million of 7.25% unsecured notes due February 1, 201 $46.6 million of AUD 50M borrowing and $6.7 million in other debt.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June 2011, the Company entered into a credit agreement (the Credit Agreement) providing for a U.S. $450 million, AUD 50 million four year revolvi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67"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On September 6, 2013, Standard and Poor’s affirmed the “BBB” long-term corporate debt rating, but changed the outlook from Negative to Stable. In addition, S&amp;P upgraded the Company’s short-term corporate debt rating from “A-3” to “A-2”. The Company’s current credit ratings are as follows:</w:t>
      </w:r>
    </w:p>
    <w:tbl>
      <w:tblPr>
        <w:tblLayout w:type="fixed"/>
        <w:tblInd w:w="0" w:type="dxa"/>
        <w:tblCellMar>
          <w:top w:w="0" w:type="dxa"/>
          <w:left w:w="0" w:type="dxa"/>
          <w:bottom w:w="0" w:type="dxa"/>
          <w:right w:w="0" w:type="dxa"/>
        </w:tblCellMar>
      </w:tblPr>
      <w:tr>
        <w:trPr>
          <w:trHeight w:val="124"/>
        </w:trPr>
        <w:tc>
          <w:tcPr>
            <w:tcW w:w="49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620" w:type="dxa"/>
            <w:vAlign w:val="bottom"/>
          </w:tcPr>
          <w:p>
            <w:pPr>
              <w:ind w:left="260"/>
              <w:spacing w:after="0" w:line="124" w:lineRule="exact"/>
              <w:rPr>
                <w:sz w:val="20"/>
                <w:szCs w:val="20"/>
                <w:color w:val="auto"/>
              </w:rPr>
            </w:pPr>
            <w:r>
              <w:rPr>
                <w:rFonts w:ascii="Arial" w:cs="Arial" w:eastAsia="Arial" w:hAnsi="Arial"/>
                <w:sz w:val="12"/>
                <w:szCs w:val="12"/>
                <w:b w:val="1"/>
                <w:bCs w:val="1"/>
                <w:color w:val="auto"/>
              </w:rPr>
              <w:t>Stand</w:t>
            </w:r>
          </w:p>
        </w:tc>
      </w:tr>
      <w:tr>
        <w:trPr>
          <w:trHeight w:val="151"/>
        </w:trPr>
        <w:tc>
          <w:tcPr>
            <w:tcW w:w="494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jc w:val="right"/>
              <w:ind w:right="570"/>
              <w:spacing w:after="0"/>
              <w:rPr>
                <w:sz w:val="20"/>
                <w:szCs w:val="20"/>
                <w:color w:val="auto"/>
              </w:rPr>
            </w:pPr>
            <w:r>
              <w:rPr>
                <w:rFonts w:ascii="Arial" w:cs="Arial" w:eastAsia="Arial" w:hAnsi="Arial"/>
                <w:sz w:val="12"/>
                <w:szCs w:val="12"/>
                <w:b w:val="1"/>
                <w:bCs w:val="1"/>
                <w:color w:val="auto"/>
              </w:rPr>
              <w:t>Moody’s</w:t>
            </w: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w w:val="92"/>
              </w:rPr>
              <w:t>&amp; Poo</w:t>
            </w:r>
          </w:p>
        </w:tc>
      </w:tr>
      <w:tr>
        <w:trPr>
          <w:trHeight w:val="168"/>
        </w:trPr>
        <w:tc>
          <w:tcPr>
            <w:tcW w:w="4940" w:type="dxa"/>
            <w:vAlign w:val="bottom"/>
          </w:tcPr>
          <w:p>
            <w:pPr>
              <w:spacing w:after="0" w:line="168" w:lineRule="exact"/>
              <w:rPr>
                <w:sz w:val="20"/>
                <w:szCs w:val="20"/>
                <w:color w:val="auto"/>
              </w:rPr>
            </w:pPr>
            <w:r>
              <w:rPr>
                <w:rFonts w:ascii="Arial" w:cs="Arial" w:eastAsia="Arial" w:hAnsi="Arial"/>
                <w:sz w:val="15"/>
                <w:szCs w:val="15"/>
                <w:color w:val="auto"/>
              </w:rPr>
              <w:t>Long-term</w:t>
            </w:r>
          </w:p>
        </w:tc>
        <w:tc>
          <w:tcPr>
            <w:tcW w:w="5380" w:type="dxa"/>
            <w:vAlign w:val="bottom"/>
          </w:tcPr>
          <w:p>
            <w:pPr>
              <w:jc w:val="right"/>
              <w:ind w:right="190"/>
              <w:spacing w:after="0" w:line="168" w:lineRule="exact"/>
              <w:rPr>
                <w:sz w:val="20"/>
                <w:szCs w:val="20"/>
                <w:color w:val="auto"/>
              </w:rPr>
            </w:pPr>
            <w:r>
              <w:rPr>
                <w:rFonts w:ascii="Arial" w:cs="Arial" w:eastAsia="Arial" w:hAnsi="Arial"/>
                <w:sz w:val="15"/>
                <w:szCs w:val="15"/>
                <w:color w:val="auto"/>
              </w:rPr>
              <w:t>Baa1</w:t>
            </w:r>
          </w:p>
        </w:tc>
        <w:tc>
          <w:tcPr>
            <w:tcW w:w="620" w:type="dxa"/>
            <w:vAlign w:val="bottom"/>
          </w:tcPr>
          <w:p>
            <w:pPr>
              <w:spacing w:after="0"/>
              <w:rPr>
                <w:sz w:val="14"/>
                <w:szCs w:val="14"/>
                <w:color w:val="auto"/>
              </w:rPr>
            </w:pPr>
          </w:p>
        </w:tc>
      </w:tr>
      <w:tr>
        <w:trPr>
          <w:trHeight w:val="179"/>
        </w:trPr>
        <w:tc>
          <w:tcPr>
            <w:tcW w:w="4940" w:type="dxa"/>
            <w:vAlign w:val="bottom"/>
          </w:tcPr>
          <w:p>
            <w:pPr>
              <w:spacing w:after="0"/>
              <w:rPr>
                <w:sz w:val="20"/>
                <w:szCs w:val="20"/>
                <w:color w:val="auto"/>
              </w:rPr>
            </w:pPr>
            <w:r>
              <w:rPr>
                <w:rFonts w:ascii="Arial" w:cs="Arial" w:eastAsia="Arial" w:hAnsi="Arial"/>
                <w:sz w:val="15"/>
                <w:szCs w:val="15"/>
                <w:color w:val="auto"/>
              </w:rPr>
              <w:t>Short-term</w:t>
            </w:r>
          </w:p>
        </w:tc>
        <w:tc>
          <w:tcPr>
            <w:tcW w:w="5380" w:type="dxa"/>
            <w:vAlign w:val="bottom"/>
          </w:tcPr>
          <w:p>
            <w:pPr>
              <w:jc w:val="right"/>
              <w:ind w:right="190"/>
              <w:spacing w:after="0"/>
              <w:rPr>
                <w:sz w:val="20"/>
                <w:szCs w:val="20"/>
                <w:color w:val="auto"/>
              </w:rPr>
            </w:pPr>
            <w:r>
              <w:rPr>
                <w:rFonts w:ascii="Arial" w:cs="Arial" w:eastAsia="Arial" w:hAnsi="Arial"/>
                <w:sz w:val="15"/>
                <w:szCs w:val="15"/>
                <w:color w:val="auto"/>
              </w:rPr>
              <w:t>Prime-2</w:t>
            </w:r>
          </w:p>
        </w:tc>
        <w:tc>
          <w:tcPr>
            <w:tcW w:w="620" w:type="dxa"/>
            <w:vAlign w:val="bottom"/>
          </w:tcPr>
          <w:p>
            <w:pPr>
              <w:spacing w:after="0"/>
              <w:rPr>
                <w:sz w:val="15"/>
                <w:szCs w:val="15"/>
                <w:color w:val="auto"/>
              </w:rPr>
            </w:pPr>
          </w:p>
        </w:tc>
      </w:tr>
    </w:tbl>
    <w:p>
      <w:pPr>
        <w:spacing w:after="0" w:line="36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4" w:name="page35"/>
    <w:bookmarkEnd w:id="34"/>
    <w:p>
      <w:pPr>
        <w:spacing w:after="0" w:line="233" w:lineRule="auto"/>
        <w:rPr>
          <w:sz w:val="20"/>
          <w:szCs w:val="20"/>
          <w:color w:val="auto"/>
        </w:rPr>
      </w:pPr>
      <w:r>
        <w:rPr>
          <w:rFonts w:ascii="Arial" w:cs="Arial" w:eastAsia="Arial" w:hAnsi="Arial"/>
          <w:sz w:val="17"/>
          <w:szCs w:val="17"/>
          <w:color w:val="auto"/>
        </w:rPr>
        <w:t>During the third quarter of 2013 and 2012, the Company had average borrowings outstanding of approximately $449.8 million and $456.3 million, respectively, at average annual interest rates of approximately 7.0%. During the third quarter of 2013 and 2012, the Company incurred net interest exp of $8.6 million and $8.1 million, respectively.</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the nine months ended September 30, 2013 and 2012, the Company had average borrowings outstanding of approximately $477.5 million and $467.3 million, respectively, at average annual interest rates of approximately 7.0%. During the nine months ended September 30, 2013 and 2012, the Company incurred net interest expense of $25.6 million and $24.4 million, respectively.</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At September 30, 2013 and December 31, 2012, the Company had working capital of $516.7 million and $327.5 million, respectively. The Company maintains working capital levels consistent with its underlying business requirements and consistently generates cash from operations in excess of req interest or principal payments. The Company expects to fund its estimated capital needs primarily through existing cash balances and internally gener funds and to a lesser extent borrowings supported by our Credit Agreement. In management’s opinion, the Company will have sufficient liquidity to me various cash needs throughout 2013.</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There were no significant changes to the Company’s contractual obligations or other commercial commitments from those disclosed in the Company’s Annual Report on Form 10-K for the year ended December 31, 2012.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 to equity price risk; to its borrowing and cash-management activities, which are subject to interest rate risk; and to its foreign business operations, whi subject to foreign exchange rate risk. The Company’s market risk disclosures set forth in its 2012 Annual Report filed on Form 10-K have not otherwis changed significantly.</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 executive officer) and the Company’s Senior Vice President-Finance (the Company’s principal financial officer), of the effectiveness of the Company’s disclosure controls and procedures (as defined in Exchange Act Rules 13a-15(e) and 15d-15(e)), as of September 30, 2013. Based on that evaluation Company’s Chief Executive Officer and Senior Vice President-Finance have concluded that the Company’s disclosure controls and procedures, as de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forms and is accumulated and communicated to management, including the Chief Executive Officer and Senior Vice President-Finance, in a manner t allows timely decisions regarding required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September 30, 2013 that has materially affected, or is reasonably likely to materially affect, the Company’s internal control over financial reporting.</w:t>
      </w:r>
    </w:p>
    <w:p>
      <w:pPr>
        <w:spacing w:after="0" w:line="18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8"/>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3340"/>
              <w:spacing w:after="0"/>
              <w:rPr>
                <w:sz w:val="20"/>
                <w:szCs w:val="20"/>
                <w:color w:val="auto"/>
              </w:rPr>
            </w:pPr>
            <w:r>
              <w:rPr>
                <w:rFonts w:ascii="Arial" w:cs="Arial" w:eastAsia="Arial" w:hAnsi="Arial"/>
                <w:sz w:val="17"/>
                <w:szCs w:val="17"/>
                <w:b w:val="1"/>
                <w:bCs w:val="1"/>
                <w:color w:val="auto"/>
              </w:rPr>
              <w:t>PART II. OTHER INFORMATION</w:t>
            </w:r>
          </w:p>
        </w:tc>
        <w:tc>
          <w:tcPr>
            <w:tcW w:w="0" w:type="dxa"/>
            <w:vAlign w:val="bottom"/>
          </w:tcPr>
          <w:p>
            <w:pPr>
              <w:spacing w:after="0"/>
              <w:rPr>
                <w:sz w:val="1"/>
                <w:szCs w:val="1"/>
                <w:color w:val="auto"/>
              </w:rPr>
            </w:pPr>
          </w:p>
        </w:tc>
      </w:tr>
      <w:tr>
        <w:trPr>
          <w:trHeight w:val="393"/>
        </w:trPr>
        <w:tc>
          <w:tcPr>
            <w:tcW w:w="86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10080" w:type="dxa"/>
            <w:vAlign w:val="bottom"/>
            <w:gridSpan w:val="3"/>
          </w:tcPr>
          <w:p>
            <w:pPr>
              <w:ind w:left="100"/>
              <w:spacing w:after="0"/>
              <w:rPr>
                <w:sz w:val="20"/>
                <w:szCs w:val="20"/>
                <w:color w:val="auto"/>
              </w:rPr>
            </w:pPr>
            <w:r>
              <w:rPr>
                <w:rFonts w:ascii="Arial" w:cs="Arial" w:eastAsia="Arial" w:hAnsi="Arial"/>
                <w:sz w:val="15"/>
                <w:szCs w:val="15"/>
                <w:b w:val="1"/>
                <w:bCs w:val="1"/>
                <w:color w:val="auto"/>
              </w:rPr>
              <w:t>Exhibits.</w:t>
            </w:r>
          </w:p>
        </w:tc>
        <w:tc>
          <w:tcPr>
            <w:tcW w:w="0" w:type="dxa"/>
            <w:vAlign w:val="bottom"/>
          </w:tcPr>
          <w:p>
            <w:pPr>
              <w:spacing w:after="0"/>
              <w:rPr>
                <w:sz w:val="1"/>
                <w:szCs w:val="1"/>
                <w:color w:val="auto"/>
              </w:rPr>
            </w:pPr>
          </w:p>
        </w:tc>
      </w:tr>
      <w:tr>
        <w:trPr>
          <w:trHeight w:val="478"/>
        </w:trPr>
        <w:tc>
          <w:tcPr>
            <w:tcW w:w="860" w:type="dxa"/>
            <w:vAlign w:val="bottom"/>
          </w:tcPr>
          <w:p>
            <w:pPr>
              <w:ind w:left="280"/>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vMerge w:val="restart"/>
          </w:tcPr>
          <w:p>
            <w:pPr>
              <w:ind w:left="474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Number</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8"/>
        </w:trPr>
        <w:tc>
          <w:tcPr>
            <w:tcW w:w="860" w:type="dxa"/>
            <w:vAlign w:val="bottom"/>
          </w:tcPr>
          <w:p>
            <w:pPr>
              <w:ind w:left="160"/>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Restated Certificate of Incorporation of the Company dated November 13, 2003 (incorporated by reference to Exhibit 3.1 to the Company’s Annual 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on Form 10-K for the fiscal year ended December 28, 2003).</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Certificate of Designation for the Company’s Series A Preferred Stock dated September 22, 2003 (incorporated by reference to Exhibit 3.2 to Amend</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No. 1 to the Company’s Current Report on Form 8-K dated September 22, 2003).</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9"/>
              </w:rPr>
              <w:t>By-Laws of the Company as amended and restated through November 8, 2007 (incorporated by reference to Exhibit 3.1 to the Company’s Current 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on Form 8-K dated November 14, 2007).</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Second Supplemental Indenture dated January 30, 2009, between the Company and The Bank of New York Mellon Trust Company, N.A., as success</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The First National Bank of Chicago, as Trustee (incorporated by reference to Exhibit 10.2 to the Company’s Current Report on Form 8-K dated Janua</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0080" w:type="dxa"/>
            <w:vAlign w:val="bottom"/>
            <w:gridSpan w:val="3"/>
          </w:tcPr>
          <w:p>
            <w:pPr>
              <w:ind w:left="280"/>
              <w:spacing w:after="0"/>
              <w:rPr>
                <w:sz w:val="20"/>
                <w:szCs w:val="20"/>
                <w:color w:val="auto"/>
              </w:rPr>
            </w:pPr>
            <w:r>
              <w:rPr>
                <w:rFonts w:ascii="Arial" w:cs="Arial" w:eastAsia="Arial" w:hAnsi="Arial"/>
                <w:sz w:val="15"/>
                <w:szCs w:val="15"/>
                <w:color w:val="auto"/>
              </w:rPr>
              <w:t>2009).</w:t>
            </w:r>
          </w:p>
        </w:tc>
        <w:tc>
          <w:tcPr>
            <w:tcW w:w="0" w:type="dxa"/>
            <w:vAlign w:val="bottom"/>
          </w:tcPr>
          <w:p>
            <w:pPr>
              <w:spacing w:after="0"/>
              <w:rPr>
                <w:sz w:val="1"/>
                <w:szCs w:val="1"/>
                <w:color w:val="auto"/>
              </w:rPr>
            </w:pPr>
          </w:p>
        </w:tc>
      </w:tr>
      <w:tr>
        <w:trPr>
          <w:trHeight w:val="342"/>
        </w:trPr>
        <w:tc>
          <w:tcPr>
            <w:tcW w:w="860" w:type="dxa"/>
            <w:vAlign w:val="bottom"/>
          </w:tcPr>
          <w:p>
            <w:pPr>
              <w:ind w:left="160"/>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Four Year Credit Agreement, dated as of June 17, 2011, among the Company, JPMorgan Chase Bank, N.A., J.P. Morgan Australia Limited, Wells Far</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Bank, N.A., The Royal Bank of Scotland PLC, HSBC Bank USA, National Association, The Bank of New York Mellon, PNC Bank, National Associatio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w w:val="98"/>
              </w:rPr>
              <w:t>Bank of America, N.A., Citibank, N.A. and The Northern Trust Company (incorporated by reference to Exhibit 10.1 to the Company’s Current Report o</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Form 8-K dated June 17, 2011).</w:t>
            </w:r>
          </w:p>
        </w:tc>
        <w:tc>
          <w:tcPr>
            <w:tcW w:w="0" w:type="dxa"/>
            <w:vAlign w:val="bottom"/>
          </w:tcPr>
          <w:p>
            <w:pPr>
              <w:spacing w:after="0"/>
              <w:rPr>
                <w:sz w:val="1"/>
                <w:szCs w:val="1"/>
                <w:color w:val="auto"/>
              </w:rPr>
            </w:pPr>
          </w:p>
        </w:tc>
      </w:tr>
      <w:tr>
        <w:trPr>
          <w:trHeight w:val="347"/>
        </w:trPr>
        <w:tc>
          <w:tcPr>
            <w:tcW w:w="860" w:type="dxa"/>
            <w:vAlign w:val="bottom"/>
          </w:tcPr>
          <w:p>
            <w:pPr>
              <w:ind w:left="160"/>
              <w:spacing w:after="0"/>
              <w:rPr>
                <w:sz w:val="20"/>
                <w:szCs w:val="20"/>
                <w:color w:val="auto"/>
              </w:rPr>
            </w:pPr>
            <w:r>
              <w:rPr>
                <w:rFonts w:ascii="Arial" w:cs="Arial" w:eastAsia="Arial" w:hAnsi="Arial"/>
                <w:sz w:val="15"/>
                <w:szCs w:val="15"/>
                <w:color w:val="auto"/>
              </w:rPr>
              <w:t>31.1</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Executive Officer.</w:t>
            </w:r>
          </w:p>
        </w:tc>
        <w:tc>
          <w:tcPr>
            <w:tcW w:w="0" w:type="dxa"/>
            <w:vAlign w:val="bottom"/>
          </w:tcPr>
          <w:p>
            <w:pPr>
              <w:spacing w:after="0"/>
              <w:rPr>
                <w:sz w:val="1"/>
                <w:szCs w:val="1"/>
                <w:color w:val="auto"/>
              </w:rPr>
            </w:pPr>
          </w:p>
        </w:tc>
      </w:tr>
      <w:tr>
        <w:trPr>
          <w:trHeight w:val="347"/>
        </w:trPr>
        <w:tc>
          <w:tcPr>
            <w:tcW w:w="860" w:type="dxa"/>
            <w:vAlign w:val="bottom"/>
          </w:tcPr>
          <w:p>
            <w:pPr>
              <w:ind w:left="160"/>
              <w:spacing w:after="0"/>
              <w:rPr>
                <w:sz w:val="20"/>
                <w:szCs w:val="20"/>
                <w:color w:val="auto"/>
              </w:rPr>
            </w:pPr>
            <w:r>
              <w:rPr>
                <w:rFonts w:ascii="Arial" w:cs="Arial" w:eastAsia="Arial" w:hAnsi="Arial"/>
                <w:sz w:val="15"/>
                <w:szCs w:val="15"/>
                <w:color w:val="auto"/>
              </w:rPr>
              <w:t>31.2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16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9920" w:type="dxa"/>
            <w:vAlign w:val="bottom"/>
            <w:gridSpan w:val="2"/>
          </w:tcPr>
          <w:p>
            <w:pPr>
              <w:ind w:left="120"/>
              <w:spacing w:after="0"/>
              <w:rPr>
                <w:sz w:val="20"/>
                <w:szCs w:val="20"/>
                <w:color w:val="auto"/>
              </w:rPr>
            </w:pPr>
            <w:r>
              <w:rPr>
                <w:rFonts w:ascii="Arial" w:cs="Arial" w:eastAsia="Arial" w:hAnsi="Arial"/>
                <w:sz w:val="15"/>
                <w:szCs w:val="15"/>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140" w:hanging="984"/>
        <w:spacing w:after="0" w:line="242" w:lineRule="auto"/>
        <w:tabs>
          <w:tab w:leader="none" w:pos="11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following financial information from The Washington Post Company Quarterly Report on Form 10-Q for the period ended September 30, 2013, formatted in Extensible Business Reporting Language (XBRL): (i) Condensed Consolidated Statements of Operations for the Three and Nine Months September 30, 2013 and 2012, (ii) Condensed Consolidated Statements of Comprehensive Income for the Three and Nine Months Ended Septembe 2013 and 2012, (iii) Condensed Consolidated Balance Sheets as of September 30, 2013 and December 31, 2012, (iv) Condensed Consolidated Stat of Cash Flows for the Nine Months Ended September 30, 2013 and 2012, and (v) Notes to Condensed Consolidated Financial Statements. Pursuant Rule 406T of Regulation S-T, these interactive data files are deemed “furnished” and not “filed” or part of a registration statement or prospectus for pu of Sections 11 or 12 of the Securities Act of 1933, are deemed “furnished” and not “filed” for purposes of Section 18 of the Securities Exchange Act of and otherwise are not subject to liability under these sections.</w:t>
      </w:r>
    </w:p>
    <w:p>
      <w:pPr>
        <w:spacing w:after="0" w:line="35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ind w:left="1160"/>
        <w:spacing w:after="0"/>
        <w:rPr>
          <w:sz w:val="20"/>
          <w:szCs w:val="20"/>
          <w:color w:val="auto"/>
        </w:rPr>
      </w:pPr>
      <w:r>
        <w:rPr>
          <w:rFonts w:ascii="Arial" w:cs="Arial" w:eastAsia="Arial" w:hAnsi="Arial"/>
          <w:sz w:val="20"/>
          <w:szCs w:val="20"/>
          <w:b w:val="1"/>
          <w:bCs w:val="1"/>
          <w:color w:val="auto"/>
        </w:rPr>
        <w:t>SIGNATURES</w:t>
      </w:r>
    </w:p>
    <w:p>
      <w:pPr>
        <w:spacing w:after="0" w:line="172" w:lineRule="exact"/>
        <w:rPr>
          <w:sz w:val="20"/>
          <w:szCs w:val="20"/>
          <w:color w:val="auto"/>
        </w:rPr>
      </w:pPr>
    </w:p>
    <w:p>
      <w:pPr>
        <w:ind w:right="46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left="8780"/>
        <w:spacing w:after="0"/>
        <w:rPr>
          <w:sz w:val="20"/>
          <w:szCs w:val="20"/>
          <w:color w:val="auto"/>
        </w:rPr>
      </w:pPr>
      <w:r>
        <w:rPr>
          <w:rFonts w:ascii="Arial" w:cs="Arial" w:eastAsia="Arial" w:hAnsi="Arial"/>
          <w:sz w:val="16"/>
          <w:szCs w:val="16"/>
          <w:color w:val="auto"/>
        </w:rPr>
        <w:t>THE WASHINGTON POST COMPANY</w:t>
      </w:r>
    </w:p>
    <w:p>
      <w:pPr>
        <w:spacing w:after="0" w:line="2" w:lineRule="exact"/>
        <w:rPr>
          <w:sz w:val="20"/>
          <w:szCs w:val="20"/>
          <w:color w:val="auto"/>
        </w:rPr>
      </w:pPr>
    </w:p>
    <w:p>
      <w:pPr>
        <w:jc w:val="center"/>
        <w:ind w:left="8820"/>
        <w:spacing w:after="0"/>
        <w:rPr>
          <w:sz w:val="20"/>
          <w:szCs w:val="20"/>
          <w:color w:val="auto"/>
        </w:rPr>
      </w:pPr>
      <w:r>
        <w:rPr>
          <w:rFonts w:ascii="Arial" w:cs="Arial" w:eastAsia="Arial" w:hAnsi="Arial"/>
          <w:sz w:val="17"/>
          <w:szCs w:val="17"/>
          <w:color w:val="auto"/>
        </w:rPr>
        <w:t>(Registrant)</w:t>
      </w:r>
    </w:p>
    <w:p>
      <w:pPr>
        <w:spacing w:after="0" w:line="226" w:lineRule="exact"/>
        <w:rPr>
          <w:sz w:val="20"/>
          <w:szCs w:val="20"/>
          <w:color w:val="auto"/>
        </w:rPr>
      </w:pPr>
    </w:p>
    <w:p>
      <w:pPr>
        <w:spacing w:after="0"/>
        <w:tabs>
          <w:tab w:leader="none" w:pos="8720" w:val="left"/>
        </w:tabs>
        <w:rPr>
          <w:sz w:val="20"/>
          <w:szCs w:val="20"/>
          <w:color w:val="auto"/>
        </w:rPr>
      </w:pPr>
      <w:r>
        <w:rPr>
          <w:rFonts w:ascii="Arial" w:cs="Arial" w:eastAsia="Arial" w:hAnsi="Arial"/>
          <w:sz w:val="17"/>
          <w:szCs w:val="17"/>
          <w:color w:val="auto"/>
        </w:rPr>
        <w:t>Date: November 5, 2013</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-5080</wp:posOffset>
            </wp:positionV>
            <wp:extent cx="20834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83435" cy="7620"/>
                    </a:xfrm>
                    <a:prstGeom prst="rect">
                      <a:avLst/>
                    </a:prstGeom>
                    <a:noFill/>
                  </pic:spPr>
                </pic:pic>
              </a:graphicData>
            </a:graphic>
          </wp:anchor>
        </w:drawing>
      </w:r>
    </w:p>
    <w:p>
      <w:pPr>
        <w:spacing w:after="0" w:line="84"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Donald E. Graham,</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Chairman &amp; Chief Executive Officer</w:t>
      </w:r>
    </w:p>
    <w:p>
      <w:pPr>
        <w:jc w:val="center"/>
        <w:ind w:left="8820"/>
        <w:spacing w:after="0"/>
        <w:rPr>
          <w:sz w:val="20"/>
          <w:szCs w:val="20"/>
          <w:color w:val="auto"/>
        </w:rPr>
      </w:pPr>
      <w:r>
        <w:rPr>
          <w:rFonts w:ascii="Arial" w:cs="Arial" w:eastAsia="Arial" w:hAnsi="Arial"/>
          <w:sz w:val="13"/>
          <w:szCs w:val="13"/>
          <w:b w:val="1"/>
          <w:bCs w:val="1"/>
          <w:color w:val="auto"/>
        </w:rPr>
        <w:t>(Principal Executive Officer)</w:t>
      </w:r>
    </w:p>
    <w:p>
      <w:pPr>
        <w:spacing w:after="0" w:line="230" w:lineRule="exact"/>
        <w:rPr>
          <w:sz w:val="20"/>
          <w:szCs w:val="20"/>
          <w:color w:val="auto"/>
        </w:rPr>
      </w:pPr>
    </w:p>
    <w:p>
      <w:pPr>
        <w:spacing w:after="0"/>
        <w:tabs>
          <w:tab w:leader="none" w:pos="8940" w:val="left"/>
        </w:tabs>
        <w:rPr>
          <w:sz w:val="20"/>
          <w:szCs w:val="20"/>
          <w:color w:val="auto"/>
        </w:rPr>
      </w:pPr>
      <w:r>
        <w:rPr>
          <w:rFonts w:ascii="Arial" w:cs="Arial" w:eastAsia="Arial" w:hAnsi="Arial"/>
          <w:sz w:val="17"/>
          <w:szCs w:val="17"/>
          <w:color w:val="auto"/>
        </w:rPr>
        <w:t>Date: November 5, 2013</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-5080</wp:posOffset>
            </wp:positionV>
            <wp:extent cx="20834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83435" cy="7620"/>
                    </a:xfrm>
                    <a:prstGeom prst="rect">
                      <a:avLst/>
                    </a:prstGeom>
                    <a:noFill/>
                  </pic:spPr>
                </pic:pic>
              </a:graphicData>
            </a:graphic>
          </wp:anchor>
        </w:drawing>
      </w:r>
    </w:p>
    <w:p>
      <w:pPr>
        <w:spacing w:after="0" w:line="84"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Hal S. Jones,</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Senior Vice President-Finance</w:t>
      </w:r>
    </w:p>
    <w:p>
      <w:pPr>
        <w:jc w:val="center"/>
        <w:ind w:left="8820"/>
        <w:spacing w:after="0"/>
        <w:rPr>
          <w:sz w:val="20"/>
          <w:szCs w:val="20"/>
          <w:color w:val="auto"/>
        </w:rPr>
      </w:pPr>
      <w:r>
        <w:rPr>
          <w:rFonts w:ascii="Arial" w:cs="Arial" w:eastAsia="Arial" w:hAnsi="Arial"/>
          <w:sz w:val="13"/>
          <w:szCs w:val="13"/>
          <w:b w:val="1"/>
          <w:bCs w:val="1"/>
          <w:color w:val="auto"/>
        </w:rPr>
        <w:t>(Principal Financial Officer)</w:t>
      </w:r>
    </w:p>
    <w:p>
      <w:pPr>
        <w:spacing w:after="0" w:line="23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0" w:right="1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EXECUTIVE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5055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558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330835</wp:posOffset>
            </wp:positionV>
            <wp:extent cx="727837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FINANCIAL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0652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0652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330835</wp:posOffset>
            </wp:positionV>
            <wp:extent cx="727837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6" w:right="1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connection with the Quarterly Report of The Washington Post Company (the “Company”) on Form 10-Q for the period ended September 30, 2013 (t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38" w:lineRule="exact"/>
        <w:rPr>
          <w:sz w:val="20"/>
          <w:szCs w:val="20"/>
          <w:color w:val="auto"/>
        </w:rPr>
      </w:pPr>
    </w:p>
    <w:p>
      <w:pPr>
        <w:ind w:left="249" w:hanging="249"/>
        <w:spacing w:after="0"/>
        <w:tabs>
          <w:tab w:leader="none" w:pos="2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478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780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November 5, 2013</w:t>
      </w:r>
    </w:p>
    <w:p>
      <w:pPr>
        <w:spacing w:after="0" w:line="32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0652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0652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727837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decimal"/>
      <w:start w:val="70"/>
    </w:lvl>
  </w:abstractNum>
  <w:abstractNum w:abstractNumId="4">
    <w:nsid w:val="1190CDE7"/>
    <w:multiLevelType w:val="hybridMultilevel"/>
    <w:lvl w:ilvl="0">
      <w:lvlJc w:val="left"/>
      <w:lvlText w:val="(%1)"/>
      <w:numFmt w:val="decimal"/>
      <w:start w:val="714"/>
    </w:lvl>
  </w:abstractNum>
  <w:abstractNum w:abstractNumId="5">
    <w:nsid w:val="66EF438D"/>
    <w:multiLevelType w:val="hybridMultilevel"/>
    <w:lvl w:ilvl="0">
      <w:lvlJc w:val="left"/>
      <w:lvlText w:val="(%1)"/>
      <w:numFmt w:val="decimal"/>
      <w:start w:val="649"/>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lvl w:ilvl="1">
      <w:lvlJc w:val="left"/>
      <w:lvlText w:val="%2."/>
      <w:numFmt w:val="decimal"/>
      <w:start w:val="1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0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2019-12-05T16:58:43Z</dcterms:created>
  <dcterms:modified xsi:type="dcterms:W3CDTF">2019-12-05T16:58:43Z</dcterms:modified>
</cp:coreProperties>
</file>