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left="1160"/>
        <w:spacing w:after="0"/>
        <w:rPr>
          <w:sz w:val="20"/>
          <w:szCs w:val="20"/>
          <w:color w:val="auto"/>
        </w:rPr>
      </w:pPr>
      <w:r>
        <w:rPr>
          <w:rFonts w:ascii="Arial" w:cs="Arial" w:eastAsia="Arial" w:hAnsi="Arial"/>
          <w:sz w:val="30"/>
          <w:szCs w:val="30"/>
          <w:b w:val="1"/>
          <w:bCs w:val="1"/>
          <w:color w:val="auto"/>
        </w:rPr>
        <w:drawing>
          <wp:anchor simplePos="0" relativeHeight="251657728" behindDoc="1" locked="0" layoutInCell="0" allowOverlap="1">
            <wp:simplePos x="0" y="0"/>
            <wp:positionH relativeFrom="page">
              <wp:posOffset>514350</wp:posOffset>
            </wp:positionH>
            <wp:positionV relativeFrom="page">
              <wp:posOffset>514350</wp:posOffset>
            </wp:positionV>
            <wp:extent cx="6953250"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53250" cy="7620"/>
                    </a:xfrm>
                    <a:prstGeom prst="rect">
                      <a:avLst/>
                    </a:prstGeom>
                    <a:noFill/>
                  </pic:spPr>
                </pic:pic>
              </a:graphicData>
            </a:graphic>
          </wp:anchor>
        </w:drawing>
        <w:drawing>
          <wp:anchor simplePos="0" relativeHeight="251657728" behindDoc="1" locked="0" layoutInCell="0" allowOverlap="1">
            <wp:simplePos x="0" y="0"/>
            <wp:positionH relativeFrom="page">
              <wp:posOffset>514350</wp:posOffset>
            </wp:positionH>
            <wp:positionV relativeFrom="page">
              <wp:posOffset>553720</wp:posOffset>
            </wp:positionV>
            <wp:extent cx="695325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53250" cy="7620"/>
                    </a:xfrm>
                    <a:prstGeom prst="rect">
                      <a:avLst/>
                    </a:prstGeom>
                    <a:noFill/>
                  </pic:spPr>
                </pic:pic>
              </a:graphicData>
            </a:graphic>
          </wp:anchor>
        </w:drawing>
        <w:t>UNITED STATES</w:t>
      </w:r>
    </w:p>
    <w:p>
      <w:pPr>
        <w:spacing w:after="0" w:line="34" w:lineRule="exact"/>
        <w:rPr>
          <w:sz w:val="24"/>
          <w:szCs w:val="24"/>
          <w:color w:val="auto"/>
        </w:rPr>
      </w:pPr>
    </w:p>
    <w:p>
      <w:pPr>
        <w:jc w:val="center"/>
        <w:ind w:left="1160"/>
        <w:spacing w:after="0"/>
        <w:rPr>
          <w:sz w:val="20"/>
          <w:szCs w:val="20"/>
          <w:color w:val="auto"/>
        </w:rPr>
      </w:pPr>
      <w:r>
        <w:rPr>
          <w:rFonts w:ascii="Arial" w:cs="Arial" w:eastAsia="Arial" w:hAnsi="Arial"/>
          <w:sz w:val="30"/>
          <w:szCs w:val="30"/>
          <w:b w:val="1"/>
          <w:bCs w:val="1"/>
          <w:color w:val="auto"/>
        </w:rPr>
        <w:t>SECURITIES AND EXCHANGE COMMISSION</w:t>
      </w:r>
    </w:p>
    <w:p>
      <w:pPr>
        <w:jc w:val="center"/>
        <w:ind w:left="1160"/>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2268855</wp:posOffset>
            </wp:positionH>
            <wp:positionV relativeFrom="paragraph">
              <wp:posOffset>93980</wp:posOffset>
            </wp:positionV>
            <wp:extent cx="271843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718435" cy="7620"/>
                    </a:xfrm>
                    <a:prstGeom prst="rect">
                      <a:avLst/>
                    </a:prstGeom>
                    <a:noFill/>
                  </pic:spPr>
                </pic:pic>
              </a:graphicData>
            </a:graphic>
          </wp:anchor>
        </w:drawing>
      </w:r>
    </w:p>
    <w:p>
      <w:pPr>
        <w:spacing w:after="0" w:line="181" w:lineRule="exact"/>
        <w:rPr>
          <w:sz w:val="24"/>
          <w:szCs w:val="24"/>
          <w:color w:val="auto"/>
        </w:rPr>
      </w:pPr>
    </w:p>
    <w:p>
      <w:pPr>
        <w:jc w:val="center"/>
        <w:ind w:left="1160"/>
        <w:spacing w:after="0"/>
        <w:rPr>
          <w:sz w:val="20"/>
          <w:szCs w:val="20"/>
          <w:color w:val="auto"/>
        </w:rPr>
      </w:pPr>
      <w:r>
        <w:rPr>
          <w:rFonts w:ascii="Arial" w:cs="Arial" w:eastAsia="Arial" w:hAnsi="Arial"/>
          <w:sz w:val="30"/>
          <w:szCs w:val="30"/>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2268855</wp:posOffset>
            </wp:positionH>
            <wp:positionV relativeFrom="paragraph">
              <wp:posOffset>157480</wp:posOffset>
            </wp:positionV>
            <wp:extent cx="271843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718435" cy="7620"/>
                    </a:xfrm>
                    <a:prstGeom prst="rect">
                      <a:avLst/>
                    </a:prstGeom>
                    <a:noFill/>
                  </pic:spPr>
                </pic:pic>
              </a:graphicData>
            </a:graphic>
          </wp:anchor>
        </w:drawing>
      </w:r>
    </w:p>
    <w:p>
      <w:pPr>
        <w:spacing w:after="0" w:line="285" w:lineRule="exact"/>
        <w:rPr>
          <w:sz w:val="24"/>
          <w:szCs w:val="24"/>
          <w:color w:val="auto"/>
        </w:rPr>
      </w:pPr>
    </w:p>
    <w:p>
      <w:pPr>
        <w:jc w:val="center"/>
        <w:ind w:left="1160"/>
        <w:spacing w:after="0"/>
        <w:rPr>
          <w:sz w:val="20"/>
          <w:szCs w:val="20"/>
          <w:color w:val="auto"/>
        </w:rPr>
      </w:pPr>
      <w:r>
        <w:rPr>
          <w:rFonts w:ascii="Arial" w:cs="Arial" w:eastAsia="Arial" w:hAnsi="Arial"/>
          <w:sz w:val="20"/>
          <w:szCs w:val="20"/>
          <w:b w:val="1"/>
          <w:bCs w:val="1"/>
          <w:color w:val="auto"/>
        </w:rPr>
        <w:t>CURRENT REPORT</w:t>
      </w:r>
    </w:p>
    <w:p>
      <w:pPr>
        <w:spacing w:after="0" w:line="68" w:lineRule="exact"/>
        <w:rPr>
          <w:sz w:val="24"/>
          <w:szCs w:val="24"/>
          <w:color w:val="auto"/>
        </w:rPr>
      </w:pPr>
    </w:p>
    <w:p>
      <w:pPr>
        <w:jc w:val="center"/>
        <w:ind w:left="1160"/>
        <w:spacing w:after="0"/>
        <w:rPr>
          <w:sz w:val="20"/>
          <w:szCs w:val="20"/>
          <w:color w:val="auto"/>
        </w:rPr>
      </w:pPr>
      <w:r>
        <w:rPr>
          <w:rFonts w:ascii="Arial" w:cs="Arial" w:eastAsia="Arial" w:hAnsi="Arial"/>
          <w:sz w:val="20"/>
          <w:szCs w:val="20"/>
          <w:b w:val="1"/>
          <w:bCs w:val="1"/>
          <w:color w:val="auto"/>
        </w:rPr>
        <w:t>Pursuant to Section 13 or 15(d) of the Securities Exchange Act of 1934</w:t>
      </w:r>
    </w:p>
    <w:p>
      <w:pPr>
        <w:spacing w:after="0" w:line="142" w:lineRule="exact"/>
        <w:rPr>
          <w:sz w:val="24"/>
          <w:szCs w:val="24"/>
          <w:color w:val="auto"/>
        </w:rPr>
      </w:pPr>
    </w:p>
    <w:p>
      <w:pPr>
        <w:jc w:val="center"/>
        <w:ind w:left="1160"/>
        <w:spacing w:after="0"/>
        <w:rPr>
          <w:sz w:val="20"/>
          <w:szCs w:val="20"/>
          <w:color w:val="auto"/>
        </w:rPr>
      </w:pPr>
      <w:r>
        <w:rPr>
          <w:rFonts w:ascii="Arial" w:cs="Arial" w:eastAsia="Arial" w:hAnsi="Arial"/>
          <w:sz w:val="20"/>
          <w:szCs w:val="20"/>
          <w:b w:val="1"/>
          <w:bCs w:val="1"/>
          <w:color w:val="auto"/>
        </w:rPr>
        <w:t xml:space="preserve">Date of Report (Date of earliest event reported) </w:t>
      </w:r>
      <w:r>
        <w:rPr>
          <w:rFonts w:ascii="Arial" w:cs="Arial" w:eastAsia="Arial" w:hAnsi="Arial"/>
          <w:sz w:val="20"/>
          <w:szCs w:val="20"/>
          <w:b w:val="1"/>
          <w:bCs w:val="1"/>
          <w:u w:val="single" w:color="auto"/>
          <w:color w:val="auto"/>
        </w:rPr>
        <w:t>September 27, 2012</w:t>
      </w:r>
    </w:p>
    <w:p>
      <w:pPr>
        <w:spacing w:after="0" w:line="48" w:lineRule="exact"/>
        <w:rPr>
          <w:sz w:val="24"/>
          <w:szCs w:val="24"/>
          <w:color w:val="auto"/>
        </w:rPr>
      </w:pPr>
    </w:p>
    <w:p>
      <w:pPr>
        <w:jc w:val="center"/>
        <w:ind w:left="1160"/>
        <w:spacing w:after="0"/>
        <w:rPr>
          <w:sz w:val="20"/>
          <w:szCs w:val="20"/>
          <w:color w:val="auto"/>
        </w:rPr>
      </w:pPr>
      <w:r>
        <w:rPr>
          <w:rFonts w:ascii="Arial" w:cs="Arial" w:eastAsia="Arial" w:hAnsi="Arial"/>
          <w:sz w:val="40"/>
          <w:szCs w:val="40"/>
          <w:b w:val="1"/>
          <w:bCs w:val="1"/>
          <w:color w:val="auto"/>
        </w:rPr>
        <w:t>THE WASHINGTON POST COMPANY</w:t>
      </w:r>
    </w:p>
    <w:p>
      <w:pPr>
        <w:spacing w:after="0" w:line="48" w:lineRule="exact"/>
        <w:rPr>
          <w:sz w:val="24"/>
          <w:szCs w:val="24"/>
          <w:color w:val="auto"/>
        </w:rPr>
      </w:pPr>
    </w:p>
    <w:p>
      <w:pPr>
        <w:ind w:left="3669"/>
        <w:spacing w:after="0"/>
        <w:rPr>
          <w:sz w:val="20"/>
          <w:szCs w:val="20"/>
          <w:color w:val="auto"/>
        </w:rPr>
      </w:pPr>
      <w:r>
        <w:rPr>
          <w:rFonts w:ascii="Arial" w:cs="Arial" w:eastAsia="Arial" w:hAnsi="Arial"/>
          <w:sz w:val="17"/>
          <w:szCs w:val="17"/>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2268855</wp:posOffset>
            </wp:positionH>
            <wp:positionV relativeFrom="paragraph">
              <wp:posOffset>97155</wp:posOffset>
            </wp:positionV>
            <wp:extent cx="271843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718435" cy="7620"/>
                    </a:xfrm>
                    <a:prstGeom prst="rect">
                      <a:avLst/>
                    </a:prstGeom>
                    <a:noFill/>
                  </pic:spPr>
                </pic:pic>
              </a:graphicData>
            </a:graphic>
          </wp:anchor>
        </w:drawing>
      </w:r>
    </w:p>
    <w:p>
      <w:pPr>
        <w:spacing w:after="0" w:line="208" w:lineRule="exact"/>
        <w:rPr>
          <w:sz w:val="24"/>
          <w:szCs w:val="24"/>
          <w:color w:val="auto"/>
        </w:rPr>
      </w:pPr>
    </w:p>
    <w:tbl>
      <w:tblPr>
        <w:tblLayout w:type="fixed"/>
        <w:tblInd w:w="1109" w:type="dxa"/>
        <w:tblCellMar>
          <w:top w:w="0" w:type="dxa"/>
          <w:left w:w="0" w:type="dxa"/>
          <w:bottom w:w="0" w:type="dxa"/>
          <w:right w:w="0" w:type="dxa"/>
        </w:tblCellMar>
      </w:tblPr>
      <w:tr>
        <w:trPr>
          <w:trHeight w:val="195"/>
        </w:trPr>
        <w:tc>
          <w:tcPr>
            <w:tcW w:w="2460" w:type="dxa"/>
            <w:vAlign w:val="bottom"/>
          </w:tcPr>
          <w:p>
            <w:pPr>
              <w:jc w:val="center"/>
              <w:ind w:right="590"/>
              <w:spacing w:after="0"/>
              <w:rPr>
                <w:sz w:val="20"/>
                <w:szCs w:val="20"/>
                <w:color w:val="auto"/>
              </w:rPr>
            </w:pPr>
            <w:r>
              <w:rPr>
                <w:rFonts w:ascii="Arial" w:cs="Arial" w:eastAsia="Arial" w:hAnsi="Arial"/>
                <w:sz w:val="17"/>
                <w:szCs w:val="17"/>
                <w:b w:val="1"/>
                <w:bCs w:val="1"/>
                <w:color w:val="auto"/>
                <w:w w:val="96"/>
              </w:rPr>
              <w:t>Delaware</w:t>
            </w:r>
          </w:p>
        </w:tc>
        <w:tc>
          <w:tcPr>
            <w:tcW w:w="4280" w:type="dxa"/>
            <w:vAlign w:val="bottom"/>
          </w:tcPr>
          <w:p>
            <w:pPr>
              <w:jc w:val="center"/>
              <w:ind w:left="70"/>
              <w:spacing w:after="0"/>
              <w:rPr>
                <w:sz w:val="20"/>
                <w:szCs w:val="20"/>
                <w:color w:val="auto"/>
              </w:rPr>
            </w:pPr>
            <w:r>
              <w:rPr>
                <w:rFonts w:ascii="Arial" w:cs="Arial" w:eastAsia="Arial" w:hAnsi="Arial"/>
                <w:sz w:val="17"/>
                <w:szCs w:val="17"/>
                <w:b w:val="1"/>
                <w:bCs w:val="1"/>
                <w:color w:val="auto"/>
                <w:w w:val="94"/>
              </w:rPr>
              <w:t>1-6714</w:t>
            </w:r>
          </w:p>
        </w:tc>
        <w:tc>
          <w:tcPr>
            <w:tcW w:w="2160" w:type="dxa"/>
            <w:vAlign w:val="bottom"/>
          </w:tcPr>
          <w:p>
            <w:pPr>
              <w:jc w:val="right"/>
              <w:ind w:right="10"/>
              <w:spacing w:after="0"/>
              <w:rPr>
                <w:sz w:val="20"/>
                <w:szCs w:val="20"/>
                <w:color w:val="auto"/>
              </w:rPr>
            </w:pPr>
            <w:r>
              <w:rPr>
                <w:rFonts w:ascii="Arial" w:cs="Arial" w:eastAsia="Arial" w:hAnsi="Arial"/>
                <w:sz w:val="17"/>
                <w:szCs w:val="17"/>
                <w:b w:val="1"/>
                <w:bCs w:val="1"/>
                <w:color w:val="auto"/>
              </w:rPr>
              <w:t>53-0182885</w:t>
            </w:r>
          </w:p>
        </w:tc>
      </w:tr>
      <w:tr>
        <w:trPr>
          <w:trHeight w:val="137"/>
        </w:trPr>
        <w:tc>
          <w:tcPr>
            <w:tcW w:w="2460" w:type="dxa"/>
            <w:vAlign w:val="bottom"/>
          </w:tcPr>
          <w:p>
            <w:pPr>
              <w:jc w:val="center"/>
              <w:ind w:right="610"/>
              <w:spacing w:after="0" w:line="137" w:lineRule="exact"/>
              <w:rPr>
                <w:sz w:val="20"/>
                <w:szCs w:val="20"/>
                <w:color w:val="auto"/>
              </w:rPr>
            </w:pPr>
            <w:r>
              <w:rPr>
                <w:rFonts w:ascii="Arial" w:cs="Arial" w:eastAsia="Arial" w:hAnsi="Arial"/>
                <w:sz w:val="12"/>
                <w:szCs w:val="12"/>
                <w:b w:val="1"/>
                <w:bCs w:val="1"/>
                <w:color w:val="auto"/>
              </w:rPr>
              <w:t>(State or other jurisdiction of</w:t>
            </w:r>
          </w:p>
        </w:tc>
        <w:tc>
          <w:tcPr>
            <w:tcW w:w="4280" w:type="dxa"/>
            <w:vAlign w:val="bottom"/>
          </w:tcPr>
          <w:p>
            <w:pPr>
              <w:jc w:val="center"/>
              <w:ind w:left="70"/>
              <w:spacing w:after="0" w:line="137" w:lineRule="exact"/>
              <w:rPr>
                <w:sz w:val="20"/>
                <w:szCs w:val="20"/>
                <w:color w:val="auto"/>
              </w:rPr>
            </w:pPr>
            <w:r>
              <w:rPr>
                <w:rFonts w:ascii="Arial" w:cs="Arial" w:eastAsia="Arial" w:hAnsi="Arial"/>
                <w:sz w:val="12"/>
                <w:szCs w:val="12"/>
                <w:b w:val="1"/>
                <w:bCs w:val="1"/>
                <w:color w:val="auto"/>
              </w:rPr>
              <w:t>(Commission</w:t>
            </w:r>
          </w:p>
        </w:tc>
        <w:tc>
          <w:tcPr>
            <w:tcW w:w="2160" w:type="dxa"/>
            <w:vAlign w:val="bottom"/>
          </w:tcPr>
          <w:p>
            <w:pPr>
              <w:jc w:val="center"/>
              <w:ind w:left="1050"/>
              <w:spacing w:after="0" w:line="137" w:lineRule="exact"/>
              <w:rPr>
                <w:sz w:val="20"/>
                <w:szCs w:val="20"/>
                <w:color w:val="auto"/>
              </w:rPr>
            </w:pPr>
            <w:r>
              <w:rPr>
                <w:rFonts w:ascii="Arial" w:cs="Arial" w:eastAsia="Arial" w:hAnsi="Arial"/>
                <w:sz w:val="12"/>
                <w:szCs w:val="12"/>
                <w:b w:val="1"/>
                <w:bCs w:val="1"/>
                <w:color w:val="auto"/>
              </w:rPr>
              <w:t>(I.R.S. Employer</w:t>
            </w:r>
          </w:p>
        </w:tc>
      </w:tr>
      <w:tr>
        <w:trPr>
          <w:trHeight w:val="162"/>
        </w:trPr>
        <w:tc>
          <w:tcPr>
            <w:tcW w:w="2460" w:type="dxa"/>
            <w:vAlign w:val="bottom"/>
          </w:tcPr>
          <w:p>
            <w:pPr>
              <w:jc w:val="center"/>
              <w:ind w:right="610"/>
              <w:spacing w:after="0"/>
              <w:rPr>
                <w:sz w:val="20"/>
                <w:szCs w:val="20"/>
                <w:color w:val="auto"/>
              </w:rPr>
            </w:pPr>
            <w:r>
              <w:rPr>
                <w:rFonts w:ascii="Arial" w:cs="Arial" w:eastAsia="Arial" w:hAnsi="Arial"/>
                <w:sz w:val="12"/>
                <w:szCs w:val="12"/>
                <w:b w:val="1"/>
                <w:bCs w:val="1"/>
                <w:color w:val="auto"/>
              </w:rPr>
              <w:t>incorporation or organization)</w:t>
            </w:r>
          </w:p>
        </w:tc>
        <w:tc>
          <w:tcPr>
            <w:tcW w:w="4280" w:type="dxa"/>
            <w:vAlign w:val="bottom"/>
          </w:tcPr>
          <w:p>
            <w:pPr>
              <w:jc w:val="center"/>
              <w:ind w:left="50"/>
              <w:spacing w:after="0"/>
              <w:rPr>
                <w:sz w:val="20"/>
                <w:szCs w:val="20"/>
                <w:color w:val="auto"/>
              </w:rPr>
            </w:pPr>
            <w:r>
              <w:rPr>
                <w:rFonts w:ascii="Arial" w:cs="Arial" w:eastAsia="Arial" w:hAnsi="Arial"/>
                <w:sz w:val="12"/>
                <w:szCs w:val="12"/>
                <w:b w:val="1"/>
                <w:bCs w:val="1"/>
                <w:color w:val="auto"/>
              </w:rPr>
              <w:t>File Number)</w:t>
            </w:r>
          </w:p>
        </w:tc>
        <w:tc>
          <w:tcPr>
            <w:tcW w:w="2160" w:type="dxa"/>
            <w:vAlign w:val="bottom"/>
          </w:tcPr>
          <w:p>
            <w:pPr>
              <w:jc w:val="center"/>
              <w:ind w:left="1050"/>
              <w:spacing w:after="0"/>
              <w:rPr>
                <w:sz w:val="20"/>
                <w:szCs w:val="20"/>
                <w:color w:val="auto"/>
              </w:rPr>
            </w:pPr>
            <w:r>
              <w:rPr>
                <w:rFonts w:ascii="Arial" w:cs="Arial" w:eastAsia="Arial" w:hAnsi="Arial"/>
                <w:sz w:val="12"/>
                <w:szCs w:val="12"/>
                <w:b w:val="1"/>
                <w:bCs w:val="1"/>
                <w:color w:val="auto"/>
              </w:rPr>
              <w:t>Identification No.)</w:t>
            </w:r>
          </w:p>
        </w:tc>
      </w:tr>
      <w:tr>
        <w:trPr>
          <w:trHeight w:val="396"/>
        </w:trPr>
        <w:tc>
          <w:tcPr>
            <w:tcW w:w="6740" w:type="dxa"/>
            <w:vAlign w:val="bottom"/>
            <w:gridSpan w:val="2"/>
          </w:tcPr>
          <w:p>
            <w:pPr>
              <w:jc w:val="center"/>
              <w:ind w:right="1330"/>
              <w:spacing w:after="0"/>
              <w:rPr>
                <w:sz w:val="20"/>
                <w:szCs w:val="20"/>
                <w:color w:val="auto"/>
              </w:rPr>
            </w:pPr>
            <w:r>
              <w:rPr>
                <w:rFonts w:ascii="Arial" w:cs="Arial" w:eastAsia="Arial" w:hAnsi="Arial"/>
                <w:sz w:val="17"/>
                <w:szCs w:val="17"/>
                <w:b w:val="1"/>
                <w:bCs w:val="1"/>
                <w:color w:val="auto"/>
                <w:w w:val="96"/>
              </w:rPr>
              <w:t>1150 15th Street, N.W., Washington, D.C.</w:t>
            </w:r>
          </w:p>
        </w:tc>
        <w:tc>
          <w:tcPr>
            <w:tcW w:w="2160" w:type="dxa"/>
            <w:vAlign w:val="bottom"/>
          </w:tcPr>
          <w:p>
            <w:pPr>
              <w:jc w:val="right"/>
              <w:ind w:right="230"/>
              <w:spacing w:after="0"/>
              <w:rPr>
                <w:sz w:val="20"/>
                <w:szCs w:val="20"/>
                <w:color w:val="auto"/>
              </w:rPr>
            </w:pPr>
            <w:r>
              <w:rPr>
                <w:rFonts w:ascii="Arial" w:cs="Arial" w:eastAsia="Arial" w:hAnsi="Arial"/>
                <w:sz w:val="17"/>
                <w:szCs w:val="17"/>
                <w:b w:val="1"/>
                <w:bCs w:val="1"/>
                <w:color w:val="auto"/>
              </w:rPr>
              <w:t>20071</w:t>
            </w:r>
          </w:p>
        </w:tc>
      </w:tr>
      <w:tr>
        <w:trPr>
          <w:trHeight w:val="162"/>
        </w:trPr>
        <w:tc>
          <w:tcPr>
            <w:tcW w:w="6740" w:type="dxa"/>
            <w:vAlign w:val="bottom"/>
            <w:gridSpan w:val="2"/>
          </w:tcPr>
          <w:p>
            <w:pPr>
              <w:jc w:val="center"/>
              <w:ind w:right="1350"/>
              <w:spacing w:after="0"/>
              <w:rPr>
                <w:sz w:val="20"/>
                <w:szCs w:val="20"/>
                <w:color w:val="auto"/>
              </w:rPr>
            </w:pPr>
            <w:r>
              <w:rPr>
                <w:rFonts w:ascii="Arial" w:cs="Arial" w:eastAsia="Arial" w:hAnsi="Arial"/>
                <w:sz w:val="12"/>
                <w:szCs w:val="12"/>
                <w:b w:val="1"/>
                <w:bCs w:val="1"/>
                <w:color w:val="auto"/>
              </w:rPr>
              <w:t>(Address of principal executive offices)</w:t>
            </w:r>
          </w:p>
        </w:tc>
        <w:tc>
          <w:tcPr>
            <w:tcW w:w="2160" w:type="dxa"/>
            <w:vAlign w:val="bottom"/>
          </w:tcPr>
          <w:p>
            <w:pPr>
              <w:jc w:val="center"/>
              <w:ind w:left="1050"/>
              <w:spacing w:after="0"/>
              <w:rPr>
                <w:sz w:val="20"/>
                <w:szCs w:val="20"/>
                <w:color w:val="auto"/>
              </w:rPr>
            </w:pPr>
            <w:r>
              <w:rPr>
                <w:rFonts w:ascii="Arial" w:cs="Arial" w:eastAsia="Arial" w:hAnsi="Arial"/>
                <w:sz w:val="12"/>
                <w:szCs w:val="12"/>
                <w:b w:val="1"/>
                <w:bCs w:val="1"/>
                <w:color w:val="auto"/>
              </w:rPr>
              <w:t>(Zip Code)</w:t>
            </w:r>
          </w:p>
        </w:tc>
      </w:tr>
      <w:tr>
        <w:trPr>
          <w:trHeight w:val="309"/>
        </w:trPr>
        <w:tc>
          <w:tcPr>
            <w:tcW w:w="2460" w:type="dxa"/>
            <w:vAlign w:val="bottom"/>
          </w:tcPr>
          <w:p>
            <w:pPr>
              <w:spacing w:after="0"/>
              <w:rPr>
                <w:sz w:val="24"/>
                <w:szCs w:val="24"/>
                <w:color w:val="auto"/>
              </w:rPr>
            </w:pPr>
          </w:p>
        </w:tc>
        <w:tc>
          <w:tcPr>
            <w:tcW w:w="4280" w:type="dxa"/>
            <w:vAlign w:val="bottom"/>
          </w:tcPr>
          <w:p>
            <w:pPr>
              <w:jc w:val="right"/>
              <w:ind w:right="1490"/>
              <w:spacing w:after="0"/>
              <w:rPr>
                <w:sz w:val="20"/>
                <w:szCs w:val="20"/>
                <w:color w:val="auto"/>
              </w:rPr>
            </w:pPr>
            <w:r>
              <w:rPr>
                <w:rFonts w:ascii="Arial" w:cs="Arial" w:eastAsia="Arial" w:hAnsi="Arial"/>
                <w:sz w:val="17"/>
                <w:szCs w:val="17"/>
                <w:b w:val="1"/>
                <w:bCs w:val="1"/>
                <w:color w:val="auto"/>
              </w:rPr>
              <w:t>(202) 334-6000</w:t>
            </w:r>
          </w:p>
        </w:tc>
        <w:tc>
          <w:tcPr>
            <w:tcW w:w="2160" w:type="dxa"/>
            <w:vAlign w:val="bottom"/>
          </w:tcPr>
          <w:p>
            <w:pPr>
              <w:spacing w:after="0"/>
              <w:rPr>
                <w:sz w:val="24"/>
                <w:szCs w:val="24"/>
                <w:color w:val="auto"/>
              </w:rPr>
            </w:pPr>
          </w:p>
        </w:tc>
      </w:tr>
      <w:tr>
        <w:trPr>
          <w:trHeight w:val="162"/>
        </w:trPr>
        <w:tc>
          <w:tcPr>
            <w:tcW w:w="2460" w:type="dxa"/>
            <w:vAlign w:val="bottom"/>
          </w:tcPr>
          <w:p>
            <w:pPr>
              <w:spacing w:after="0"/>
              <w:rPr>
                <w:sz w:val="14"/>
                <w:szCs w:val="14"/>
                <w:color w:val="auto"/>
              </w:rPr>
            </w:pPr>
          </w:p>
        </w:tc>
        <w:tc>
          <w:tcPr>
            <w:tcW w:w="4280" w:type="dxa"/>
            <w:vAlign w:val="bottom"/>
          </w:tcPr>
          <w:p>
            <w:pPr>
              <w:jc w:val="center"/>
              <w:spacing w:after="0"/>
              <w:rPr>
                <w:sz w:val="20"/>
                <w:szCs w:val="20"/>
                <w:color w:val="auto"/>
              </w:rPr>
            </w:pPr>
            <w:r>
              <w:rPr>
                <w:rFonts w:ascii="Arial" w:cs="Arial" w:eastAsia="Arial" w:hAnsi="Arial"/>
                <w:sz w:val="12"/>
                <w:szCs w:val="12"/>
                <w:b w:val="1"/>
                <w:bCs w:val="1"/>
                <w:color w:val="auto"/>
              </w:rPr>
              <w:t>(Registrant’s telephone number, including area code)</w:t>
            </w:r>
          </w:p>
        </w:tc>
        <w:tc>
          <w:tcPr>
            <w:tcW w:w="2160" w:type="dxa"/>
            <w:vAlign w:val="bottom"/>
          </w:tcPr>
          <w:p>
            <w:pPr>
              <w:spacing w:after="0"/>
              <w:rPr>
                <w:sz w:val="14"/>
                <w:szCs w:val="14"/>
                <w:color w:val="auto"/>
              </w:rPr>
            </w:pPr>
          </w:p>
        </w:tc>
      </w:tr>
      <w:tr>
        <w:trPr>
          <w:trHeight w:val="138"/>
        </w:trPr>
        <w:tc>
          <w:tcPr>
            <w:tcW w:w="2460" w:type="dxa"/>
            <w:vAlign w:val="bottom"/>
          </w:tcPr>
          <w:p>
            <w:pPr>
              <w:spacing w:after="0"/>
              <w:rPr>
                <w:sz w:val="11"/>
                <w:szCs w:val="11"/>
                <w:color w:val="auto"/>
              </w:rPr>
            </w:pPr>
          </w:p>
        </w:tc>
        <w:tc>
          <w:tcPr>
            <w:tcW w:w="4280" w:type="dxa"/>
            <w:vAlign w:val="bottom"/>
            <w:tcBorders>
              <w:bottom w:val="single" w:sz="8" w:color="auto"/>
            </w:tcBorders>
          </w:tcPr>
          <w:p>
            <w:pPr>
              <w:spacing w:after="0"/>
              <w:rPr>
                <w:sz w:val="11"/>
                <w:szCs w:val="11"/>
                <w:color w:val="auto"/>
              </w:rPr>
            </w:pPr>
          </w:p>
        </w:tc>
        <w:tc>
          <w:tcPr>
            <w:tcW w:w="2160" w:type="dxa"/>
            <w:vAlign w:val="bottom"/>
          </w:tcPr>
          <w:p>
            <w:pPr>
              <w:spacing w:after="0"/>
              <w:rPr>
                <w:sz w:val="11"/>
                <w:szCs w:val="11"/>
                <w:color w:val="auto"/>
              </w:rPr>
            </w:pPr>
          </w:p>
        </w:tc>
      </w:tr>
    </w:tbl>
    <w:p>
      <w:pPr>
        <w:spacing w:after="0" w:line="297" w:lineRule="exact"/>
        <w:rPr>
          <w:sz w:val="24"/>
          <w:szCs w:val="24"/>
          <w:color w:val="auto"/>
        </w:rPr>
      </w:pPr>
    </w:p>
    <w:p>
      <w:pPr>
        <w:ind w:left="9"/>
        <w:spacing w:after="0" w:line="235" w:lineRule="auto"/>
        <w:rPr>
          <w:sz w:val="20"/>
          <w:szCs w:val="20"/>
          <w:color w:val="auto"/>
        </w:rPr>
      </w:pPr>
      <w:r>
        <w:rPr>
          <w:rFonts w:ascii="Arial" w:cs="Arial" w:eastAsia="Arial" w:hAnsi="Arial"/>
          <w:sz w:val="17"/>
          <w:szCs w:val="17"/>
          <w:color w:val="auto"/>
        </w:rPr>
        <w:t>Check the appropriate box below if the Form 8-K filing is intended to simultaneously satisfy the filing obligation of the registrant under any of the follow provisions:</w:t>
      </w:r>
    </w:p>
    <w:p>
      <w:pPr>
        <w:spacing w:after="0" w:line="362" w:lineRule="exact"/>
        <w:rPr>
          <w:sz w:val="24"/>
          <w:szCs w:val="24"/>
          <w:color w:val="auto"/>
        </w:rPr>
      </w:pPr>
    </w:p>
    <w:p>
      <w:pPr>
        <w:ind w:left="89" w:hanging="89"/>
        <w:spacing w:after="0"/>
        <w:tabs>
          <w:tab w:leader="none" w:pos="89" w:val="left"/>
        </w:tabs>
        <w:numPr>
          <w:ilvl w:val="0"/>
          <w:numId w:val="1"/>
        </w:numPr>
        <w:rPr>
          <w:rFonts w:ascii="Arial" w:cs="Arial" w:eastAsia="Arial" w:hAnsi="Arial"/>
          <w:sz w:val="17"/>
          <w:szCs w:val="17"/>
          <w:color w:val="auto"/>
        </w:rPr>
      </w:pPr>
      <w:r>
        <w:rPr>
          <w:rFonts w:ascii="Arial" w:cs="Arial" w:eastAsia="Arial" w:hAnsi="Arial"/>
          <w:sz w:val="17"/>
          <w:szCs w:val="17"/>
          <w:color w:val="auto"/>
        </w:rPr>
        <w:t>] Written communications pursuant to Rule 425 under the Securities Act (17 CFR 230.425)</w:t>
      </w:r>
    </w:p>
    <w:p>
      <w:pPr>
        <w:spacing w:after="0" w:line="139" w:lineRule="exact"/>
        <w:rPr>
          <w:rFonts w:ascii="Arial" w:cs="Arial" w:eastAsia="Arial" w:hAnsi="Arial"/>
          <w:sz w:val="17"/>
          <w:szCs w:val="17"/>
          <w:color w:val="auto"/>
        </w:rPr>
      </w:pPr>
    </w:p>
    <w:p>
      <w:pPr>
        <w:ind w:left="89" w:hanging="89"/>
        <w:spacing w:after="0"/>
        <w:tabs>
          <w:tab w:leader="none" w:pos="89" w:val="left"/>
        </w:tabs>
        <w:numPr>
          <w:ilvl w:val="0"/>
          <w:numId w:val="1"/>
        </w:numPr>
        <w:rPr>
          <w:rFonts w:ascii="Arial" w:cs="Arial" w:eastAsia="Arial" w:hAnsi="Arial"/>
          <w:sz w:val="17"/>
          <w:szCs w:val="17"/>
          <w:color w:val="auto"/>
        </w:rPr>
      </w:pPr>
      <w:r>
        <w:rPr>
          <w:rFonts w:ascii="Arial" w:cs="Arial" w:eastAsia="Arial" w:hAnsi="Arial"/>
          <w:sz w:val="17"/>
          <w:szCs w:val="17"/>
          <w:color w:val="auto"/>
        </w:rPr>
        <w:t>] Soliciting material pursuant to Rule 14a-12 under the Exchange Act (17 CFR 240.14a-12)</w:t>
      </w:r>
    </w:p>
    <w:p>
      <w:pPr>
        <w:spacing w:after="0" w:line="139" w:lineRule="exact"/>
        <w:rPr>
          <w:rFonts w:ascii="Arial" w:cs="Arial" w:eastAsia="Arial" w:hAnsi="Arial"/>
          <w:sz w:val="17"/>
          <w:szCs w:val="17"/>
          <w:color w:val="auto"/>
        </w:rPr>
      </w:pPr>
    </w:p>
    <w:p>
      <w:pPr>
        <w:ind w:left="89" w:hanging="89"/>
        <w:spacing w:after="0"/>
        <w:tabs>
          <w:tab w:leader="none" w:pos="89" w:val="left"/>
        </w:tabs>
        <w:numPr>
          <w:ilvl w:val="0"/>
          <w:numId w:val="1"/>
        </w:numPr>
        <w:rPr>
          <w:rFonts w:ascii="Arial" w:cs="Arial" w:eastAsia="Arial" w:hAnsi="Arial"/>
          <w:sz w:val="17"/>
          <w:szCs w:val="17"/>
          <w:color w:val="auto"/>
        </w:rPr>
      </w:pPr>
      <w:r>
        <w:rPr>
          <w:rFonts w:ascii="Arial" w:cs="Arial" w:eastAsia="Arial" w:hAnsi="Arial"/>
          <w:sz w:val="17"/>
          <w:szCs w:val="17"/>
          <w:color w:val="auto"/>
        </w:rPr>
        <w:t>] Pre-commencement communications pursuant to Rule 14d-2(b) under the Exchange Act (17 CFR 240.14d-2(b))</w:t>
      </w:r>
    </w:p>
    <w:p>
      <w:pPr>
        <w:spacing w:after="0" w:line="139" w:lineRule="exact"/>
        <w:rPr>
          <w:rFonts w:ascii="Arial" w:cs="Arial" w:eastAsia="Arial" w:hAnsi="Arial"/>
          <w:sz w:val="17"/>
          <w:szCs w:val="17"/>
          <w:color w:val="auto"/>
        </w:rPr>
      </w:pPr>
    </w:p>
    <w:p>
      <w:pPr>
        <w:ind w:left="89" w:hanging="89"/>
        <w:spacing w:after="0"/>
        <w:tabs>
          <w:tab w:leader="none" w:pos="89" w:val="left"/>
        </w:tabs>
        <w:numPr>
          <w:ilvl w:val="0"/>
          <w:numId w:val="1"/>
        </w:numPr>
        <w:rPr>
          <w:rFonts w:ascii="Arial" w:cs="Arial" w:eastAsia="Arial" w:hAnsi="Arial"/>
          <w:sz w:val="17"/>
          <w:szCs w:val="17"/>
          <w:color w:val="auto"/>
        </w:rPr>
      </w:pPr>
      <w:r>
        <w:rPr>
          <w:rFonts w:ascii="Arial" w:cs="Arial" w:eastAsia="Arial" w:hAnsi="Arial"/>
          <w:sz w:val="17"/>
          <w:szCs w:val="17"/>
          <w:color w:val="auto"/>
        </w:rPr>
        <w:t>]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-364490</wp:posOffset>
            </wp:positionH>
            <wp:positionV relativeFrom="paragraph">
              <wp:posOffset>323215</wp:posOffset>
            </wp:positionV>
            <wp:extent cx="7278370" cy="203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9"/>
          </w:cols>
          <w:pgMar w:left="811" w:top="961" w:right="139" w:bottom="1440" w:gutter="0" w:footer="0" w:header="0"/>
        </w:sectPr>
      </w:pPr>
    </w:p>
    <w:bookmarkStart w:id="1" w:name="page2"/>
    <w:bookmarkEnd w:id="1"/>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514350</wp:posOffset>
            </wp:positionH>
            <wp:positionV relativeFrom="page">
              <wp:posOffset>608965</wp:posOffset>
            </wp:positionV>
            <wp:extent cx="6953250" cy="15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53250" cy="15875"/>
                    </a:xfrm>
                    <a:prstGeom prst="rect">
                      <a:avLst/>
                    </a:prstGeom>
                    <a:noFill/>
                  </pic:spPr>
                </pic:pic>
              </a:graphicData>
            </a:graphic>
          </wp:anchor>
        </w:drawing>
        <w:t>Section 8 – Other Events</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8.01 Other Events</w:t>
      </w:r>
    </w:p>
    <w:p>
      <w:pPr>
        <w:spacing w:after="0" w:line="234" w:lineRule="exact"/>
        <w:rPr>
          <w:sz w:val="20"/>
          <w:szCs w:val="20"/>
          <w:color w:val="auto"/>
        </w:rPr>
      </w:pPr>
    </w:p>
    <w:p>
      <w:pPr>
        <w:jc w:val="both"/>
        <w:ind w:firstLine="405"/>
        <w:spacing w:after="0" w:line="251" w:lineRule="auto"/>
        <w:rPr>
          <w:sz w:val="20"/>
          <w:szCs w:val="20"/>
          <w:color w:val="auto"/>
        </w:rPr>
      </w:pPr>
      <w:r>
        <w:rPr>
          <w:rFonts w:ascii="Arial" w:cs="Arial" w:eastAsia="Arial" w:hAnsi="Arial"/>
          <w:sz w:val="16"/>
          <w:szCs w:val="16"/>
          <w:color w:val="auto"/>
        </w:rPr>
        <w:t>On September 27, 2012, Kaplan Higher Education (KHE) finalized a plan (the “Plan”) to consolidate its market presence at certain of its fixed-fac campuses. Under the Plan, KHE has ceased new enrollments at nine ground campuses as it considers alternatives for these locations, and will conso operations of four other campuses into existing, nearby locations. KHE will be teaching out the current students at these campuses.</w:t>
      </w:r>
    </w:p>
    <w:p>
      <w:pPr>
        <w:spacing w:after="0" w:line="167" w:lineRule="exact"/>
        <w:rPr>
          <w:sz w:val="20"/>
          <w:szCs w:val="20"/>
          <w:color w:val="auto"/>
        </w:rPr>
      </w:pPr>
    </w:p>
    <w:p>
      <w:pPr>
        <w:ind w:firstLine="405"/>
        <w:spacing w:after="0" w:line="232" w:lineRule="auto"/>
        <w:rPr>
          <w:sz w:val="20"/>
          <w:szCs w:val="20"/>
          <w:color w:val="auto"/>
        </w:rPr>
      </w:pPr>
      <w:r>
        <w:rPr>
          <w:rFonts w:ascii="Arial" w:cs="Arial" w:eastAsia="Arial" w:hAnsi="Arial"/>
          <w:sz w:val="17"/>
          <w:szCs w:val="17"/>
          <w:color w:val="auto"/>
        </w:rPr>
        <w:t>Revenues at these campuses represent approximately 4% of KHE’s total revenues and 2% of Kaplan, Inc.’s total revenues for the first six month 2012. In connection with the Plan, KHE expects to incur an estimated $18 million in restructuring costs from fixed asset write-downs and lease and severance obligations; a portion of these restructuring costs will be recorded in the third quarter of 2012, with the remainder recorded through the end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363855</wp:posOffset>
            </wp:positionV>
            <wp:extent cx="6953250" cy="158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53250" cy="15875"/>
                    </a:xfrm>
                    <a:prstGeom prst="rect">
                      <a:avLst/>
                    </a:prstGeom>
                    <a:noFill/>
                  </pic:spPr>
                </pic:pic>
              </a:graphicData>
            </a:graphic>
          </wp:anchor>
        </w:drawing>
      </w:r>
    </w:p>
    <w:p>
      <w:pPr>
        <w:spacing w:after="0" w:line="200" w:lineRule="exact"/>
        <w:rPr>
          <w:sz w:val="20"/>
          <w:szCs w:val="20"/>
          <w:color w:val="auto"/>
        </w:rPr>
      </w:pPr>
    </w:p>
    <w:p>
      <w:pPr>
        <w:spacing w:after="0" w:line="377" w:lineRule="exact"/>
        <w:rPr>
          <w:sz w:val="20"/>
          <w:szCs w:val="20"/>
          <w:color w:val="auto"/>
        </w:rPr>
      </w:pPr>
    </w:p>
    <w:p>
      <w:pPr>
        <w:jc w:val="center"/>
        <w:ind w:left="1160"/>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181610</wp:posOffset>
            </wp:positionV>
            <wp:extent cx="7278370" cy="203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0"/>
          </w:cols>
          <w:pgMar w:left="820" w:top="1149" w:right="139" w:bottom="1440" w:gutter="0" w:footer="0" w:header="0"/>
        </w:sectPr>
      </w:pPr>
    </w:p>
    <w:bookmarkStart w:id="2" w:name="page3"/>
    <w:bookmarkEnd w:id="2"/>
    <w:p>
      <w:pPr>
        <w:ind w:left="580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514350</wp:posOffset>
            </wp:positionH>
            <wp:positionV relativeFrom="page">
              <wp:posOffset>608965</wp:posOffset>
            </wp:positionV>
            <wp:extent cx="6953250" cy="158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53250" cy="15875"/>
                    </a:xfrm>
                    <a:prstGeom prst="rect">
                      <a:avLst/>
                    </a:prstGeom>
                    <a:noFill/>
                  </pic:spPr>
                </pic:pic>
              </a:graphicData>
            </a:graphic>
          </wp:anchor>
        </w:drawing>
        <w:t>SIGNATURE</w:t>
      </w:r>
    </w:p>
    <w:p>
      <w:pPr>
        <w:spacing w:after="0" w:line="200" w:lineRule="exact"/>
        <w:rPr>
          <w:sz w:val="20"/>
          <w:szCs w:val="20"/>
          <w:color w:val="auto"/>
        </w:rPr>
      </w:pPr>
    </w:p>
    <w:p>
      <w:pPr>
        <w:spacing w:after="0" w:line="369" w:lineRule="exact"/>
        <w:rPr>
          <w:sz w:val="20"/>
          <w:szCs w:val="20"/>
          <w:color w:val="auto"/>
        </w:rPr>
      </w:pPr>
    </w:p>
    <w:p>
      <w:pPr>
        <w:ind w:left="580" w:right="340"/>
        <w:spacing w:after="0" w:line="235"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6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6840" w:type="dxa"/>
            <w:vAlign w:val="bottom"/>
            <w:gridSpan w:val="2"/>
          </w:tcPr>
          <w:p>
            <w:pPr>
              <w:jc w:val="center"/>
              <w:ind w:right="4120"/>
              <w:spacing w:after="0"/>
              <w:rPr>
                <w:sz w:val="20"/>
                <w:szCs w:val="20"/>
                <w:color w:val="auto"/>
              </w:rPr>
            </w:pPr>
            <w:r>
              <w:rPr>
                <w:rFonts w:ascii="Arial" w:cs="Arial" w:eastAsia="Arial" w:hAnsi="Arial"/>
                <w:sz w:val="17"/>
                <w:szCs w:val="17"/>
                <w:color w:val="auto"/>
                <w:w w:val="96"/>
              </w:rPr>
              <w:t>The Washington Post Company</w:t>
            </w:r>
          </w:p>
        </w:tc>
      </w:tr>
      <w:tr>
        <w:trPr>
          <w:trHeight w:val="198"/>
        </w:trPr>
        <w:tc>
          <w:tcPr>
            <w:tcW w:w="9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6840" w:type="dxa"/>
            <w:vAlign w:val="bottom"/>
            <w:gridSpan w:val="2"/>
          </w:tcPr>
          <w:p>
            <w:pPr>
              <w:ind w:left="860"/>
              <w:spacing w:after="0"/>
              <w:rPr>
                <w:sz w:val="20"/>
                <w:szCs w:val="20"/>
                <w:color w:val="auto"/>
              </w:rPr>
            </w:pPr>
            <w:r>
              <w:rPr>
                <w:rFonts w:ascii="Arial" w:cs="Arial" w:eastAsia="Arial" w:hAnsi="Arial"/>
                <w:sz w:val="17"/>
                <w:szCs w:val="17"/>
                <w:color w:val="auto"/>
              </w:rPr>
              <w:t>(Registrant)</w:t>
            </w:r>
          </w:p>
        </w:tc>
      </w:tr>
      <w:tr>
        <w:trPr>
          <w:trHeight w:val="709"/>
        </w:trPr>
        <w:tc>
          <w:tcPr>
            <w:tcW w:w="2600" w:type="dxa"/>
            <w:vAlign w:val="bottom"/>
            <w:gridSpan w:val="2"/>
          </w:tcPr>
          <w:p>
            <w:pPr>
              <w:ind w:left="580"/>
              <w:spacing w:after="0"/>
              <w:rPr>
                <w:sz w:val="20"/>
                <w:szCs w:val="20"/>
                <w:color w:val="auto"/>
              </w:rPr>
            </w:pPr>
            <w:r>
              <w:rPr>
                <w:rFonts w:ascii="Arial" w:cs="Arial" w:eastAsia="Arial" w:hAnsi="Arial"/>
                <w:sz w:val="17"/>
                <w:szCs w:val="17"/>
                <w:color w:val="auto"/>
              </w:rPr>
              <w:t>Date September 28, 2012</w:t>
            </w:r>
          </w:p>
        </w:tc>
        <w:tc>
          <w:tcPr>
            <w:tcW w:w="2020" w:type="dxa"/>
            <w:vAlign w:val="bottom"/>
          </w:tcPr>
          <w:p>
            <w:pPr>
              <w:spacing w:after="0"/>
              <w:rPr>
                <w:sz w:val="24"/>
                <w:szCs w:val="24"/>
                <w:color w:val="auto"/>
              </w:rPr>
            </w:pPr>
          </w:p>
        </w:tc>
        <w:tc>
          <w:tcPr>
            <w:tcW w:w="6840" w:type="dxa"/>
            <w:vAlign w:val="bottom"/>
            <w:gridSpan w:val="2"/>
          </w:tcPr>
          <w:p>
            <w:pPr>
              <w:ind w:left="500"/>
              <w:spacing w:after="0"/>
              <w:rPr>
                <w:sz w:val="20"/>
                <w:szCs w:val="20"/>
                <w:color w:val="auto"/>
              </w:rPr>
            </w:pPr>
            <w:r>
              <w:rPr>
                <w:rFonts w:ascii="Arial" w:cs="Arial" w:eastAsia="Arial" w:hAnsi="Arial"/>
                <w:sz w:val="17"/>
                <w:szCs w:val="17"/>
                <w:color w:val="auto"/>
              </w:rPr>
              <w:t>/s/   Hal S. Jones</w:t>
            </w:r>
          </w:p>
        </w:tc>
      </w:tr>
      <w:tr>
        <w:trPr>
          <w:trHeight w:val="190"/>
        </w:trPr>
        <w:tc>
          <w:tcPr>
            <w:tcW w:w="960" w:type="dxa"/>
            <w:vAlign w:val="bottom"/>
          </w:tcPr>
          <w:p>
            <w:pPr>
              <w:spacing w:after="0"/>
              <w:rPr>
                <w:sz w:val="16"/>
                <w:szCs w:val="16"/>
                <w:color w:val="auto"/>
              </w:rPr>
            </w:pPr>
          </w:p>
        </w:tc>
        <w:tc>
          <w:tcPr>
            <w:tcW w:w="1640" w:type="dxa"/>
            <w:vAlign w:val="bottom"/>
            <w:tcBorders>
              <w:top w:val="single" w:sz="8" w:color="auto"/>
            </w:tcBorders>
          </w:tcPr>
          <w:p>
            <w:pPr>
              <w:spacing w:after="0"/>
              <w:rPr>
                <w:sz w:val="16"/>
                <w:szCs w:val="16"/>
                <w:color w:val="auto"/>
              </w:rPr>
            </w:pPr>
          </w:p>
        </w:tc>
        <w:tc>
          <w:tcPr>
            <w:tcW w:w="2020" w:type="dxa"/>
            <w:vAlign w:val="bottom"/>
          </w:tcPr>
          <w:p>
            <w:pPr>
              <w:spacing w:after="0"/>
              <w:rPr>
                <w:sz w:val="16"/>
                <w:szCs w:val="16"/>
                <w:color w:val="auto"/>
              </w:rPr>
            </w:pPr>
          </w:p>
        </w:tc>
        <w:tc>
          <w:tcPr>
            <w:tcW w:w="2960" w:type="dxa"/>
            <w:vAlign w:val="bottom"/>
            <w:tcBorders>
              <w:top w:val="single" w:sz="8" w:color="auto"/>
            </w:tcBorders>
          </w:tcPr>
          <w:p>
            <w:pPr>
              <w:jc w:val="center"/>
              <w:ind w:right="137"/>
              <w:spacing w:after="0" w:line="190" w:lineRule="exact"/>
              <w:rPr>
                <w:sz w:val="20"/>
                <w:szCs w:val="20"/>
                <w:color w:val="auto"/>
              </w:rPr>
            </w:pPr>
            <w:r>
              <w:rPr>
                <w:rFonts w:ascii="Arial" w:cs="Arial" w:eastAsia="Arial" w:hAnsi="Arial"/>
                <w:sz w:val="17"/>
                <w:szCs w:val="17"/>
                <w:color w:val="auto"/>
                <w:w w:val="97"/>
              </w:rPr>
              <w:t>Hal S. Jones</w:t>
            </w:r>
          </w:p>
        </w:tc>
        <w:tc>
          <w:tcPr>
            <w:tcW w:w="3880" w:type="dxa"/>
            <w:vAlign w:val="bottom"/>
          </w:tcPr>
          <w:p>
            <w:pPr>
              <w:spacing w:after="0"/>
              <w:rPr>
                <w:sz w:val="16"/>
                <w:szCs w:val="16"/>
                <w:color w:val="auto"/>
              </w:rPr>
            </w:pPr>
          </w:p>
        </w:tc>
      </w:tr>
      <w:tr>
        <w:trPr>
          <w:trHeight w:val="186"/>
        </w:trPr>
        <w:tc>
          <w:tcPr>
            <w:tcW w:w="96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6840" w:type="dxa"/>
            <w:vAlign w:val="bottom"/>
            <w:gridSpan w:val="2"/>
          </w:tcPr>
          <w:p>
            <w:pPr>
              <w:ind w:left="300"/>
              <w:spacing w:after="0" w:line="186" w:lineRule="exact"/>
              <w:rPr>
                <w:sz w:val="20"/>
                <w:szCs w:val="20"/>
                <w:color w:val="auto"/>
              </w:rPr>
            </w:pPr>
            <w:r>
              <w:rPr>
                <w:rFonts w:ascii="Arial" w:cs="Arial" w:eastAsia="Arial" w:hAnsi="Arial"/>
                <w:sz w:val="17"/>
                <w:szCs w:val="17"/>
                <w:color w:val="auto"/>
              </w:rPr>
              <w:t>Senior Vice President - Finance</w:t>
            </w:r>
          </w:p>
        </w:tc>
      </w:tr>
      <w:tr>
        <w:trPr>
          <w:trHeight w:val="198"/>
        </w:trPr>
        <w:tc>
          <w:tcPr>
            <w:tcW w:w="9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6840" w:type="dxa"/>
            <w:vAlign w:val="bottom"/>
            <w:gridSpan w:val="2"/>
          </w:tcPr>
          <w:p>
            <w:pPr>
              <w:ind w:left="420"/>
              <w:spacing w:after="0"/>
              <w:rPr>
                <w:sz w:val="20"/>
                <w:szCs w:val="20"/>
                <w:color w:val="auto"/>
              </w:rPr>
            </w:pPr>
            <w:r>
              <w:rPr>
                <w:rFonts w:ascii="Arial" w:cs="Arial" w:eastAsia="Arial" w:hAnsi="Arial"/>
                <w:sz w:val="17"/>
                <w:szCs w:val="17"/>
                <w:color w:val="auto"/>
              </w:rPr>
              <w:t>(Principal Financial Officer)</w:t>
            </w:r>
          </w:p>
        </w:tc>
      </w:tr>
      <w:tr>
        <w:trPr>
          <w:trHeight w:val="410"/>
        </w:trPr>
        <w:tc>
          <w:tcPr>
            <w:tcW w:w="9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4980" w:type="dxa"/>
            <w:vAlign w:val="bottom"/>
            <w:gridSpan w:val="2"/>
          </w:tcPr>
          <w:p>
            <w:pPr>
              <w:jc w:val="right"/>
              <w:ind w:right="1157"/>
              <w:spacing w:after="0"/>
              <w:rPr>
                <w:sz w:val="20"/>
                <w:szCs w:val="20"/>
                <w:color w:val="auto"/>
              </w:rPr>
            </w:pPr>
            <w:r>
              <w:rPr>
                <w:rFonts w:ascii="Arial" w:cs="Arial" w:eastAsia="Arial" w:hAnsi="Arial"/>
                <w:sz w:val="17"/>
                <w:szCs w:val="17"/>
                <w:color w:val="auto"/>
              </w:rPr>
              <w:t>3</w:t>
            </w:r>
          </w:p>
        </w:tc>
        <w:tc>
          <w:tcPr>
            <w:tcW w:w="3880" w:type="dxa"/>
            <w:vAlign w:val="bottom"/>
          </w:tcPr>
          <w:p>
            <w:pPr>
              <w:spacing w:after="0"/>
              <w:rPr>
                <w:sz w:val="24"/>
                <w:szCs w:val="24"/>
                <w:color w:val="auto"/>
              </w:rPr>
            </w:pPr>
          </w:p>
        </w:tc>
      </w:tr>
      <w:tr>
        <w:trPr>
          <w:trHeight w:val="308"/>
        </w:trPr>
        <w:tc>
          <w:tcPr>
            <w:tcW w:w="960" w:type="dxa"/>
            <w:vAlign w:val="bottom"/>
            <w:tcBorders>
              <w:bottom w:val="single" w:sz="8" w:color="808080"/>
            </w:tcBorders>
          </w:tcPr>
          <w:p>
            <w:pPr>
              <w:spacing w:after="0"/>
              <w:rPr>
                <w:sz w:val="24"/>
                <w:szCs w:val="24"/>
                <w:color w:val="auto"/>
              </w:rPr>
            </w:pPr>
          </w:p>
        </w:tc>
        <w:tc>
          <w:tcPr>
            <w:tcW w:w="1640" w:type="dxa"/>
            <w:vAlign w:val="bottom"/>
            <w:tcBorders>
              <w:bottom w:val="single" w:sz="8" w:color="808080"/>
            </w:tcBorders>
          </w:tcPr>
          <w:p>
            <w:pPr>
              <w:spacing w:after="0"/>
              <w:rPr>
                <w:sz w:val="24"/>
                <w:szCs w:val="24"/>
                <w:color w:val="auto"/>
              </w:rPr>
            </w:pPr>
          </w:p>
        </w:tc>
        <w:tc>
          <w:tcPr>
            <w:tcW w:w="2020" w:type="dxa"/>
            <w:vAlign w:val="bottom"/>
            <w:tcBorders>
              <w:bottom w:val="single" w:sz="8" w:color="808080"/>
            </w:tcBorders>
          </w:tcPr>
          <w:p>
            <w:pPr>
              <w:spacing w:after="0"/>
              <w:rPr>
                <w:sz w:val="24"/>
                <w:szCs w:val="24"/>
                <w:color w:val="auto"/>
              </w:rPr>
            </w:pPr>
          </w:p>
        </w:tc>
        <w:tc>
          <w:tcPr>
            <w:tcW w:w="2960" w:type="dxa"/>
            <w:vAlign w:val="bottom"/>
            <w:tcBorders>
              <w:bottom w:val="single" w:sz="8" w:color="808080"/>
            </w:tcBorders>
          </w:tcPr>
          <w:p>
            <w:pPr>
              <w:spacing w:after="0"/>
              <w:rPr>
                <w:sz w:val="24"/>
                <w:szCs w:val="24"/>
                <w:color w:val="auto"/>
              </w:rPr>
            </w:pPr>
          </w:p>
        </w:tc>
        <w:tc>
          <w:tcPr>
            <w:tcW w:w="38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7262495</wp:posOffset>
            </wp:positionH>
            <wp:positionV relativeFrom="paragraph">
              <wp:posOffset>-13335</wp:posOffset>
            </wp:positionV>
            <wp:extent cx="12700"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-13335</wp:posOffset>
            </wp:positionV>
            <wp:extent cx="12700"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60"/>
          </w:cols>
          <w:pgMar w:left="240" w:top="1149" w:right="199"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2019-12-09T07:28:52Z</dcterms:created>
  <dcterms:modified xsi:type="dcterms:W3CDTF">2019-12-09T07:28:52Z</dcterms:modified>
</cp:coreProperties>
</file>