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897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97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92" w:orient="portrait"/>
          <w:cols w:equalWidth="0" w:num="2">
            <w:col w:w="2360" w:space="300"/>
            <w:col w:w="886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THE WASHINGTON POST CO 1150 15TH STREET, N.W.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20071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04/08/2011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ectPr>
          <w:pgSz w:w="11900" w:h="16892" w:orient="portrait"/>
          <w:cols w:equalWidth="0" w:num="2">
            <w:col w:w="3900" w:space="100"/>
            <w:col w:w="752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8,971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11,500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45,432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5,964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339,897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5,400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04/08/2011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11,500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435,638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383,302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5,400</w:t>
            </w:r>
          </w:p>
        </w:tc>
        <w:tc>
          <w:tcPr>
            <w:tcW w:w="600" w:type="dxa"/>
            <w:vAlign w:val="bottom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any beneficial ownership of these securities.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ectPr>
          <w:pgSz w:w="11900" w:h="16892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11,500 shares of Class B Common Stock were acquired upon the conversion of 11,500 shares of Class A Common Stock.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4332605</wp:posOffset>
            </wp:positionH>
            <wp:positionV relativeFrom="paragraph">
              <wp:posOffset>0</wp:posOffset>
            </wp:positionV>
            <wp:extent cx="13500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4332605</wp:posOffset>
            </wp:positionH>
            <wp:positionV relativeFrom="paragraph">
              <wp:posOffset>-11430</wp:posOffset>
            </wp:positionV>
            <wp:extent cx="4806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04/12/2011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6985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160"/>
            <w:col w:w="1160"/>
          </w:cols>
          <w:pgMar w:left="280" w:top="169" w:right="135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2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69" w:right="1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2019-12-17T04:57:52Z</dcterms:created>
  <dcterms:modified xsi:type="dcterms:W3CDTF">2019-12-17T04:57:52Z</dcterms:modified>
</cp:coreProperties>
</file>