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205740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May 4, 2023</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33" w:lineRule="exact"/>
        <w:rPr>
          <w:sz w:val="24"/>
          <w:szCs w:val="24"/>
          <w:color w:val="auto"/>
        </w:rPr>
      </w:pPr>
    </w:p>
    <w:tbl>
      <w:tblPr>
        <w:tblLayout w:type="fixed"/>
        <w:tblInd w:w="920" w:type="dxa"/>
        <w:tblCellMar>
          <w:top w:w="0" w:type="dxa"/>
          <w:left w:w="0" w:type="dxa"/>
          <w:bottom w:w="0" w:type="dxa"/>
          <w:right w:w="0" w:type="dxa"/>
        </w:tblCellMar>
      </w:tblPr>
      <w:tr>
        <w:trPr>
          <w:trHeight w:val="247"/>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31"/>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135255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18"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42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2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right="12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5.07 Submission of Matters to a Vote of Security Holders</w:t>
      </w:r>
    </w:p>
    <w:p>
      <w:pPr>
        <w:spacing w:after="0" w:line="387" w:lineRule="exact"/>
        <w:rPr>
          <w:sz w:val="20"/>
          <w:szCs w:val="20"/>
          <w:color w:val="auto"/>
        </w:rPr>
      </w:pPr>
    </w:p>
    <w:p>
      <w:pPr>
        <w:ind w:right="480" w:firstLine="200"/>
        <w:spacing w:after="0" w:line="271" w:lineRule="auto"/>
        <w:rPr>
          <w:sz w:val="20"/>
          <w:szCs w:val="20"/>
          <w:color w:val="auto"/>
        </w:rPr>
      </w:pPr>
      <w:r>
        <w:rPr>
          <w:rFonts w:ascii="Arial" w:cs="Arial" w:eastAsia="Arial" w:hAnsi="Arial"/>
          <w:sz w:val="18"/>
          <w:szCs w:val="18"/>
          <w:color w:val="auto"/>
        </w:rPr>
        <w:t>On May 4, 2023, Graham Holdings Company held its Annual Meeting of Stockholders. The following is a summary of the final voting results for each matter presented to stockholders.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Proposal 1: Election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stockholders elected the nine persons nominated as Directors of the Company as set forth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60" w:type="dxa"/>
            <w:vAlign w:val="bottom"/>
          </w:tcPr>
          <w:p>
            <w:pPr>
              <w:spacing w:after="0"/>
              <w:rPr>
                <w:sz w:val="20"/>
                <w:szCs w:val="20"/>
                <w:color w:val="auto"/>
              </w:rPr>
            </w:pPr>
            <w:r>
              <w:rPr>
                <w:rFonts w:ascii="Arial" w:cs="Arial" w:eastAsia="Arial" w:hAnsi="Arial"/>
                <w:sz w:val="18"/>
                <w:szCs w:val="18"/>
                <w:color w:val="auto"/>
              </w:rPr>
              <w:t>Class A Common Stock Nominees</w:t>
            </w:r>
          </w:p>
        </w:tc>
        <w:tc>
          <w:tcPr>
            <w:tcW w:w="19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38"/>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9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Broker Non-Votes</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Thomas S. Gayner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Donald E. Graham</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Anne M. Mulcahy</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Timothy J. O'Shaughnessy</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6"/>
        </w:trPr>
        <w:tc>
          <w:tcPr>
            <w:tcW w:w="3260" w:type="dxa"/>
            <w:vAlign w:val="bottom"/>
          </w:tcPr>
          <w:p>
            <w:pPr>
              <w:ind w:left="20"/>
              <w:spacing w:after="0"/>
              <w:rPr>
                <w:sz w:val="20"/>
                <w:szCs w:val="20"/>
                <w:color w:val="auto"/>
              </w:rPr>
            </w:pPr>
            <w:r>
              <w:rPr>
                <w:rFonts w:ascii="Arial" w:cs="Arial" w:eastAsia="Arial" w:hAnsi="Arial"/>
                <w:sz w:val="18"/>
                <w:szCs w:val="18"/>
                <w:color w:val="auto"/>
              </w:rPr>
              <w:t>G. Richard Wagoner, Jr.</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20"/>
              <w:spacing w:after="0"/>
              <w:rPr>
                <w:sz w:val="20"/>
                <w:szCs w:val="20"/>
                <w:color w:val="auto"/>
              </w:rPr>
            </w:pPr>
            <w:r>
              <w:rPr>
                <w:rFonts w:ascii="Arial" w:cs="Arial" w:eastAsia="Arial" w:hAnsi="Arial"/>
                <w:sz w:val="18"/>
                <w:szCs w:val="18"/>
                <w:color w:val="auto"/>
              </w:rPr>
              <w:t>Katharine Weymouth</w:t>
            </w:r>
          </w:p>
        </w:tc>
        <w:tc>
          <w:tcPr>
            <w:tcW w:w="1900" w:type="dxa"/>
            <w:vAlign w:val="bottom"/>
          </w:tcPr>
          <w:p>
            <w:pPr>
              <w:jc w:val="center"/>
              <w:ind w:right="30"/>
              <w:spacing w:after="0"/>
              <w:rPr>
                <w:sz w:val="20"/>
                <w:szCs w:val="20"/>
                <w:color w:val="auto"/>
              </w:rPr>
            </w:pPr>
            <w:r>
              <w:rPr>
                <w:rFonts w:ascii="Arial" w:cs="Arial" w:eastAsia="Arial" w:hAnsi="Arial"/>
                <w:sz w:val="18"/>
                <w:szCs w:val="18"/>
                <w:color w:val="auto"/>
              </w:rPr>
              <w:t>964,001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7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430"/>
              <w:spacing w:after="0"/>
              <w:rPr>
                <w:sz w:val="20"/>
                <w:szCs w:val="20"/>
                <w:color w:val="auto"/>
              </w:rPr>
            </w:pPr>
            <w:r>
              <w:rPr>
                <w:rFonts w:ascii="Arial" w:cs="Arial" w:eastAsia="Arial" w:hAnsi="Arial"/>
                <w:sz w:val="18"/>
                <w:szCs w:val="18"/>
                <w:color w:val="auto"/>
                <w:w w:val="99"/>
              </w:rPr>
              <w:t>—</w:t>
            </w:r>
          </w:p>
        </w:tc>
      </w:tr>
      <w:tr>
        <w:trPr>
          <w:trHeight w:val="729"/>
        </w:trPr>
        <w:tc>
          <w:tcPr>
            <w:tcW w:w="3260" w:type="dxa"/>
            <w:vAlign w:val="bottom"/>
          </w:tcPr>
          <w:p>
            <w:pPr>
              <w:spacing w:after="0"/>
              <w:rPr>
                <w:sz w:val="20"/>
                <w:szCs w:val="20"/>
                <w:color w:val="auto"/>
              </w:rPr>
            </w:pPr>
            <w:r>
              <w:rPr>
                <w:rFonts w:ascii="Arial" w:cs="Arial" w:eastAsia="Arial" w:hAnsi="Arial"/>
                <w:sz w:val="18"/>
                <w:szCs w:val="18"/>
                <w:color w:val="auto"/>
              </w:rPr>
              <w:t>Class B Common Stock Nominees</w:t>
            </w:r>
          </w:p>
        </w:tc>
        <w:tc>
          <w:tcPr>
            <w:tcW w:w="19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418"/>
        </w:trPr>
        <w:tc>
          <w:tcPr>
            <w:tcW w:w="3260" w:type="dxa"/>
            <w:vAlign w:val="bottom"/>
          </w:tcPr>
          <w:p>
            <w:pPr>
              <w:spacing w:after="0"/>
              <w:rPr>
                <w:sz w:val="24"/>
                <w:szCs w:val="24"/>
                <w:color w:val="auto"/>
              </w:rPr>
            </w:pPr>
          </w:p>
        </w:tc>
        <w:tc>
          <w:tcPr>
            <w:tcW w:w="1900" w:type="dxa"/>
            <w:vAlign w:val="bottom"/>
          </w:tcPr>
          <w:p>
            <w:pPr>
              <w:ind w:left="760"/>
              <w:spacing w:after="0"/>
              <w:rPr>
                <w:sz w:val="20"/>
                <w:szCs w:val="20"/>
                <w:color w:val="auto"/>
              </w:rPr>
            </w:pPr>
            <w:r>
              <w:rPr>
                <w:rFonts w:ascii="Arial" w:cs="Arial" w:eastAsia="Arial" w:hAnsi="Arial"/>
                <w:sz w:val="18"/>
                <w:szCs w:val="18"/>
                <w:color w:val="auto"/>
              </w:rPr>
              <w:t>For</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Withheld</w:t>
            </w:r>
          </w:p>
        </w:tc>
        <w:tc>
          <w:tcPr>
            <w:tcW w:w="1780" w:type="dxa"/>
            <w:vAlign w:val="bottom"/>
          </w:tcPr>
          <w:p>
            <w:pPr>
              <w:jc w:val="center"/>
              <w:ind w:left="50"/>
              <w:spacing w:after="0"/>
              <w:rPr>
                <w:sz w:val="20"/>
                <w:szCs w:val="20"/>
                <w:color w:val="auto"/>
              </w:rPr>
            </w:pPr>
            <w:r>
              <w:rPr>
                <w:rFonts w:ascii="Arial" w:cs="Arial" w:eastAsia="Arial" w:hAnsi="Arial"/>
                <w:sz w:val="18"/>
                <w:szCs w:val="18"/>
                <w:color w:val="auto"/>
                <w:w w:val="99"/>
              </w:rPr>
              <w:t>Abstain</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Broker Non-Votes</w:t>
            </w:r>
          </w:p>
        </w:tc>
      </w:tr>
      <w:tr>
        <w:trPr>
          <w:trHeight w:val="256"/>
        </w:trPr>
        <w:tc>
          <w:tcPr>
            <w:tcW w:w="3260" w:type="dxa"/>
            <w:vAlign w:val="bottom"/>
          </w:tcPr>
          <w:p>
            <w:pPr>
              <w:ind w:left="60"/>
              <w:spacing w:after="0"/>
              <w:rPr>
                <w:sz w:val="20"/>
                <w:szCs w:val="20"/>
                <w:color w:val="auto"/>
              </w:rPr>
            </w:pPr>
            <w:r>
              <w:rPr>
                <w:rFonts w:ascii="Arial" w:cs="Arial" w:eastAsia="Arial" w:hAnsi="Arial"/>
                <w:sz w:val="18"/>
                <w:szCs w:val="18"/>
                <w:color w:val="auto"/>
              </w:rPr>
              <w:t>Tony Allen</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2,050,989</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976,511</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60"/>
              <w:spacing w:after="0"/>
              <w:rPr>
                <w:sz w:val="20"/>
                <w:szCs w:val="20"/>
                <w:color w:val="auto"/>
              </w:rPr>
            </w:pPr>
            <w:r>
              <w:rPr>
                <w:rFonts w:ascii="Arial" w:cs="Arial" w:eastAsia="Arial" w:hAnsi="Arial"/>
                <w:sz w:val="18"/>
                <w:szCs w:val="18"/>
                <w:color w:val="auto"/>
              </w:rPr>
              <w:t>Danielle Conley</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2,797,283</w:t>
            </w:r>
          </w:p>
        </w:tc>
        <w:tc>
          <w:tcPr>
            <w:tcW w:w="2060" w:type="dxa"/>
            <w:vAlign w:val="bottom"/>
          </w:tcPr>
          <w:p>
            <w:pPr>
              <w:jc w:val="center"/>
              <w:spacing w:after="0"/>
              <w:rPr>
                <w:sz w:val="20"/>
                <w:szCs w:val="20"/>
                <w:color w:val="auto"/>
              </w:rPr>
            </w:pPr>
            <w:r>
              <w:rPr>
                <w:rFonts w:ascii="Arial" w:cs="Arial" w:eastAsia="Arial" w:hAnsi="Arial"/>
                <w:sz w:val="18"/>
                <w:szCs w:val="18"/>
                <w:color w:val="auto"/>
                <w:w w:val="98"/>
              </w:rPr>
              <w:t>230,217</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r>
        <w:trPr>
          <w:trHeight w:val="257"/>
        </w:trPr>
        <w:tc>
          <w:tcPr>
            <w:tcW w:w="3260" w:type="dxa"/>
            <w:vAlign w:val="bottom"/>
          </w:tcPr>
          <w:p>
            <w:pPr>
              <w:ind w:left="60"/>
              <w:spacing w:after="0"/>
              <w:rPr>
                <w:sz w:val="20"/>
                <w:szCs w:val="20"/>
                <w:color w:val="auto"/>
              </w:rPr>
            </w:pPr>
            <w:r>
              <w:rPr>
                <w:rFonts w:ascii="Arial" w:cs="Arial" w:eastAsia="Arial" w:hAnsi="Arial"/>
                <w:sz w:val="18"/>
                <w:szCs w:val="18"/>
                <w:color w:val="auto"/>
              </w:rPr>
              <w:t>Christopher C. Davis</w:t>
            </w:r>
          </w:p>
        </w:tc>
        <w:tc>
          <w:tcPr>
            <w:tcW w:w="1900" w:type="dxa"/>
            <w:vAlign w:val="bottom"/>
          </w:tcPr>
          <w:p>
            <w:pPr>
              <w:jc w:val="center"/>
              <w:ind w:right="10"/>
              <w:spacing w:after="0"/>
              <w:rPr>
                <w:sz w:val="20"/>
                <w:szCs w:val="20"/>
                <w:color w:val="auto"/>
              </w:rPr>
            </w:pPr>
            <w:r>
              <w:rPr>
                <w:rFonts w:ascii="Arial" w:cs="Arial" w:eastAsia="Arial" w:hAnsi="Arial"/>
                <w:sz w:val="18"/>
                <w:szCs w:val="18"/>
                <w:color w:val="auto"/>
                <w:w w:val="99"/>
              </w:rPr>
              <w:t>1,847,541</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1,179,959</w:t>
            </w:r>
          </w:p>
        </w:tc>
        <w:tc>
          <w:tcPr>
            <w:tcW w:w="178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center"/>
              <w:ind w:left="39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Proposal 2: Advisory Vote by the Class A stockholders to Approve 2022 Compensation Awarded to Named Executive Officers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Company’s Class A stockholders approved, on an advisory basis, the compensation paid to the Company’s named executive officers for 2022, as set forth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93" w:lineRule="exact"/>
        <w:rPr>
          <w:sz w:val="20"/>
          <w:szCs w:val="20"/>
          <w:color w:val="auto"/>
        </w:rPr>
      </w:pPr>
    </w:p>
    <w:p>
      <w:pPr>
        <w:ind w:left="880"/>
        <w:spacing w:after="0"/>
        <w:tabs>
          <w:tab w:leader="none" w:pos="2700" w:val="left"/>
          <w:tab w:leader="none" w:pos="4700" w:val="left"/>
          <w:tab w:leader="none" w:pos="6320" w:val="left"/>
        </w:tabs>
        <w:rPr>
          <w:sz w:val="20"/>
          <w:szCs w:val="20"/>
          <w:color w:val="auto"/>
        </w:rPr>
      </w:pP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Abstain</w:t>
      </w:r>
      <w:r>
        <w:rPr>
          <w:sz w:val="20"/>
          <w:szCs w:val="20"/>
          <w:color w:val="auto"/>
        </w:rPr>
        <w:tab/>
      </w:r>
      <w:r>
        <w:rPr>
          <w:rFonts w:ascii="Arial" w:cs="Arial" w:eastAsia="Arial" w:hAnsi="Arial"/>
          <w:sz w:val="17"/>
          <w:szCs w:val="17"/>
          <w:color w:val="auto"/>
        </w:rPr>
        <w:t>Broker Non-Votes</w:t>
      </w:r>
    </w:p>
    <w:p>
      <w:pPr>
        <w:spacing w:after="0" w:line="50" w:lineRule="exact"/>
        <w:rPr>
          <w:sz w:val="20"/>
          <w:szCs w:val="20"/>
          <w:color w:val="auto"/>
        </w:rPr>
      </w:pPr>
    </w:p>
    <w:p>
      <w:pPr>
        <w:ind w:left="680"/>
        <w:spacing w:after="0"/>
        <w:tabs>
          <w:tab w:leader="none" w:pos="2900" w:val="left"/>
          <w:tab w:leader="none" w:pos="4900" w:val="left"/>
          <w:tab w:leader="none" w:pos="6940" w:val="left"/>
        </w:tabs>
        <w:rPr>
          <w:sz w:val="20"/>
          <w:szCs w:val="20"/>
          <w:color w:val="auto"/>
        </w:rPr>
      </w:pPr>
      <w:r>
        <w:rPr>
          <w:rFonts w:ascii="Arial" w:cs="Arial" w:eastAsia="Arial" w:hAnsi="Arial"/>
          <w:sz w:val="18"/>
          <w:szCs w:val="18"/>
          <w:color w:val="auto"/>
        </w:rPr>
        <w:t>964,001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Proposal 3: Advisory vote by the Class A stockholders to determine the frequency of future advisory votes on compensation awarded to the Company’s named executive officers</w:t>
      </w:r>
    </w:p>
    <w:p>
      <w:pPr>
        <w:spacing w:after="0" w:line="19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Company’s Class A stockholders approved, on an advisory basis, that an annual vote be held on compensation paid to the Company’s named executive officers, as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w:t>
      </w:r>
    </w:p>
    <w:p>
      <w:pPr>
        <w:spacing w:after="0" w:line="293" w:lineRule="exact"/>
        <w:rPr>
          <w:sz w:val="20"/>
          <w:szCs w:val="20"/>
          <w:color w:val="auto"/>
        </w:rPr>
      </w:pPr>
    </w:p>
    <w:p>
      <w:pPr>
        <w:ind w:left="760"/>
        <w:spacing w:after="0"/>
        <w:tabs>
          <w:tab w:leader="none" w:pos="2680" w:val="left"/>
          <w:tab w:leader="none" w:pos="4680" w:val="left"/>
          <w:tab w:leader="none" w:pos="6680" w:val="left"/>
          <w:tab w:leader="none" w:pos="8300" w:val="left"/>
        </w:tabs>
        <w:rPr>
          <w:sz w:val="20"/>
          <w:szCs w:val="20"/>
          <w:color w:val="auto"/>
        </w:rPr>
      </w:pPr>
      <w:r>
        <w:rPr>
          <w:rFonts w:ascii="Arial" w:cs="Arial" w:eastAsia="Arial" w:hAnsi="Arial"/>
          <w:sz w:val="18"/>
          <w:szCs w:val="18"/>
          <w:color w:val="auto"/>
        </w:rPr>
        <w:t>1 Year</w:t>
      </w:r>
      <w:r>
        <w:rPr>
          <w:sz w:val="20"/>
          <w:szCs w:val="20"/>
          <w:color w:val="auto"/>
        </w:rPr>
        <w:tab/>
      </w:r>
      <w:r>
        <w:rPr>
          <w:rFonts w:ascii="Arial" w:cs="Arial" w:eastAsia="Arial" w:hAnsi="Arial"/>
          <w:sz w:val="18"/>
          <w:szCs w:val="18"/>
          <w:color w:val="auto"/>
        </w:rPr>
        <w:t>2 Years</w:t>
      </w:r>
      <w:r>
        <w:rPr>
          <w:sz w:val="20"/>
          <w:szCs w:val="20"/>
          <w:color w:val="auto"/>
        </w:rPr>
        <w:tab/>
      </w:r>
      <w:r>
        <w:rPr>
          <w:rFonts w:ascii="Arial" w:cs="Arial" w:eastAsia="Arial" w:hAnsi="Arial"/>
          <w:sz w:val="18"/>
          <w:szCs w:val="18"/>
          <w:color w:val="auto"/>
        </w:rPr>
        <w:t>3 Years</w:t>
      </w:r>
      <w:r>
        <w:rPr>
          <w:sz w:val="20"/>
          <w:szCs w:val="20"/>
          <w:color w:val="auto"/>
        </w:rPr>
        <w:tab/>
      </w:r>
      <w:r>
        <w:rPr>
          <w:rFonts w:ascii="Arial" w:cs="Arial" w:eastAsia="Arial" w:hAnsi="Arial"/>
          <w:sz w:val="18"/>
          <w:szCs w:val="18"/>
          <w:color w:val="auto"/>
        </w:rPr>
        <w:t>Abstain</w:t>
      </w:r>
      <w:r>
        <w:rPr>
          <w:sz w:val="20"/>
          <w:szCs w:val="20"/>
          <w:color w:val="auto"/>
        </w:rPr>
        <w:tab/>
      </w:r>
      <w:r>
        <w:rPr>
          <w:rFonts w:ascii="Arial" w:cs="Arial" w:eastAsia="Arial" w:hAnsi="Arial"/>
          <w:sz w:val="17"/>
          <w:szCs w:val="17"/>
          <w:color w:val="auto"/>
        </w:rPr>
        <w:t>Broker Non-Votes</w:t>
      </w:r>
    </w:p>
    <w:p>
      <w:pPr>
        <w:spacing w:after="0" w:line="50" w:lineRule="exact"/>
        <w:rPr>
          <w:sz w:val="20"/>
          <w:szCs w:val="20"/>
          <w:color w:val="auto"/>
        </w:rPr>
      </w:pPr>
    </w:p>
    <w:p>
      <w:pPr>
        <w:ind w:left="680"/>
        <w:spacing w:after="0"/>
        <w:tabs>
          <w:tab w:leader="none" w:pos="2900" w:val="left"/>
          <w:tab w:leader="none" w:pos="4880" w:val="left"/>
          <w:tab w:leader="none" w:pos="6900" w:val="left"/>
          <w:tab w:leader="none" w:pos="8920" w:val="left"/>
        </w:tabs>
        <w:rPr>
          <w:sz w:val="20"/>
          <w:szCs w:val="20"/>
          <w:color w:val="auto"/>
        </w:rPr>
      </w:pPr>
      <w:r>
        <w:rPr>
          <w:rFonts w:ascii="Arial" w:cs="Arial" w:eastAsia="Arial" w:hAnsi="Arial"/>
          <w:sz w:val="18"/>
          <w:szCs w:val="18"/>
          <w:color w:val="auto"/>
        </w:rPr>
        <w:t>964,001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257810</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183515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 Other Events.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On May 4 2023, the Company issued the press release attached hereto as Exhibit 99.1.</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Exhibit 99.1 Press release of Graham Holdings Company dated May 4, 2023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6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Graham Holdings Company Press Release dated May 4, 2023.</w:t>
      </w:r>
    </w:p>
    <w:p>
      <w:pPr>
        <w:spacing w:after="0" w:line="63"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566420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7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300" w:val="left"/>
        </w:tabs>
        <w:rPr>
          <w:sz w:val="20"/>
          <w:szCs w:val="20"/>
          <w:color w:val="auto"/>
        </w:rPr>
      </w:pPr>
      <w:r>
        <w:rPr>
          <w:rFonts w:ascii="Arial" w:cs="Arial" w:eastAsia="Arial" w:hAnsi="Arial"/>
          <w:sz w:val="18"/>
          <w:szCs w:val="18"/>
          <w:color w:val="auto"/>
        </w:rPr>
        <w:t>Date: May 5, 2023</w:t>
      </w:r>
      <w:r>
        <w:rPr>
          <w:sz w:val="20"/>
          <w:szCs w:val="20"/>
          <w:color w:val="auto"/>
        </w:rPr>
        <w:tab/>
      </w:r>
      <w:r>
        <w:rPr>
          <w:rFonts w:ascii="Arial" w:cs="Arial" w:eastAsia="Arial" w:hAnsi="Arial"/>
          <w:sz w:val="17"/>
          <w:szCs w:val="17"/>
          <w:color w:val="auto"/>
        </w:rPr>
        <w:t>/s/ Nicole M. Maddrey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Nicole M. Maddrey,</w:t>
      </w:r>
    </w:p>
    <w:p>
      <w:pPr>
        <w:jc w:val="center"/>
        <w:ind w:left="7120"/>
        <w:spacing w:after="0" w:line="234" w:lineRule="auto"/>
        <w:rPr>
          <w:sz w:val="20"/>
          <w:szCs w:val="20"/>
          <w:color w:val="auto"/>
        </w:rPr>
      </w:pPr>
      <w:r>
        <w:rPr>
          <w:rFonts w:ascii="Arial" w:cs="Arial" w:eastAsia="Arial" w:hAnsi="Arial"/>
          <w:sz w:val="18"/>
          <w:szCs w:val="18"/>
          <w:color w:val="auto"/>
        </w:rPr>
        <w:t>Senior Vice President, Secretary, General</w:t>
      </w:r>
    </w:p>
    <w:p>
      <w:pPr>
        <w:spacing w:after="0" w:line="1"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Graham Holdings Announces Stock Repurchase Authorization</w:t>
      </w:r>
    </w:p>
    <w:p>
      <w:pPr>
        <w:spacing w:after="0" w:line="200" w:lineRule="exact"/>
        <w:rPr>
          <w:sz w:val="20"/>
          <w:szCs w:val="20"/>
          <w:color w:val="auto"/>
        </w:rPr>
      </w:pPr>
    </w:p>
    <w:p>
      <w:pPr>
        <w:spacing w:after="0" w:line="2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ARLINGTON, VA—May 4, 2023—Graham Holdings Company (NYSE: GHC) announced today that its Board of Directors has authorized the Company to acquire up to 500,000 shares of its Class B common stock. The Company did not announce a ceiling price or time limit for the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April 28, 2023, there were 3,778,767 Class B shares outstanding.</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left="680"/>
        <w:spacing w:after="0"/>
        <w:tabs>
          <w:tab w:leader="none" w:pos="210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50" w:lineRule="exact"/>
        <w:rPr>
          <w:sz w:val="20"/>
          <w:szCs w:val="20"/>
          <w:color w:val="auto"/>
        </w:rPr>
      </w:pPr>
    </w:p>
    <w:p>
      <w:pPr>
        <w:ind w:left="2120" w:right="6940" w:hanging="2"/>
        <w:spacing w:after="0" w:line="334" w:lineRule="auto"/>
        <w:tabs>
          <w:tab w:leader="none" w:pos="2590" w:val="left"/>
        </w:tabs>
        <w:numPr>
          <w:ilvl w:val="0"/>
          <w:numId w:val="2"/>
        </w:numPr>
        <w:rPr>
          <w:rFonts w:ascii="Arial" w:cs="Arial" w:eastAsia="Arial" w:hAnsi="Arial"/>
          <w:sz w:val="18"/>
          <w:szCs w:val="18"/>
          <w:color w:val="auto"/>
        </w:rPr>
      </w:pPr>
      <w:r>
        <w:rPr>
          <w:rFonts w:ascii="Arial" w:cs="Arial" w:eastAsia="Arial" w:hAnsi="Arial"/>
          <w:sz w:val="18"/>
          <w:szCs w:val="18"/>
          <w:color w:val="auto"/>
        </w:rPr>
        <w:t>345-6450 Pinkie.Mayfield@ghco.com</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2023-05-05T12:51:09Z</dcterms:created>
  <dcterms:modified xsi:type="dcterms:W3CDTF">2023-05-05T12:51:09Z</dcterms:modified>
</cp:coreProperties>
</file>