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June 30, 2014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1150 15th Street, N.W. Washington, D.C.</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20071</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(202) 334-6000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6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Graham Holdings Company (the “Company”) announced on April 10, 2014 that it had entered into an exchange agreement (the “Exchange Agreement”) with Berkshire Hathaway Inc. (“Berkshire”), certain subsidiaries of Berkshire (the “Berkshire Subsidiaries” and, together with Berkshire, the “Berkshire Parties”) and Miami Station Split Co., a wholly owned subsidiary of the Company (“Splitco”). On June 30, 2014, pursuant to the Exchange Agreement, the Berkshire Subsidiaries acquired all of the shares of common stock of Splitco, which owned (i) WPLG, a Miami-based television station, (ii) 2,107 shares of Berkshire Class A common stock and 1,278 shares of Berkshire Class B common stock and (iii) $ 327,717,816, in exchange for 1,620,190 shares of the approximately 1.7 million shares of the Company’s Class B common stock owned by the Berkshire Subsidiaries (the “Exchange”).</w:t>
      </w:r>
    </w:p>
    <w:p>
      <w:pPr>
        <w:spacing w:after="0" w:line="139"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foregoing description of the Exchange and the Exchange Agreement does not purport to be complete and is qualified in its entirety by reference to the Exchange Agreement, which was filed on Exhibit 2.1 to the Company’s Current Report on Form 8-K filed with the Securities and Exchange Commission (the “SEC”) on April 14, 2014 and which is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and Berkshire issued a press release on July 1, 2014 announcing that they completed the Exchange, a copy of which is attached as Exhibit 99.1 hereto and is incorporated herein by reference.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unaudited pro forma condensed consolidated balance sheet of the Company as of March 31, 2014, and the unaudited pro forma condensed consolidated statements of income of the Company for the three months ended March 31, 2014 and each of the last three fiscal years ended December 31, 2013, are filed as Exhibit 99.2 to this Current Report on Form 8-K.</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 Exhibits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Exchange Agreement among Graham Holdings Company, Berkshire Hathaway Inc., National Indemnity Company,</w:t>
            </w:r>
          </w:p>
        </w:tc>
      </w:tr>
      <w:tr>
        <w:trPr>
          <w:trHeight w:val="203"/>
        </w:trPr>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National Fire &amp; Marine Insurance Company, Berkshire Hathaway Homestate Insurance Company and Miami Station</w:t>
            </w:r>
          </w:p>
        </w:tc>
      </w:tr>
      <w:tr>
        <w:trPr>
          <w:trHeight w:val="203"/>
        </w:trPr>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Split Co., dated April 10, 2014 (incorporated by reference to Exhibit 2.1 of the Company’s Current Report on Form 8-</w:t>
            </w:r>
          </w:p>
        </w:tc>
      </w:tr>
      <w:tr>
        <w:trPr>
          <w:trHeight w:val="217"/>
        </w:trPr>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K filed with the SEC on April 14, 2014)</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and Berkshire Hathaway Inc., dated July 1, 2014</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Unaudited Pro Forma Condensed Consolidated Financial Information</w:t>
            </w:r>
          </w:p>
        </w:tc>
      </w:tr>
    </w:tbl>
    <w:p>
      <w:pPr>
        <w:sectPr>
          <w:pgSz w:w="11900" w:h="16838" w:orient="portrait"/>
          <w:cols w:equalWidth="0" w:num="1">
            <w:col w:w="11420"/>
          </w:cols>
          <w:pgMar w:left="240" w:top="562"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color w:val="auto"/>
        </w:rPr>
        <w:t>Date: July 7, 2014</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00"/>
          </w:cols>
          <w:pgMar w:left="240" w:top="57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300" w:type="dxa"/>
            <w:vAlign w:val="bottom"/>
          </w:tcPr>
          <w:p>
            <w:pPr>
              <w:ind w:left="20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Exchange Agreement among Graham Holdings Company, Berkshire Hathaway Inc., National Indemnity Company,</w:t>
            </w:r>
          </w:p>
        </w:tc>
      </w:tr>
      <w:tr>
        <w:trPr>
          <w:trHeight w:val="203"/>
        </w:trPr>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National Fire &amp; Marine Insurance Company, Berkshire Hathaway Homestate Insurance Company and Miami Station</w:t>
            </w:r>
          </w:p>
        </w:tc>
      </w:tr>
      <w:tr>
        <w:trPr>
          <w:trHeight w:val="203"/>
        </w:trPr>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2"/>
          </w:tcPr>
          <w:p>
            <w:pPr>
              <w:spacing w:after="0" w:line="202" w:lineRule="exact"/>
              <w:rPr>
                <w:sz w:val="20"/>
                <w:szCs w:val="20"/>
                <w:color w:val="auto"/>
              </w:rPr>
            </w:pPr>
            <w:r>
              <w:rPr>
                <w:rFonts w:ascii="Arial" w:cs="Arial" w:eastAsia="Arial" w:hAnsi="Arial"/>
                <w:sz w:val="18"/>
                <w:szCs w:val="18"/>
                <w:color w:val="auto"/>
              </w:rPr>
              <w:t>Split Co., dated April 10, 2014 (incorporated by reference to Exhibit 2.1 of the Company’s Current Report on Form 8-</w:t>
            </w:r>
          </w:p>
        </w:tc>
      </w:tr>
      <w:tr>
        <w:trPr>
          <w:trHeight w:val="217"/>
        </w:trPr>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K filed with the SEC on April 14, 2014)</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and Berkshire Hathaway Inc., dated July 1, 2014</w:t>
            </w: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2"/>
                <w:szCs w:val="22"/>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Unaudited Pro Forma Condensed Consolidated Financial Information</w:t>
            </w:r>
          </w:p>
        </w:tc>
      </w:tr>
    </w:tbl>
    <w:p>
      <w:pPr>
        <w:sectPr>
          <w:pgSz w:w="11900" w:h="16838" w:orient="portrait"/>
          <w:cols w:equalWidth="0" w:num="1">
            <w:col w:w="11360"/>
          </w:cols>
          <w:pgMar w:left="280" w:top="576"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and Berkshire Hathaway Complete Deal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Berkshire Hathaway to Acquire WPLG-TV</w:t>
      </w:r>
    </w:p>
    <w:p>
      <w:pPr>
        <w:spacing w:after="0" w:line="17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WASHINGTON, DC/OMAHA, NE-July 1, 2014-Graham Holdings Company (NYSE: GHC) and Berkshire Hathaway Inc. (NYSE: BRK.A; BRK.B) reported today that they have completed a transaction, announced March 12, 2014, in which Berkshire has acquired a wholly-owned subsidiary of Graham Holdings, including WPLG, a Miami-based television station, 2,107 Class A Berkshire shares and 1,278 Class B Berkshire shares owned by Graham Holdings and $327.7 million in cash, in exchange for about 1,620,000 shares of Graham Holdings Class B common stock owned by Berkshire Hathaway.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Berkshire Hathaway </w:t>
      </w:r>
      <w:r>
        <w:rPr>
          <w:rFonts w:ascii="Arial" w:cs="Arial" w:eastAsia="Arial" w:hAnsi="Arial"/>
          <w:sz w:val="18"/>
          <w:szCs w:val="18"/>
          <w:color w:val="auto"/>
        </w:rPr>
        <w:t>(www.berkshirehathaway.com):</w:t>
      </w:r>
    </w:p>
    <w:p>
      <w:pPr>
        <w:spacing w:after="0" w:line="4"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Berkshire Hathaway and its subsidiaries engage in diverse business activities including property and casualty insurance and reinsurance, utilities and energy, freight rail transportation, finance, manufacturing, retailing and services. Berkshire’s common stock is listed on the New York Stock Exchange, trading symbols BRK.A and BRK.B.</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(www.ghco.com):</w:t>
      </w:r>
    </w:p>
    <w:p>
      <w:pPr>
        <w:spacing w:after="0" w:line="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Post-Newsweek Stations (WDIV-Detroit, KPRC-Houston, WKMG-Orlando, KSAT-San Antonio, WJXT-Jacksonville); Cable ONE, serving small-city subscribers in 19 midwestern, western and southern states; and The Slate Group (Slate, Slate V, The Root); and Foreign Policy. The Company also owns Trove, a digital team focused on innovation and experimentation with emerging technologies; SocialCode, a leading social marketing solutions company; Celtic Healthcare; Forney Corporation; and Joyce/Dayton Corp.</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ind w:left="1300"/>
        <w:spacing w:after="0" w:line="219" w:lineRule="auto"/>
        <w:rPr>
          <w:sz w:val="20"/>
          <w:szCs w:val="20"/>
          <w:color w:val="auto"/>
        </w:rPr>
      </w:pPr>
      <w:r>
        <w:rPr>
          <w:rFonts w:ascii="Arial" w:cs="Arial" w:eastAsia="Arial" w:hAnsi="Arial"/>
          <w:sz w:val="18"/>
          <w:szCs w:val="18"/>
          <w:color w:val="auto"/>
        </w:rPr>
        <w:t>Rima Calderon</w:t>
      </w:r>
    </w:p>
    <w:p>
      <w:pPr>
        <w:ind w:left="1300"/>
        <w:spacing w:after="0" w:line="219" w:lineRule="auto"/>
        <w:rPr>
          <w:sz w:val="20"/>
          <w:szCs w:val="20"/>
          <w:color w:val="auto"/>
        </w:rPr>
      </w:pPr>
      <w:r>
        <w:rPr>
          <w:rFonts w:ascii="Arial" w:cs="Arial" w:eastAsia="Arial" w:hAnsi="Arial"/>
          <w:sz w:val="18"/>
          <w:szCs w:val="18"/>
          <w:color w:val="auto"/>
        </w:rPr>
        <w:t>Rima.Calderon@ghco.com</w:t>
      </w:r>
    </w:p>
    <w:p>
      <w:pPr>
        <w:ind w:left="1300"/>
        <w:spacing w:after="0"/>
        <w:rPr>
          <w:sz w:val="20"/>
          <w:szCs w:val="20"/>
          <w:color w:val="auto"/>
        </w:rPr>
      </w:pPr>
      <w:r>
        <w:rPr>
          <w:rFonts w:ascii="Arial" w:cs="Arial" w:eastAsia="Arial" w:hAnsi="Arial"/>
          <w:sz w:val="18"/>
          <w:szCs w:val="18"/>
          <w:color w:val="auto"/>
        </w:rPr>
        <w:t>(202) 334-6617</w:t>
      </w:r>
    </w:p>
    <w:p>
      <w:pPr>
        <w:sectPr>
          <w:pgSz w:w="11900" w:h="16838" w:orient="portrait"/>
          <w:cols w:equalWidth="0" w:num="1">
            <w:col w:w="11420"/>
          </w:cols>
          <w:pgMar w:left="240" w:top="58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w:t>
      </w:r>
    </w:p>
    <w:p>
      <w:pPr>
        <w:jc w:val="center"/>
        <w:spacing w:after="0"/>
        <w:rPr>
          <w:sz w:val="20"/>
          <w:szCs w:val="20"/>
          <w:color w:val="auto"/>
        </w:rPr>
      </w:pPr>
      <w:r>
        <w:rPr>
          <w:rFonts w:ascii="Arial" w:cs="Arial" w:eastAsia="Arial" w:hAnsi="Arial"/>
          <w:sz w:val="18"/>
          <w:szCs w:val="18"/>
          <w:b w:val="1"/>
          <w:bCs w:val="1"/>
          <w:color w:val="auto"/>
        </w:rPr>
        <w:t>CONDENSED CONSOLIDATED FINANCIAL INFORMATION</w:t>
      </w:r>
    </w:p>
    <w:p>
      <w:pPr>
        <w:spacing w:after="0" w:line="144"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On June 30, 2014, Graham Holdings Company (the Company) completed an exchange transaction with Berkshire Hathaway, Inc. (Berkshire), whereby the Company acquired 1,620,190 shares of Class B common stock of the Company held by a subsidiary of Berkshire, in exchange for all of the shares of common stock of a wholly owned subsidiary of the Company, which owned (i) WPLG, a Miami-based television station, (ii)</w:t>
      </w:r>
    </w:p>
    <w:p>
      <w:pPr>
        <w:spacing w:after="0" w:line="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2,107 Class A Berkshire shares and 1,278 Class B Berkshire shares, and (iii) $327.7 million in cash. The exchange transaction qualifies as a tax-free distribution under IRC Section 355 and 361.</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accompanying unaudited pro forma condensed consolidated balance sheet presents the Company’s financial position assuming the exchange transaction with Berkshire occurred on March 31, 2014.</w:t>
      </w:r>
    </w:p>
    <w:p>
      <w:pPr>
        <w:spacing w:after="0" w:line="135"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The accompanying unaudited pro forma condensed consolidated statements of income present the Company’s results of operations for the three months ended March 31, 2014 and for each of the three fiscal years in the period ended December 31, 2013, assuming the exchange transaction occurred on January 3, 2011.</w:t>
      </w:r>
    </w:p>
    <w:p>
      <w:pPr>
        <w:spacing w:after="0" w:line="13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The unaudited pro forma condensed consolidated financial statements have been prepared using assumptions and estimates that the Company believes are reasonable under the circumstances and are intended for informational purposes only. They are not necessarily indicative of the financial results that would have occurred if the transactions described herein had taken place on the dates indicated, nor are they indicative of the future consolidated results of the Company. However, management believes that the estimates and assumptions used provide a reasonable basis for presenting the significant effects of the exchange transaction. Management also believes the pro forma adjustments give appropriate effect to the estimates and assumptions and are applied in conformity with accounting principles generally accepted in the United States of America.</w:t>
      </w:r>
    </w:p>
    <w:p>
      <w:pPr>
        <w:spacing w:after="0" w:line="13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accompanying unaudited pro forma condensed consolidated balance sheet as of March 31, 2014 and the unaudited pro forma condensed consolidated statements of income for the three months ended March 31, 2014 and for each of the three fiscal years in the period ended December 31, 2013, should be read in conjunction with the historical financial statements of the Company for the three months ended March 31, 2014 (unaudited) and for each of the three fiscal years in the period ended December 31, 2013 (audited), including the related notes, filed with the Securities and Exchange Commission, respectively, on Form 10-Q on May 7, 2014 and on Form 10-K on February 28, 2014.</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following is a brief description of the amounts recorded under each of the column headings in the accompanying unaudited condensed consolidated balance sheet and the unaudited condensed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GHC</w:t>
      </w:r>
    </w:p>
    <w:p>
      <w:pPr>
        <w:spacing w:after="0" w:line="162"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This column reflects the Company’s historical financial position as of March 31, 2014 and historical operating results for the three months ended March 31, 2014 and each of the three years in the period ended December 31, 2013, prior to any adjustment for the exchange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Transaction</w:t>
      </w:r>
    </w:p>
    <w:p>
      <w:pPr>
        <w:spacing w:after="0" w:line="16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This column reflects the historical financial position of the assets and liabilities exchanged with Berkshire as of March 31, 2014 and the historical operating results of the business exchanged for the three months ended March 31, 2014 and each of the three fiscal years in the period ended December 31, 2013, and the pro forma adjustments that arise as a direct result of the exchange transaction. These adjustments are more fully described in the notes to the accompanying unaudited pro forma condensed consolidated financial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98" w:right="239" w:bottom="1440" w:gutter="0" w:footer="0" w:header="0"/>
        </w:sectPr>
      </w:pPr>
    </w:p>
    <w:bookmarkStart w:id="6" w:name="page7"/>
    <w:bookmarkEnd w:id="6"/>
    <w:p>
      <w:pPr>
        <w:spacing w:after="0" w:line="4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GRAHAM HOLDINGS COMPANY</w:t>
      </w:r>
    </w:p>
    <w:p>
      <w:pPr>
        <w:jc w:val="center"/>
        <w:ind w:right="100"/>
        <w:spacing w:after="0" w:line="201" w:lineRule="auto"/>
        <w:rPr>
          <w:sz w:val="20"/>
          <w:szCs w:val="20"/>
          <w:color w:val="auto"/>
        </w:rPr>
      </w:pPr>
      <w:r>
        <w:rPr>
          <w:rFonts w:ascii="Arial" w:cs="Arial" w:eastAsia="Arial" w:hAnsi="Arial"/>
          <w:sz w:val="14"/>
          <w:szCs w:val="14"/>
          <w:b w:val="1"/>
          <w:bCs w:val="1"/>
          <w:color w:val="auto"/>
        </w:rPr>
        <w:t>UNAUDITED PRO FORMA CONDENSED CONSOLIDATED BALANCE SHEET</w:t>
      </w:r>
    </w:p>
    <w:p>
      <w:pPr>
        <w:jc w:val="center"/>
        <w:ind w:right="100"/>
        <w:spacing w:after="0"/>
        <w:rPr>
          <w:sz w:val="20"/>
          <w:szCs w:val="20"/>
          <w:color w:val="auto"/>
        </w:rPr>
      </w:pPr>
      <w:r>
        <w:rPr>
          <w:rFonts w:ascii="Arial" w:cs="Arial" w:eastAsia="Arial" w:hAnsi="Arial"/>
          <w:sz w:val="14"/>
          <w:szCs w:val="14"/>
          <w:b w:val="1"/>
          <w:bCs w:val="1"/>
          <w:color w:val="auto"/>
        </w:rPr>
        <w:t>AS OF MARCH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17"/>
              <w:spacing w:after="0"/>
              <w:rPr>
                <w:sz w:val="20"/>
                <w:szCs w:val="20"/>
                <w:color w:val="auto"/>
              </w:rPr>
            </w:pPr>
            <w:r>
              <w:rPr>
                <w:rFonts w:ascii="Arial" w:cs="Arial" w:eastAsia="Arial" w:hAnsi="Arial"/>
                <w:sz w:val="13"/>
                <w:szCs w:val="13"/>
                <w:b w:val="1"/>
                <w:bCs w:val="1"/>
                <w:color w:val="auto"/>
              </w:rPr>
              <w:t>Historical</w:t>
            </w:r>
          </w:p>
        </w:tc>
        <w:tc>
          <w:tcPr>
            <w:tcW w:w="3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3"/>
                <w:szCs w:val="13"/>
                <w:b w:val="1"/>
                <w:bCs w:val="1"/>
                <w:color w:val="auto"/>
              </w:rPr>
              <w:t>Exchange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3"/>
                <w:szCs w:val="13"/>
                <w:b w:val="1"/>
                <w:bCs w:val="1"/>
                <w:color w:val="auto"/>
              </w:rPr>
              <w:t>The Company</w:t>
            </w:r>
          </w:p>
        </w:tc>
        <w:tc>
          <w:tcPr>
            <w:tcW w:w="0" w:type="dxa"/>
            <w:vAlign w:val="bottom"/>
          </w:tcPr>
          <w:p>
            <w:pPr>
              <w:spacing w:after="0"/>
              <w:rPr>
                <w:sz w:val="1"/>
                <w:szCs w:val="1"/>
                <w:color w:val="auto"/>
              </w:rPr>
            </w:pPr>
          </w:p>
        </w:tc>
      </w:tr>
      <w:tr>
        <w:trPr>
          <w:trHeight w:val="28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GHC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Transaction</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88"/>
        </w:trPr>
        <w:tc>
          <w:tcPr>
            <w:tcW w:w="6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57"/>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642,833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(327,718)</w:t>
            </w:r>
          </w:p>
        </w:tc>
        <w:tc>
          <w:tcPr>
            <w:tcW w:w="200" w:type="dxa"/>
            <w:vAlign w:val="bottom"/>
          </w:tcPr>
          <w:p>
            <w:pPr>
              <w:jc w:val="right"/>
              <w:spacing w:after="0"/>
              <w:rPr>
                <w:sz w:val="20"/>
                <w:szCs w:val="20"/>
                <w:color w:val="auto"/>
              </w:rPr>
            </w:pPr>
            <w:r>
              <w:rPr>
                <w:rFonts w:ascii="Arial" w:cs="Arial" w:eastAsia="Arial" w:hAnsi="Arial"/>
                <w:sz w:val="9"/>
                <w:szCs w:val="9"/>
                <w:color w:val="auto"/>
              </w:rPr>
              <w:t>(2)</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315,115</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Restricted cash</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52,035</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52,035</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Investments in marketable equity securities and other investments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645,594</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(394,906)</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250,688</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Accounts receivable, net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406,293</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406,293</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3,234</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3,234</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34,730</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34,730</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80,431</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80,431</w:t>
            </w:r>
          </w:p>
        </w:tc>
        <w:tc>
          <w:tcPr>
            <w:tcW w:w="0" w:type="dxa"/>
            <w:vAlign w:val="bottom"/>
          </w:tcPr>
          <w:p>
            <w:pPr>
              <w:spacing w:after="0"/>
              <w:rPr>
                <w:sz w:val="1"/>
                <w:szCs w:val="1"/>
                <w:color w:val="auto"/>
              </w:rPr>
            </w:pPr>
          </w:p>
        </w:tc>
      </w:tr>
      <w:tr>
        <w:trPr>
          <w:trHeight w:val="280"/>
        </w:trPr>
        <w:tc>
          <w:tcPr>
            <w:tcW w:w="6840" w:type="dxa"/>
            <w:vAlign w:val="bottom"/>
          </w:tcPr>
          <w:p>
            <w:pPr>
              <w:ind w:left="280"/>
              <w:spacing w:after="0"/>
              <w:rPr>
                <w:sz w:val="20"/>
                <w:szCs w:val="20"/>
                <w:color w:val="auto"/>
              </w:rPr>
            </w:pPr>
            <w:r>
              <w:rPr>
                <w:rFonts w:ascii="Arial" w:cs="Arial" w:eastAsia="Arial" w:hAnsi="Arial"/>
                <w:sz w:val="13"/>
                <w:szCs w:val="13"/>
                <w:color w:val="auto"/>
              </w:rPr>
              <w:t>Current assets held for sale</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397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Current Assets</w:t>
            </w:r>
          </w:p>
        </w:tc>
        <w:tc>
          <w:tcPr>
            <w:tcW w:w="240" w:type="dxa"/>
            <w:vAlign w:val="bottom"/>
          </w:tcPr>
          <w:p>
            <w:pPr>
              <w:spacing w:after="0"/>
              <w:rPr>
                <w:sz w:val="22"/>
                <w:szCs w:val="2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1,830,817</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(688,291)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1,142,526</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 Net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845,868</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845,868</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20,953</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20,953</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Goodwill, Net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1,241,949</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1,241,949</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Indefinite-Lived Intangible Assets, Net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519,128</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519,128</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Amortized Intangible Assets, Net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36,494</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36,494</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1,250,658</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1,250,658</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Deferred Charges and Other Assets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61,383</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61,383</w:t>
            </w:r>
          </w:p>
        </w:tc>
        <w:tc>
          <w:tcPr>
            <w:tcW w:w="0" w:type="dxa"/>
            <w:vAlign w:val="bottom"/>
          </w:tcPr>
          <w:p>
            <w:pPr>
              <w:spacing w:after="0"/>
              <w:rPr>
                <w:sz w:val="1"/>
                <w:szCs w:val="1"/>
                <w:color w:val="auto"/>
              </w:rPr>
            </w:pPr>
          </w:p>
        </w:tc>
      </w:tr>
      <w:tr>
        <w:trPr>
          <w:trHeight w:val="28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Noncurrent Assets Held for Sale</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113,312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22,152</w:t>
            </w:r>
          </w:p>
        </w:tc>
        <w:tc>
          <w:tcPr>
            <w:tcW w:w="0" w:type="dxa"/>
            <w:vAlign w:val="bottom"/>
          </w:tcPr>
          <w:p>
            <w:pPr>
              <w:spacing w:after="0"/>
              <w:rPr>
                <w:sz w:val="1"/>
                <w:szCs w:val="1"/>
                <w:color w:val="auto"/>
              </w:rPr>
            </w:pPr>
          </w:p>
        </w:tc>
      </w:tr>
      <w:tr>
        <w:trPr>
          <w:trHeight w:val="268"/>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5,920,562</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(779,451)</w:t>
            </w: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5,141,111</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393,962</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3,657</w:t>
            </w:r>
          </w:p>
        </w:tc>
        <w:tc>
          <w:tcPr>
            <w:tcW w:w="200" w:type="dxa"/>
            <w:vAlign w:val="bottom"/>
          </w:tcPr>
          <w:p>
            <w:pPr>
              <w:jc w:val="right"/>
              <w:spacing w:after="0"/>
              <w:rPr>
                <w:sz w:val="20"/>
                <w:szCs w:val="20"/>
                <w:color w:val="auto"/>
              </w:rPr>
            </w:pPr>
            <w:r>
              <w:rPr>
                <w:rFonts w:ascii="Arial" w:cs="Arial" w:eastAsia="Arial" w:hAnsi="Arial"/>
                <w:sz w:val="9"/>
                <w:szCs w:val="9"/>
                <w:color w:val="auto"/>
              </w:rPr>
              <w:t>(4)</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397,619</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55,278</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55,278</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70,447</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(70,447)</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393,289</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393,289</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Dividends declared</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19,051</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(4,131)</w:t>
            </w:r>
          </w:p>
        </w:tc>
        <w:tc>
          <w:tcPr>
            <w:tcW w:w="200" w:type="dxa"/>
            <w:vAlign w:val="bottom"/>
          </w:tcPr>
          <w:p>
            <w:pPr>
              <w:jc w:val="right"/>
              <w:spacing w:after="0"/>
              <w:rPr>
                <w:sz w:val="20"/>
                <w:szCs w:val="20"/>
                <w:color w:val="auto"/>
              </w:rPr>
            </w:pPr>
            <w:r>
              <w:rPr>
                <w:rFonts w:ascii="Arial" w:cs="Arial" w:eastAsia="Arial" w:hAnsi="Arial"/>
                <w:sz w:val="9"/>
                <w:szCs w:val="9"/>
                <w:color w:val="auto"/>
              </w:rPr>
              <w:t>(6)</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14,920</w:t>
            </w:r>
          </w:p>
        </w:tc>
        <w:tc>
          <w:tcPr>
            <w:tcW w:w="0" w:type="dxa"/>
            <w:vAlign w:val="bottom"/>
          </w:tcPr>
          <w:p>
            <w:pPr>
              <w:spacing w:after="0"/>
              <w:rPr>
                <w:sz w:val="1"/>
                <w:szCs w:val="1"/>
                <w:color w:val="auto"/>
              </w:rPr>
            </w:pPr>
          </w:p>
        </w:tc>
      </w:tr>
      <w:tr>
        <w:trPr>
          <w:trHeight w:val="280"/>
        </w:trPr>
        <w:tc>
          <w:tcPr>
            <w:tcW w:w="6840" w:type="dxa"/>
            <w:vAlign w:val="bottom"/>
          </w:tcPr>
          <w:p>
            <w:pPr>
              <w:ind w:left="280"/>
              <w:spacing w:after="0"/>
              <w:rPr>
                <w:sz w:val="20"/>
                <w:szCs w:val="20"/>
                <w:color w:val="auto"/>
              </w:rPr>
            </w:pPr>
            <w:r>
              <w:rPr>
                <w:rFonts w:ascii="Arial" w:cs="Arial" w:eastAsia="Arial" w:hAnsi="Arial"/>
                <w:sz w:val="13"/>
                <w:szCs w:val="13"/>
                <w:color w:val="auto"/>
              </w:rPr>
              <w:t>Short-term borrowings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49,389</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49,389</w:t>
            </w:r>
          </w:p>
        </w:tc>
        <w:tc>
          <w:tcPr>
            <w:tcW w:w="0" w:type="dxa"/>
            <w:vAlign w:val="bottom"/>
          </w:tcPr>
          <w:p>
            <w:pPr>
              <w:spacing w:after="0"/>
              <w:rPr>
                <w:sz w:val="1"/>
                <w:szCs w:val="1"/>
                <w:color w:val="auto"/>
              </w:rPr>
            </w:pPr>
          </w:p>
        </w:tc>
      </w:tr>
      <w:tr>
        <w:trPr>
          <w:trHeight w:val="254"/>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Current Liabilities</w:t>
            </w:r>
          </w:p>
        </w:tc>
        <w:tc>
          <w:tcPr>
            <w:tcW w:w="240" w:type="dxa"/>
            <w:vAlign w:val="bottom"/>
          </w:tcPr>
          <w:p>
            <w:pPr>
              <w:spacing w:after="0"/>
              <w:rPr>
                <w:sz w:val="22"/>
                <w:szCs w:val="2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981,416</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(70,921)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910,495</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Postretirement Benefits Other Than Pensions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35,709</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35,709</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Accrued Compensation and Related Benefits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207,346</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207,346</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Other Liabilities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84,420</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4,985</w:t>
            </w:r>
          </w:p>
        </w:tc>
        <w:tc>
          <w:tcPr>
            <w:tcW w:w="200" w:type="dxa"/>
            <w:vAlign w:val="bottom"/>
          </w:tcPr>
          <w:p>
            <w:pPr>
              <w:jc w:val="right"/>
              <w:spacing w:after="0"/>
              <w:rPr>
                <w:sz w:val="20"/>
                <w:szCs w:val="20"/>
                <w:color w:val="auto"/>
              </w:rPr>
            </w:pPr>
            <w:r>
              <w:rPr>
                <w:rFonts w:ascii="Arial" w:cs="Arial" w:eastAsia="Arial" w:hAnsi="Arial"/>
                <w:sz w:val="9"/>
                <w:szCs w:val="9"/>
                <w:color w:val="auto"/>
              </w:rPr>
              <w:t>(4)</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89,405</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Deferred Income Taxes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779,803</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779,803</w:t>
            </w:r>
          </w:p>
        </w:tc>
        <w:tc>
          <w:tcPr>
            <w:tcW w:w="0" w:type="dxa"/>
            <w:vAlign w:val="bottom"/>
          </w:tcPr>
          <w:p>
            <w:pPr>
              <w:spacing w:after="0"/>
              <w:rPr>
                <w:sz w:val="1"/>
                <w:szCs w:val="1"/>
                <w:color w:val="auto"/>
              </w:rPr>
            </w:pPr>
          </w:p>
        </w:tc>
      </w:tr>
      <w:tr>
        <w:trPr>
          <w:trHeight w:val="28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403,160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403,160</w:t>
            </w:r>
          </w:p>
        </w:tc>
        <w:tc>
          <w:tcPr>
            <w:tcW w:w="0" w:type="dxa"/>
            <w:vAlign w:val="bottom"/>
          </w:tcPr>
          <w:p>
            <w:pPr>
              <w:spacing w:after="0"/>
              <w:rPr>
                <w:sz w:val="1"/>
                <w:szCs w:val="1"/>
                <w:color w:val="auto"/>
              </w:rPr>
            </w:pPr>
          </w:p>
        </w:tc>
      </w:tr>
      <w:tr>
        <w:trPr>
          <w:trHeight w:val="264"/>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2,491,854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(65,936)</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2,425,918</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Redeemable Noncontrolling Interest</w:t>
            </w:r>
          </w:p>
        </w:tc>
        <w:tc>
          <w:tcPr>
            <w:tcW w:w="240" w:type="dxa"/>
            <w:vAlign w:val="bottom"/>
          </w:tcPr>
          <w:p>
            <w:pPr>
              <w:spacing w:after="0"/>
              <w:rPr>
                <w:sz w:val="22"/>
                <w:szCs w:val="2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5,579</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5,579</w:t>
            </w:r>
          </w:p>
        </w:tc>
        <w:tc>
          <w:tcPr>
            <w:tcW w:w="0" w:type="dxa"/>
            <w:vAlign w:val="bottom"/>
          </w:tcPr>
          <w:p>
            <w:pPr>
              <w:spacing w:after="0"/>
              <w:rPr>
                <w:sz w:val="1"/>
                <w:szCs w:val="1"/>
                <w:color w:val="auto"/>
              </w:rPr>
            </w:pPr>
          </w:p>
        </w:tc>
      </w:tr>
      <w:tr>
        <w:trPr>
          <w:trHeight w:val="280"/>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Redeemable Preferred Stock</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10,665</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10,665</w:t>
            </w:r>
          </w:p>
        </w:tc>
        <w:tc>
          <w:tcPr>
            <w:tcW w:w="0" w:type="dxa"/>
            <w:vAlign w:val="bottom"/>
          </w:tcPr>
          <w:p>
            <w:pPr>
              <w:spacing w:after="0"/>
              <w:rPr>
                <w:sz w:val="1"/>
                <w:szCs w:val="1"/>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3"/>
                <w:szCs w:val="13"/>
                <w:b w:val="1"/>
                <w:bCs w:val="1"/>
                <w:color w:val="auto"/>
              </w:rPr>
              <w:t>Common Stockholders’ Equity</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20,000</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Capital in excess of par value</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289,402</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289,402</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Retained earnings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4,877,200</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609,677</w:t>
            </w:r>
          </w:p>
        </w:tc>
        <w:tc>
          <w:tcPr>
            <w:tcW w:w="200" w:type="dxa"/>
            <w:vAlign w:val="bottom"/>
          </w:tcPr>
          <w:p>
            <w:pPr>
              <w:jc w:val="right"/>
              <w:spacing w:after="0"/>
              <w:rPr>
                <w:sz w:val="20"/>
                <w:szCs w:val="20"/>
                <w:color w:val="auto"/>
              </w:rPr>
            </w:pPr>
            <w:r>
              <w:rPr>
                <w:rFonts w:ascii="Arial" w:cs="Arial" w:eastAsia="Arial" w:hAnsi="Arial"/>
                <w:sz w:val="9"/>
                <w:szCs w:val="9"/>
                <w:color w:val="auto"/>
              </w:rPr>
              <w:t>(5)</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5,486,877</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rPr>
                <w:sz w:val="20"/>
                <w:szCs w:val="20"/>
                <w:color w:val="auto"/>
              </w:rPr>
            </w:pPr>
            <w:r>
              <w:rPr>
                <w:rFonts w:ascii="Arial" w:cs="Arial" w:eastAsia="Arial" w:hAnsi="Arial"/>
                <w:sz w:val="13"/>
                <w:szCs w:val="13"/>
                <w:color w:val="auto"/>
              </w:rPr>
              <w:t>Accumulated other comprehensive income, net of tax</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80"/>
              <w:spacing w:after="0"/>
              <w:rPr>
                <w:sz w:val="20"/>
                <w:szCs w:val="20"/>
                <w:color w:val="auto"/>
              </w:rPr>
            </w:pPr>
            <w:r>
              <w:rPr>
                <w:rFonts w:ascii="Arial" w:cs="Arial" w:eastAsia="Arial" w:hAnsi="Arial"/>
                <w:sz w:val="13"/>
                <w:szCs w:val="13"/>
                <w:color w:val="auto"/>
              </w:rPr>
              <w:t>Cumulative foreign currency translation adjustment</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25,759</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25,759</w:t>
            </w:r>
          </w:p>
        </w:tc>
        <w:tc>
          <w:tcPr>
            <w:tcW w:w="0" w:type="dxa"/>
            <w:vAlign w:val="bottom"/>
          </w:tcPr>
          <w:p>
            <w:pPr>
              <w:spacing w:after="0"/>
              <w:rPr>
                <w:sz w:val="1"/>
                <w:szCs w:val="1"/>
                <w:color w:val="auto"/>
              </w:rPr>
            </w:pPr>
          </w:p>
        </w:tc>
      </w:tr>
      <w:tr>
        <w:trPr>
          <w:trHeight w:val="270"/>
        </w:trPr>
        <w:tc>
          <w:tcPr>
            <w:tcW w:w="6840" w:type="dxa"/>
            <w:vAlign w:val="bottom"/>
          </w:tcPr>
          <w:p>
            <w:pPr>
              <w:ind w:left="480"/>
              <w:spacing w:after="0"/>
              <w:rPr>
                <w:sz w:val="20"/>
                <w:szCs w:val="20"/>
                <w:color w:val="auto"/>
              </w:rPr>
            </w:pPr>
            <w:r>
              <w:rPr>
                <w:rFonts w:ascii="Arial" w:cs="Arial" w:eastAsia="Arial" w:hAnsi="Arial"/>
                <w:sz w:val="13"/>
                <w:szCs w:val="13"/>
                <w:color w:val="auto"/>
              </w:rPr>
              <w:t>Unrealized gain on available-for-sale securities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190,776</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(157,765)</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33,011</w:t>
            </w:r>
          </w:p>
        </w:tc>
        <w:tc>
          <w:tcPr>
            <w:tcW w:w="0" w:type="dxa"/>
            <w:vAlign w:val="bottom"/>
          </w:tcPr>
          <w:p>
            <w:pPr>
              <w:spacing w:after="0"/>
              <w:rPr>
                <w:sz w:val="1"/>
                <w:szCs w:val="1"/>
                <w:color w:val="auto"/>
              </w:rPr>
            </w:pPr>
          </w:p>
        </w:tc>
      </w:tr>
      <w:tr>
        <w:trPr>
          <w:trHeight w:val="270"/>
        </w:trPr>
        <w:tc>
          <w:tcPr>
            <w:tcW w:w="6840" w:type="dxa"/>
            <w:vAlign w:val="bottom"/>
          </w:tcPr>
          <w:p>
            <w:pPr>
              <w:ind w:left="480"/>
              <w:spacing w:after="0"/>
              <w:rPr>
                <w:sz w:val="20"/>
                <w:szCs w:val="20"/>
                <w:color w:val="auto"/>
              </w:rPr>
            </w:pPr>
            <w:r>
              <w:rPr>
                <w:rFonts w:ascii="Arial" w:cs="Arial" w:eastAsia="Arial" w:hAnsi="Arial"/>
                <w:sz w:val="13"/>
                <w:szCs w:val="13"/>
                <w:color w:val="auto"/>
              </w:rPr>
              <w:t>Unrealized gain on pensions and other postretirement plans</w:t>
            </w:r>
          </w:p>
        </w:tc>
        <w:tc>
          <w:tcPr>
            <w:tcW w:w="240" w:type="dxa"/>
            <w:vAlign w:val="bottom"/>
          </w:tcPr>
          <w:p>
            <w:pPr>
              <w:spacing w:after="0"/>
              <w:rPr>
                <w:sz w:val="23"/>
                <w:szCs w:val="2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497,075</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497,075</w:t>
            </w:r>
          </w:p>
        </w:tc>
        <w:tc>
          <w:tcPr>
            <w:tcW w:w="0" w:type="dxa"/>
            <w:vAlign w:val="bottom"/>
          </w:tcPr>
          <w:p>
            <w:pPr>
              <w:spacing w:after="0"/>
              <w:rPr>
                <w:sz w:val="1"/>
                <w:szCs w:val="1"/>
                <w:color w:val="auto"/>
              </w:rPr>
            </w:pPr>
          </w:p>
        </w:tc>
      </w:tr>
      <w:tr>
        <w:trPr>
          <w:trHeight w:val="270"/>
        </w:trPr>
        <w:tc>
          <w:tcPr>
            <w:tcW w:w="6840" w:type="dxa"/>
            <w:vAlign w:val="bottom"/>
          </w:tcPr>
          <w:p>
            <w:pPr>
              <w:ind w:left="480"/>
              <w:spacing w:after="0"/>
              <w:rPr>
                <w:sz w:val="20"/>
                <w:szCs w:val="20"/>
                <w:color w:val="auto"/>
              </w:rPr>
            </w:pPr>
            <w:r>
              <w:rPr>
                <w:rFonts w:ascii="Arial" w:cs="Arial" w:eastAsia="Arial" w:hAnsi="Arial"/>
                <w:sz w:val="13"/>
                <w:szCs w:val="13"/>
                <w:color w:val="auto"/>
              </w:rPr>
              <w:t>Cash flow hedge</w:t>
            </w:r>
          </w:p>
        </w:tc>
        <w:tc>
          <w:tcPr>
            <w:tcW w:w="2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(525)</w:t>
            </w:r>
          </w:p>
        </w:tc>
        <w:tc>
          <w:tcPr>
            <w:tcW w:w="3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280"/>
        </w:trPr>
        <w:tc>
          <w:tcPr>
            <w:tcW w:w="6840" w:type="dxa"/>
            <w:vAlign w:val="bottom"/>
          </w:tcPr>
          <w:p>
            <w:pPr>
              <w:ind w:left="280"/>
              <w:spacing w:after="0"/>
              <w:rPr>
                <w:sz w:val="20"/>
                <w:szCs w:val="20"/>
                <w:color w:val="auto"/>
              </w:rPr>
            </w:pPr>
            <w:r>
              <w:rPr>
                <w:rFonts w:ascii="Arial" w:cs="Arial" w:eastAsia="Arial" w:hAnsi="Arial"/>
                <w:sz w:val="13"/>
                <w:szCs w:val="13"/>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(2,487,492)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(1,165,427)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(3,652,919)</w:t>
            </w:r>
          </w:p>
        </w:tc>
        <w:tc>
          <w:tcPr>
            <w:tcW w:w="0" w:type="dxa"/>
            <w:vAlign w:val="bottom"/>
          </w:tcPr>
          <w:p>
            <w:pPr>
              <w:spacing w:after="0"/>
              <w:rPr>
                <w:sz w:val="1"/>
                <w:szCs w:val="1"/>
                <w:color w:val="auto"/>
              </w:rPr>
            </w:pPr>
          </w:p>
        </w:tc>
      </w:tr>
      <w:tr>
        <w:trPr>
          <w:trHeight w:val="264"/>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Common Stockholders’ Equity</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3,412,195</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(713,515)</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2,698,680</w:t>
            </w:r>
          </w:p>
        </w:tc>
        <w:tc>
          <w:tcPr>
            <w:tcW w:w="0" w:type="dxa"/>
            <w:vAlign w:val="bottom"/>
          </w:tcPr>
          <w:p>
            <w:pPr>
              <w:spacing w:after="0"/>
              <w:rPr>
                <w:sz w:val="1"/>
                <w:szCs w:val="1"/>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3"/>
                <w:szCs w:val="13"/>
                <w:color w:val="auto"/>
              </w:rPr>
              <w:t>Noncontrolling Interests</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269</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64"/>
        </w:trPr>
        <w:tc>
          <w:tcPr>
            <w:tcW w:w="6840" w:type="dxa"/>
            <w:vAlign w:val="bottom"/>
          </w:tcPr>
          <w:p>
            <w:pPr>
              <w:ind w:left="480"/>
              <w:spacing w:after="0"/>
              <w:rPr>
                <w:sz w:val="20"/>
                <w:szCs w:val="20"/>
                <w:color w:val="auto"/>
              </w:rPr>
            </w:pPr>
            <w:r>
              <w:rPr>
                <w:rFonts w:ascii="Arial" w:cs="Arial" w:eastAsia="Arial" w:hAnsi="Arial"/>
                <w:sz w:val="13"/>
                <w:szCs w:val="13"/>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3,412,464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(713,515)</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2,698,949</w:t>
            </w:r>
          </w:p>
        </w:tc>
        <w:tc>
          <w:tcPr>
            <w:tcW w:w="0" w:type="dxa"/>
            <w:vAlign w:val="bottom"/>
          </w:tcPr>
          <w:p>
            <w:pPr>
              <w:spacing w:after="0"/>
              <w:rPr>
                <w:sz w:val="1"/>
                <w:szCs w:val="1"/>
                <w:color w:val="auto"/>
              </w:rPr>
            </w:pPr>
          </w:p>
        </w:tc>
      </w:tr>
      <w:tr>
        <w:trPr>
          <w:trHeight w:val="268"/>
        </w:trPr>
        <w:tc>
          <w:tcPr>
            <w:tcW w:w="6840" w:type="dxa"/>
            <w:vAlign w:val="bottom"/>
          </w:tcPr>
          <w:p>
            <w:pPr>
              <w:ind w:left="600"/>
              <w:spacing w:after="0"/>
              <w:rPr>
                <w:sz w:val="20"/>
                <w:szCs w:val="20"/>
                <w:color w:val="auto"/>
              </w:rPr>
            </w:pPr>
            <w:r>
              <w:rPr>
                <w:rFonts w:ascii="Arial" w:cs="Arial" w:eastAsia="Arial" w:hAnsi="Arial"/>
                <w:sz w:val="13"/>
                <w:szCs w:val="13"/>
                <w:b w:val="1"/>
                <w:bCs w:val="1"/>
                <w:color w:val="auto"/>
              </w:rPr>
              <w:t>Total Liabilities and Equity</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5,920,562</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(779,451)</w:t>
            </w: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5,141,111</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Arial" w:cs="Arial" w:eastAsia="Arial" w:hAnsi="Arial"/>
                <w:sz w:val="14"/>
                <w:szCs w:val="14"/>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85" w:orient="portrait"/>
          <w:cols w:equalWidth="0" w:num="1">
            <w:col w:w="11320"/>
          </w:cols>
          <w:pgMar w:left="340" w:top="564" w:right="239" w:bottom="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Note:</w:t>
      </w:r>
    </w:p>
    <w:p>
      <w:pPr>
        <w:spacing w:after="0" w:line="328" w:lineRule="exact"/>
        <w:rPr>
          <w:sz w:val="20"/>
          <w:szCs w:val="20"/>
          <w:color w:val="auto"/>
        </w:rPr>
      </w:pPr>
    </w:p>
    <w:p>
      <w:pPr>
        <w:ind w:left="260" w:hanging="250"/>
        <w:spacing w:after="0"/>
        <w:tabs>
          <w:tab w:leader="none" w:pos="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This column reflects the elimination of the historical financial position of the assets and liabilities distributed to Berkshire as if the exchange transaction occurred on March 31, 2014. Specifically, the column reflects the elimination of</w:t>
      </w:r>
    </w:p>
    <w:p>
      <w:pPr>
        <w:spacing w:after="0" w:line="6" w:lineRule="exact"/>
        <w:rPr>
          <w:rFonts w:ascii="Arial" w:cs="Arial" w:eastAsia="Arial" w:hAnsi="Arial"/>
          <w:sz w:val="10"/>
          <w:szCs w:val="10"/>
          <w:color w:val="auto"/>
        </w:rPr>
      </w:pPr>
    </w:p>
    <w:p>
      <w:pPr>
        <w:ind w:left="340" w:right="40"/>
        <w:spacing w:after="0" w:line="235" w:lineRule="auto"/>
        <w:rPr>
          <w:rFonts w:ascii="Arial" w:cs="Arial" w:eastAsia="Arial" w:hAnsi="Arial"/>
          <w:sz w:val="10"/>
          <w:szCs w:val="10"/>
          <w:color w:val="auto"/>
        </w:rPr>
      </w:pPr>
      <w:r>
        <w:rPr>
          <w:rFonts w:ascii="Arial" w:cs="Arial" w:eastAsia="Arial" w:hAnsi="Arial"/>
          <w:sz w:val="11"/>
          <w:szCs w:val="11"/>
          <w:color w:val="auto"/>
        </w:rPr>
        <w:t>(i) the historical assets and liabilities of WPLG, (ii) the Company's investment in Berkshire Class A and B shares, and (iii) cash payment of $327.7 million in exchange for 1,620,190 shares of the Company's Class B common shares as of March 31, 2014. The exchange transaction qualifies as a tax-free distribution under IRC Section 355 and 361. The column also reflects the estimated impact of the exchange transaction, including the tax-free nature of the exchange.</w:t>
      </w:r>
    </w:p>
    <w:p>
      <w:pPr>
        <w:spacing w:after="0" w:line="222" w:lineRule="exact"/>
        <w:rPr>
          <w:rFonts w:ascii="Arial" w:cs="Arial" w:eastAsia="Arial" w:hAnsi="Arial"/>
          <w:sz w:val="10"/>
          <w:szCs w:val="10"/>
          <w:color w:val="auto"/>
        </w:rPr>
      </w:pPr>
    </w:p>
    <w:p>
      <w:pPr>
        <w:ind w:left="260" w:hanging="250"/>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Amount of cash distributed per the exchange transaction.</w:t>
      </w:r>
    </w:p>
    <w:p>
      <w:pPr>
        <w:spacing w:after="0" w:line="224" w:lineRule="exact"/>
        <w:rPr>
          <w:rFonts w:ascii="Arial" w:cs="Arial" w:eastAsia="Arial" w:hAnsi="Arial"/>
          <w:sz w:val="11"/>
          <w:szCs w:val="11"/>
          <w:color w:val="auto"/>
        </w:rPr>
      </w:pPr>
    </w:p>
    <w:p>
      <w:pPr>
        <w:ind w:left="340" w:right="60" w:hanging="330"/>
        <w:spacing w:after="0" w:line="235" w:lineRule="auto"/>
        <w:tabs>
          <w:tab w:leader="none" w:pos="268"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estimated impact of the distribution on June 30, 2014 of 2,107 Class A Berkshire shares and 1,278 Class B Berkshire shares owned by the Company, including the recognition of the realized gain on available-for-sale securities. The price of a Class A and Class B Berkshire share was $189,900.50 per share and $126.56 per share, respectively, at the time of the exchange. No income tax is provided as the exchange is a tax-free distribution under IRC Section 355 and 361. This entry also represents the elimination of deferred income taxes provided on the unrecognized gain on available-for-sale securities.</w:t>
      </w:r>
    </w:p>
    <w:p>
      <w:pPr>
        <w:spacing w:after="0" w:line="222" w:lineRule="exact"/>
        <w:rPr>
          <w:rFonts w:ascii="Arial" w:cs="Arial" w:eastAsia="Arial" w:hAnsi="Arial"/>
          <w:sz w:val="11"/>
          <w:szCs w:val="11"/>
          <w:color w:val="auto"/>
        </w:rPr>
      </w:pPr>
    </w:p>
    <w:p>
      <w:pPr>
        <w:ind w:left="340" w:right="360" w:hanging="330"/>
        <w:spacing w:after="0" w:line="238" w:lineRule="auto"/>
        <w:tabs>
          <w:tab w:leader="none" w:pos="268"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effect of the distribution of WPLG, the Company's Miami-based television station, to Berkshire as part of the exchange transaction. The Company used the fair value of its Class B common shares acquired from Berkshire, net of the fair value of Berkshire shares and cash distributed to Berkshire, to determine the fair value of WPLG in the exchange transaction, which was used to calculate the gain on the distribution.</w:t>
      </w:r>
    </w:p>
    <w:p>
      <w:pPr>
        <w:spacing w:after="0" w:line="221" w:lineRule="exact"/>
        <w:rPr>
          <w:rFonts w:ascii="Arial" w:cs="Arial" w:eastAsia="Arial" w:hAnsi="Arial"/>
          <w:sz w:val="11"/>
          <w:szCs w:val="11"/>
          <w:color w:val="auto"/>
        </w:rPr>
      </w:pPr>
    </w:p>
    <w:p>
      <w:pPr>
        <w:ind w:left="340" w:right="60" w:hanging="330"/>
        <w:spacing w:after="0" w:line="238" w:lineRule="auto"/>
        <w:tabs>
          <w:tab w:leader="none" w:pos="268"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estimated impact of (i) the gain on the distribution of WPLG, and (ii) realized gain on distribution of Berkshire Class A and Class B shares. No income tax is provided as the exchange transaction qualifies as a tax-free distribution under IRC Section 355 and 361.</w:t>
      </w:r>
    </w:p>
    <w:p>
      <w:pPr>
        <w:spacing w:after="0" w:line="221" w:lineRule="exact"/>
        <w:rPr>
          <w:rFonts w:ascii="Arial" w:cs="Arial" w:eastAsia="Arial" w:hAnsi="Arial"/>
          <w:sz w:val="11"/>
          <w:szCs w:val="11"/>
          <w:color w:val="auto"/>
        </w:rPr>
      </w:pPr>
    </w:p>
    <w:p>
      <w:pPr>
        <w:ind w:left="340" w:right="60" w:hanging="330"/>
        <w:spacing w:after="0" w:line="238" w:lineRule="auto"/>
        <w:tabs>
          <w:tab w:leader="none" w:pos="268"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effect of 1,620,190 shares of the Company's Class B common shares acquired in the exchange transaction on June 30, 2014. The share price of the Company's Class B common shares was $719.32 per share at the time of the exchange. This entry also includes the elimination of the dividends declared on the Company's Class B common shares acquired prior to ex-dividend date.</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60" w:top="469" w:right="31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 MARCH 31,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320" w:type="dxa"/>
            <w:vAlign w:val="bottom"/>
          </w:tcPr>
          <w:p>
            <w:pPr>
              <w:jc w:val="center"/>
              <w:ind w:left="1988"/>
              <w:spacing w:after="0"/>
              <w:rPr>
                <w:sz w:val="20"/>
                <w:szCs w:val="20"/>
                <w:color w:val="auto"/>
              </w:rPr>
            </w:pPr>
            <w:r>
              <w:rPr>
                <w:rFonts w:ascii="Arial" w:cs="Arial" w:eastAsia="Arial" w:hAnsi="Arial"/>
                <w:sz w:val="14"/>
                <w:szCs w:val="14"/>
                <w:b w:val="1"/>
                <w:bCs w:val="1"/>
                <w:color w:val="auto"/>
              </w:rPr>
              <w:t>Historical</w:t>
            </w:r>
          </w:p>
        </w:tc>
        <w:tc>
          <w:tcPr>
            <w:tcW w:w="1360" w:type="dxa"/>
            <w:vAlign w:val="bottom"/>
          </w:tcPr>
          <w:p>
            <w:pPr>
              <w:jc w:val="center"/>
              <w:ind w:left="17"/>
              <w:spacing w:after="0"/>
              <w:rPr>
                <w:sz w:val="20"/>
                <w:szCs w:val="20"/>
                <w:color w:val="auto"/>
              </w:rPr>
            </w:pPr>
            <w:r>
              <w:rPr>
                <w:rFonts w:ascii="Arial" w:cs="Arial" w:eastAsia="Arial" w:hAnsi="Arial"/>
                <w:sz w:val="14"/>
                <w:szCs w:val="14"/>
                <w:b w:val="1"/>
                <w:bCs w:val="1"/>
                <w:color w:val="auto"/>
              </w:rPr>
              <w:t>Exchange</w:t>
            </w:r>
          </w:p>
        </w:tc>
        <w:tc>
          <w:tcPr>
            <w:tcW w:w="1620" w:type="dxa"/>
            <w:vAlign w:val="bottom"/>
          </w:tcPr>
          <w:p>
            <w:pPr>
              <w:jc w:val="center"/>
              <w:ind w:right="108"/>
              <w:spacing w:after="0"/>
              <w:rPr>
                <w:sz w:val="20"/>
                <w:szCs w:val="20"/>
                <w:color w:val="auto"/>
              </w:rPr>
            </w:pPr>
            <w:r>
              <w:rPr>
                <w:rFonts w:ascii="Arial" w:cs="Arial" w:eastAsia="Arial" w:hAnsi="Arial"/>
                <w:sz w:val="14"/>
                <w:szCs w:val="14"/>
                <w:b w:val="1"/>
                <w:bCs w:val="1"/>
                <w:color w:val="auto"/>
              </w:rPr>
              <w:t>The Company</w:t>
            </w:r>
          </w:p>
        </w:tc>
      </w:tr>
      <w:tr>
        <w:trPr>
          <w:trHeight w:val="27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320" w:type="dxa"/>
            <w:vAlign w:val="bottom"/>
            <w:tcBorders>
              <w:bottom w:val="single" w:sz="8" w:color="auto"/>
            </w:tcBorders>
          </w:tcPr>
          <w:p>
            <w:pPr>
              <w:jc w:val="center"/>
              <w:ind w:left="1968"/>
              <w:spacing w:after="0"/>
              <w:rPr>
                <w:sz w:val="20"/>
                <w:szCs w:val="20"/>
                <w:color w:val="auto"/>
              </w:rPr>
            </w:pPr>
            <w:r>
              <w:rPr>
                <w:rFonts w:ascii="Arial" w:cs="Arial" w:eastAsia="Arial" w:hAnsi="Arial"/>
                <w:sz w:val="14"/>
                <w:szCs w:val="14"/>
                <w:b w:val="1"/>
                <w:bCs w:val="1"/>
                <w:color w:val="auto"/>
              </w:rPr>
              <w:t>GHC</w:t>
            </w:r>
          </w:p>
        </w:tc>
        <w:tc>
          <w:tcPr>
            <w:tcW w:w="13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Transaction</w:t>
            </w: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0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9"/>
                <w:szCs w:val="9"/>
                <w:color w:val="auto"/>
              </w:rPr>
              <w:t>(1)</w:t>
            </w:r>
          </w:p>
        </w:tc>
        <w:tc>
          <w:tcPr>
            <w:tcW w:w="1620" w:type="dxa"/>
            <w:vAlign w:val="bottom"/>
          </w:tcPr>
          <w:p>
            <w:pPr>
              <w:spacing w:after="0"/>
              <w:rPr>
                <w:sz w:val="16"/>
                <w:szCs w:val="16"/>
                <w:color w:val="auto"/>
              </w:rPr>
            </w:pPr>
          </w:p>
        </w:tc>
      </w:tr>
    </w:tbl>
    <w:p>
      <w:pPr>
        <w:spacing w:after="0" w:line="118" w:lineRule="exact"/>
        <w:rPr>
          <w:sz w:val="20"/>
          <w:szCs w:val="20"/>
          <w:color w:val="auto"/>
        </w:rPr>
      </w:pPr>
    </w:p>
    <w:p>
      <w:pPr>
        <w:sectPr>
          <w:pgSz w:w="11900" w:h="16838" w:orient="portrait"/>
          <w:cols w:equalWidth="0" w:num="1">
            <w:col w:w="11360"/>
          </w:cols>
          <w:pgMar w:left="300" w:top="576" w:right="239" w:bottom="1030" w:gutter="0" w:footer="0" w:header="0"/>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80" w:lineRule="exact"/>
        <w:rPr>
          <w:sz w:val="20"/>
          <w:szCs w:val="20"/>
          <w:color w:val="auto"/>
        </w:rPr>
      </w:pPr>
    </w:p>
    <w:p>
      <w:pPr>
        <w:ind w:left="20" w:right="188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20" w:right="200"/>
        <w:spacing w:after="0" w:line="346" w:lineRule="auto"/>
        <w:rPr>
          <w:sz w:val="20"/>
          <w:szCs w:val="20"/>
          <w:color w:val="auto"/>
        </w:rPr>
      </w:pPr>
      <w:r>
        <w:rPr>
          <w:rFonts w:ascii="Arial" w:cs="Arial" w:eastAsia="Arial" w:hAnsi="Arial"/>
          <w:sz w:val="16"/>
          <w:szCs w:val="16"/>
          <w:b w:val="1"/>
          <w:bCs w:val="1"/>
          <w:color w:val="auto"/>
        </w:rPr>
        <w:t>Income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right="200" w:hanging="161"/>
        <w:spacing w:after="0" w:line="281"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1" w:lineRule="exact"/>
        <w:rPr>
          <w:sz w:val="20"/>
          <w:szCs w:val="20"/>
          <w:color w:val="auto"/>
        </w:rPr>
      </w:pPr>
    </w:p>
    <w:p>
      <w:pPr>
        <w:ind w:left="200" w:right="540" w:hanging="161"/>
        <w:spacing w:after="0" w:line="286"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average number of common shares outstanding</w:t>
      </w:r>
    </w:p>
    <w:p>
      <w:pPr>
        <w:spacing w:after="0" w:line="39" w:lineRule="exact"/>
        <w:rPr>
          <w:sz w:val="20"/>
          <w:szCs w:val="20"/>
          <w:color w:val="auto"/>
        </w:rPr>
      </w:pPr>
    </w:p>
    <w:p>
      <w:pPr>
        <w:ind w:left="200" w:right="540" w:hanging="161"/>
        <w:spacing w:after="0" w:line="286"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The Company Pro Forma</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526,174</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526,174</w:t>
            </w:r>
          </w:p>
        </w:tc>
        <w:tc>
          <w:tcPr>
            <w:tcW w:w="220" w:type="dxa"/>
            <w:vAlign w:val="bottom"/>
          </w:tcPr>
          <w:p>
            <w:pPr>
              <w:spacing w:after="0"/>
              <w:rPr>
                <w:sz w:val="16"/>
                <w:szCs w:val="16"/>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191,128</w:t>
            </w:r>
          </w:p>
        </w:tc>
        <w:tc>
          <w:tcPr>
            <w:tcW w:w="54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191,128</w:t>
            </w:r>
          </w:p>
        </w:tc>
        <w:tc>
          <w:tcPr>
            <w:tcW w:w="2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78,247</w:t>
            </w:r>
          </w:p>
        </w:tc>
        <w:tc>
          <w:tcPr>
            <w:tcW w:w="54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78,247</w:t>
            </w:r>
          </w:p>
        </w:tc>
        <w:tc>
          <w:tcPr>
            <w:tcW w:w="220" w:type="dxa"/>
            <w:vAlign w:val="bottom"/>
          </w:tcPr>
          <w:p>
            <w:pPr>
              <w:spacing w:after="0"/>
              <w:rPr>
                <w:sz w:val="23"/>
                <w:szCs w:val="23"/>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45,012</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45,012</w:t>
            </w:r>
          </w:p>
        </w:tc>
        <w:tc>
          <w:tcPr>
            <w:tcW w:w="220" w:type="dxa"/>
            <w:vAlign w:val="bottom"/>
            <w:tcBorders>
              <w:bottom w:val="single" w:sz="8" w:color="auto"/>
            </w:tcBorders>
          </w:tcPr>
          <w:p>
            <w:pPr>
              <w:spacing w:after="0"/>
              <w:rPr>
                <w:sz w:val="24"/>
                <w:szCs w:val="24"/>
                <w:color w:val="auto"/>
              </w:rPr>
            </w:pPr>
          </w:p>
        </w:tc>
      </w:tr>
      <w:tr>
        <w:trPr>
          <w:trHeight w:val="264"/>
        </w:trPr>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840,561</w:t>
            </w: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840,561</w:t>
            </w:r>
          </w:p>
        </w:tc>
        <w:tc>
          <w:tcPr>
            <w:tcW w:w="220" w:type="dxa"/>
            <w:vAlign w:val="bottom"/>
            <w:tcBorders>
              <w:bottom w:val="single" w:sz="8" w:color="auto"/>
            </w:tcBorders>
          </w:tcPr>
          <w:p>
            <w:pPr>
              <w:spacing w:after="0"/>
              <w:rPr>
                <w:sz w:val="22"/>
                <w:szCs w:val="22"/>
                <w:color w:val="auto"/>
              </w:rPr>
            </w:pPr>
          </w:p>
        </w:tc>
      </w:tr>
      <w:tr>
        <w:trPr>
          <w:trHeight w:val="521"/>
        </w:trPr>
        <w:tc>
          <w:tcPr>
            <w:tcW w:w="40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379,069</w:t>
            </w:r>
          </w:p>
        </w:tc>
        <w:tc>
          <w:tcPr>
            <w:tcW w:w="54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379,069</w:t>
            </w:r>
          </w:p>
        </w:tc>
        <w:tc>
          <w:tcPr>
            <w:tcW w:w="22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325,637</w:t>
            </w:r>
          </w:p>
        </w:tc>
        <w:tc>
          <w:tcPr>
            <w:tcW w:w="54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325,637</w:t>
            </w:r>
          </w:p>
        </w:tc>
        <w:tc>
          <w:tcPr>
            <w:tcW w:w="2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53,245</w:t>
            </w:r>
          </w:p>
        </w:tc>
        <w:tc>
          <w:tcPr>
            <w:tcW w:w="54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53,245</w:t>
            </w:r>
          </w:p>
        </w:tc>
        <w:tc>
          <w:tcPr>
            <w:tcW w:w="220" w:type="dxa"/>
            <w:vAlign w:val="bottom"/>
          </w:tcPr>
          <w:p>
            <w:pPr>
              <w:spacing w:after="0"/>
              <w:rPr>
                <w:sz w:val="23"/>
                <w:szCs w:val="23"/>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3,081</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3,081</w:t>
            </w:r>
          </w:p>
        </w:tc>
        <w:tc>
          <w:tcPr>
            <w:tcW w:w="220" w:type="dxa"/>
            <w:vAlign w:val="bottom"/>
            <w:tcBorders>
              <w:bottom w:val="single" w:sz="8" w:color="auto"/>
            </w:tcBorders>
          </w:tcPr>
          <w:p>
            <w:pPr>
              <w:spacing w:after="0"/>
              <w:rPr>
                <w:sz w:val="24"/>
                <w:szCs w:val="24"/>
                <w:color w:val="auto"/>
              </w:rPr>
            </w:pPr>
          </w:p>
        </w:tc>
      </w:tr>
      <w:tr>
        <w:trPr>
          <w:trHeight w:val="264"/>
        </w:trPr>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761,032</w:t>
            </w: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761,032</w:t>
            </w:r>
          </w:p>
        </w:tc>
        <w:tc>
          <w:tcPr>
            <w:tcW w:w="220" w:type="dxa"/>
            <w:vAlign w:val="bottom"/>
            <w:tcBorders>
              <w:bottom w:val="single" w:sz="8" w:color="auto"/>
            </w:tcBorders>
          </w:tcPr>
          <w:p>
            <w:pPr>
              <w:spacing w:after="0"/>
              <w:rPr>
                <w:sz w:val="22"/>
                <w:szCs w:val="22"/>
                <w:color w:val="auto"/>
              </w:rPr>
            </w:pPr>
          </w:p>
        </w:tc>
      </w:tr>
      <w:tr>
        <w:trPr>
          <w:trHeight w:val="251"/>
        </w:trPr>
        <w:tc>
          <w:tcPr>
            <w:tcW w:w="40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79,529</w:t>
            </w:r>
          </w:p>
        </w:tc>
        <w:tc>
          <w:tcPr>
            <w:tcW w:w="54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79,529</w:t>
            </w:r>
          </w:p>
        </w:tc>
        <w:tc>
          <w:tcPr>
            <w:tcW w:w="220" w:type="dxa"/>
            <w:vAlign w:val="bottom"/>
          </w:tcPr>
          <w:p>
            <w:pPr>
              <w:spacing w:after="0"/>
              <w:rPr>
                <w:sz w:val="21"/>
                <w:szCs w:val="21"/>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4,052</w:t>
            </w:r>
          </w:p>
        </w:tc>
        <w:tc>
          <w:tcPr>
            <w:tcW w:w="540" w:type="dxa"/>
            <w:vAlign w:val="bottom"/>
          </w:tcPr>
          <w:p>
            <w:pPr>
              <w:spacing w:after="0"/>
              <w:rPr>
                <w:sz w:val="23"/>
                <w:szCs w:val="23"/>
                <w:color w:val="auto"/>
              </w:rPr>
            </w:pP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4,052</w:t>
            </w:r>
          </w:p>
        </w:tc>
        <w:tc>
          <w:tcPr>
            <w:tcW w:w="2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599</w:t>
            </w:r>
          </w:p>
        </w:tc>
        <w:tc>
          <w:tcPr>
            <w:tcW w:w="540" w:type="dxa"/>
            <w:vAlign w:val="bottom"/>
          </w:tcPr>
          <w:p>
            <w:pPr>
              <w:spacing w:after="0"/>
              <w:rPr>
                <w:sz w:val="23"/>
                <w:szCs w:val="23"/>
                <w:color w:val="auto"/>
              </w:rPr>
            </w:pP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2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(8,820)</w:t>
            </w:r>
          </w:p>
        </w:tc>
        <w:tc>
          <w:tcPr>
            <w:tcW w:w="540" w:type="dxa"/>
            <w:vAlign w:val="bottom"/>
          </w:tcPr>
          <w:p>
            <w:pPr>
              <w:spacing w:after="0"/>
              <w:rPr>
                <w:sz w:val="23"/>
                <w:szCs w:val="23"/>
                <w:color w:val="auto"/>
              </w:rPr>
            </w:pP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(8,820)</w:t>
            </w:r>
          </w:p>
        </w:tc>
        <w:tc>
          <w:tcPr>
            <w:tcW w:w="220" w:type="dxa"/>
            <w:vAlign w:val="bottom"/>
          </w:tcPr>
          <w:p>
            <w:pPr>
              <w:spacing w:after="0"/>
              <w:rPr>
                <w:sz w:val="23"/>
                <w:szCs w:val="23"/>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133,273</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133,273</w:t>
            </w:r>
          </w:p>
        </w:tc>
        <w:tc>
          <w:tcPr>
            <w:tcW w:w="220" w:type="dxa"/>
            <w:vAlign w:val="bottom"/>
            <w:tcBorders>
              <w:bottom w:val="single" w:sz="8" w:color="auto"/>
            </w:tcBorders>
          </w:tcPr>
          <w:p>
            <w:pPr>
              <w:spacing w:after="0"/>
              <w:rPr>
                <w:sz w:val="24"/>
                <w:szCs w:val="24"/>
                <w:color w:val="auto"/>
              </w:rPr>
            </w:pPr>
          </w:p>
        </w:tc>
      </w:tr>
      <w:tr>
        <w:trPr>
          <w:trHeight w:val="251"/>
        </w:trPr>
        <w:tc>
          <w:tcPr>
            <w:tcW w:w="40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208,633</w:t>
            </w:r>
          </w:p>
        </w:tc>
        <w:tc>
          <w:tcPr>
            <w:tcW w:w="54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208,633</w:t>
            </w:r>
          </w:p>
        </w:tc>
        <w:tc>
          <w:tcPr>
            <w:tcW w:w="220" w:type="dxa"/>
            <w:vAlign w:val="bottom"/>
          </w:tcPr>
          <w:p>
            <w:pPr>
              <w:spacing w:after="0"/>
              <w:rPr>
                <w:sz w:val="21"/>
                <w:szCs w:val="21"/>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77,400</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77,400</w:t>
            </w:r>
          </w:p>
        </w:tc>
        <w:tc>
          <w:tcPr>
            <w:tcW w:w="220" w:type="dxa"/>
            <w:vAlign w:val="bottom"/>
            <w:tcBorders>
              <w:bottom w:val="single" w:sz="8" w:color="auto"/>
            </w:tcBorders>
          </w:tcPr>
          <w:p>
            <w:pPr>
              <w:spacing w:after="0"/>
              <w:rPr>
                <w:sz w:val="24"/>
                <w:szCs w:val="24"/>
                <w:color w:val="auto"/>
              </w:rPr>
            </w:pPr>
          </w:p>
        </w:tc>
      </w:tr>
      <w:tr>
        <w:trPr>
          <w:trHeight w:val="251"/>
        </w:trPr>
        <w:tc>
          <w:tcPr>
            <w:tcW w:w="40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131,233</w:t>
            </w:r>
          </w:p>
        </w:tc>
        <w:tc>
          <w:tcPr>
            <w:tcW w:w="54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131,233</w:t>
            </w:r>
          </w:p>
        </w:tc>
        <w:tc>
          <w:tcPr>
            <w:tcW w:w="220" w:type="dxa"/>
            <w:vAlign w:val="bottom"/>
          </w:tcPr>
          <w:p>
            <w:pPr>
              <w:spacing w:after="0"/>
              <w:rPr>
                <w:sz w:val="21"/>
                <w:szCs w:val="21"/>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219</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220" w:type="dxa"/>
            <w:vAlign w:val="bottom"/>
            <w:tcBorders>
              <w:bottom w:val="single" w:sz="8" w:color="auto"/>
            </w:tcBorders>
          </w:tcPr>
          <w:p>
            <w:pPr>
              <w:spacing w:after="0"/>
              <w:rPr>
                <w:sz w:val="24"/>
                <w:szCs w:val="24"/>
                <w:color w:val="auto"/>
              </w:rPr>
            </w:pPr>
          </w:p>
        </w:tc>
      </w:tr>
      <w:tr>
        <w:trPr>
          <w:trHeight w:val="251"/>
        </w:trPr>
        <w:tc>
          <w:tcPr>
            <w:tcW w:w="40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131,452</w:t>
            </w:r>
          </w:p>
        </w:tc>
        <w:tc>
          <w:tcPr>
            <w:tcW w:w="54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131,452</w:t>
            </w:r>
          </w:p>
        </w:tc>
        <w:tc>
          <w:tcPr>
            <w:tcW w:w="220" w:type="dxa"/>
            <w:vAlign w:val="bottom"/>
          </w:tcPr>
          <w:p>
            <w:pPr>
              <w:spacing w:after="0"/>
              <w:rPr>
                <w:sz w:val="21"/>
                <w:szCs w:val="21"/>
                <w:color w:val="auto"/>
              </w:rPr>
            </w:pP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220" w:type="dxa"/>
            <w:vAlign w:val="bottom"/>
            <w:tcBorders>
              <w:bottom w:val="single" w:sz="8" w:color="auto"/>
            </w:tcBorders>
          </w:tcPr>
          <w:p>
            <w:pPr>
              <w:spacing w:after="0"/>
              <w:rPr>
                <w:sz w:val="24"/>
                <w:szCs w:val="24"/>
                <w:color w:val="auto"/>
              </w:rPr>
            </w:pPr>
          </w:p>
        </w:tc>
      </w:tr>
      <w:tr>
        <w:trPr>
          <w:trHeight w:val="399"/>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131,026</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131,026</w:t>
            </w:r>
          </w:p>
        </w:tc>
        <w:tc>
          <w:tcPr>
            <w:tcW w:w="220" w:type="dxa"/>
            <w:vAlign w:val="bottom"/>
            <w:tcBorders>
              <w:bottom w:val="single" w:sz="8" w:color="auto"/>
            </w:tcBorders>
          </w:tcPr>
          <w:p>
            <w:pPr>
              <w:spacing w:after="0"/>
              <w:rPr>
                <w:sz w:val="24"/>
                <w:szCs w:val="2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43"/>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17.71</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17.71</w:t>
            </w:r>
          </w:p>
        </w:tc>
        <w:tc>
          <w:tcPr>
            <w:tcW w:w="22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7,275</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7,275</w:t>
            </w:r>
          </w:p>
        </w:tc>
        <w:tc>
          <w:tcPr>
            <w:tcW w:w="220" w:type="dxa"/>
            <w:vAlign w:val="bottom"/>
          </w:tcPr>
          <w:p>
            <w:pPr>
              <w:spacing w:after="0"/>
              <w:rPr>
                <w:sz w:val="23"/>
                <w:szCs w:val="23"/>
                <w:color w:val="auto"/>
              </w:rPr>
            </w:pPr>
          </w:p>
        </w:tc>
      </w:tr>
      <w:tr>
        <w:trPr>
          <w:trHeight w:val="270"/>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17.65</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17.65</w:t>
            </w:r>
          </w:p>
        </w:tc>
        <w:tc>
          <w:tcPr>
            <w:tcW w:w="22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7,352</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7,352</w:t>
            </w:r>
          </w:p>
        </w:tc>
        <w:tc>
          <w:tcPr>
            <w:tcW w:w="220" w:type="dxa"/>
            <w:vAlign w:val="bottom"/>
          </w:tcPr>
          <w:p>
            <w:pPr>
              <w:spacing w:after="0"/>
              <w:rPr>
                <w:sz w:val="23"/>
                <w:szCs w:val="23"/>
                <w:color w:val="auto"/>
              </w:rPr>
            </w:pPr>
          </w:p>
        </w:tc>
      </w:tr>
      <w:tr>
        <w:trPr>
          <w:trHeight w:val="702"/>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22.67</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5,655</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22.57</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5,732</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bl>
    <w:p>
      <w:pPr>
        <w:spacing w:after="0" w:line="59" w:lineRule="exact"/>
        <w:rPr>
          <w:sz w:val="20"/>
          <w:szCs w:val="20"/>
          <w:color w:val="auto"/>
        </w:rPr>
      </w:pPr>
    </w:p>
    <w:p>
      <w:pPr>
        <w:sectPr>
          <w:pgSz w:w="11900" w:h="16838" w:orient="portrait"/>
          <w:cols w:equalWidth="0" w:num="2">
            <w:col w:w="6340" w:space="720"/>
            <w:col w:w="4300"/>
          </w:cols>
          <w:pgMar w:left="300" w:top="576" w:right="239" w:bottom="1030" w:gutter="0" w:footer="0" w:header="0"/>
          <w:type w:val="continuous"/>
        </w:sectPr>
      </w:pPr>
    </w:p>
    <w:p>
      <w:pPr>
        <w:ind w:left="20"/>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w:t>
      </w:r>
    </w:p>
    <w:p>
      <w:pPr>
        <w:spacing w:after="0" w:line="352" w:lineRule="exact"/>
        <w:rPr>
          <w:sz w:val="20"/>
          <w:szCs w:val="20"/>
          <w:color w:val="auto"/>
        </w:rPr>
      </w:pPr>
    </w:p>
    <w:p>
      <w:pPr>
        <w:ind w:left="360" w:right="60" w:hanging="331"/>
        <w:spacing w:after="0" w:line="247" w:lineRule="auto"/>
        <w:tabs>
          <w:tab w:leader="none" w:pos="25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column reflects the elimination of the results of operations of WPLG, the Company’s Miami-based television station, as if the exchange occurred on January 3, 2011. The Company reported the disposition of WPLG as a discontinued operation in accordance with Financial Accounting Standards Board (FASB) Accounting Standards Codification (ASC) Topic 205, “Presentation of Financial Statements” (ASC 205) for the three months ended March 31, 2014 in its quarterly report on Form 10-Q for the quarterly period ended March 31, 2014, and therefore no amounts are reflected in this column.</w:t>
      </w:r>
    </w:p>
    <w:p>
      <w:pPr>
        <w:spacing w:after="0" w:line="39" w:lineRule="exact"/>
        <w:rPr>
          <w:rFonts w:ascii="Arial" w:cs="Arial" w:eastAsia="Arial" w:hAnsi="Arial"/>
          <w:sz w:val="14"/>
          <w:szCs w:val="14"/>
          <w:color w:val="auto"/>
        </w:rPr>
      </w:pPr>
    </w:p>
    <w:p>
      <w:pPr>
        <w:ind w:left="360" w:right="120" w:hanging="331"/>
        <w:spacing w:after="0" w:line="250" w:lineRule="auto"/>
        <w:tabs>
          <w:tab w:leader="none" w:pos="36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per share information, and basic and diluted income per common share reflect the result of the acquisition of 1,620,190 shares of Class B common shares acquired by the Company in the exchange transaction. The basic and diluted earnings per common share also reflect the elimination of the dividends paid on the 1,620,190 shares of Class B common shares acquired by the Company in the exchange transaction. The Company calculates basic income per share under the two-class method.</w:t>
      </w:r>
    </w:p>
    <w:p>
      <w:pPr>
        <w:sectPr>
          <w:pgSz w:w="11900" w:h="16838" w:orient="portrait"/>
          <w:cols w:equalWidth="0" w:num="1">
            <w:col w:w="11360"/>
          </w:cols>
          <w:pgMar w:left="300" w:top="576" w:right="239" w:bottom="10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300" w:top="576" w:right="239" w:bottom="1030" w:gutter="0" w:footer="0" w:header="0"/>
          <w:type w:val="continuous"/>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 DECEMBER 31,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300" w:type="dxa"/>
            <w:vAlign w:val="bottom"/>
          </w:tcPr>
          <w:p>
            <w:pPr>
              <w:jc w:val="center"/>
              <w:ind w:left="1888"/>
              <w:spacing w:after="0"/>
              <w:rPr>
                <w:sz w:val="20"/>
                <w:szCs w:val="20"/>
                <w:color w:val="auto"/>
              </w:rPr>
            </w:pPr>
            <w:r>
              <w:rPr>
                <w:rFonts w:ascii="Arial" w:cs="Arial" w:eastAsia="Arial" w:hAnsi="Arial"/>
                <w:sz w:val="14"/>
                <w:szCs w:val="14"/>
                <w:b w:val="1"/>
                <w:bCs w:val="1"/>
                <w:color w:val="auto"/>
              </w:rPr>
              <w:t>Historical</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Exchange</w:t>
            </w: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The Company</w:t>
            </w:r>
          </w:p>
        </w:tc>
      </w:tr>
      <w:tr>
        <w:trPr>
          <w:trHeight w:val="27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300" w:type="dxa"/>
            <w:vAlign w:val="bottom"/>
            <w:tcBorders>
              <w:bottom w:val="single" w:sz="8" w:color="auto"/>
            </w:tcBorders>
          </w:tcPr>
          <w:p>
            <w:pPr>
              <w:jc w:val="center"/>
              <w:ind w:left="1868"/>
              <w:spacing w:after="0"/>
              <w:rPr>
                <w:sz w:val="20"/>
                <w:szCs w:val="20"/>
                <w:color w:val="auto"/>
              </w:rPr>
            </w:pPr>
            <w:r>
              <w:rPr>
                <w:rFonts w:ascii="Arial" w:cs="Arial" w:eastAsia="Arial" w:hAnsi="Arial"/>
                <w:sz w:val="14"/>
                <w:szCs w:val="14"/>
                <w:b w:val="1"/>
                <w:bCs w:val="1"/>
                <w:color w:val="auto"/>
              </w:rPr>
              <w:t>GHC</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Transaction</w:t>
            </w: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0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9"/>
                <w:szCs w:val="9"/>
                <w:color w:val="auto"/>
              </w:rPr>
              <w:t>(1)</w:t>
            </w:r>
          </w:p>
        </w:tc>
        <w:tc>
          <w:tcPr>
            <w:tcW w:w="1640" w:type="dxa"/>
            <w:vAlign w:val="bottom"/>
          </w:tcPr>
          <w:p>
            <w:pPr>
              <w:spacing w:after="0"/>
              <w:rPr>
                <w:sz w:val="16"/>
                <w:szCs w:val="16"/>
                <w:color w:val="auto"/>
              </w:rPr>
            </w:pPr>
          </w:p>
        </w:tc>
      </w:tr>
    </w:tbl>
    <w:p>
      <w:pPr>
        <w:spacing w:after="0" w:line="118" w:lineRule="exact"/>
        <w:rPr>
          <w:sz w:val="20"/>
          <w:szCs w:val="20"/>
          <w:color w:val="auto"/>
        </w:rPr>
      </w:pPr>
    </w:p>
    <w:p>
      <w:pPr>
        <w:sectPr>
          <w:pgSz w:w="11900" w:h="16838" w:orient="portrait"/>
          <w:cols w:equalWidth="0" w:num="1">
            <w:col w:w="11360"/>
          </w:cols>
          <w:pgMar w:left="300" w:top="576" w:right="2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80" w:lineRule="exact"/>
        <w:rPr>
          <w:sz w:val="20"/>
          <w:szCs w:val="20"/>
          <w:color w:val="auto"/>
        </w:rPr>
      </w:pPr>
    </w:p>
    <w:p>
      <w:pPr>
        <w:ind w:left="20" w:right="176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20" w:right="80"/>
        <w:spacing w:after="0" w:line="346" w:lineRule="auto"/>
        <w:rPr>
          <w:sz w:val="20"/>
          <w:szCs w:val="20"/>
          <w:color w:val="auto"/>
        </w:rPr>
      </w:pPr>
      <w:r>
        <w:rPr>
          <w:rFonts w:ascii="Arial" w:cs="Arial" w:eastAsia="Arial" w:hAnsi="Arial"/>
          <w:sz w:val="16"/>
          <w:szCs w:val="16"/>
          <w:b w:val="1"/>
          <w:bCs w:val="1"/>
          <w:color w:val="auto"/>
        </w:rPr>
        <w:t>Income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right="80" w:hanging="161"/>
        <w:spacing w:after="0" w:line="281"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1" w:lineRule="exact"/>
        <w:rPr>
          <w:sz w:val="20"/>
          <w:szCs w:val="20"/>
          <w:color w:val="auto"/>
        </w:rPr>
      </w:pPr>
    </w:p>
    <w:p>
      <w:pPr>
        <w:ind w:left="200" w:right="420" w:hanging="161"/>
        <w:spacing w:after="0" w:line="286"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average number of common shares outstanding</w:t>
      </w:r>
    </w:p>
    <w:p>
      <w:pPr>
        <w:spacing w:after="0" w:line="39" w:lineRule="exact"/>
        <w:rPr>
          <w:sz w:val="20"/>
          <w:szCs w:val="20"/>
          <w:color w:val="auto"/>
        </w:rPr>
      </w:pPr>
    </w:p>
    <w:p>
      <w:pPr>
        <w:ind w:left="200" w:right="420" w:hanging="161"/>
        <w:spacing w:after="0" w:line="286"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 - The Company Pro Forma</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average number of common shares outstanding</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2,177,508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2,177,508</w:t>
            </w:r>
          </w:p>
        </w:tc>
        <w:tc>
          <w:tcPr>
            <w:tcW w:w="220" w:type="dxa"/>
            <w:vAlign w:val="bottom"/>
          </w:tcPr>
          <w:p>
            <w:pPr>
              <w:spacing w:after="0"/>
              <w:rPr>
                <w:sz w:val="16"/>
                <w:szCs w:val="16"/>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755,662</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755,662</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366,316</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(56,055)</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310,261</w:t>
            </w:r>
          </w:p>
        </w:tc>
        <w:tc>
          <w:tcPr>
            <w:tcW w:w="220" w:type="dxa"/>
            <w:vAlign w:val="bottom"/>
          </w:tcPr>
          <w:p>
            <w:pPr>
              <w:spacing w:after="0"/>
              <w:rPr>
                <w:sz w:val="23"/>
                <w:szCs w:val="23"/>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188,378</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(10,124)</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178,254</w:t>
            </w:r>
          </w:p>
        </w:tc>
        <w:tc>
          <w:tcPr>
            <w:tcW w:w="2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3,487,864</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(66,179)</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3,421,685</w:t>
            </w:r>
          </w:p>
        </w:tc>
        <w:tc>
          <w:tcPr>
            <w:tcW w:w="220" w:type="dxa"/>
            <w:vAlign w:val="bottom"/>
            <w:tcBorders>
              <w:bottom w:val="single" w:sz="8" w:color="auto"/>
            </w:tcBorders>
          </w:tcPr>
          <w:p>
            <w:pPr>
              <w:spacing w:after="0"/>
              <w:rPr>
                <w:sz w:val="22"/>
                <w:szCs w:val="22"/>
                <w:color w:val="auto"/>
              </w:rPr>
            </w:pPr>
          </w:p>
        </w:tc>
      </w:tr>
      <w:tr>
        <w:trPr>
          <w:trHeight w:val="521"/>
        </w:trPr>
        <w:tc>
          <w:tcPr>
            <w:tcW w:w="32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1,564,911</w:t>
            </w:r>
          </w:p>
        </w:tc>
        <w:tc>
          <w:tcPr>
            <w:tcW w:w="4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(22,213)</w:t>
            </w:r>
          </w:p>
        </w:tc>
        <w:tc>
          <w:tcPr>
            <w:tcW w:w="38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1,542,698</w:t>
            </w:r>
          </w:p>
        </w:tc>
        <w:tc>
          <w:tcPr>
            <w:tcW w:w="22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1,327,322</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(14,161)</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1,313,161</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233,218</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(3,721)</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229,497</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13,598</w:t>
            </w:r>
          </w:p>
        </w:tc>
        <w:tc>
          <w:tcPr>
            <w:tcW w:w="4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13,598</w:t>
            </w:r>
          </w:p>
        </w:tc>
        <w:tc>
          <w:tcPr>
            <w:tcW w:w="220" w:type="dxa"/>
            <w:vAlign w:val="bottom"/>
          </w:tcPr>
          <w:p>
            <w:pPr>
              <w:spacing w:after="0"/>
              <w:rPr>
                <w:sz w:val="23"/>
                <w:szCs w:val="23"/>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3,250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2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3,142,299</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(40,095)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3,102,204</w:t>
            </w:r>
          </w:p>
        </w:tc>
        <w:tc>
          <w:tcPr>
            <w:tcW w:w="220" w:type="dxa"/>
            <w:vAlign w:val="bottom"/>
            <w:tcBorders>
              <w:bottom w:val="single" w:sz="8" w:color="auto"/>
            </w:tcBorders>
          </w:tcPr>
          <w:p>
            <w:pPr>
              <w:spacing w:after="0"/>
              <w:rPr>
                <w:sz w:val="22"/>
                <w:szCs w:val="22"/>
                <w:color w:val="auto"/>
              </w:rPr>
            </w:pPr>
          </w:p>
        </w:tc>
      </w:tr>
      <w:tr>
        <w:trPr>
          <w:trHeight w:val="251"/>
        </w:trPr>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345,565</w:t>
            </w:r>
          </w:p>
        </w:tc>
        <w:tc>
          <w:tcPr>
            <w:tcW w:w="4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(26,084)</w:t>
            </w:r>
          </w:p>
        </w:tc>
        <w:tc>
          <w:tcPr>
            <w:tcW w:w="38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319,481</w:t>
            </w:r>
          </w:p>
        </w:tc>
        <w:tc>
          <w:tcPr>
            <w:tcW w:w="220" w:type="dxa"/>
            <w:vAlign w:val="bottom"/>
          </w:tcPr>
          <w:p>
            <w:pPr>
              <w:spacing w:after="0"/>
              <w:rPr>
                <w:sz w:val="21"/>
                <w:szCs w:val="21"/>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13,215</w:t>
            </w:r>
          </w:p>
        </w:tc>
        <w:tc>
          <w:tcPr>
            <w:tcW w:w="4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2,264</w:t>
            </w:r>
          </w:p>
        </w:tc>
        <w:tc>
          <w:tcPr>
            <w:tcW w:w="4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(36,067)</w:t>
            </w:r>
          </w:p>
        </w:tc>
        <w:tc>
          <w:tcPr>
            <w:tcW w:w="4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(36,067)</w:t>
            </w:r>
          </w:p>
        </w:tc>
        <w:tc>
          <w:tcPr>
            <w:tcW w:w="220" w:type="dxa"/>
            <w:vAlign w:val="bottom"/>
          </w:tcPr>
          <w:p>
            <w:pPr>
              <w:spacing w:after="0"/>
              <w:rPr>
                <w:sz w:val="23"/>
                <w:szCs w:val="23"/>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220" w:type="dxa"/>
            <w:vAlign w:val="bottom"/>
            <w:tcBorders>
              <w:bottom w:val="single" w:sz="8" w:color="auto"/>
            </w:tcBorders>
          </w:tcPr>
          <w:p>
            <w:pPr>
              <w:spacing w:after="0"/>
              <w:rPr>
                <w:sz w:val="24"/>
                <w:szCs w:val="24"/>
                <w:color w:val="auto"/>
              </w:rPr>
            </w:pPr>
          </w:p>
        </w:tc>
      </w:tr>
      <w:tr>
        <w:trPr>
          <w:trHeight w:val="251"/>
        </w:trPr>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301,226</w:t>
            </w:r>
          </w:p>
        </w:tc>
        <w:tc>
          <w:tcPr>
            <w:tcW w:w="4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(26,084)</w:t>
            </w:r>
          </w:p>
        </w:tc>
        <w:tc>
          <w:tcPr>
            <w:tcW w:w="38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275,142</w:t>
            </w:r>
          </w:p>
        </w:tc>
        <w:tc>
          <w:tcPr>
            <w:tcW w:w="220" w:type="dxa"/>
            <w:vAlign w:val="bottom"/>
          </w:tcPr>
          <w:p>
            <w:pPr>
              <w:spacing w:after="0"/>
              <w:rPr>
                <w:sz w:val="21"/>
                <w:szCs w:val="21"/>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110,000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(8,500)</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101,500</w:t>
            </w:r>
          </w:p>
        </w:tc>
        <w:tc>
          <w:tcPr>
            <w:tcW w:w="220" w:type="dxa"/>
            <w:vAlign w:val="bottom"/>
            <w:tcBorders>
              <w:bottom w:val="single" w:sz="8" w:color="auto"/>
            </w:tcBorders>
          </w:tcPr>
          <w:p>
            <w:pPr>
              <w:spacing w:after="0"/>
              <w:rPr>
                <w:sz w:val="24"/>
                <w:szCs w:val="24"/>
                <w:color w:val="auto"/>
              </w:rPr>
            </w:pPr>
          </w:p>
        </w:tc>
      </w:tr>
      <w:tr>
        <w:trPr>
          <w:trHeight w:val="251"/>
        </w:trPr>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191,226</w:t>
            </w:r>
          </w:p>
        </w:tc>
        <w:tc>
          <w:tcPr>
            <w:tcW w:w="4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(17,584)</w:t>
            </w:r>
          </w:p>
        </w:tc>
        <w:tc>
          <w:tcPr>
            <w:tcW w:w="38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173,642</w:t>
            </w:r>
          </w:p>
        </w:tc>
        <w:tc>
          <w:tcPr>
            <w:tcW w:w="220" w:type="dxa"/>
            <w:vAlign w:val="bottom"/>
          </w:tcPr>
          <w:p>
            <w:pPr>
              <w:spacing w:after="0"/>
              <w:rPr>
                <w:sz w:val="21"/>
                <w:szCs w:val="21"/>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tcPr>
          <w:p>
            <w:pPr>
              <w:spacing w:after="0"/>
              <w:rPr>
                <w:sz w:val="24"/>
                <w:szCs w:val="24"/>
                <w:color w:val="auto"/>
              </w:rPr>
            </w:pPr>
          </w:p>
        </w:tc>
      </w:tr>
      <w:tr>
        <w:trPr>
          <w:trHeight w:val="251"/>
        </w:trPr>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190,746</w:t>
            </w:r>
          </w:p>
        </w:tc>
        <w:tc>
          <w:tcPr>
            <w:tcW w:w="4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(17,584)</w:t>
            </w:r>
          </w:p>
        </w:tc>
        <w:tc>
          <w:tcPr>
            <w:tcW w:w="38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173,162</w:t>
            </w:r>
          </w:p>
        </w:tc>
        <w:tc>
          <w:tcPr>
            <w:tcW w:w="220" w:type="dxa"/>
            <w:vAlign w:val="bottom"/>
          </w:tcPr>
          <w:p>
            <w:pPr>
              <w:spacing w:after="0"/>
              <w:rPr>
                <w:sz w:val="21"/>
                <w:szCs w:val="21"/>
                <w:color w:val="auto"/>
              </w:rPr>
            </w:pP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220" w:type="dxa"/>
            <w:vAlign w:val="bottom"/>
            <w:tcBorders>
              <w:bottom w:val="single" w:sz="8" w:color="auto"/>
            </w:tcBorders>
          </w:tcPr>
          <w:p>
            <w:pPr>
              <w:spacing w:after="0"/>
              <w:rPr>
                <w:sz w:val="24"/>
                <w:szCs w:val="24"/>
                <w:color w:val="auto"/>
              </w:rPr>
            </w:pPr>
          </w:p>
        </w:tc>
      </w:tr>
      <w:tr>
        <w:trPr>
          <w:trHeight w:val="399"/>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189,891</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(17,584)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172,307</w:t>
            </w:r>
          </w:p>
        </w:tc>
        <w:tc>
          <w:tcPr>
            <w:tcW w:w="220" w:type="dxa"/>
            <w:vAlign w:val="bottom"/>
            <w:tcBorders>
              <w:bottom w:val="single" w:sz="8" w:color="auto"/>
            </w:tcBorders>
          </w:tcPr>
          <w:p>
            <w:pPr>
              <w:spacing w:after="0"/>
              <w:rPr>
                <w:sz w:val="24"/>
                <w:szCs w:val="24"/>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43"/>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25.83</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23.44</w:t>
            </w:r>
          </w:p>
        </w:tc>
        <w:tc>
          <w:tcPr>
            <w:tcW w:w="22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7,238</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7,238</w:t>
            </w:r>
          </w:p>
        </w:tc>
        <w:tc>
          <w:tcPr>
            <w:tcW w:w="220" w:type="dxa"/>
            <w:vAlign w:val="bottom"/>
          </w:tcPr>
          <w:p>
            <w:pPr>
              <w:spacing w:after="0"/>
              <w:rPr>
                <w:sz w:val="23"/>
                <w:szCs w:val="23"/>
                <w:color w:val="auto"/>
              </w:rPr>
            </w:pPr>
          </w:p>
        </w:tc>
      </w:tr>
      <w:tr>
        <w:trPr>
          <w:trHeight w:val="270"/>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25.78</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23.40</w:t>
            </w:r>
          </w:p>
        </w:tc>
        <w:tc>
          <w:tcPr>
            <w:tcW w:w="22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7,333</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7,333</w:t>
            </w:r>
          </w:p>
        </w:tc>
        <w:tc>
          <w:tcPr>
            <w:tcW w:w="220" w:type="dxa"/>
            <w:vAlign w:val="bottom"/>
          </w:tcPr>
          <w:p>
            <w:pPr>
              <w:spacing w:after="0"/>
              <w:rPr>
                <w:sz w:val="23"/>
                <w:szCs w:val="23"/>
                <w:color w:val="auto"/>
              </w:rPr>
            </w:pPr>
          </w:p>
        </w:tc>
      </w:tr>
      <w:tr>
        <w:trPr>
          <w:trHeight w:val="702"/>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30.06</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5,618</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r>
        <w:trPr>
          <w:trHeight w:val="270"/>
        </w:trPr>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5,712</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(2)</w:t>
            </w:r>
          </w:p>
        </w:tc>
      </w:tr>
    </w:tbl>
    <w:p>
      <w:pPr>
        <w:spacing w:after="0" w:line="59" w:lineRule="exact"/>
        <w:rPr>
          <w:sz w:val="20"/>
          <w:szCs w:val="20"/>
          <w:color w:val="auto"/>
        </w:rPr>
      </w:pPr>
    </w:p>
    <w:p>
      <w:pPr>
        <w:sectPr>
          <w:pgSz w:w="11900" w:h="16838" w:orient="portrait"/>
          <w:cols w:equalWidth="0" w:num="2">
            <w:col w:w="6220" w:space="720"/>
            <w:col w:w="4420"/>
          </w:cols>
          <w:pgMar w:left="300" w:top="576"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w:t>
      </w:r>
    </w:p>
    <w:p>
      <w:pPr>
        <w:spacing w:after="0" w:line="352" w:lineRule="exact"/>
        <w:rPr>
          <w:sz w:val="20"/>
          <w:szCs w:val="20"/>
          <w:color w:val="auto"/>
        </w:rPr>
      </w:pPr>
    </w:p>
    <w:p>
      <w:pPr>
        <w:ind w:left="240" w:hanging="211"/>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column reflects the elimination of the results of operations of WPLG, the Company’s Miami-based television station, as if the exchange occurred on January 3, 2011.</w:t>
      </w:r>
    </w:p>
    <w:p>
      <w:pPr>
        <w:spacing w:after="0" w:line="271" w:lineRule="exact"/>
        <w:rPr>
          <w:rFonts w:ascii="Arial" w:cs="Arial" w:eastAsia="Arial" w:hAnsi="Arial"/>
          <w:sz w:val="14"/>
          <w:szCs w:val="14"/>
          <w:color w:val="auto"/>
        </w:rPr>
      </w:pPr>
    </w:p>
    <w:p>
      <w:pPr>
        <w:ind w:left="360" w:right="120" w:hanging="331"/>
        <w:spacing w:after="0" w:line="250" w:lineRule="auto"/>
        <w:tabs>
          <w:tab w:leader="none" w:pos="369"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 share information, and basic and diluted income per common share reflect the result of the acquisition of 1,620,190 shares of Class B common shares acquired by the Company in the exchange transaction. The basic and diluted earnings per common share also reflect the elimination of the dividends paid on the 1,620,190 shares of Class B common shares acquired by the Company in the exchange transaction. The Company calculates basic income per share under the two-class method.</w:t>
      </w:r>
    </w:p>
    <w:p>
      <w:pPr>
        <w:sectPr>
          <w:pgSz w:w="11900" w:h="16838" w:orient="portrait"/>
          <w:cols w:equalWidth="0" w:num="1">
            <w:col w:w="11360"/>
          </w:cols>
          <w:pgMar w:left="300" w:top="576" w:right="239" w:bottom="1440" w:gutter="0" w:footer="0" w:header="0"/>
          <w:type w:val="continuous"/>
        </w:sect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300" w:top="576" w:right="239" w:bottom="1440" w:gutter="0" w:footer="0" w:header="0"/>
          <w:type w:val="continuous"/>
        </w:sectPr>
      </w:pPr>
    </w:p>
    <w:bookmarkStart w:id="10" w:name="page11"/>
    <w:bookmarkEnd w:id="10"/>
    <w:p>
      <w:pPr>
        <w:jc w:val="center"/>
        <w:ind w:right="6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 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60" w:type="dxa"/>
            <w:vAlign w:val="bottom"/>
          </w:tcPr>
          <w:p>
            <w:pPr>
              <w:jc w:val="center"/>
              <w:ind w:left="1948"/>
              <w:spacing w:after="0"/>
              <w:rPr>
                <w:sz w:val="20"/>
                <w:szCs w:val="20"/>
                <w:color w:val="auto"/>
              </w:rPr>
            </w:pPr>
            <w:r>
              <w:rPr>
                <w:rFonts w:ascii="Arial" w:cs="Arial" w:eastAsia="Arial" w:hAnsi="Arial"/>
                <w:sz w:val="14"/>
                <w:szCs w:val="14"/>
                <w:b w:val="1"/>
                <w:bCs w:val="1"/>
                <w:color w:val="auto"/>
              </w:rPr>
              <w:t>Historical</w:t>
            </w:r>
          </w:p>
        </w:tc>
        <w:tc>
          <w:tcPr>
            <w:tcW w:w="1420" w:type="dxa"/>
            <w:vAlign w:val="bottom"/>
          </w:tcPr>
          <w:p>
            <w:pPr>
              <w:jc w:val="center"/>
              <w:ind w:left="37"/>
              <w:spacing w:after="0"/>
              <w:rPr>
                <w:sz w:val="20"/>
                <w:szCs w:val="20"/>
                <w:color w:val="auto"/>
              </w:rPr>
            </w:pPr>
            <w:r>
              <w:rPr>
                <w:rFonts w:ascii="Arial" w:cs="Arial" w:eastAsia="Arial" w:hAnsi="Arial"/>
                <w:sz w:val="14"/>
                <w:szCs w:val="14"/>
                <w:b w:val="1"/>
                <w:bCs w:val="1"/>
                <w:color w:val="auto"/>
              </w:rPr>
              <w:t>Exchange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The Company</w:t>
            </w:r>
          </w:p>
        </w:tc>
      </w:tr>
      <w:tr>
        <w:trPr>
          <w:trHeight w:val="27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360" w:type="dxa"/>
            <w:vAlign w:val="bottom"/>
            <w:tcBorders>
              <w:bottom w:val="single" w:sz="8" w:color="auto"/>
            </w:tcBorders>
          </w:tcPr>
          <w:p>
            <w:pPr>
              <w:jc w:val="center"/>
              <w:ind w:left="1968"/>
              <w:spacing w:after="0"/>
              <w:rPr>
                <w:sz w:val="20"/>
                <w:szCs w:val="20"/>
                <w:color w:val="auto"/>
              </w:rPr>
            </w:pPr>
            <w:r>
              <w:rPr>
                <w:rFonts w:ascii="Arial" w:cs="Arial" w:eastAsia="Arial" w:hAnsi="Arial"/>
                <w:sz w:val="14"/>
                <w:szCs w:val="14"/>
                <w:b w:val="1"/>
                <w:bCs w:val="1"/>
                <w:color w:val="auto"/>
              </w:rPr>
              <w:t>GHC</w:t>
            </w:r>
          </w:p>
        </w:tc>
        <w:tc>
          <w:tcPr>
            <w:tcW w:w="142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Transaction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Pro Forma</w:t>
            </w:r>
          </w:p>
        </w:tc>
      </w:tr>
      <w:tr>
        <w:trPr>
          <w:trHeight w:val="188"/>
        </w:trPr>
        <w:tc>
          <w:tcPr>
            <w:tcW w:w="50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1540" w:type="dxa"/>
            <w:vAlign w:val="bottom"/>
          </w:tcPr>
          <w:p>
            <w:pPr>
              <w:spacing w:after="0"/>
              <w:rPr>
                <w:sz w:val="16"/>
                <w:szCs w:val="16"/>
                <w:color w:val="auto"/>
              </w:rPr>
            </w:pPr>
          </w:p>
        </w:tc>
      </w:tr>
    </w:tbl>
    <w:p>
      <w:pPr>
        <w:spacing w:after="0" w:line="118" w:lineRule="exact"/>
        <w:rPr>
          <w:sz w:val="20"/>
          <w:szCs w:val="20"/>
          <w:color w:val="auto"/>
        </w:rPr>
      </w:pPr>
    </w:p>
    <w:p>
      <w:pPr>
        <w:sectPr>
          <w:pgSz w:w="11900" w:h="16838" w:orient="portrait"/>
          <w:cols w:equalWidth="0" w:num="1">
            <w:col w:w="11360"/>
          </w:cols>
          <w:pgMar w:left="300" w:top="576" w:right="2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80" w:lineRule="exact"/>
        <w:rPr>
          <w:sz w:val="20"/>
          <w:szCs w:val="20"/>
          <w:color w:val="auto"/>
        </w:rPr>
      </w:pPr>
    </w:p>
    <w:p>
      <w:pPr>
        <w:ind w:left="20" w:right="242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20" w:right="740"/>
        <w:spacing w:after="0" w:line="346" w:lineRule="auto"/>
        <w:rPr>
          <w:sz w:val="20"/>
          <w:szCs w:val="20"/>
          <w:color w:val="auto"/>
        </w:rPr>
      </w:pPr>
      <w:r>
        <w:rPr>
          <w:rFonts w:ascii="Arial" w:cs="Arial" w:eastAsia="Arial" w:hAnsi="Arial"/>
          <w:sz w:val="16"/>
          <w:szCs w:val="16"/>
          <w:b w:val="1"/>
          <w:bCs w:val="1"/>
          <w:color w:val="auto"/>
        </w:rPr>
        <w:t>Income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hanging="161"/>
        <w:spacing w:after="0" w:line="286"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48" w:lineRule="exact"/>
        <w:rPr>
          <w:sz w:val="20"/>
          <w:szCs w:val="20"/>
          <w:color w:val="auto"/>
        </w:rPr>
      </w:pPr>
    </w:p>
    <w:p>
      <w:pPr>
        <w:ind w:left="20"/>
        <w:spacing w:after="0" w:line="370"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income per common share from continuing operations Basic average number of common shares outstanding Diluted income per common share from continuing operations Diluted average number of common shares outstanding</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2,196,496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2,196,496</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732,370</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732,370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400,800</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(63,179)</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337,621</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125,904</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118,063</w:t>
            </w: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3,455,570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(71,020)</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3,384,550</w:t>
            </w:r>
          </w:p>
        </w:tc>
      </w:tr>
      <w:tr>
        <w:trPr>
          <w:trHeight w:val="521"/>
        </w:trPr>
        <w:tc>
          <w:tcPr>
            <w:tcW w:w="3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1,566,257</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(23,174)</w:t>
            </w:r>
          </w:p>
        </w:tc>
        <w:tc>
          <w:tcPr>
            <w:tcW w:w="400" w:type="dxa"/>
            <w:vAlign w:val="bottom"/>
          </w:tcPr>
          <w:p>
            <w:pPr>
              <w:spacing w:after="0"/>
              <w:rPr>
                <w:sz w:val="24"/>
                <w:szCs w:val="24"/>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1,543,083</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1,333,516</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(14,570)</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1,318,946</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244,078</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(3,765)</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240,313</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20,946</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20,946</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111,593</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111,593</w:t>
            </w: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3,276,390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(41,509)</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3,234,881</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179,180</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(29,511)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149,669</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14,086</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14,086</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3,393</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3,393</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(35,944)</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(35,944)</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(5,456)</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(5,456)</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155,259</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(29,511)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125,748</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83,200</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(9,800)</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73,400</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72,059</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(19,711)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52,348</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71,985</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(19,711)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52,274</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r>
      <w:tr>
        <w:trPr>
          <w:trHeight w:val="399"/>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71,090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(19,711)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51,379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6.54</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7,360</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7,360</w:t>
            </w:r>
          </w:p>
        </w:tc>
      </w:tr>
      <w:tr>
        <w:trPr>
          <w:trHeight w:val="27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6.54</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7,404</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7,404</w:t>
            </w:r>
          </w:p>
        </w:tc>
      </w:tr>
    </w:tbl>
    <w:p>
      <w:pPr>
        <w:spacing w:after="0" w:line="59" w:lineRule="exact"/>
        <w:rPr>
          <w:sz w:val="20"/>
          <w:szCs w:val="20"/>
          <w:color w:val="auto"/>
        </w:rPr>
      </w:pPr>
    </w:p>
    <w:p>
      <w:pPr>
        <w:sectPr>
          <w:pgSz w:w="11900" w:h="16838" w:orient="portrait"/>
          <w:cols w:equalWidth="0" w:num="2">
            <w:col w:w="6880" w:space="180"/>
            <w:col w:w="4300"/>
          </w:cols>
          <w:pgMar w:left="300" w:top="576"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This column reflects the elimination of the results of operations of WPLG, the Company’s Miami-based television station, as if the exchange occurred on January 3, 2011.</w:t>
      </w: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300" w:top="576" w:right="239" w:bottom="1440" w:gutter="0" w:footer="0" w:header="0"/>
          <w:type w:val="continuous"/>
        </w:sectPr>
      </w:pPr>
    </w:p>
    <w:bookmarkStart w:id="11" w:name="page12"/>
    <w:bookmarkEnd w:id="11"/>
    <w:p>
      <w:pPr>
        <w:jc w:val="center"/>
        <w:ind w:right="6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 DECEMBER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60" w:type="dxa"/>
            <w:vAlign w:val="bottom"/>
          </w:tcPr>
          <w:p>
            <w:pPr>
              <w:jc w:val="center"/>
              <w:ind w:left="1948"/>
              <w:spacing w:after="0"/>
              <w:rPr>
                <w:sz w:val="20"/>
                <w:szCs w:val="20"/>
                <w:color w:val="auto"/>
              </w:rPr>
            </w:pPr>
            <w:r>
              <w:rPr>
                <w:rFonts w:ascii="Arial" w:cs="Arial" w:eastAsia="Arial" w:hAnsi="Arial"/>
                <w:sz w:val="14"/>
                <w:szCs w:val="14"/>
                <w:b w:val="1"/>
                <w:bCs w:val="1"/>
                <w:color w:val="auto"/>
              </w:rPr>
              <w:t>Historical</w:t>
            </w:r>
          </w:p>
        </w:tc>
        <w:tc>
          <w:tcPr>
            <w:tcW w:w="1420" w:type="dxa"/>
            <w:vAlign w:val="bottom"/>
          </w:tcPr>
          <w:p>
            <w:pPr>
              <w:jc w:val="center"/>
              <w:ind w:left="37"/>
              <w:spacing w:after="0"/>
              <w:rPr>
                <w:sz w:val="20"/>
                <w:szCs w:val="20"/>
                <w:color w:val="auto"/>
              </w:rPr>
            </w:pPr>
            <w:r>
              <w:rPr>
                <w:rFonts w:ascii="Arial" w:cs="Arial" w:eastAsia="Arial" w:hAnsi="Arial"/>
                <w:sz w:val="14"/>
                <w:szCs w:val="14"/>
                <w:b w:val="1"/>
                <w:bCs w:val="1"/>
                <w:color w:val="auto"/>
              </w:rPr>
              <w:t>Exchange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The Company</w:t>
            </w:r>
          </w:p>
        </w:tc>
      </w:tr>
      <w:tr>
        <w:trPr>
          <w:trHeight w:val="27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360" w:type="dxa"/>
            <w:vAlign w:val="bottom"/>
            <w:tcBorders>
              <w:bottom w:val="single" w:sz="8" w:color="auto"/>
            </w:tcBorders>
          </w:tcPr>
          <w:p>
            <w:pPr>
              <w:jc w:val="center"/>
              <w:ind w:left="1968"/>
              <w:spacing w:after="0"/>
              <w:rPr>
                <w:sz w:val="20"/>
                <w:szCs w:val="20"/>
                <w:color w:val="auto"/>
              </w:rPr>
            </w:pPr>
            <w:r>
              <w:rPr>
                <w:rFonts w:ascii="Arial" w:cs="Arial" w:eastAsia="Arial" w:hAnsi="Arial"/>
                <w:sz w:val="14"/>
                <w:szCs w:val="14"/>
                <w:b w:val="1"/>
                <w:bCs w:val="1"/>
                <w:color w:val="auto"/>
              </w:rPr>
              <w:t>GHC</w:t>
            </w:r>
          </w:p>
        </w:tc>
        <w:tc>
          <w:tcPr>
            <w:tcW w:w="142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Transaction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Pro Forma</w:t>
            </w:r>
          </w:p>
        </w:tc>
      </w:tr>
      <w:tr>
        <w:trPr>
          <w:trHeight w:val="188"/>
        </w:trPr>
        <w:tc>
          <w:tcPr>
            <w:tcW w:w="50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1540" w:type="dxa"/>
            <w:vAlign w:val="bottom"/>
          </w:tcPr>
          <w:p>
            <w:pPr>
              <w:spacing w:after="0"/>
              <w:rPr>
                <w:sz w:val="16"/>
                <w:szCs w:val="16"/>
                <w:color w:val="auto"/>
              </w:rPr>
            </w:pPr>
          </w:p>
        </w:tc>
      </w:tr>
    </w:tbl>
    <w:p>
      <w:pPr>
        <w:spacing w:after="0" w:line="118" w:lineRule="exact"/>
        <w:rPr>
          <w:sz w:val="20"/>
          <w:szCs w:val="20"/>
          <w:color w:val="auto"/>
        </w:rPr>
      </w:pPr>
    </w:p>
    <w:p>
      <w:pPr>
        <w:sectPr>
          <w:pgSz w:w="11900" w:h="16838" w:orient="portrait"/>
          <w:cols w:equalWidth="0" w:num="1">
            <w:col w:w="11360"/>
          </w:cols>
          <w:pgMar w:left="300" w:top="576" w:right="2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Subscriber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net</w:t>
      </w:r>
    </w:p>
    <w:p>
      <w:pPr>
        <w:spacing w:after="0" w:line="80" w:lineRule="exact"/>
        <w:rPr>
          <w:sz w:val="20"/>
          <w:szCs w:val="20"/>
          <w:color w:val="auto"/>
        </w:rPr>
      </w:pPr>
    </w:p>
    <w:p>
      <w:pPr>
        <w:ind w:left="20" w:right="2420"/>
        <w:spacing w:after="0" w:line="361" w:lineRule="auto"/>
        <w:rPr>
          <w:sz w:val="20"/>
          <w:szCs w:val="20"/>
          <w:color w:val="auto"/>
        </w:rPr>
      </w:pPr>
      <w:r>
        <w:rPr>
          <w:rFonts w:ascii="Arial" w:cs="Arial" w:eastAsia="Arial" w:hAnsi="Arial"/>
          <w:sz w:val="16"/>
          <w:szCs w:val="16"/>
          <w:b w:val="1"/>
          <w:bCs w:val="1"/>
          <w:color w:val="auto"/>
        </w:rPr>
        <w:t>Income from Continuing Operations Before Income Taxes Provision for Income Taxes</w:t>
      </w:r>
    </w:p>
    <w:p>
      <w:pPr>
        <w:ind w:left="20"/>
        <w:spacing w:after="0"/>
        <w:rPr>
          <w:sz w:val="20"/>
          <w:szCs w:val="20"/>
          <w:color w:val="auto"/>
        </w:rPr>
      </w:pPr>
      <w:r>
        <w:rPr>
          <w:rFonts w:ascii="Arial" w:cs="Arial" w:eastAsia="Arial" w:hAnsi="Arial"/>
          <w:sz w:val="16"/>
          <w:szCs w:val="16"/>
          <w:b w:val="1"/>
          <w:bCs w:val="1"/>
          <w:color w:val="auto"/>
        </w:rPr>
        <w:t>Income from Continuing Operations</w:t>
      </w:r>
    </w:p>
    <w:p>
      <w:pPr>
        <w:spacing w:after="0" w:line="86" w:lineRule="exact"/>
        <w:rPr>
          <w:sz w:val="20"/>
          <w:szCs w:val="20"/>
          <w:color w:val="auto"/>
        </w:rPr>
      </w:pPr>
    </w:p>
    <w:p>
      <w:pPr>
        <w:ind w:left="20" w:right="740"/>
        <w:spacing w:after="0" w:line="346" w:lineRule="auto"/>
        <w:rPr>
          <w:sz w:val="20"/>
          <w:szCs w:val="20"/>
          <w:color w:val="auto"/>
        </w:rPr>
      </w:pPr>
      <w:r>
        <w:rPr>
          <w:rFonts w:ascii="Arial" w:cs="Arial" w:eastAsia="Arial" w:hAnsi="Arial"/>
          <w:sz w:val="16"/>
          <w:szCs w:val="16"/>
          <w:b w:val="1"/>
          <w:bCs w:val="1"/>
          <w:color w:val="auto"/>
        </w:rPr>
        <w:t>Income from Continuing Operations Attributable to Noncontrolling Interests Income from Continuing Operations Attributable to Graham Holdings Company Redeemable Preferred Stock Dividends</w:t>
      </w:r>
    </w:p>
    <w:p>
      <w:pPr>
        <w:spacing w:after="0" w:line="1" w:lineRule="exact"/>
        <w:rPr>
          <w:sz w:val="20"/>
          <w:szCs w:val="20"/>
          <w:color w:val="auto"/>
        </w:rPr>
      </w:pPr>
    </w:p>
    <w:p>
      <w:pPr>
        <w:ind w:left="200" w:hanging="161"/>
        <w:spacing w:after="0" w:line="286" w:lineRule="auto"/>
        <w:rPr>
          <w:sz w:val="20"/>
          <w:szCs w:val="20"/>
          <w:color w:val="auto"/>
        </w:rPr>
      </w:pPr>
      <w:r>
        <w:rPr>
          <w:rFonts w:ascii="Arial" w:cs="Arial" w:eastAsia="Arial" w:hAnsi="Arial"/>
          <w:sz w:val="16"/>
          <w:szCs w:val="16"/>
          <w:b w:val="1"/>
          <w:bCs w:val="1"/>
          <w:color w:val="auto"/>
        </w:rPr>
        <w:t>Income from Continuing Operations Attributable to Graham Holdings Company Common Stockholders</w:t>
      </w:r>
    </w:p>
    <w:p>
      <w:pPr>
        <w:spacing w:after="0" w:line="48" w:lineRule="exact"/>
        <w:rPr>
          <w:sz w:val="20"/>
          <w:szCs w:val="20"/>
          <w:color w:val="auto"/>
        </w:rPr>
      </w:pPr>
    </w:p>
    <w:p>
      <w:pPr>
        <w:ind w:left="20"/>
        <w:spacing w:after="0" w:line="370"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income per common share from continuing operations Basic average number of common shares outstanding Diluted income per common share from continuing operations Diluted average number of common shares outstanding</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2,404,459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2,404,459</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710,253</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710,253</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327,877</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(56,065)</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271,812</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83,408</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(6,417)</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76,991</w:t>
            </w: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3,525,997</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(62,482)</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3,463,515</w:t>
            </w:r>
          </w:p>
        </w:tc>
      </w:tr>
      <w:tr>
        <w:trPr>
          <w:trHeight w:val="521"/>
        </w:trPr>
        <w:tc>
          <w:tcPr>
            <w:tcW w:w="3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1,562,615</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(25,220)</w:t>
            </w:r>
          </w:p>
        </w:tc>
        <w:tc>
          <w:tcPr>
            <w:tcW w:w="400" w:type="dxa"/>
            <w:vAlign w:val="bottom"/>
          </w:tcPr>
          <w:p>
            <w:pPr>
              <w:spacing w:after="0"/>
              <w:rPr>
                <w:sz w:val="24"/>
                <w:szCs w:val="24"/>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1,537,395</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1,383,660</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(13,747)</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1,369,913</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223,403</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(3,874)</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219,529</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22,201</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22,201</w:t>
            </w:r>
          </w:p>
        </w:tc>
      </w:tr>
      <w:tr>
        <w:trPr>
          <w:trHeight w:val="264"/>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3,191,879</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(42,841)</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3,149,038</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334,118</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(19,641)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314,477</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5,949</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5,949</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4,147</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4,147</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(33,226)</w:t>
            </w:r>
          </w:p>
        </w:tc>
        <w:tc>
          <w:tcPr>
            <w:tcW w:w="4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(33,226)</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(55,200)</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(55,200)</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255,788</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(19,641)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236,147</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104,400</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(6,400)</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98,000</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151,388</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(13,241)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138,147</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r>
      <w:tr>
        <w:trPr>
          <w:trHeight w:val="251"/>
        </w:trPr>
        <w:tc>
          <w:tcPr>
            <w:tcW w:w="32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151,381</w:t>
            </w:r>
          </w:p>
        </w:tc>
        <w:tc>
          <w:tcPr>
            <w:tcW w:w="4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(13,241)</w:t>
            </w:r>
          </w:p>
        </w:tc>
        <w:tc>
          <w:tcPr>
            <w:tcW w:w="4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138,140</w:t>
            </w:r>
          </w:p>
        </w:tc>
      </w:tr>
      <w:tr>
        <w:trPr>
          <w:trHeight w:val="283"/>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(917)</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(917)</w:t>
            </w:r>
          </w:p>
        </w:tc>
      </w:tr>
      <w:tr>
        <w:trPr>
          <w:trHeight w:val="399"/>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150,464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(13,241)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137,223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19.03</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17.36</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7,826</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7,826</w:t>
            </w:r>
          </w:p>
        </w:tc>
      </w:tr>
      <w:tr>
        <w:trPr>
          <w:trHeight w:val="27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19.03</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17.36</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7,905</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7,905</w:t>
            </w:r>
          </w:p>
        </w:tc>
      </w:tr>
    </w:tbl>
    <w:p>
      <w:pPr>
        <w:spacing w:after="0" w:line="59" w:lineRule="exact"/>
        <w:rPr>
          <w:sz w:val="20"/>
          <w:szCs w:val="20"/>
          <w:color w:val="auto"/>
        </w:rPr>
      </w:pPr>
    </w:p>
    <w:p>
      <w:pPr>
        <w:sectPr>
          <w:pgSz w:w="11900" w:h="16838" w:orient="portrait"/>
          <w:cols w:equalWidth="0" w:num="2">
            <w:col w:w="6880" w:space="180"/>
            <w:col w:w="4300"/>
          </w:cols>
          <w:pgMar w:left="300" w:top="576"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This column reflects the elimination of the results of operations of WPLG, the Company’s Miami-based television station, as if the exchange occurred on January 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sectPr>
      <w:pgSz w:w="11900" w:h="16838" w:orient="portrait"/>
      <w:cols w:equalWidth="0" w:num="1">
        <w:col w:w="11360"/>
      </w:cols>
      <w:pgMar w:left="30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2019-12-05T15:41:03Z</dcterms:created>
  <dcterms:modified xsi:type="dcterms:W3CDTF">2019-12-05T15:41:03Z</dcterms:modified>
</cp:coreProperties>
</file>