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403860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443230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August 2, 2013</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40" w:lineRule="exact"/>
        <w:rPr>
          <w:sz w:val="24"/>
          <w:szCs w:val="24"/>
          <w:color w:val="auto"/>
        </w:rPr>
      </w:pPr>
    </w:p>
    <w:p>
      <w:pPr>
        <w:ind w:left="5669" w:right="2560" w:hanging="5669"/>
        <w:spacing w:after="0" w:line="261" w:lineRule="auto"/>
        <w:tabs>
          <w:tab w:leader="none" w:pos="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177165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8" w:right="1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August 2, 2013, The Washington Post Company issued a press release announcing the Company’s earnings for the second quarter ended June 3 2013. A copy of this press release is furnished with this report as an exhibit to this Form 8-K.</w:t>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The Washington Post Company Earnings Release Dated August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20"/>
          </w:cols>
          <w:pgMar w:left="820" w:top="1149" w:right="15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The Washington Post Company</w:t>
            </w:r>
          </w:p>
        </w:tc>
        <w:tc>
          <w:tcPr>
            <w:tcW w:w="4720" w:type="dxa"/>
            <w:vAlign w:val="bottom"/>
            <w:gridSpan w:val="2"/>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60" w:type="dxa"/>
            <w:vAlign w:val="bottom"/>
            <w:gridSpan w:val="4"/>
          </w:tcPr>
          <w:p>
            <w:pPr>
              <w:ind w:left="82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7"/>
                <w:szCs w:val="17"/>
                <w:color w:val="auto"/>
              </w:rPr>
              <w:t>Date August 2, 2013</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4"/>
          </w:tcPr>
          <w:p>
            <w:pPr>
              <w:ind w:left="72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ind w:left="740"/>
              <w:spacing w:after="0" w:line="190" w:lineRule="exact"/>
              <w:rPr>
                <w:sz w:val="20"/>
                <w:szCs w:val="20"/>
                <w:color w:val="auto"/>
              </w:rPr>
            </w:pPr>
            <w:r>
              <w:rPr>
                <w:rFonts w:ascii="Arial" w:cs="Arial" w:eastAsia="Arial" w:hAnsi="Arial"/>
                <w:sz w:val="17"/>
                <w:szCs w:val="17"/>
                <w:color w:val="auto"/>
              </w:rPr>
              <w:t>Hal S. Jones</w:t>
            </w:r>
          </w:p>
        </w:tc>
        <w:tc>
          <w:tcPr>
            <w:tcW w:w="4880" w:type="dxa"/>
            <w:vAlign w:val="bottom"/>
            <w:gridSpan w:val="3"/>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20" w:type="dxa"/>
            <w:vAlign w:val="bottom"/>
            <w:gridSpan w:val="6"/>
          </w:tcPr>
          <w:p>
            <w:pPr>
              <w:ind w:left="1800"/>
              <w:spacing w:after="0" w:line="186" w:lineRule="exact"/>
              <w:rPr>
                <w:sz w:val="20"/>
                <w:szCs w:val="20"/>
                <w:color w:val="auto"/>
              </w:rPr>
            </w:pPr>
            <w:r>
              <w:rPr>
                <w:rFonts w:ascii="Arial" w:cs="Arial" w:eastAsia="Arial" w:hAnsi="Arial"/>
                <w:sz w:val="17"/>
                <w:szCs w:val="17"/>
                <w:color w:val="auto"/>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60" w:type="dxa"/>
            <w:vAlign w:val="bottom"/>
            <w:gridSpan w:val="4"/>
          </w:tcPr>
          <w:p>
            <w:pPr>
              <w:ind w:left="140"/>
              <w:spacing w:after="0"/>
              <w:rPr>
                <w:sz w:val="20"/>
                <w:szCs w:val="20"/>
                <w:color w:val="auto"/>
              </w:rPr>
            </w:pPr>
            <w:r>
              <w:rPr>
                <w:rFonts w:ascii="Arial" w:cs="Arial" w:eastAsia="Arial" w:hAnsi="Arial"/>
                <w:sz w:val="17"/>
                <w:szCs w:val="17"/>
                <w:color w:val="auto"/>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40" w:type="dxa"/>
            <w:vAlign w:val="bottom"/>
            <w:gridSpan w:val="3"/>
          </w:tcPr>
          <w:p>
            <w:pPr>
              <w:jc w:val="right"/>
              <w:ind w:right="217"/>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1149"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The Washington Post Company Earnings Release dated August 2, 2013.</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1149"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Contact:</w:t>
            </w:r>
          </w:p>
        </w:tc>
        <w:tc>
          <w:tcPr>
            <w:tcW w:w="5300" w:type="dxa"/>
            <w:vAlign w:val="bottom"/>
          </w:tcPr>
          <w:p>
            <w:pPr>
              <w:ind w:left="280"/>
              <w:spacing w:after="0"/>
              <w:rPr>
                <w:sz w:val="20"/>
                <w:szCs w:val="20"/>
                <w:color w:val="auto"/>
              </w:rPr>
            </w:pPr>
            <w:r>
              <w:rPr>
                <w:rFonts w:ascii="Arial" w:cs="Arial" w:eastAsia="Arial" w:hAnsi="Arial"/>
                <w:sz w:val="17"/>
                <w:szCs w:val="17"/>
                <w:color w:val="auto"/>
              </w:rPr>
              <w:t>Hal S. Jones</w:t>
            </w: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6"/>
              </w:rPr>
              <w:t>For Immediate Release</w:t>
            </w:r>
          </w:p>
        </w:tc>
      </w:tr>
      <w:tr>
        <w:trPr>
          <w:trHeight w:val="202"/>
        </w:trPr>
        <w:tc>
          <w:tcPr>
            <w:tcW w:w="880" w:type="dxa"/>
            <w:vAlign w:val="bottom"/>
          </w:tcPr>
          <w:p>
            <w:pPr>
              <w:spacing w:after="0"/>
              <w:rPr>
                <w:sz w:val="17"/>
                <w:szCs w:val="17"/>
                <w:color w:val="auto"/>
              </w:rPr>
            </w:pPr>
          </w:p>
        </w:tc>
        <w:tc>
          <w:tcPr>
            <w:tcW w:w="5300" w:type="dxa"/>
            <w:vAlign w:val="bottom"/>
          </w:tcPr>
          <w:p>
            <w:pPr>
              <w:ind w:left="260"/>
              <w:spacing w:after="0"/>
              <w:rPr>
                <w:sz w:val="20"/>
                <w:szCs w:val="20"/>
                <w:color w:val="auto"/>
              </w:rPr>
            </w:pPr>
            <w:r>
              <w:rPr>
                <w:rFonts w:ascii="Arial" w:cs="Arial" w:eastAsia="Arial" w:hAnsi="Arial"/>
                <w:sz w:val="17"/>
                <w:szCs w:val="17"/>
                <w:color w:val="auto"/>
              </w:rPr>
              <w:t>(202) 334-6645</w:t>
            </w:r>
          </w:p>
        </w:tc>
        <w:tc>
          <w:tcPr>
            <w:tcW w:w="1720" w:type="dxa"/>
            <w:vAlign w:val="bottom"/>
          </w:tcPr>
          <w:p>
            <w:pPr>
              <w:ind w:left="80"/>
              <w:spacing w:after="0"/>
              <w:rPr>
                <w:sz w:val="20"/>
                <w:szCs w:val="20"/>
                <w:color w:val="auto"/>
              </w:rPr>
            </w:pPr>
            <w:r>
              <w:rPr>
                <w:rFonts w:ascii="Arial" w:cs="Arial" w:eastAsia="Arial" w:hAnsi="Arial"/>
                <w:sz w:val="17"/>
                <w:szCs w:val="17"/>
                <w:color w:val="auto"/>
              </w:rPr>
              <w:t>August 2, 2013</w:t>
            </w:r>
          </w:p>
        </w:tc>
      </w:tr>
    </w:tbl>
    <w:p>
      <w:pPr>
        <w:spacing w:after="0" w:line="3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THE WASHINGTON POST COMPANY REPORTS</w:t>
      </w:r>
    </w:p>
    <w:p>
      <w:pPr>
        <w:jc w:val="center"/>
        <w:ind w:left="1160"/>
        <w:spacing w:after="0"/>
        <w:rPr>
          <w:sz w:val="20"/>
          <w:szCs w:val="20"/>
          <w:color w:val="auto"/>
        </w:rPr>
      </w:pPr>
      <w:r>
        <w:rPr>
          <w:rFonts w:ascii="Arial" w:cs="Arial" w:eastAsia="Arial" w:hAnsi="Arial"/>
          <w:sz w:val="17"/>
          <w:szCs w:val="17"/>
          <w:color w:val="auto"/>
        </w:rPr>
        <w:t>SECOND QUARTER EARNINGS</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WASHINGTON – The Washington Post Company (NYSE: WPO) today reported income from continuing operations attributable to common shares of million ($6.02 per share) for the second quarter of 2013, compared to $36.1 million ($4.76 per share) for the second quarter of 2012. Net income attrib to common shares was $44.7 million ($6.02 per share) for the second quarter ended June 30, 2013, compared to $51.8 million ($6.84 per share) for th second quarter of last year. Net income for the second quarter of 2012 includes $15.8 million ($2.08 per share) in income from discontinued operation (refer to “Discontinued Operations” discussion below).</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results for the second quarter of 2013 and 2012 were affected by a number of significant items as described in the following paragraphs. Excludin these items, income from continuing operations attributable to common shares was $ 62.5 million ($8.47 per share) for the second quarter of 2013, compared to $42.8 million ($5.66 per share) for the second quarter of 2012. (Refer to the Non-GAAP Financial Information schedule at the end of this release for additional details.)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second quarter of 2013:</w:t>
      </w:r>
    </w:p>
    <w:p>
      <w:pPr>
        <w:spacing w:after="0" w:line="177" w:lineRule="exact"/>
        <w:rPr>
          <w:sz w:val="20"/>
          <w:szCs w:val="20"/>
          <w:color w:val="auto"/>
        </w:rPr>
      </w:pPr>
    </w:p>
    <w:p>
      <w:pPr>
        <w:ind w:left="300" w:right="40" w:hanging="155"/>
        <w:spacing w:after="0" w:line="246" w:lineRule="auto"/>
        <w:tabs>
          <w:tab w:leader="none" w:pos="257" w:val="left"/>
        </w:tabs>
        <w:numPr>
          <w:ilvl w:val="0"/>
          <w:numId w:val="3"/>
        </w:numPr>
        <w:rPr>
          <w:rFonts w:ascii="Arial" w:cs="Arial" w:eastAsia="Arial" w:hAnsi="Arial"/>
          <w:sz w:val="17"/>
          <w:szCs w:val="17"/>
          <w:color w:val="auto"/>
        </w:rPr>
      </w:pPr>
      <w:r>
        <w:rPr>
          <w:rFonts w:ascii="Arial" w:cs="Arial" w:eastAsia="Arial" w:hAnsi="Arial"/>
          <w:sz w:val="17"/>
          <w:szCs w:val="17"/>
          <w:color w:val="auto"/>
        </w:rPr>
        <w:t>$14.0 million in early retirement, severance and restructuring charges at the newspaper publishing and education divisions (after-tax impact of $9. million, or $1.34 per share); and</w:t>
      </w:r>
    </w:p>
    <w:p>
      <w:pPr>
        <w:spacing w:after="0" w:line="83" w:lineRule="exact"/>
        <w:rPr>
          <w:rFonts w:ascii="Arial" w:cs="Arial" w:eastAsia="Arial" w:hAnsi="Arial"/>
          <w:sz w:val="17"/>
          <w:szCs w:val="17"/>
          <w:color w:val="auto"/>
        </w:rPr>
      </w:pPr>
    </w:p>
    <w:p>
      <w:pPr>
        <w:ind w:left="260" w:hanging="120"/>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$12.6 million in non-operating unrealized foreign currency losses (after-tax impact of $8.1 million, or $1.11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second quarter of 2012:</w:t>
      </w:r>
    </w:p>
    <w:p>
      <w:pPr>
        <w:spacing w:after="0" w:line="177" w:lineRule="exact"/>
        <w:rPr>
          <w:sz w:val="20"/>
          <w:szCs w:val="20"/>
          <w:color w:val="auto"/>
        </w:rPr>
      </w:pPr>
    </w:p>
    <w:p>
      <w:pPr>
        <w:ind w:left="300" w:right="40" w:hanging="155"/>
        <w:spacing w:after="0" w:line="246" w:lineRule="auto"/>
        <w:tabs>
          <w:tab w:leader="none" w:pos="257" w:val="left"/>
        </w:tabs>
        <w:numPr>
          <w:ilvl w:val="0"/>
          <w:numId w:val="4"/>
        </w:numPr>
        <w:rPr>
          <w:rFonts w:ascii="Arial" w:cs="Arial" w:eastAsia="Arial" w:hAnsi="Arial"/>
          <w:sz w:val="17"/>
          <w:szCs w:val="17"/>
          <w:color w:val="auto"/>
        </w:rPr>
      </w:pPr>
      <w:r>
        <w:rPr>
          <w:rFonts w:ascii="Arial" w:cs="Arial" w:eastAsia="Arial" w:hAnsi="Arial"/>
          <w:sz w:val="17"/>
          <w:szCs w:val="17"/>
          <w:color w:val="auto"/>
        </w:rPr>
        <w:t>$8.4 million in early retirement, severance and restructuring charges at the newspaper publishing and education divisions (after-tax impact of $5.2 million, or $0.69 per share); and</w:t>
      </w:r>
    </w:p>
    <w:p>
      <w:pPr>
        <w:spacing w:after="0" w:line="83" w:lineRule="exact"/>
        <w:rPr>
          <w:rFonts w:ascii="Arial" w:cs="Arial" w:eastAsia="Arial" w:hAnsi="Arial"/>
          <w:sz w:val="17"/>
          <w:szCs w:val="17"/>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$2.6 million in non-operating unrealized foreign currency losses (after-tax impact of $1.6 million, or $0.21 per share).</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Revenue for the second quarter of 2013 was $1,021.9 million, up 3% from $989.1 million in the second quarter of 2012. The Company reported opera income of $93.1 million in the second quarter of 2013, compared to operating income of $63.0 million in the second quarter of 2012. Revenues increas the cable television and television broadcasting divisions and in other businesses, offset by small declines at the education and newspaper publishing divisions. Operating results improved at the education, cable television and television broadcasting divisions. Excluding early retirement program expe operating results also improved at the newspaper publishing division.</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For the first six months of 2013, the Company reported income from continuing operations attributable to common shares of $50.8 million ($6.84 per s compared to $ 49.5 million ($6.48 per share) for the first six months of 2012. Net income attributable to common shares was $49.4 million ($ 6.66 per s for the first six months of 2013, compared to $ 82.9 million ($10.87 per share) for the same period of 2012. Net income includes $ 1.4 million ($0.18 per share) in losses from discontinued operations and $33.3 million ($4.39 per share) in income from discontinued operations for the first six months of 20 and 2012, respectively (refer to “Discontinued Operations” discussion below). As a result of the Company’s share repurchases, there were 4% fewer d average shares outstanding in the first six months of 2013.</w:t>
      </w:r>
    </w:p>
    <w:p>
      <w:pPr>
        <w:spacing w:after="0" w:line="19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The results for the first half of 2013 and 2012 were affected by a number of significant items as described in the following paragraphs. Excluding these items, income from continuing operations attributable to common shares was $87.8 million ($11.93 per share) for the first six months of 2013, compar $52.2 million ($6.83 per share) for the first six months of 2012. (Refer to the Non-GAAP Financial Information schedule at the end of this release for additional details.)</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90" w:right="1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Items included in the Company’s income from continuing operations for the first six months of 2013:</w:t>
      </w:r>
    </w:p>
    <w:p>
      <w:pPr>
        <w:spacing w:after="0" w:line="177" w:lineRule="exact"/>
        <w:rPr>
          <w:sz w:val="20"/>
          <w:szCs w:val="20"/>
          <w:color w:val="auto"/>
        </w:rPr>
      </w:pPr>
    </w:p>
    <w:p>
      <w:pPr>
        <w:ind w:left="300" w:hanging="155"/>
        <w:spacing w:after="0" w:line="246" w:lineRule="auto"/>
        <w:tabs>
          <w:tab w:leader="none" w:pos="257" w:val="left"/>
        </w:tabs>
        <w:numPr>
          <w:ilvl w:val="0"/>
          <w:numId w:val="5"/>
        </w:numPr>
        <w:rPr>
          <w:rFonts w:ascii="Arial" w:cs="Arial" w:eastAsia="Arial" w:hAnsi="Arial"/>
          <w:sz w:val="17"/>
          <w:szCs w:val="17"/>
          <w:color w:val="auto"/>
        </w:rPr>
      </w:pPr>
      <w:r>
        <w:rPr>
          <w:rFonts w:ascii="Arial" w:cs="Arial" w:eastAsia="Arial" w:hAnsi="Arial"/>
          <w:sz w:val="17"/>
          <w:szCs w:val="17"/>
          <w:color w:val="auto"/>
        </w:rPr>
        <w:t>$39.3 million in early retirement, severance and restructuring charges at the newspaper publishing division and Kaplan (after-tax impact of $26.0 m or $3.57 per share); and</w:t>
      </w:r>
    </w:p>
    <w:p>
      <w:pPr>
        <w:spacing w:after="0" w:line="83" w:lineRule="exact"/>
        <w:rPr>
          <w:rFonts w:ascii="Arial" w:cs="Arial" w:eastAsia="Arial" w:hAnsi="Arial"/>
          <w:sz w:val="17"/>
          <w:szCs w:val="17"/>
          <w:color w:val="auto"/>
        </w:rPr>
      </w:pPr>
    </w:p>
    <w:p>
      <w:pPr>
        <w:ind w:left="260" w:hanging="120"/>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$17.2 million in non-operating unrealized foreign currency losses (after-tax impact of $11.0 million, or $1.52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six months of 2012:</w:t>
      </w:r>
    </w:p>
    <w:p>
      <w:pPr>
        <w:spacing w:after="0" w:line="177" w:lineRule="exact"/>
        <w:rPr>
          <w:sz w:val="20"/>
          <w:szCs w:val="20"/>
          <w:color w:val="auto"/>
        </w:rPr>
      </w:pPr>
    </w:p>
    <w:p>
      <w:pPr>
        <w:ind w:left="300" w:hanging="155"/>
        <w:spacing w:after="0" w:line="246" w:lineRule="auto"/>
        <w:tabs>
          <w:tab w:leader="none" w:pos="257" w:val="left"/>
        </w:tabs>
        <w:numPr>
          <w:ilvl w:val="0"/>
          <w:numId w:val="6"/>
        </w:numPr>
        <w:rPr>
          <w:rFonts w:ascii="Arial" w:cs="Arial" w:eastAsia="Arial" w:hAnsi="Arial"/>
          <w:sz w:val="17"/>
          <w:szCs w:val="17"/>
          <w:color w:val="auto"/>
        </w:rPr>
      </w:pPr>
      <w:r>
        <w:rPr>
          <w:rFonts w:ascii="Arial" w:cs="Arial" w:eastAsia="Arial" w:hAnsi="Arial"/>
          <w:sz w:val="17"/>
          <w:szCs w:val="17"/>
          <w:color w:val="auto"/>
        </w:rPr>
        <w:t>$10.2 million in severance, early retirement and restructuring charges at Kaplan and the newspaper publishing division (after-tax impact of $6.4 mi or $0.84 per share); and</w:t>
      </w:r>
    </w:p>
    <w:p>
      <w:pPr>
        <w:spacing w:after="0" w:line="83" w:lineRule="exact"/>
        <w:rPr>
          <w:rFonts w:ascii="Arial" w:cs="Arial" w:eastAsia="Arial" w:hAnsi="Arial"/>
          <w:sz w:val="17"/>
          <w:szCs w:val="17"/>
          <w:color w:val="auto"/>
        </w:rPr>
      </w:pPr>
    </w:p>
    <w:p>
      <w:pPr>
        <w:ind w:left="260" w:hanging="115"/>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$5.8 million gain on the sale of a cost method investment (after-tax impact of $3.7 million, or $0.48 per share).</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Revenue for the first six months of 2013 was $1,981.0 million, up 2% from $1,944.6 million in the first six months of 2012. Revenues increased at the television and television broadcasting divisions and in other businesses, offset by declines at the education and newspaper publishing divisions. The Company reported operating income of $116.1 million for the first six months of 2013, compared to $84.3 million for the first six months of 2012. Oper results improved at the education, cable television and television broadcasting divisions. Excluding early retirement program expense, operating result improved at the newspaper publishing division.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Education division revenue totaled $548.2 million for the second quarter of 2013, a 1% decline from revenue of $551.8 million for the second quarter o 2012. Kaplan reported second quarter 2013 operating income of $23.7 million, compared to $3.7 million in the second quarter of 2012.</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first six months of 2013, education division revenue totaled $1,076.0 million, a 2% decline from revenue of $1,098.5 million for the same period 2012. Kaplan reported operating income of $19.7 million for the first six months of 2013, compared to an operating loss of $8.2 million for the first six m of 2012.</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response to student demand levels, Kaplan has formulated and implemented restructuring plans at its various businesses, with the objective of establishing lower cost levels in future periods. Across all businesses, restructuring costs totaled $4.9 million and $14.4 million in the second quarter a first six months of 2013, respectively, compared to $ 5.0 million in the second quarter and first six months of 2012. Kaplan currently expects to incur approximately $10 million in additional restructuring costs for the remainder of 2013 at Kaplan Higher Education (KHE) and Kaplan International in conjunction with completing these restructuring plans. Kaplan may also incur additional restructuring charges in 2013 as Kaplan management continu evaluate its cost structure.</w:t>
      </w:r>
    </w:p>
    <w:p>
      <w:pPr>
        <w:spacing w:after="0" w:line="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21" w:right="1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A summary of Kaplan’s operating results for the second quarter and the first six months of 2013 compared to 2012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gridSpan w:val="3"/>
          </w:tcPr>
          <w:p>
            <w:pPr>
              <w:jc w:val="right"/>
              <w:ind w:right="766"/>
              <w:spacing w:after="0"/>
              <w:rPr>
                <w:sz w:val="20"/>
                <w:szCs w:val="20"/>
                <w:color w:val="auto"/>
              </w:rPr>
            </w:pPr>
            <w:r>
              <w:rPr>
                <w:rFonts w:ascii="Arial" w:cs="Arial" w:eastAsia="Arial" w:hAnsi="Arial"/>
                <w:sz w:val="12"/>
                <w:szCs w:val="12"/>
                <w:b w:val="1"/>
                <w:bCs w:val="1"/>
                <w:color w:val="auto"/>
              </w:rPr>
              <w:t>Three Months Ended</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3"/>
          </w:tcPr>
          <w:p>
            <w:pPr>
              <w:jc w:val="right"/>
              <w:ind w:right="686"/>
              <w:spacing w:after="0"/>
              <w:rPr>
                <w:sz w:val="20"/>
                <w:szCs w:val="20"/>
                <w:color w:val="auto"/>
              </w:rPr>
            </w:pPr>
            <w:r>
              <w:rPr>
                <w:rFonts w:ascii="Arial" w:cs="Arial" w:eastAsia="Arial" w:hAnsi="Arial"/>
                <w:sz w:val="12"/>
                <w:szCs w:val="12"/>
                <w:b w:val="1"/>
                <w:bCs w:val="1"/>
                <w:color w:val="auto"/>
              </w:rPr>
              <w:t>Six Months Ended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2"/>
                <w:szCs w:val="12"/>
                <w:b w:val="1"/>
                <w:bCs w:val="1"/>
                <w:color w:val="auto"/>
              </w:rPr>
              <w:t>June 30,</w:t>
            </w:r>
          </w:p>
        </w:tc>
        <w:tc>
          <w:tcPr>
            <w:tcW w:w="100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2"/>
                <w:szCs w:val="12"/>
                <w:b w:val="1"/>
                <w:bCs w:val="1"/>
                <w:color w:val="auto"/>
              </w:rPr>
              <w:t>June 30,</w:t>
            </w:r>
          </w:p>
        </w:tc>
        <w:tc>
          <w:tcPr>
            <w:tcW w:w="90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08"/>
              <w:spacing w:after="0" w:line="129" w:lineRule="exact"/>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6"/>
              <w:spacing w:after="0" w:line="129" w:lineRule="exact"/>
              <w:rPr>
                <w:sz w:val="20"/>
                <w:szCs w:val="20"/>
                <w:color w:val="auto"/>
              </w:rPr>
            </w:pPr>
            <w:r>
              <w:rPr>
                <w:rFonts w:ascii="Arial" w:cs="Arial" w:eastAsia="Arial" w:hAnsi="Arial"/>
                <w:sz w:val="12"/>
                <w:szCs w:val="12"/>
                <w:color w:val="auto"/>
              </w:rPr>
              <w:t>2012</w:t>
            </w:r>
          </w:p>
        </w:tc>
        <w:tc>
          <w:tcPr>
            <w:tcW w:w="1120" w:type="dxa"/>
            <w:vAlign w:val="bottom"/>
            <w:tcBorders>
              <w:bottom w:val="single" w:sz="8" w:color="auto"/>
            </w:tcBorders>
          </w:tcPr>
          <w:p>
            <w:pPr>
              <w:jc w:val="right"/>
              <w:ind w:right="246"/>
              <w:spacing w:after="0" w:line="129" w:lineRule="exact"/>
              <w:rPr>
                <w:sz w:val="20"/>
                <w:szCs w:val="20"/>
                <w:color w:val="auto"/>
              </w:rPr>
            </w:pPr>
            <w:r>
              <w:rPr>
                <w:rFonts w:ascii="Arial" w:cs="Arial" w:eastAsia="Arial" w:hAnsi="Arial"/>
                <w:sz w:val="12"/>
                <w:szCs w:val="12"/>
                <w:color w:val="auto"/>
              </w:rPr>
              <w:t>% Change</w:t>
            </w: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28"/>
              <w:spacing w:after="0" w:line="129" w:lineRule="exact"/>
              <w:rPr>
                <w:sz w:val="20"/>
                <w:szCs w:val="20"/>
                <w:color w:val="auto"/>
              </w:rPr>
            </w:pPr>
            <w:r>
              <w:rPr>
                <w:rFonts w:ascii="Arial" w:cs="Arial" w:eastAsia="Arial" w:hAnsi="Arial"/>
                <w:sz w:val="12"/>
                <w:szCs w:val="12"/>
                <w:b w:val="1"/>
                <w:bCs w:val="1"/>
                <w:color w:val="auto"/>
              </w:rPr>
              <w:t>2013</w:t>
            </w:r>
          </w:p>
        </w:tc>
        <w:tc>
          <w:tcPr>
            <w:tcW w:w="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6"/>
              <w:spacing w:after="0" w:line="129" w:lineRule="exact"/>
              <w:rPr>
                <w:sz w:val="20"/>
                <w:szCs w:val="20"/>
                <w:color w:val="auto"/>
              </w:rPr>
            </w:pPr>
            <w:r>
              <w:rPr>
                <w:rFonts w:ascii="Arial" w:cs="Arial" w:eastAsia="Arial" w:hAnsi="Arial"/>
                <w:sz w:val="12"/>
                <w:szCs w:val="12"/>
                <w:color w:val="auto"/>
              </w:rPr>
              <w:t>2012</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8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273,092</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544,952</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6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290,861</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(6)</w:t>
            </w:r>
          </w:p>
        </w:tc>
        <w:tc>
          <w:tcPr>
            <w:tcW w:w="36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34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599,245</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5"/>
                <w:szCs w:val="15"/>
                <w:b w:val="1"/>
                <w:bCs w:val="1"/>
                <w:color w:val="auto"/>
              </w:rPr>
              <w:t>85,690</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79,787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7</w:t>
            </w: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5"/>
                <w:szCs w:val="15"/>
                <w:b w:val="1"/>
                <w:bCs w:val="1"/>
                <w:color w:val="auto"/>
              </w:rPr>
              <w:t>154,633</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142,616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5"/>
                <w:szCs w:val="15"/>
                <w:b w:val="1"/>
                <w:bCs w:val="1"/>
                <w:color w:val="auto"/>
              </w:rPr>
              <w:t>187,968</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179,141</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5</w:t>
            </w: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5"/>
                <w:szCs w:val="15"/>
                <w:b w:val="1"/>
                <w:bCs w:val="1"/>
                <w:color w:val="auto"/>
              </w:rPr>
              <w:t>372,781</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352,704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5"/>
                <w:szCs w:val="15"/>
                <w:b w:val="1"/>
                <w:bCs w:val="1"/>
                <w:color w:val="auto"/>
              </w:rPr>
              <w:t>1,669</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3,090</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(46)</w:t>
            </w: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5"/>
                <w:szCs w:val="15"/>
                <w:b w:val="1"/>
                <w:bCs w:val="1"/>
                <w:color w:val="auto"/>
              </w:rPr>
              <w:t>4,273</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6,474</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(189)</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(594)</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548,230</w:t>
            </w:r>
          </w:p>
        </w:tc>
        <w:tc>
          <w:tcPr>
            <w:tcW w:w="4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551,774</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(1)</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1,076,045</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1,098,459</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8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22,534</w:t>
            </w: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27,635</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6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5,860</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w:t>
            </w:r>
          </w:p>
        </w:tc>
        <w:tc>
          <w:tcPr>
            <w:tcW w:w="36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34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14,819</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5"/>
                <w:szCs w:val="15"/>
                <w:b w:val="1"/>
                <w:bCs w:val="1"/>
                <w:color w:val="auto"/>
              </w:rPr>
              <w:t>7,831</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2,706</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5"/>
                <w:szCs w:val="15"/>
                <w:b w:val="1"/>
                <w:bCs w:val="1"/>
                <w:color w:val="auto"/>
              </w:rPr>
              <w:t>3,486</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(7,513)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5"/>
                <w:szCs w:val="15"/>
                <w:b w:val="1"/>
                <w:bCs w:val="1"/>
                <w:color w:val="auto"/>
              </w:rPr>
              <w:t>6,490</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9,788</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(34)</w:t>
            </w: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5"/>
                <w:szCs w:val="15"/>
                <w:b w:val="1"/>
                <w:bCs w:val="1"/>
                <w:color w:val="auto"/>
              </w:rPr>
              <w:t>12,887</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13,928</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5"/>
                <w:szCs w:val="15"/>
                <w:b w:val="1"/>
                <w:bCs w:val="1"/>
                <w:color w:val="auto"/>
              </w:rPr>
              <w:t>(13,223)</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(14,787)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5"/>
                <w:szCs w:val="15"/>
                <w:b w:val="1"/>
                <w:bCs w:val="1"/>
                <w:color w:val="auto"/>
              </w:rPr>
              <w:t>(24,563)</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(29,776)</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94</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225</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23,726</w:t>
            </w:r>
          </w:p>
        </w:tc>
        <w:tc>
          <w:tcPr>
            <w:tcW w:w="4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3,728</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19,670</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(8,187)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KHE includes Kaplan’s domestic postsecondary education businesses, made up of fixed-facility colleges and online postsecondary and career progra KHE also includes the domestic professional training and other continuing education businesses.</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September 2012, KHE announced a plan to consolidate its market presence at certain of its fixed-facility campuses. Under this plan, KHE ceased n enrollments at nine ground campuses as it considered alternatives for these locations, and is in the process of consolidating operations of four other campuses into existing, nearby locations. Revenues at these campuses represented approximately 4% of KHE’s total revenues in 2012. In the fourth quarter of 2012, KHE also began implementing plans to consolidate other facilities and reduce its workforce. In connection with these and other plans, incurred $2.6 million and $11.6 million in total restructuring costs in the second quarter and first six months of 2013, respectively, compared to $3.8 mil severance costs for the second quarter and first six months of 2012. For the second quarter of 2013, these costs included accelerated depreciation ($ million), severance ($0.6 million) and lease obligation losses ($0.6 million). For the first six months of 2013, these costs included accelerated deprecia ($5.0 million), severance ($1.4 million), lease obligation losses ($4.3 million) and other items ($0.9 million). In the first six months of 2013, nine of the K campuses were closed.</w:t>
      </w:r>
    </w:p>
    <w:p>
      <w:pPr>
        <w:spacing w:after="0" w:line="17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the second quarter and first six months of 2013, higher education revenue declined 6% and 9%, respectively, due largely to declines in average enrollments that reflect weaker market demand over the past year and the impact of campuses in the process of closing. These declines were partially by a revenue increase arising from trial period modifications and process improvements.</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KHE operating income increased significantly in the second quarter and first six months of 2013, due largely to expense reductions associated with lo enrollments and recent restructuring efforts, partially offset by lower revenue and restructuring costs noted above.</w:t>
      </w:r>
    </w:p>
    <w:p>
      <w:pPr>
        <w:spacing w:after="0" w:line="176"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New student enrollments at KHE increased 21% and 3% in the second quarter and first six months of 2013, respectively. New student enrollments we positively impacted by trial period modifications and process improvements, partially offset by the impact of closed campuses and those planned for cl that are no longer recruiting students.</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84" w:right="139" w:bottom="1440" w:gutter="0" w:footer="0" w:header="0"/>
        </w:sectPr>
      </w:pPr>
    </w:p>
    <w:bookmarkStart w:id="8" w:name="page9"/>
    <w:bookmarkEnd w:id="8"/>
    <w:p>
      <w:pPr>
        <w:jc w:val="both"/>
        <w:spacing w:after="0" w:line="233" w:lineRule="auto"/>
        <w:rPr>
          <w:sz w:val="20"/>
          <w:szCs w:val="20"/>
          <w:color w:val="auto"/>
        </w:rPr>
      </w:pPr>
      <w:r>
        <w:rPr>
          <w:rFonts w:ascii="Arial" w:cs="Arial" w:eastAsia="Arial" w:hAnsi="Arial"/>
          <w:sz w:val="17"/>
          <w:szCs w:val="17"/>
          <w:color w:val="auto"/>
        </w:rPr>
        <w:t>Total students at June 30, 2013, were down 8% and 7% compared to June 30, 2012, and March 31, 2013, respectively. Excluding campuses closed o planned for closure, total students at June 30, 2013, were down 4% compared to June 30, 2012, and down 7% compared to March 31, 2013. A summ student enrollments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b w:val="1"/>
                <w:bCs w:val="1"/>
                <w:color w:val="auto"/>
              </w:rPr>
              <w:t>Students as of</w:t>
            </w:r>
          </w:p>
        </w:tc>
        <w:tc>
          <w:tcPr>
            <w:tcW w:w="720" w:type="dxa"/>
            <w:vAlign w:val="bottom"/>
            <w:tcBorders>
              <w:bottom w:val="single" w:sz="8" w:color="auto"/>
            </w:tcBorders>
          </w:tcPr>
          <w:p>
            <w:pPr>
              <w:spacing w:after="0"/>
              <w:rPr>
                <w:sz w:val="13"/>
                <w:szCs w:val="13"/>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June 30,</w:t>
            </w:r>
          </w:p>
        </w:tc>
        <w:tc>
          <w:tcPr>
            <w:tcW w:w="1560" w:type="dxa"/>
            <w:vAlign w:val="bottom"/>
          </w:tcPr>
          <w:p>
            <w:pPr>
              <w:jc w:val="center"/>
              <w:ind w:right="172"/>
              <w:spacing w:after="0" w:line="114" w:lineRule="exact"/>
              <w:rPr>
                <w:sz w:val="20"/>
                <w:szCs w:val="20"/>
                <w:color w:val="auto"/>
              </w:rPr>
            </w:pPr>
            <w:r>
              <w:rPr>
                <w:rFonts w:ascii="Arial" w:cs="Arial" w:eastAsia="Arial" w:hAnsi="Arial"/>
                <w:sz w:val="12"/>
                <w:szCs w:val="12"/>
                <w:color w:val="auto"/>
              </w:rPr>
              <w:t>March 31,</w:t>
            </w:r>
          </w:p>
        </w:tc>
        <w:tc>
          <w:tcPr>
            <w:tcW w:w="720" w:type="dxa"/>
            <w:vAlign w:val="bottom"/>
          </w:tcPr>
          <w:p>
            <w:pPr>
              <w:jc w:val="right"/>
              <w:spacing w:after="0" w:line="114" w:lineRule="exact"/>
              <w:rPr>
                <w:sz w:val="20"/>
                <w:szCs w:val="20"/>
                <w:color w:val="auto"/>
              </w:rPr>
            </w:pPr>
            <w:r>
              <w:rPr>
                <w:rFonts w:ascii="Arial" w:cs="Arial" w:eastAsia="Arial" w:hAnsi="Arial"/>
                <w:sz w:val="12"/>
                <w:szCs w:val="12"/>
                <w:color w:val="auto"/>
              </w:rPr>
              <w:t>June 3</w:t>
            </w:r>
          </w:p>
        </w:tc>
      </w:tr>
      <w:tr>
        <w:trPr>
          <w:trHeight w:val="151"/>
        </w:trPr>
        <w:tc>
          <w:tcPr>
            <w:tcW w:w="7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560" w:type="dxa"/>
            <w:vAlign w:val="bottom"/>
            <w:tcBorders>
              <w:bottom w:val="single" w:sz="8" w:color="auto"/>
            </w:tcBorders>
          </w:tcPr>
          <w:p>
            <w:pPr>
              <w:jc w:val="center"/>
              <w:ind w:right="212"/>
              <w:spacing w:after="0"/>
              <w:rPr>
                <w:sz w:val="20"/>
                <w:szCs w:val="20"/>
                <w:color w:val="auto"/>
              </w:rPr>
            </w:pPr>
            <w:r>
              <w:rPr>
                <w:rFonts w:ascii="Arial" w:cs="Arial" w:eastAsia="Arial" w:hAnsi="Arial"/>
                <w:sz w:val="12"/>
                <w:szCs w:val="12"/>
                <w:color w:val="auto"/>
              </w:rPr>
              <w:t>2013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45,625</w:t>
            </w:r>
          </w:p>
        </w:tc>
        <w:tc>
          <w:tcPr>
            <w:tcW w:w="1560" w:type="dxa"/>
            <w:vAlign w:val="bottom"/>
          </w:tcPr>
          <w:p>
            <w:pPr>
              <w:jc w:val="right"/>
              <w:ind w:right="252"/>
              <w:spacing w:after="0" w:line="150" w:lineRule="exact"/>
              <w:rPr>
                <w:sz w:val="20"/>
                <w:szCs w:val="20"/>
                <w:color w:val="auto"/>
              </w:rPr>
            </w:pPr>
            <w:r>
              <w:rPr>
                <w:rFonts w:ascii="Arial" w:cs="Arial" w:eastAsia="Arial" w:hAnsi="Arial"/>
                <w:sz w:val="15"/>
                <w:szCs w:val="15"/>
                <w:color w:val="auto"/>
              </w:rPr>
              <w:t>48,673</w:t>
            </w:r>
          </w:p>
        </w:tc>
        <w:tc>
          <w:tcPr>
            <w:tcW w:w="72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16,567</w:t>
            </w: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5"/>
                <w:szCs w:val="15"/>
                <w:color w:val="auto"/>
              </w:rPr>
              <w:t>18,523</w:t>
            </w:r>
          </w:p>
        </w:tc>
        <w:tc>
          <w:tcPr>
            <w:tcW w:w="72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62,192</w:t>
            </w:r>
          </w:p>
        </w:tc>
        <w:tc>
          <w:tcPr>
            <w:tcW w:w="1560" w:type="dxa"/>
            <w:vAlign w:val="bottom"/>
            <w:tcBorders>
              <w:bottom w:val="single" w:sz="8" w:color="auto"/>
            </w:tcBorders>
          </w:tcPr>
          <w:p>
            <w:pPr>
              <w:jc w:val="right"/>
              <w:ind w:right="252"/>
              <w:spacing w:after="0" w:line="167" w:lineRule="exact"/>
              <w:rPr>
                <w:sz w:val="20"/>
                <w:szCs w:val="20"/>
                <w:color w:val="auto"/>
              </w:rPr>
            </w:pPr>
            <w:r>
              <w:rPr>
                <w:rFonts w:ascii="Arial" w:cs="Arial" w:eastAsia="Arial" w:hAnsi="Arial"/>
                <w:sz w:val="15"/>
                <w:szCs w:val="15"/>
                <w:color w:val="auto"/>
              </w:rPr>
              <w:t>67,196</w:t>
            </w:r>
          </w:p>
        </w:tc>
        <w:tc>
          <w:tcPr>
            <w:tcW w:w="72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74"/>
        </w:trPr>
        <w:tc>
          <w:tcPr>
            <w:tcW w:w="72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b w:val="1"/>
                <w:bCs w:val="1"/>
                <w:color w:val="auto"/>
              </w:rPr>
              <w:t>Students as of</w:t>
            </w:r>
          </w:p>
        </w:tc>
        <w:tc>
          <w:tcPr>
            <w:tcW w:w="720" w:type="dxa"/>
            <w:vAlign w:val="bottom"/>
            <w:tcBorders>
              <w:bottom w:val="single" w:sz="8" w:color="auto"/>
            </w:tcBorders>
          </w:tcPr>
          <w:p>
            <w:pPr>
              <w:spacing w:after="0"/>
              <w:rPr>
                <w:sz w:val="24"/>
                <w:szCs w:val="24"/>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June 30,</w:t>
            </w:r>
          </w:p>
        </w:tc>
        <w:tc>
          <w:tcPr>
            <w:tcW w:w="1560" w:type="dxa"/>
            <w:vAlign w:val="bottom"/>
          </w:tcPr>
          <w:p>
            <w:pPr>
              <w:jc w:val="center"/>
              <w:ind w:right="172"/>
              <w:spacing w:after="0" w:line="114" w:lineRule="exact"/>
              <w:rPr>
                <w:sz w:val="20"/>
                <w:szCs w:val="20"/>
                <w:color w:val="auto"/>
              </w:rPr>
            </w:pPr>
            <w:r>
              <w:rPr>
                <w:rFonts w:ascii="Arial" w:cs="Arial" w:eastAsia="Arial" w:hAnsi="Arial"/>
                <w:sz w:val="12"/>
                <w:szCs w:val="12"/>
                <w:color w:val="auto"/>
              </w:rPr>
              <w:t>March 31,</w:t>
            </w:r>
          </w:p>
        </w:tc>
        <w:tc>
          <w:tcPr>
            <w:tcW w:w="720" w:type="dxa"/>
            <w:vAlign w:val="bottom"/>
          </w:tcPr>
          <w:p>
            <w:pPr>
              <w:jc w:val="right"/>
              <w:spacing w:after="0" w:line="114" w:lineRule="exact"/>
              <w:rPr>
                <w:sz w:val="20"/>
                <w:szCs w:val="20"/>
                <w:color w:val="auto"/>
              </w:rPr>
            </w:pPr>
            <w:r>
              <w:rPr>
                <w:rFonts w:ascii="Arial" w:cs="Arial" w:eastAsia="Arial" w:hAnsi="Arial"/>
                <w:sz w:val="12"/>
                <w:szCs w:val="12"/>
                <w:color w:val="auto"/>
              </w:rPr>
              <w:t>June 3</w:t>
            </w:r>
          </w:p>
        </w:tc>
      </w:tr>
      <w:tr>
        <w:trPr>
          <w:trHeight w:val="151"/>
        </w:trPr>
        <w:tc>
          <w:tcPr>
            <w:tcW w:w="7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(excluding campuses closing)</w:t>
            </w: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560" w:type="dxa"/>
            <w:vAlign w:val="bottom"/>
            <w:tcBorders>
              <w:bottom w:val="single" w:sz="8" w:color="auto"/>
            </w:tcBorders>
          </w:tcPr>
          <w:p>
            <w:pPr>
              <w:jc w:val="center"/>
              <w:ind w:right="212"/>
              <w:spacing w:after="0"/>
              <w:rPr>
                <w:sz w:val="20"/>
                <w:szCs w:val="20"/>
                <w:color w:val="auto"/>
              </w:rPr>
            </w:pPr>
            <w:r>
              <w:rPr>
                <w:rFonts w:ascii="Arial" w:cs="Arial" w:eastAsia="Arial" w:hAnsi="Arial"/>
                <w:sz w:val="12"/>
                <w:szCs w:val="12"/>
                <w:color w:val="auto"/>
              </w:rPr>
              <w:t>2013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45,625</w:t>
            </w:r>
          </w:p>
        </w:tc>
        <w:tc>
          <w:tcPr>
            <w:tcW w:w="1560" w:type="dxa"/>
            <w:vAlign w:val="bottom"/>
          </w:tcPr>
          <w:p>
            <w:pPr>
              <w:jc w:val="right"/>
              <w:ind w:right="252"/>
              <w:spacing w:after="0" w:line="150" w:lineRule="exact"/>
              <w:rPr>
                <w:sz w:val="20"/>
                <w:szCs w:val="20"/>
                <w:color w:val="auto"/>
              </w:rPr>
            </w:pPr>
            <w:r>
              <w:rPr>
                <w:rFonts w:ascii="Arial" w:cs="Arial" w:eastAsia="Arial" w:hAnsi="Arial"/>
                <w:sz w:val="15"/>
                <w:szCs w:val="15"/>
                <w:color w:val="auto"/>
              </w:rPr>
              <w:t>48,673</w:t>
            </w:r>
          </w:p>
        </w:tc>
        <w:tc>
          <w:tcPr>
            <w:tcW w:w="72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16,157</w:t>
            </w: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5"/>
                <w:szCs w:val="15"/>
                <w:color w:val="auto"/>
              </w:rPr>
              <w:t>17,615</w:t>
            </w:r>
          </w:p>
        </w:tc>
        <w:tc>
          <w:tcPr>
            <w:tcW w:w="72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61,782</w:t>
            </w:r>
          </w:p>
        </w:tc>
        <w:tc>
          <w:tcPr>
            <w:tcW w:w="1560" w:type="dxa"/>
            <w:vAlign w:val="bottom"/>
            <w:tcBorders>
              <w:bottom w:val="single" w:sz="8" w:color="auto"/>
            </w:tcBorders>
          </w:tcPr>
          <w:p>
            <w:pPr>
              <w:jc w:val="right"/>
              <w:ind w:right="252"/>
              <w:spacing w:after="0" w:line="167" w:lineRule="exact"/>
              <w:rPr>
                <w:sz w:val="20"/>
                <w:szCs w:val="20"/>
                <w:color w:val="auto"/>
              </w:rPr>
            </w:pPr>
            <w:r>
              <w:rPr>
                <w:rFonts w:ascii="Arial" w:cs="Arial" w:eastAsia="Arial" w:hAnsi="Arial"/>
                <w:sz w:val="15"/>
                <w:szCs w:val="15"/>
                <w:color w:val="auto"/>
              </w:rPr>
              <w:t>66,288</w:t>
            </w:r>
          </w:p>
        </w:tc>
        <w:tc>
          <w:tcPr>
            <w:tcW w:w="72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Kaplan University enrollments included 8,144, 8,819 and 8,100 campus-based students as of June 30, 2013, March 31, 2013, and June 30, 2012,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June 30, 2013 and 2012, by degree and certificate programs,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080" w:type="dxa"/>
            <w:vAlign w:val="bottom"/>
            <w:tcBorders>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rPr>
              <w:t>As of June 30,</w:t>
            </w:r>
          </w:p>
        </w:tc>
        <w:tc>
          <w:tcPr>
            <w:tcW w:w="400" w:type="dxa"/>
            <w:vAlign w:val="bottom"/>
            <w:tcBorders>
              <w:bottom w:val="single" w:sz="8" w:color="auto"/>
            </w:tcBorders>
          </w:tcPr>
          <w:p>
            <w:pPr>
              <w:spacing w:after="0"/>
              <w:rPr>
                <w:sz w:val="13"/>
                <w:szCs w:val="13"/>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right"/>
              <w:ind w:right="1249"/>
              <w:spacing w:after="0" w:line="129" w:lineRule="exact"/>
              <w:rPr>
                <w:sz w:val="20"/>
                <w:szCs w:val="20"/>
                <w:color w:val="auto"/>
              </w:rPr>
            </w:pPr>
            <w:r>
              <w:rPr>
                <w:rFonts w:ascii="Arial" w:cs="Arial" w:eastAsia="Arial" w:hAnsi="Arial"/>
                <w:sz w:val="12"/>
                <w:szCs w:val="12"/>
                <w:b w:val="1"/>
                <w:bCs w:val="1"/>
                <w:color w:val="auto"/>
              </w:rPr>
              <w:t>2013</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080" w:type="dxa"/>
            <w:vAlign w:val="bottom"/>
          </w:tcPr>
          <w:p>
            <w:pPr>
              <w:jc w:val="right"/>
              <w:ind w:right="849"/>
              <w:spacing w:after="0" w:line="150" w:lineRule="exact"/>
              <w:rPr>
                <w:sz w:val="20"/>
                <w:szCs w:val="20"/>
                <w:color w:val="auto"/>
              </w:rPr>
            </w:pPr>
            <w:r>
              <w:rPr>
                <w:rFonts w:ascii="Arial" w:cs="Arial" w:eastAsia="Arial" w:hAnsi="Arial"/>
                <w:sz w:val="15"/>
                <w:szCs w:val="15"/>
                <w:b w:val="1"/>
                <w:bCs w:val="1"/>
                <w:color w:val="auto"/>
              </w:rPr>
              <w:t>21.7 %</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30.5 %</w:t>
            </w:r>
          </w:p>
        </w:tc>
        <w:tc>
          <w:tcPr>
            <w:tcW w:w="4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33.1 %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080" w:type="dxa"/>
            <w:vAlign w:val="bottom"/>
            <w:tcBorders>
              <w:bottom w:val="single" w:sz="8" w:color="auto"/>
            </w:tcBorders>
          </w:tcPr>
          <w:p>
            <w:pPr>
              <w:jc w:val="right"/>
              <w:ind w:right="849"/>
              <w:spacing w:after="0"/>
              <w:rPr>
                <w:sz w:val="20"/>
                <w:szCs w:val="20"/>
                <w:color w:val="auto"/>
              </w:rPr>
            </w:pPr>
            <w:r>
              <w:rPr>
                <w:rFonts w:ascii="Arial" w:cs="Arial" w:eastAsia="Arial" w:hAnsi="Arial"/>
                <w:sz w:val="15"/>
                <w:szCs w:val="15"/>
                <w:b w:val="1"/>
                <w:bCs w:val="1"/>
                <w:color w:val="auto"/>
              </w:rPr>
              <w:t>14.7 %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rPr>
                <w:sz w:val="14"/>
                <w:szCs w:val="14"/>
                <w:color w:val="auto"/>
              </w:rPr>
            </w:pPr>
          </w:p>
        </w:tc>
        <w:tc>
          <w:tcPr>
            <w:tcW w:w="2080" w:type="dxa"/>
            <w:vAlign w:val="bottom"/>
            <w:tcBorders>
              <w:bottom w:val="single" w:sz="8" w:color="auto"/>
            </w:tcBorders>
          </w:tcPr>
          <w:p>
            <w:pPr>
              <w:jc w:val="right"/>
              <w:ind w:right="849"/>
              <w:spacing w:after="0" w:line="167" w:lineRule="exact"/>
              <w:rPr>
                <w:sz w:val="20"/>
                <w:szCs w:val="20"/>
                <w:color w:val="auto"/>
              </w:rPr>
            </w:pPr>
            <w:r>
              <w:rPr>
                <w:rFonts w:ascii="Arial" w:cs="Arial" w:eastAsia="Arial" w:hAnsi="Arial"/>
                <w:sz w:val="15"/>
                <w:szCs w:val="15"/>
                <w:b w:val="1"/>
                <w:bCs w:val="1"/>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4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Test Preparation (KTP) includes Kaplan’s standardized test preparation and tutoring offerings. KTP revenue increased 7% and 8% for the seco quarter and first six months of 2013, respectively. Enrollment increased 2% and 1% for the second quarter and first six months of 2013, respectively, d by strength in pre-college, nursing and bar review programs, offset by declines in graduate programs. KTP operating results improved in the first six m of 2013 due largely to increased revenues.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 Kaplan International revenue increased 5% and 6% in the second quarter and first six months of 2013, respectively, due to enrollment growth in the pathways, English-language and Singapore higher education programs. Kaplan International operating income declined in the second quarter and firs months of 2013 due to restructuring costs in Australia and reduced earnings in Europe, partially offset by strong results in Singapore. In the second qu of 2012, International results benefited from a net $1.9 million adjustment that resulted from a favorable adjustment to certain items recorded in prior periods. In the second quarter and first six months of 2013, restructuring costs totaled $2.3 million and $2.6 million, respectively, in Australia, where Ka has been consolidating and restructuring its businesses to optimize operations; such costs are largely made up of severance costs and other expense teach-out students for certain programs that are being eliminated.</w:t>
      </w:r>
    </w:p>
    <w:p>
      <w:pPr>
        <w:spacing w:after="0" w:line="177" w:lineRule="exact"/>
        <w:rPr>
          <w:sz w:val="20"/>
          <w:szCs w:val="20"/>
          <w:color w:val="auto"/>
        </w:rPr>
      </w:pPr>
    </w:p>
    <w:p>
      <w:pPr>
        <w:ind w:left="5460" w:right="1940" w:hanging="5470"/>
        <w:spacing w:after="0" w:line="235" w:lineRule="auto"/>
        <w:rPr>
          <w:sz w:val="20"/>
          <w:szCs w:val="20"/>
          <w:color w:val="auto"/>
        </w:rPr>
      </w:pPr>
      <w:r>
        <w:rPr>
          <w:rFonts w:ascii="Arial" w:cs="Arial" w:eastAsia="Arial" w:hAnsi="Arial"/>
          <w:sz w:val="17"/>
          <w:szCs w:val="17"/>
          <w:color w:val="auto"/>
        </w:rPr>
        <w:t>Corporate represents unallocated expenses of Kaplan, Inc.’s corporate office, other minor businesses and shared activities. -more-</w:t>
      </w:r>
    </w:p>
    <w:p>
      <w:pPr>
        <w:spacing w:after="0" w:line="1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84" w:right="1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Cable television division revenue increased 5% in the second quarter of 2013 to $204.6 million, from $195.6 million for the second quarter of 2012; for first six months of 2013, revenue increased 5% to $404.7 million, from $385.8 million in the same period of 2012. The revenue increase for the first six months of 2013 is due to recent rate increases for many subscribers, growth in commercial sales and a reduction in promotional discounts. The increa was partially offset by a decline in basic video subscribers, as the cable division focuses its efforts on churn reduction and retention of its high-value subscribers.</w:t>
      </w:r>
    </w:p>
    <w:p>
      <w:pPr>
        <w:spacing w:after="0" w:line="176"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Cable television division operating income increased 16% to $44.7 million, from $38.4 million in the second quarter of 2012; for the first six months of operating income increased 14% to $81.3 million, from $71.2 million for the first six months of 2012. The division’s operating income improved due to increased revenues and reductions in labor costs and bad debt expense, partially offset by higher programming and depreciation costs.</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At June 30, 2013, Primary Service Units (PSUs) were down 3% from the prior year due to a decline in basic video subscribers. A summary of PSUs is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As of June 30,</w:t>
            </w:r>
          </w:p>
        </w:tc>
        <w:tc>
          <w:tcPr>
            <w:tcW w:w="380" w:type="dxa"/>
            <w:vAlign w:val="bottom"/>
            <w:tcBorders>
              <w:bottom w:val="single" w:sz="8" w:color="auto"/>
            </w:tcBorders>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1050"/>
              <w:spacing w:after="0" w:line="129" w:lineRule="exact"/>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880" w:type="dxa"/>
            <w:vAlign w:val="bottom"/>
          </w:tcPr>
          <w:p>
            <w:pPr>
              <w:jc w:val="right"/>
              <w:ind w:right="590"/>
              <w:spacing w:after="0" w:line="150" w:lineRule="exact"/>
              <w:rPr>
                <w:sz w:val="20"/>
                <w:szCs w:val="20"/>
                <w:color w:val="auto"/>
              </w:rPr>
            </w:pPr>
            <w:r>
              <w:rPr>
                <w:rFonts w:ascii="Arial" w:cs="Arial" w:eastAsia="Arial" w:hAnsi="Arial"/>
                <w:sz w:val="15"/>
                <w:szCs w:val="15"/>
                <w:b w:val="1"/>
                <w:bCs w:val="1"/>
                <w:color w:val="auto"/>
              </w:rPr>
              <w:t>575,762</w:t>
            </w:r>
          </w:p>
        </w:tc>
        <w:tc>
          <w:tcPr>
            <w:tcW w:w="38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High-speed data</w:t>
            </w:r>
          </w:p>
        </w:tc>
        <w:tc>
          <w:tcPr>
            <w:tcW w:w="1880" w:type="dxa"/>
            <w:vAlign w:val="bottom"/>
          </w:tcPr>
          <w:p>
            <w:pPr>
              <w:jc w:val="right"/>
              <w:ind w:right="590"/>
              <w:spacing w:after="0"/>
              <w:rPr>
                <w:sz w:val="20"/>
                <w:szCs w:val="20"/>
                <w:color w:val="auto"/>
              </w:rPr>
            </w:pPr>
            <w:r>
              <w:rPr>
                <w:rFonts w:ascii="Arial" w:cs="Arial" w:eastAsia="Arial" w:hAnsi="Arial"/>
                <w:sz w:val="15"/>
                <w:szCs w:val="15"/>
                <w:b w:val="1"/>
                <w:bCs w:val="1"/>
                <w:color w:val="auto"/>
              </w:rPr>
              <w:t>464,292</w:t>
            </w:r>
          </w:p>
        </w:tc>
        <w:tc>
          <w:tcPr>
            <w:tcW w:w="3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Telephony</w:t>
            </w:r>
          </w:p>
        </w:tc>
        <w:tc>
          <w:tcPr>
            <w:tcW w:w="1880" w:type="dxa"/>
            <w:vAlign w:val="bottom"/>
            <w:tcBorders>
              <w:bottom w:val="single" w:sz="8" w:color="auto"/>
            </w:tcBorders>
          </w:tcPr>
          <w:p>
            <w:pPr>
              <w:jc w:val="right"/>
              <w:ind w:right="590"/>
              <w:spacing w:after="0"/>
              <w:rPr>
                <w:sz w:val="20"/>
                <w:szCs w:val="20"/>
                <w:color w:val="auto"/>
              </w:rPr>
            </w:pPr>
            <w:r>
              <w:rPr>
                <w:rFonts w:ascii="Arial" w:cs="Arial" w:eastAsia="Arial" w:hAnsi="Arial"/>
                <w:sz w:val="15"/>
                <w:szCs w:val="15"/>
                <w:b w:val="1"/>
                <w:bCs w:val="1"/>
                <w:color w:val="auto"/>
              </w:rPr>
              <w:t>185,380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680" w:type="dxa"/>
            <w:vAlign w:val="bottom"/>
          </w:tcPr>
          <w:p>
            <w:pPr>
              <w:spacing w:after="0"/>
              <w:rPr>
                <w:sz w:val="14"/>
                <w:szCs w:val="14"/>
                <w:color w:val="auto"/>
              </w:rPr>
            </w:pPr>
          </w:p>
        </w:tc>
        <w:tc>
          <w:tcPr>
            <w:tcW w:w="1880" w:type="dxa"/>
            <w:vAlign w:val="bottom"/>
            <w:tcBorders>
              <w:bottom w:val="single" w:sz="8" w:color="auto"/>
            </w:tcBorders>
          </w:tcPr>
          <w:p>
            <w:pPr>
              <w:jc w:val="right"/>
              <w:ind w:right="590"/>
              <w:spacing w:after="0" w:line="167" w:lineRule="exact"/>
              <w:rPr>
                <w:sz w:val="20"/>
                <w:szCs w:val="20"/>
                <w:color w:val="auto"/>
              </w:rPr>
            </w:pPr>
            <w:r>
              <w:rPr>
                <w:rFonts w:ascii="Arial" w:cs="Arial" w:eastAsia="Arial" w:hAnsi="Arial"/>
                <w:sz w:val="15"/>
                <w:szCs w:val="15"/>
                <w:b w:val="1"/>
                <w:bCs w:val="1"/>
                <w:color w:val="auto"/>
              </w:rPr>
              <w:t>1,225,434</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Newspaper publishing division revenue totaled $ 138.4 million for the second quarter of 2013, down 1% from revenue of $139.2 million for the second quarter of 2012; division revenue declined 2% to $265.7 million for the first six months of 2013, from $271.7 million for the first six months of 2012. Pri advertising revenue at The Washington Post in the second quarter of 2013 was $54.5 million, down 4% from the second quarter of 2012; print advertis revenue was $103.1 million for the first six months of 2013, down 6% from the first six months of 2012. The decline is largely due to reductions in retai general advertising. Revenue generated by the Company’s newspaper online publishing activities, primarily washingtonpost.com and Slate, increased to $29.8 million for the second quarter of 2013 versus the second quarter of 2012; newspaper online revenues increased 12% to $55.6 million for the f months of 2013 versus the first six months of 2012. Display online advertising revenue increased 25% and 21% for the second quarter and first six mo of 2013, respectively. Online classified advertising revenue declined 7% for both the second quarter and first six months of 2013.</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first six months of 2013, Post daily and Sunday circulation declined 7.1% and 7.6%, respectively, compared to the same periods of the prior ye For the six months ended June 30, 2013, average daily circulation at The Washington Post totaled 447,700 and average Sunday circulation totaled 64</w:t>
      </w:r>
    </w:p>
    <w:p>
      <w:pPr>
        <w:spacing w:after="0" w:line="160"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February 2013, the Company announced a Voluntary Retirement Incentive Program (VRIP) which was offered to certain employees of the Post. Th VRIP expense was $20.4 million, which is being funded from the assets of the Company’s pension plan. Of this amount, $12.0 million was recorded in first quarter of 2013 and $8.4 million was recorded in the second quarter of 2013. The Post also implemented a Separation Incentive Program in Febr 2013 that resulted in an additional $2.3 million in early retirement program expense in the first quarter of 2013, which is also being funded from the ass the Company pension plan. In addition, voluntary severance and other early retirement expense of $0.7 million and $2.2 million was recorded at the newspaper publishing division in the second quarter and first six months of 2013, respectively, compared to $3.4 million and $5.3 million for the secon quarter and first six months of 2012, respectively.</w:t>
      </w:r>
    </w:p>
    <w:p>
      <w:pPr>
        <w:spacing w:after="0" w:line="17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newspaper publishing division reported an operating loss of $14.8 million in the second quarter of 2013, compared to an operating loss of $12.6 m in the second quarter of 2012. For the first six months of 2013, the newspaper publishing division reported an operating loss of $49.3 million, compare an operating loss of $33.2 million for the first six months of 2012. These operating losses include noncash pension expense of $16.8 million and $7.7 for the second quarter of 2013 and 2012, respectively, and $39.7 million and $ 16.3 million for the first six months of 2013 and 2012, respectively. The decline in operating results for the second quarter and first half of 2013 is due to the $5.7 million</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64" w:right="139" w:bottom="1440" w:gutter="0" w:footer="0" w:header="0"/>
        </w:sectPr>
      </w:pPr>
    </w:p>
    <w:bookmarkStart w:id="10" w:name="page11"/>
    <w:bookmarkEnd w:id="10"/>
    <w:p>
      <w:pPr>
        <w:jc w:val="both"/>
        <w:spacing w:after="0" w:line="233" w:lineRule="auto"/>
        <w:rPr>
          <w:sz w:val="20"/>
          <w:szCs w:val="20"/>
          <w:color w:val="auto"/>
        </w:rPr>
      </w:pPr>
      <w:r>
        <w:rPr>
          <w:rFonts w:ascii="Arial" w:cs="Arial" w:eastAsia="Arial" w:hAnsi="Arial"/>
          <w:sz w:val="17"/>
          <w:szCs w:val="17"/>
          <w:color w:val="auto"/>
        </w:rPr>
        <w:t>and $ 19.6 million increase in early retirement and severance expense, respectively, and revenue reductions discussed above, offset partially by a decl other operating expenses. Newsprint expense was down 17% and 14% for the second quarter and first six months of 2013, respectively, primarily due decline in newsprint consumption.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for the television broadcasting division increased 4% to $99.3 million in the second quarter of 2013, from $95.6 million in the same period of operating income for the second quarter of 2013 increased 9% to $47.7 million, from $ 43.7 million in the same period of 2012. For the first six months 2013, revenue increased 4% to $184.6 million, from $177.1 million in the same period of 2012; operating income for the first six months of 2013 increa 11% to $83.1 million, from $74.7 million in the same period of 2012.</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increase in revenue and operating income reflects growth in advertising demand across many product categories; incremental advertising revenu the NBA finals broadcast at the division’s ABC affiliates in Miami and San Antonio; and increased retransmission revenues. The increase in revenue a operating income was offset partially by a $5.3 million and $8.1 million decline in political advertising revenue in the second quarter and first six month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Other businesses includes the operating results of Social Code, a marketing solutions provider helping companies with marketing on social media plat Celtic Healthcare, a provider of home health care and hospice services in the northeastern and mid-Atlantic regions that was acquired by the Compan November 2012; and WaPo Labs, a digital team focused on emerging technologies and new product development.</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August 1, 2013, the Company completed the acquisition of Forney Corporation, a global supplier of products and systems that control and monitor combustion processes in electric utility and industrial applications.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a 16.5% interest in Classified Ventures, LLC and interests in several other affiliates.</w:t>
      </w:r>
    </w:p>
    <w:p>
      <w:pPr>
        <w:spacing w:after="0" w:line="177"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Company’s equity in earnings of affiliates, net, was $3.9 million for the second quarter of 2013, compared to $3.3 million for the second quarter of For the first six months of 2013, the Company’s equity in earnings of affiliates, net, totaled $7.3 million, compared to $7.2 million for the same period o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97"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Company recorded other non-operating expense, net, of $12.9 million for the second quarter of 2013, compared to $0.6 million for the second qu 2012. The second quarter 2013 non-operating expense, net, included $12.6 million in unrealized foreign currency losses and other items. The second quarter 2012 non-operating expense, net, included $2.6 million in unrealized foreign currency losses, offset by other items.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Company recorded non-operating expense, net, of $16.9 million for the first six months of 2013, compared to other non-operating income, net, of million for the same period of the prior year. The 2013 non-operating expense, net, included $17.2 million in unrealized foreign currency losses and ot items. The 2012 non-operating income, net, included a $7.3 million gain on sales of cost method investments, $0.1 million in unrealized foreign curren gains and other items.</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4" w:right="1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incurred net interest expense of $8.5 million and $17.0 million for the second quarter and first six months of 2013, respectively, compar $8.2 million and $16.3 million for the same periods of 2012. At June 30, 2013, the Company had $450.0 million in borrowings outstanding, at an avera interest rate of 7.0%.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effective tax rate for income from continuing operations for the first six months of 2013 was 42.1%, compared to 39.6% for the first six months of 2 The high effective tax rate for the first six months of 2013 and 2012 results primarily from losses in Australia for which no tax benefit is recorded.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Kaplan sold Kidum in A 2012, EduNeering in April 2012 and Kaplan Learning Technologies (KLT) in February 2012. The Company also divested its interest in Avenue100 Med Solutions in July 2012. Consequently, the Company’s income from continuing operations excludes these businesses, which have been reclassified to discontinued operations, net of tax.</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sale of The Herald resulted in a pre-tax loss of $0.1 million that was recorded in the first quarter of 2013. The sale of KLT resulted in a pre-tax loss $3.1 million that was recorded in the first quarter of 2012. The sale of EduNeering resulted in a pre-tax gain of $29.5 million that was recorded in the s quarter of 2012. In the first quarter of 2012, in connection with each of the sales of the Company’s stock in KLT and EduNeering, the Company record $23.2 million of income tax benefits related to the excess of the outside stock tax basis over the net book value of the net assets acquired.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calculation of diluted earnings per share for the second quarter and first six months of 2013 was based on 7,283,116 and 7,276,421 weighted ave shares outstanding, respectively, compared to 7,545,150 and 7,579,888, respectively, for the second quarter and first six months of 2012. At June 30, there were 7,422,238 shares outstanding and the Company had remaining authorization from the Board of Directors to purchase up to 180,993 shares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64" w:right="139" w:bottom="1440" w:gutter="0" w:footer="0" w:header="0"/>
        </w:sectPr>
      </w:pPr>
    </w:p>
    <w:bookmarkStart w:id="12" w:name="page13"/>
    <w:bookmarkEnd w:id="12"/>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left="1160"/>
        <w:spacing w:after="0"/>
        <w:rPr>
          <w:sz w:val="20"/>
          <w:szCs w:val="20"/>
          <w:color w:val="auto"/>
        </w:rPr>
      </w:pPr>
      <w:r>
        <w:rPr>
          <w:rFonts w:ascii="Arial" w:cs="Arial" w:eastAsia="Arial" w:hAnsi="Arial"/>
          <w:sz w:val="17"/>
          <w:szCs w:val="17"/>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w:t>
            </w: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839"/>
              <w:spacing w:after="0"/>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w w:val="97"/>
              </w:rPr>
              <w:t>2012</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60" w:type="dxa"/>
            <w:vAlign w:val="bottom"/>
            <w:gridSpan w:val="2"/>
          </w:tcPr>
          <w:p>
            <w:pPr>
              <w:jc w:val="right"/>
              <w:ind w:right="57"/>
              <w:spacing w:after="0" w:line="170" w:lineRule="exact"/>
              <w:rPr>
                <w:sz w:val="20"/>
                <w:szCs w:val="20"/>
                <w:color w:val="auto"/>
              </w:rPr>
            </w:pPr>
            <w:r>
              <w:rPr>
                <w:rFonts w:ascii="Arial" w:cs="Arial" w:eastAsia="Arial" w:hAnsi="Arial"/>
                <w:sz w:val="17"/>
                <w:szCs w:val="17"/>
                <w:b w:val="1"/>
                <w:bCs w:val="1"/>
                <w:color w:val="auto"/>
              </w:rPr>
              <w:t>$</w:t>
            </w:r>
          </w:p>
        </w:tc>
        <w:tc>
          <w:tcPr>
            <w:tcW w:w="136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1,021,851</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989,103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7"/>
                <w:szCs w:val="17"/>
                <w:b w:val="1"/>
                <w:bCs w:val="1"/>
                <w:color w:val="auto"/>
              </w:rPr>
              <w:t>(861,613)</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(859,253)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7"/>
                <w:szCs w:val="17"/>
                <w:b w:val="1"/>
                <w:bCs w:val="1"/>
                <w:color w:val="auto"/>
              </w:rPr>
              <w:t>(63,875)</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(62,401)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(3,313)</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93,050</w:t>
            </w:r>
          </w:p>
        </w:tc>
        <w:tc>
          <w:tcPr>
            <w:tcW w:w="3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63,021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7"/>
                <w:szCs w:val="17"/>
                <w:b w:val="1"/>
                <w:bCs w:val="1"/>
                <w:color w:val="auto"/>
              </w:rPr>
              <w:t>3,868</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3,314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7"/>
                <w:szCs w:val="17"/>
                <w:b w:val="1"/>
                <w:bCs w:val="1"/>
                <w:color w:val="auto"/>
              </w:rPr>
              <w:t>522</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7"/>
                <w:szCs w:val="17"/>
                <w:b w:val="1"/>
                <w:bCs w:val="1"/>
                <w:color w:val="auto"/>
              </w:rPr>
              <w:t>(9,048)</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(8,979)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expense, net</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(12,858)</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75,534</w:t>
            </w:r>
          </w:p>
        </w:tc>
        <w:tc>
          <w:tcPr>
            <w:tcW w:w="3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57,496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30,400</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45,134</w:t>
            </w:r>
          </w:p>
        </w:tc>
        <w:tc>
          <w:tcPr>
            <w:tcW w:w="3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36,296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45,134</w:t>
            </w:r>
          </w:p>
        </w:tc>
        <w:tc>
          <w:tcPr>
            <w:tcW w:w="3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52,047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(253)</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44,881</w:t>
            </w:r>
          </w:p>
        </w:tc>
        <w:tc>
          <w:tcPr>
            <w:tcW w:w="3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52,036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(206)</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360" w:type="dxa"/>
            <w:vAlign w:val="bottom"/>
            <w:vMerge w:val="restart"/>
          </w:tcPr>
          <w:p>
            <w:pPr>
              <w:jc w:val="right"/>
              <w:ind w:right="319"/>
              <w:spacing w:after="0"/>
              <w:rPr>
                <w:sz w:val="20"/>
                <w:szCs w:val="20"/>
                <w:color w:val="auto"/>
              </w:rPr>
            </w:pPr>
            <w:r>
              <w:rPr>
                <w:rFonts w:ascii="Arial" w:cs="Arial" w:eastAsia="Arial" w:hAnsi="Arial"/>
                <w:sz w:val="17"/>
                <w:szCs w:val="17"/>
                <w:b w:val="1"/>
                <w:bCs w:val="1"/>
                <w:color w:val="auto"/>
              </w:rPr>
              <w:t>44,675</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51,814</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360" w:type="dxa"/>
            <w:vAlign w:val="bottom"/>
            <w:vMerge w:val="restart"/>
          </w:tcPr>
          <w:p>
            <w:pPr>
              <w:jc w:val="right"/>
              <w:ind w:right="319"/>
              <w:spacing w:after="0"/>
              <w:rPr>
                <w:sz w:val="20"/>
                <w:szCs w:val="20"/>
                <w:color w:val="auto"/>
              </w:rPr>
            </w:pPr>
            <w:r>
              <w:rPr>
                <w:rFonts w:ascii="Arial" w:cs="Arial" w:eastAsia="Arial" w:hAnsi="Arial"/>
                <w:sz w:val="17"/>
                <w:szCs w:val="17"/>
                <w:b w:val="1"/>
                <w:bCs w:val="1"/>
                <w:color w:val="auto"/>
              </w:rPr>
              <w:t>44,675</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6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36,063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ind w:right="319"/>
              <w:spacing w:after="0" w:line="179" w:lineRule="exact"/>
              <w:rPr>
                <w:sz w:val="20"/>
                <w:szCs w:val="20"/>
                <w:color w:val="auto"/>
              </w:rPr>
            </w:pPr>
            <w:r>
              <w:rPr>
                <w:rFonts w:ascii="Arial" w:cs="Arial" w:eastAsia="Arial" w:hAnsi="Arial"/>
                <w:sz w:val="17"/>
                <w:szCs w:val="17"/>
                <w:b w:val="1"/>
                <w:bCs w:val="1"/>
                <w:color w:val="auto"/>
              </w:rPr>
              <w:t>44,675</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51,814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360" w:type="dxa"/>
            <w:vAlign w:val="bottom"/>
            <w:vMerge w:val="restart"/>
          </w:tcPr>
          <w:p>
            <w:pPr>
              <w:jc w:val="right"/>
              <w:ind w:right="319"/>
              <w:spacing w:after="0"/>
              <w:rPr>
                <w:sz w:val="20"/>
                <w:szCs w:val="20"/>
                <w:color w:val="auto"/>
              </w:rPr>
            </w:pPr>
            <w:r>
              <w:rPr>
                <w:rFonts w:ascii="Arial" w:cs="Arial" w:eastAsia="Arial" w:hAnsi="Arial"/>
                <w:sz w:val="17"/>
                <w:szCs w:val="17"/>
                <w:b w:val="1"/>
                <w:bCs w:val="1"/>
                <w:color w:val="auto"/>
              </w:rPr>
              <w:t>6.02</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6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4.76</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ind w:right="319"/>
              <w:spacing w:after="0" w:line="179" w:lineRule="exact"/>
              <w:rPr>
                <w:sz w:val="20"/>
                <w:szCs w:val="20"/>
                <w:color w:val="auto"/>
              </w:rPr>
            </w:pPr>
            <w:r>
              <w:rPr>
                <w:rFonts w:ascii="Arial" w:cs="Arial" w:eastAsia="Arial" w:hAnsi="Arial"/>
                <w:sz w:val="17"/>
                <w:szCs w:val="17"/>
                <w:b w:val="1"/>
                <w:bCs w:val="1"/>
                <w:color w:val="auto"/>
              </w:rPr>
              <w:t>6.02</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6.84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19"/>
              <w:spacing w:after="0" w:line="163" w:lineRule="exact"/>
              <w:rPr>
                <w:sz w:val="20"/>
                <w:szCs w:val="20"/>
                <w:color w:val="auto"/>
              </w:rPr>
            </w:pPr>
            <w:r>
              <w:rPr>
                <w:rFonts w:ascii="Arial" w:cs="Arial" w:eastAsia="Arial" w:hAnsi="Arial"/>
                <w:sz w:val="17"/>
                <w:szCs w:val="17"/>
                <w:b w:val="1"/>
                <w:bCs w:val="1"/>
                <w:color w:val="auto"/>
              </w:rPr>
              <w:t>7,229</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7,431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60" w:type="dxa"/>
            <w:vAlign w:val="bottom"/>
            <w:gridSpan w:val="2"/>
          </w:tcPr>
          <w:p>
            <w:pPr>
              <w:jc w:val="right"/>
              <w:ind w:right="57"/>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ind w:right="319"/>
              <w:spacing w:after="0"/>
              <w:rPr>
                <w:sz w:val="20"/>
                <w:szCs w:val="20"/>
                <w:color w:val="auto"/>
              </w:rPr>
            </w:pPr>
            <w:r>
              <w:rPr>
                <w:rFonts w:ascii="Arial" w:cs="Arial" w:eastAsia="Arial" w:hAnsi="Arial"/>
                <w:sz w:val="17"/>
                <w:szCs w:val="17"/>
                <w:b w:val="1"/>
                <w:bCs w:val="1"/>
                <w:color w:val="auto"/>
              </w:rPr>
              <w:t>6.02</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4.76</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ind w:right="319"/>
              <w:spacing w:after="0" w:line="179" w:lineRule="exact"/>
              <w:rPr>
                <w:sz w:val="20"/>
                <w:szCs w:val="20"/>
                <w:color w:val="auto"/>
              </w:rPr>
            </w:pPr>
            <w:r>
              <w:rPr>
                <w:rFonts w:ascii="Arial" w:cs="Arial" w:eastAsia="Arial" w:hAnsi="Arial"/>
                <w:sz w:val="17"/>
                <w:szCs w:val="17"/>
                <w:b w:val="1"/>
                <w:bCs w:val="1"/>
                <w:color w:val="auto"/>
              </w:rPr>
              <w:t>6.02</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6.84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19"/>
              <w:spacing w:after="0" w:line="163" w:lineRule="exact"/>
              <w:rPr>
                <w:sz w:val="20"/>
                <w:szCs w:val="20"/>
                <w:color w:val="auto"/>
              </w:rPr>
            </w:pPr>
            <w:r>
              <w:rPr>
                <w:rFonts w:ascii="Arial" w:cs="Arial" w:eastAsia="Arial" w:hAnsi="Arial"/>
                <w:sz w:val="17"/>
                <w:szCs w:val="17"/>
                <w:b w:val="1"/>
                <w:bCs w:val="1"/>
                <w:color w:val="auto"/>
              </w:rPr>
              <w:t>7,283</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7,545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8</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25" w:right="1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7"/>
          <w:szCs w:val="17"/>
          <w:color w:val="auto"/>
        </w:rPr>
        <w:t>THE WASHINGTON POST COMPANY</w:t>
      </w:r>
    </w:p>
    <w:p>
      <w:pPr>
        <w:jc w:val="center"/>
        <w:ind w:right="-39"/>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right="-39"/>
        <w:spacing w:after="0"/>
        <w:rPr>
          <w:sz w:val="20"/>
          <w:szCs w:val="20"/>
          <w:color w:val="auto"/>
        </w:rPr>
      </w:pPr>
      <w:r>
        <w:rPr>
          <w:rFonts w:ascii="Arial" w:cs="Arial" w:eastAsia="Arial" w:hAnsi="Arial"/>
          <w:sz w:val="17"/>
          <w:szCs w:val="17"/>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80" w:type="dxa"/>
            <w:vAlign w:val="bottom"/>
          </w:tcPr>
          <w:p>
            <w:pPr>
              <w:spacing w:after="0"/>
              <w:rPr>
                <w:sz w:val="12"/>
                <w:szCs w:val="12"/>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39"/>
              <w:spacing w:after="0"/>
              <w:rPr>
                <w:sz w:val="20"/>
                <w:szCs w:val="20"/>
                <w:color w:val="auto"/>
              </w:rPr>
            </w:pPr>
            <w:r>
              <w:rPr>
                <w:rFonts w:ascii="Arial" w:cs="Arial" w:eastAsia="Arial" w:hAnsi="Arial"/>
                <w:sz w:val="12"/>
                <w:szCs w:val="12"/>
                <w:b w:val="1"/>
                <w:bCs w:val="1"/>
                <w:color w:val="auto"/>
              </w:rPr>
              <w:t>2013</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2012</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revenues</w:t>
            </w:r>
          </w:p>
        </w:tc>
        <w:tc>
          <w:tcPr>
            <w:tcW w:w="2240" w:type="dxa"/>
            <w:vAlign w:val="bottom"/>
            <w:gridSpan w:val="2"/>
          </w:tcPr>
          <w:p>
            <w:pPr>
              <w:jc w:val="right"/>
              <w:ind w:right="37"/>
              <w:spacing w:after="0" w:line="170" w:lineRule="exact"/>
              <w:rPr>
                <w:sz w:val="20"/>
                <w:szCs w:val="20"/>
                <w:color w:val="auto"/>
              </w:rPr>
            </w:pPr>
            <w:r>
              <w:rPr>
                <w:rFonts w:ascii="Arial" w:cs="Arial" w:eastAsia="Arial" w:hAnsi="Arial"/>
                <w:sz w:val="17"/>
                <w:szCs w:val="17"/>
                <w:b w:val="1"/>
                <w:bCs w:val="1"/>
                <w:color w:val="auto"/>
              </w:rPr>
              <w:t>$</w:t>
            </w:r>
          </w:p>
        </w:tc>
        <w:tc>
          <w:tcPr>
            <w:tcW w:w="138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1,980,956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1,944,604</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7"/>
                <w:szCs w:val="17"/>
                <w:b w:val="1"/>
                <w:bCs w:val="1"/>
                <w:color w:val="auto"/>
              </w:rPr>
              <w:t>(1,728,150)</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6"/>
              </w:rPr>
              <w:t>(1,727,659)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7"/>
                <w:szCs w:val="17"/>
                <w:b w:val="1"/>
                <w:bCs w:val="1"/>
                <w:color w:val="auto"/>
              </w:rPr>
              <w:t>(129,666)</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(124,325)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(7,030)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116,110</w:t>
            </w:r>
          </w:p>
        </w:tc>
        <w:tc>
          <w:tcPr>
            <w:tcW w:w="3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84,319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7"/>
                <w:szCs w:val="17"/>
                <w:b w:val="1"/>
                <w:bCs w:val="1"/>
                <w:color w:val="auto"/>
              </w:rPr>
              <w:t>7,286</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7,202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7"/>
                <w:szCs w:val="17"/>
                <w:b w:val="1"/>
                <w:bCs w:val="1"/>
                <w:color w:val="auto"/>
              </w:rPr>
              <w:t>1,032</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1,844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7"/>
                <w:szCs w:val="17"/>
                <w:b w:val="1"/>
                <w:bCs w:val="1"/>
                <w:color w:val="auto"/>
              </w:rPr>
              <w:t>(18,008)</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(18,142)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(16,941)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89,479</w:t>
            </w:r>
          </w:p>
        </w:tc>
        <w:tc>
          <w:tcPr>
            <w:tcW w:w="3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83,176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37,700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51,779</w:t>
            </w:r>
          </w:p>
        </w:tc>
        <w:tc>
          <w:tcPr>
            <w:tcW w:w="3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50,276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(1,386)</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33,339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50,393</w:t>
            </w:r>
          </w:p>
        </w:tc>
        <w:tc>
          <w:tcPr>
            <w:tcW w:w="3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83,615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(350)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19"/>
              <w:spacing w:after="0" w:line="170" w:lineRule="exact"/>
              <w:rPr>
                <w:sz w:val="20"/>
                <w:szCs w:val="20"/>
                <w:color w:val="auto"/>
              </w:rPr>
            </w:pPr>
            <w:r>
              <w:rPr>
                <w:rFonts w:ascii="Arial" w:cs="Arial" w:eastAsia="Arial" w:hAnsi="Arial"/>
                <w:sz w:val="17"/>
                <w:szCs w:val="17"/>
                <w:b w:val="1"/>
                <w:bCs w:val="1"/>
                <w:color w:val="auto"/>
              </w:rPr>
              <w:t>50,043</w:t>
            </w:r>
          </w:p>
        </w:tc>
        <w:tc>
          <w:tcPr>
            <w:tcW w:w="3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7"/>
                <w:szCs w:val="17"/>
                <w:color w:val="auto"/>
              </w:rPr>
              <w:t>83,534</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(650)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5440" w:type="dxa"/>
            <w:vAlign w:val="bottom"/>
          </w:tcPr>
          <w:p>
            <w:pPr>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380" w:type="dxa"/>
            <w:vAlign w:val="bottom"/>
            <w:vMerge w:val="restart"/>
          </w:tcPr>
          <w:p>
            <w:pPr>
              <w:jc w:val="right"/>
              <w:ind w:right="319"/>
              <w:spacing w:after="0"/>
              <w:rPr>
                <w:sz w:val="20"/>
                <w:szCs w:val="20"/>
                <w:color w:val="auto"/>
              </w:rPr>
            </w:pPr>
            <w:r>
              <w:rPr>
                <w:rFonts w:ascii="Arial" w:cs="Arial" w:eastAsia="Arial" w:hAnsi="Arial"/>
                <w:sz w:val="17"/>
                <w:szCs w:val="17"/>
                <w:b w:val="1"/>
                <w:bCs w:val="1"/>
                <w:color w:val="auto"/>
              </w:rPr>
              <w:t>49,393</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82,861</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380" w:type="dxa"/>
            <w:vAlign w:val="bottom"/>
            <w:vMerge w:val="restart"/>
          </w:tcPr>
          <w:p>
            <w:pPr>
              <w:jc w:val="right"/>
              <w:ind w:right="319"/>
              <w:spacing w:after="0"/>
              <w:rPr>
                <w:sz w:val="20"/>
                <w:szCs w:val="20"/>
                <w:color w:val="auto"/>
              </w:rPr>
            </w:pPr>
            <w:r>
              <w:rPr>
                <w:rFonts w:ascii="Arial" w:cs="Arial" w:eastAsia="Arial" w:hAnsi="Arial"/>
                <w:sz w:val="17"/>
                <w:szCs w:val="17"/>
                <w:b w:val="1"/>
                <w:bCs w:val="1"/>
                <w:color w:val="auto"/>
              </w:rPr>
              <w:t>50,779</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Income from continuing operations</w:t>
            </w:r>
          </w:p>
        </w:tc>
        <w:tc>
          <w:tcPr>
            <w:tcW w:w="224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49,522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(1,386)</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33,339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ind w:right="319"/>
              <w:spacing w:after="0" w:line="179" w:lineRule="exact"/>
              <w:rPr>
                <w:sz w:val="20"/>
                <w:szCs w:val="20"/>
                <w:color w:val="auto"/>
              </w:rPr>
            </w:pPr>
            <w:r>
              <w:rPr>
                <w:rFonts w:ascii="Arial" w:cs="Arial" w:eastAsia="Arial" w:hAnsi="Arial"/>
                <w:sz w:val="17"/>
                <w:szCs w:val="17"/>
                <w:b w:val="1"/>
                <w:bCs w:val="1"/>
                <w:color w:val="auto"/>
              </w:rPr>
              <w:t>49,393</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82,861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380" w:type="dxa"/>
            <w:vAlign w:val="bottom"/>
            <w:vMerge w:val="restart"/>
          </w:tcPr>
          <w:p>
            <w:pPr>
              <w:jc w:val="right"/>
              <w:ind w:right="319"/>
              <w:spacing w:after="0"/>
              <w:rPr>
                <w:sz w:val="20"/>
                <w:szCs w:val="20"/>
                <w:color w:val="auto"/>
              </w:rPr>
            </w:pPr>
            <w:r>
              <w:rPr>
                <w:rFonts w:ascii="Arial" w:cs="Arial" w:eastAsia="Arial" w:hAnsi="Arial"/>
                <w:sz w:val="17"/>
                <w:szCs w:val="17"/>
                <w:b w:val="1"/>
                <w:bCs w:val="1"/>
                <w:color w:val="auto"/>
              </w:rPr>
              <w:t>6.84</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4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6.48</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Basic (loss) income per common share from discontinued operations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(0.18)</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ind w:right="319"/>
              <w:spacing w:after="0" w:line="179" w:lineRule="exact"/>
              <w:rPr>
                <w:sz w:val="20"/>
                <w:szCs w:val="20"/>
                <w:color w:val="auto"/>
              </w:rPr>
            </w:pPr>
            <w:r>
              <w:rPr>
                <w:rFonts w:ascii="Arial" w:cs="Arial" w:eastAsia="Arial" w:hAnsi="Arial"/>
                <w:sz w:val="17"/>
                <w:szCs w:val="17"/>
                <w:b w:val="1"/>
                <w:bCs w:val="1"/>
                <w:color w:val="auto"/>
              </w:rPr>
              <w:t>6.66</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10.87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19"/>
              <w:spacing w:after="0" w:line="163" w:lineRule="exact"/>
              <w:rPr>
                <w:sz w:val="20"/>
                <w:szCs w:val="20"/>
                <w:color w:val="auto"/>
              </w:rPr>
            </w:pPr>
            <w:r>
              <w:rPr>
                <w:rFonts w:ascii="Arial" w:cs="Arial" w:eastAsia="Arial" w:hAnsi="Arial"/>
                <w:sz w:val="17"/>
                <w:szCs w:val="17"/>
                <w:b w:val="1"/>
                <w:bCs w:val="1"/>
                <w:color w:val="auto"/>
              </w:rPr>
              <w:t>7,228</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7,473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income per common share from continuing operations</w:t>
            </w:r>
          </w:p>
        </w:tc>
        <w:tc>
          <w:tcPr>
            <w:tcW w:w="2240" w:type="dxa"/>
            <w:vAlign w:val="bottom"/>
            <w:gridSpan w:val="2"/>
          </w:tcPr>
          <w:p>
            <w:pPr>
              <w:jc w:val="right"/>
              <w:ind w:right="37"/>
              <w:spacing w:after="0"/>
              <w:rPr>
                <w:sz w:val="20"/>
                <w:szCs w:val="20"/>
                <w:color w:val="auto"/>
              </w:rPr>
            </w:pPr>
            <w:r>
              <w:rPr>
                <w:rFonts w:ascii="Arial" w:cs="Arial" w:eastAsia="Arial" w:hAnsi="Arial"/>
                <w:sz w:val="17"/>
                <w:szCs w:val="17"/>
                <w:b w:val="1"/>
                <w:bCs w:val="1"/>
                <w:color w:val="auto"/>
              </w:rPr>
              <w:t>$</w:t>
            </w:r>
          </w:p>
        </w:tc>
        <w:tc>
          <w:tcPr>
            <w:tcW w:w="1380" w:type="dxa"/>
            <w:vAlign w:val="bottom"/>
          </w:tcPr>
          <w:p>
            <w:pPr>
              <w:jc w:val="right"/>
              <w:ind w:right="319"/>
              <w:spacing w:after="0"/>
              <w:rPr>
                <w:sz w:val="20"/>
                <w:szCs w:val="20"/>
                <w:color w:val="auto"/>
              </w:rPr>
            </w:pPr>
            <w:r>
              <w:rPr>
                <w:rFonts w:ascii="Arial" w:cs="Arial" w:eastAsia="Arial" w:hAnsi="Arial"/>
                <w:sz w:val="17"/>
                <w:szCs w:val="17"/>
                <w:b w:val="1"/>
                <w:bCs w:val="1"/>
                <w:color w:val="auto"/>
              </w:rPr>
              <w:t>6.84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6.48</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Diluted (loss) income per common share from discontinued operations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b w:val="1"/>
                <w:bCs w:val="1"/>
                <w:color w:val="auto"/>
              </w:rPr>
              <w:t>(0.18)</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4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ind w:right="319"/>
              <w:spacing w:after="0" w:line="179" w:lineRule="exact"/>
              <w:rPr>
                <w:sz w:val="20"/>
                <w:szCs w:val="20"/>
                <w:color w:val="auto"/>
              </w:rPr>
            </w:pPr>
            <w:r>
              <w:rPr>
                <w:rFonts w:ascii="Arial" w:cs="Arial" w:eastAsia="Arial" w:hAnsi="Arial"/>
                <w:sz w:val="17"/>
                <w:szCs w:val="17"/>
                <w:b w:val="1"/>
                <w:bCs w:val="1"/>
                <w:color w:val="auto"/>
              </w:rPr>
              <w:t>6.66</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10.87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19"/>
              <w:spacing w:after="0" w:line="163" w:lineRule="exact"/>
              <w:rPr>
                <w:sz w:val="20"/>
                <w:szCs w:val="20"/>
                <w:color w:val="auto"/>
              </w:rPr>
            </w:pPr>
            <w:r>
              <w:rPr>
                <w:rFonts w:ascii="Arial" w:cs="Arial" w:eastAsia="Arial" w:hAnsi="Arial"/>
                <w:sz w:val="17"/>
                <w:szCs w:val="17"/>
                <w:b w:val="1"/>
                <w:bCs w:val="1"/>
                <w:color w:val="auto"/>
              </w:rPr>
              <w:t>7,276</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7,580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75" w:right="13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7"/>
          <w:szCs w:val="17"/>
          <w:color w:val="auto"/>
        </w:rPr>
        <w:t>THE WASHINGTON POST COMPANY</w:t>
      </w:r>
    </w:p>
    <w:p>
      <w:pPr>
        <w:jc w:val="center"/>
        <w:ind w:right="-139"/>
        <w:spacing w:after="0" w:line="228" w:lineRule="auto"/>
        <w:rPr>
          <w:sz w:val="20"/>
          <w:szCs w:val="20"/>
          <w:color w:val="auto"/>
        </w:rPr>
      </w:pPr>
      <w:r>
        <w:rPr>
          <w:rFonts w:ascii="Arial" w:cs="Arial" w:eastAsia="Arial" w:hAnsi="Arial"/>
          <w:sz w:val="17"/>
          <w:szCs w:val="17"/>
          <w:u w:val="single" w:color="auto"/>
          <w:color w:val="auto"/>
        </w:rPr>
        <w:t>BUSINESS SEGMENT INFORMATION</w:t>
      </w:r>
    </w:p>
    <w:p>
      <w:pPr>
        <w:jc w:val="center"/>
        <w:ind w:right="-139"/>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3"/>
          </w:tcPr>
          <w:p>
            <w:pPr>
              <w:jc w:val="right"/>
              <w:ind w:right="682"/>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40" w:type="dxa"/>
            <w:vAlign w:val="bottom"/>
          </w:tcPr>
          <w:p>
            <w:pPr>
              <w:jc w:val="right"/>
              <w:ind w:right="382"/>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22"/>
              <w:spacing w:after="0"/>
              <w:rPr>
                <w:sz w:val="20"/>
                <w:szCs w:val="20"/>
                <w:color w:val="auto"/>
              </w:rPr>
            </w:pPr>
            <w:r>
              <w:rPr>
                <w:rFonts w:ascii="Arial" w:cs="Arial" w:eastAsia="Arial" w:hAnsi="Arial"/>
                <w:sz w:val="12"/>
                <w:szCs w:val="12"/>
                <w:b w:val="1"/>
                <w:bCs w:val="1"/>
                <w:color w:val="auto"/>
              </w:rPr>
              <w:t>2013</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color w:val="auto"/>
              </w:rPr>
              <w:t>2012</w:t>
            </w: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rPr>
              <w:t>Change</w:t>
            </w: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b w:val="1"/>
                <w:bCs w:val="1"/>
                <w:color w:val="auto"/>
              </w:rPr>
              <w:t>2013</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color w:val="auto"/>
              </w:rPr>
              <w:t>2012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Cha</w:t>
            </w:r>
          </w:p>
        </w:tc>
        <w:tc>
          <w:tcPr>
            <w:tcW w:w="0" w:type="dxa"/>
            <w:vAlign w:val="bottom"/>
          </w:tcPr>
          <w:p>
            <w:pPr>
              <w:spacing w:after="0"/>
              <w:rPr>
                <w:sz w:val="1"/>
                <w:szCs w:val="1"/>
                <w:color w:val="auto"/>
              </w:rPr>
            </w:pPr>
          </w:p>
        </w:tc>
      </w:tr>
      <w:tr>
        <w:trPr>
          <w:trHeight w:val="160"/>
        </w:trPr>
        <w:tc>
          <w:tcPr>
            <w:tcW w:w="3780" w:type="dxa"/>
            <w:vAlign w:val="bottom"/>
          </w:tcPr>
          <w:p>
            <w:pPr>
              <w:spacing w:after="0" w:line="161" w:lineRule="exact"/>
              <w:rPr>
                <w:sz w:val="20"/>
                <w:szCs w:val="20"/>
                <w:color w:val="auto"/>
              </w:rPr>
            </w:pPr>
            <w:r>
              <w:rPr>
                <w:rFonts w:ascii="Arial" w:cs="Arial" w:eastAsia="Arial" w:hAnsi="Arial"/>
                <w:sz w:val="16"/>
                <w:szCs w:val="16"/>
                <w:b w:val="1"/>
                <w:bCs w:val="1"/>
                <w:color w:val="auto"/>
              </w:rPr>
              <w:t>Operating Revenues:</w:t>
            </w: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548,230</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1,076,045</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20" w:type="dxa"/>
            <w:vAlign w:val="bottom"/>
          </w:tcPr>
          <w:p>
            <w:pPr>
              <w:jc w:val="right"/>
              <w:ind w:right="41"/>
              <w:spacing w:after="0" w:line="154"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4" w:lineRule="exact"/>
              <w:rPr>
                <w:sz w:val="20"/>
                <w:szCs w:val="20"/>
                <w:color w:val="auto"/>
              </w:rPr>
            </w:pPr>
            <w:r>
              <w:rPr>
                <w:rFonts w:ascii="Arial" w:cs="Arial" w:eastAsia="Arial" w:hAnsi="Arial"/>
                <w:sz w:val="16"/>
                <w:szCs w:val="16"/>
                <w:color w:val="auto"/>
              </w:rPr>
              <w:t>551,774</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(1)</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60" w:type="dxa"/>
            <w:vAlign w:val="bottom"/>
          </w:tcPr>
          <w:p>
            <w:pPr>
              <w:jc w:val="right"/>
              <w:ind w:right="201"/>
              <w:spacing w:after="0" w:line="154"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54" w:lineRule="exact"/>
              <w:rPr>
                <w:sz w:val="20"/>
                <w:szCs w:val="20"/>
                <w:color w:val="auto"/>
              </w:rPr>
            </w:pPr>
            <w:r>
              <w:rPr>
                <w:rFonts w:ascii="Arial" w:cs="Arial" w:eastAsia="Arial" w:hAnsi="Arial"/>
                <w:sz w:val="16"/>
                <w:szCs w:val="16"/>
                <w:color w:val="auto"/>
              </w:rPr>
              <w:t>1,098,459</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204,550</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195,579</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5</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404,688</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385,789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138,423</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139,228</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265,687</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271,678</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99,320</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95,591</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4</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184,590</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177,088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31,419</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7,177</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50,310</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11,945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(91)</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(364)</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342"/>
              <w:spacing w:after="0" w:line="166" w:lineRule="exact"/>
              <w:rPr>
                <w:sz w:val="20"/>
                <w:szCs w:val="20"/>
                <w:color w:val="auto"/>
              </w:rPr>
            </w:pPr>
            <w:r>
              <w:rPr>
                <w:rFonts w:ascii="Arial" w:cs="Arial" w:eastAsia="Arial" w:hAnsi="Arial"/>
                <w:sz w:val="16"/>
                <w:szCs w:val="16"/>
                <w:b w:val="1"/>
                <w:bCs w:val="1"/>
                <w:color w:val="auto"/>
              </w:rPr>
              <w:t>1,021,851</w:t>
            </w:r>
          </w:p>
        </w:tc>
        <w:tc>
          <w:tcPr>
            <w:tcW w:w="22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989,103</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1,980,956</w:t>
            </w:r>
          </w:p>
        </w:tc>
        <w:tc>
          <w:tcPr>
            <w:tcW w:w="5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1,944,604</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524,504</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1,056,375</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20" w:type="dxa"/>
            <w:vAlign w:val="bottom"/>
          </w:tcPr>
          <w:p>
            <w:pPr>
              <w:jc w:val="right"/>
              <w:ind w:right="41"/>
              <w:spacing w:after="0" w:line="154"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4" w:lineRule="exact"/>
              <w:rPr>
                <w:sz w:val="20"/>
                <w:szCs w:val="20"/>
                <w:color w:val="auto"/>
              </w:rPr>
            </w:pPr>
            <w:r>
              <w:rPr>
                <w:rFonts w:ascii="Arial" w:cs="Arial" w:eastAsia="Arial" w:hAnsi="Arial"/>
                <w:sz w:val="16"/>
                <w:szCs w:val="16"/>
                <w:color w:val="auto"/>
              </w:rPr>
              <w:t>548,046</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(4)</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60" w:type="dxa"/>
            <w:vAlign w:val="bottom"/>
          </w:tcPr>
          <w:p>
            <w:pPr>
              <w:jc w:val="right"/>
              <w:ind w:right="201"/>
              <w:spacing w:after="0" w:line="154"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54" w:lineRule="exact"/>
              <w:rPr>
                <w:sz w:val="20"/>
                <w:szCs w:val="20"/>
                <w:color w:val="auto"/>
              </w:rPr>
            </w:pPr>
            <w:r>
              <w:rPr>
                <w:rFonts w:ascii="Arial" w:cs="Arial" w:eastAsia="Arial" w:hAnsi="Arial"/>
                <w:sz w:val="16"/>
                <w:szCs w:val="16"/>
                <w:color w:val="auto"/>
              </w:rPr>
              <w:t>1,106,646</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159,840</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157,133</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323,365</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314,566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153,250</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151,842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314,986</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304,904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51,616</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51,863</w:t>
            </w:r>
          </w:p>
        </w:tc>
        <w:tc>
          <w:tcPr>
            <w:tcW w:w="1040" w:type="dxa"/>
            <w:vAlign w:val="bottom"/>
          </w:tcPr>
          <w:p>
            <w:pPr>
              <w:jc w:val="right"/>
              <w:ind w:right="262"/>
              <w:spacing w:after="0" w:line="174" w:lineRule="exact"/>
              <w:rPr>
                <w:sz w:val="20"/>
                <w:szCs w:val="20"/>
                <w:color w:val="auto"/>
              </w:rPr>
            </w:pPr>
            <w:r>
              <w:rPr>
                <w:rFonts w:ascii="Arial" w:cs="Arial" w:eastAsia="Arial" w:hAnsi="Arial"/>
                <w:sz w:val="16"/>
                <w:szCs w:val="16"/>
                <w:color w:val="auto"/>
              </w:rPr>
              <w:t>0</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101,524</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102,361</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35,929</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13,952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60,933</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23,363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3,753</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3,492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7</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8,027</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8,800</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(91)</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(364)</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 (Loss):</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342"/>
              <w:spacing w:after="0" w:line="166" w:lineRule="exact"/>
              <w:rPr>
                <w:sz w:val="20"/>
                <w:szCs w:val="20"/>
                <w:color w:val="auto"/>
              </w:rPr>
            </w:pPr>
            <w:r>
              <w:rPr>
                <w:rFonts w:ascii="Arial" w:cs="Arial" w:eastAsia="Arial" w:hAnsi="Arial"/>
                <w:sz w:val="16"/>
                <w:szCs w:val="16"/>
                <w:b w:val="1"/>
                <w:bCs w:val="1"/>
                <w:color w:val="auto"/>
              </w:rPr>
              <w:t>928,801</w:t>
            </w:r>
          </w:p>
        </w:tc>
        <w:tc>
          <w:tcPr>
            <w:tcW w:w="22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926,082</w:t>
            </w:r>
          </w:p>
        </w:tc>
        <w:tc>
          <w:tcPr>
            <w:tcW w:w="1040" w:type="dxa"/>
            <w:vAlign w:val="bottom"/>
          </w:tcPr>
          <w:p>
            <w:pPr>
              <w:jc w:val="right"/>
              <w:ind w:right="262"/>
              <w:spacing w:after="0" w:line="166" w:lineRule="exact"/>
              <w:rPr>
                <w:sz w:val="20"/>
                <w:szCs w:val="20"/>
                <w:color w:val="auto"/>
              </w:rPr>
            </w:pPr>
            <w:r>
              <w:rPr>
                <w:rFonts w:ascii="Arial" w:cs="Arial" w:eastAsia="Arial" w:hAnsi="Arial"/>
                <w:sz w:val="16"/>
                <w:szCs w:val="16"/>
                <w:color w:val="auto"/>
              </w:rPr>
              <w:t>0</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1,864,846</w:t>
            </w:r>
          </w:p>
        </w:tc>
        <w:tc>
          <w:tcPr>
            <w:tcW w:w="5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1,860,285</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23,726</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19,670</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20" w:type="dxa"/>
            <w:vAlign w:val="bottom"/>
          </w:tcPr>
          <w:p>
            <w:pPr>
              <w:jc w:val="right"/>
              <w:ind w:right="41"/>
              <w:spacing w:after="0" w:line="154"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4" w:lineRule="exact"/>
              <w:rPr>
                <w:sz w:val="20"/>
                <w:szCs w:val="20"/>
                <w:color w:val="auto"/>
              </w:rPr>
            </w:pPr>
            <w:r>
              <w:rPr>
                <w:rFonts w:ascii="Arial" w:cs="Arial" w:eastAsia="Arial" w:hAnsi="Arial"/>
                <w:sz w:val="16"/>
                <w:szCs w:val="16"/>
                <w:color w:val="auto"/>
              </w:rPr>
              <w:t>3,728</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60" w:type="dxa"/>
            <w:vAlign w:val="bottom"/>
          </w:tcPr>
          <w:p>
            <w:pPr>
              <w:jc w:val="right"/>
              <w:ind w:right="201"/>
              <w:spacing w:after="0" w:line="154"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54" w:lineRule="exact"/>
              <w:rPr>
                <w:sz w:val="20"/>
                <w:szCs w:val="20"/>
                <w:color w:val="auto"/>
              </w:rPr>
            </w:pPr>
            <w:r>
              <w:rPr>
                <w:rFonts w:ascii="Arial" w:cs="Arial" w:eastAsia="Arial" w:hAnsi="Arial"/>
                <w:sz w:val="16"/>
                <w:szCs w:val="16"/>
                <w:color w:val="auto"/>
              </w:rPr>
              <w:t>(8,187)</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44,710</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38,446</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16</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81,323</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71,223</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(14,827)</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(12,614)</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(18)</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(49,299)</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(33,226)</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47,704</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43,728</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9</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83,066</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74,727</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(4,510)</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(6,775)</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33</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(10,623)</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(11,418)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(3,753)</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(8,027)</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Depreciation:</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342"/>
              <w:spacing w:after="0" w:line="166" w:lineRule="exact"/>
              <w:rPr>
                <w:sz w:val="20"/>
                <w:szCs w:val="20"/>
                <w:color w:val="auto"/>
              </w:rPr>
            </w:pPr>
            <w:r>
              <w:rPr>
                <w:rFonts w:ascii="Arial" w:cs="Arial" w:eastAsia="Arial" w:hAnsi="Arial"/>
                <w:sz w:val="16"/>
                <w:szCs w:val="16"/>
                <w:b w:val="1"/>
                <w:bCs w:val="1"/>
                <w:color w:val="auto"/>
              </w:rPr>
              <w:t>93,050</w:t>
            </w:r>
          </w:p>
        </w:tc>
        <w:tc>
          <w:tcPr>
            <w:tcW w:w="22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63,021</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48</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116,110</w:t>
            </w:r>
          </w:p>
        </w:tc>
        <w:tc>
          <w:tcPr>
            <w:tcW w:w="5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84,319</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20,064</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42,652</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20" w:type="dxa"/>
            <w:vAlign w:val="bottom"/>
          </w:tcPr>
          <w:p>
            <w:pPr>
              <w:jc w:val="right"/>
              <w:ind w:right="41"/>
              <w:spacing w:after="0" w:line="154"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4" w:lineRule="exact"/>
              <w:rPr>
                <w:sz w:val="20"/>
                <w:szCs w:val="20"/>
                <w:color w:val="auto"/>
              </w:rPr>
            </w:pPr>
            <w:r>
              <w:rPr>
                <w:rFonts w:ascii="Arial" w:cs="Arial" w:eastAsia="Arial" w:hAnsi="Arial"/>
                <w:sz w:val="16"/>
                <w:szCs w:val="16"/>
                <w:color w:val="auto"/>
              </w:rPr>
              <w:t>21,011</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(5)</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60" w:type="dxa"/>
            <w:vAlign w:val="bottom"/>
          </w:tcPr>
          <w:p>
            <w:pPr>
              <w:jc w:val="right"/>
              <w:ind w:right="201"/>
              <w:spacing w:after="0" w:line="154"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54" w:lineRule="exact"/>
              <w:rPr>
                <w:sz w:val="20"/>
                <w:szCs w:val="20"/>
                <w:color w:val="auto"/>
              </w:rPr>
            </w:pPr>
            <w:r>
              <w:rPr>
                <w:rFonts w:ascii="Arial" w:cs="Arial" w:eastAsia="Arial" w:hAnsi="Arial"/>
                <w:sz w:val="16"/>
                <w:szCs w:val="16"/>
                <w:color w:val="auto"/>
              </w:rPr>
              <w:t>41,728</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33,964</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32,234</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5</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67,697</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64,431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6,201</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5,934</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4</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12,216</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11,819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3,151</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3,222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6,296</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6,347</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435</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745</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60</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60</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Amortization of Intangible Assets:</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342"/>
              <w:spacing w:after="0" w:line="166" w:lineRule="exact"/>
              <w:rPr>
                <w:sz w:val="20"/>
                <w:szCs w:val="20"/>
                <w:color w:val="auto"/>
              </w:rPr>
            </w:pPr>
            <w:r>
              <w:rPr>
                <w:rFonts w:ascii="Arial" w:cs="Arial" w:eastAsia="Arial" w:hAnsi="Arial"/>
                <w:sz w:val="16"/>
                <w:szCs w:val="16"/>
                <w:b w:val="1"/>
                <w:bCs w:val="1"/>
                <w:color w:val="auto"/>
              </w:rPr>
              <w:t>63,875</w:t>
            </w:r>
          </w:p>
        </w:tc>
        <w:tc>
          <w:tcPr>
            <w:tcW w:w="22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62,401</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129,666</w:t>
            </w:r>
          </w:p>
        </w:tc>
        <w:tc>
          <w:tcPr>
            <w:tcW w:w="5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124,325</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2,363</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4,881</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20" w:type="dxa"/>
            <w:vAlign w:val="bottom"/>
          </w:tcPr>
          <w:p>
            <w:pPr>
              <w:jc w:val="right"/>
              <w:ind w:right="41"/>
              <w:spacing w:after="0" w:line="154"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4" w:lineRule="exact"/>
              <w:rPr>
                <w:sz w:val="20"/>
                <w:szCs w:val="20"/>
                <w:color w:val="auto"/>
              </w:rPr>
            </w:pPr>
            <w:r>
              <w:rPr>
                <w:rFonts w:ascii="Arial" w:cs="Arial" w:eastAsia="Arial" w:hAnsi="Arial"/>
                <w:sz w:val="16"/>
                <w:szCs w:val="16"/>
                <w:color w:val="auto"/>
              </w:rPr>
              <w:t>3,803</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(38)</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60" w:type="dxa"/>
            <w:vAlign w:val="bottom"/>
          </w:tcPr>
          <w:p>
            <w:pPr>
              <w:jc w:val="right"/>
              <w:ind w:right="201"/>
              <w:spacing w:after="0" w:line="154"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54" w:lineRule="exact"/>
              <w:rPr>
                <w:sz w:val="20"/>
                <w:szCs w:val="20"/>
                <w:color w:val="auto"/>
              </w:rPr>
            </w:pPr>
            <w:r>
              <w:rPr>
                <w:rFonts w:ascii="Arial" w:cs="Arial" w:eastAsia="Arial" w:hAnsi="Arial"/>
                <w:sz w:val="16"/>
                <w:szCs w:val="16"/>
                <w:color w:val="auto"/>
              </w:rPr>
              <w:t>7,039</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57</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53</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8</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107</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107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150</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172</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(13)</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300</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355</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743</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400</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86</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1,742</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800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Pension Expense (Credit):</w:t>
            </w:r>
          </w:p>
        </w:tc>
        <w:tc>
          <w:tcPr>
            <w:tcW w:w="36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342"/>
              <w:spacing w:after="0" w:line="166" w:lineRule="exact"/>
              <w:rPr>
                <w:sz w:val="20"/>
                <w:szCs w:val="20"/>
                <w:color w:val="auto"/>
              </w:rPr>
            </w:pPr>
            <w:r>
              <w:rPr>
                <w:rFonts w:ascii="Arial" w:cs="Arial" w:eastAsia="Arial" w:hAnsi="Arial"/>
                <w:sz w:val="16"/>
                <w:szCs w:val="16"/>
                <w:b w:val="1"/>
                <w:bCs w:val="1"/>
                <w:color w:val="auto"/>
              </w:rPr>
              <w:t>3,313</w:t>
            </w:r>
          </w:p>
        </w:tc>
        <w:tc>
          <w:tcPr>
            <w:tcW w:w="22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4,428</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7,030</w:t>
            </w:r>
          </w:p>
        </w:tc>
        <w:tc>
          <w:tcPr>
            <w:tcW w:w="5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8,301</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4,231</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8,337</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220"/>
              <w:spacing w:after="0" w:line="154" w:lineRule="exact"/>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20" w:type="dxa"/>
            <w:vAlign w:val="bottom"/>
          </w:tcPr>
          <w:p>
            <w:pPr>
              <w:jc w:val="right"/>
              <w:ind w:right="41"/>
              <w:spacing w:after="0" w:line="154"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4" w:lineRule="exact"/>
              <w:rPr>
                <w:sz w:val="20"/>
                <w:szCs w:val="20"/>
                <w:color w:val="auto"/>
              </w:rPr>
            </w:pPr>
            <w:r>
              <w:rPr>
                <w:rFonts w:ascii="Arial" w:cs="Arial" w:eastAsia="Arial" w:hAnsi="Arial"/>
                <w:sz w:val="16"/>
                <w:szCs w:val="16"/>
                <w:color w:val="auto"/>
              </w:rPr>
              <w:t>1,969</w:t>
            </w:r>
          </w:p>
        </w:tc>
        <w:tc>
          <w:tcPr>
            <w:tcW w:w="1040" w:type="dxa"/>
            <w:vAlign w:val="bottom"/>
          </w:tcPr>
          <w:p>
            <w:pPr>
              <w:jc w:val="right"/>
              <w:ind w:right="302"/>
              <w:spacing w:after="0" w:line="154" w:lineRule="exact"/>
              <w:rPr>
                <w:sz w:val="20"/>
                <w:szCs w:val="20"/>
                <w:color w:val="auto"/>
              </w:rPr>
            </w:pPr>
            <w:r>
              <w:rPr>
                <w:rFonts w:ascii="Arial" w:cs="Arial" w:eastAsia="Arial" w:hAnsi="Arial"/>
                <w:sz w:val="16"/>
                <w:szCs w:val="16"/>
                <w:color w:val="auto"/>
              </w:rPr>
              <w:t>―</w:t>
            </w:r>
          </w:p>
        </w:tc>
        <w:tc>
          <w:tcPr>
            <w:tcW w:w="3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60" w:type="dxa"/>
            <w:vAlign w:val="bottom"/>
          </w:tcPr>
          <w:p>
            <w:pPr>
              <w:jc w:val="right"/>
              <w:ind w:right="201"/>
              <w:spacing w:after="0" w:line="154"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54" w:lineRule="exact"/>
              <w:rPr>
                <w:sz w:val="20"/>
                <w:szCs w:val="20"/>
                <w:color w:val="auto"/>
              </w:rPr>
            </w:pPr>
            <w:r>
              <w:rPr>
                <w:rFonts w:ascii="Arial" w:cs="Arial" w:eastAsia="Arial" w:hAnsi="Arial"/>
                <w:sz w:val="16"/>
                <w:szCs w:val="16"/>
                <w:color w:val="auto"/>
              </w:rPr>
              <w:t>4,361</w:t>
            </w:r>
          </w:p>
        </w:tc>
        <w:tc>
          <w:tcPr>
            <w:tcW w:w="540" w:type="dxa"/>
            <w:vAlign w:val="bottom"/>
          </w:tcPr>
          <w:p>
            <w:pPr>
              <w:jc w:val="right"/>
              <w:spacing w:after="0" w:line="154"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913</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514</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78</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1,795</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1,044</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16,811</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7,717</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39,740</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16,257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1,213</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1,055</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15</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2,501</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2,015</w:t>
            </w:r>
          </w:p>
        </w:tc>
        <w:tc>
          <w:tcPr>
            <w:tcW w:w="54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line="174" w:lineRule="exact"/>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5"/>
                <w:szCs w:val="15"/>
                <w:color w:val="auto"/>
              </w:rPr>
            </w:pPr>
          </w:p>
        </w:tc>
        <w:tc>
          <w:tcPr>
            <w:tcW w:w="1280" w:type="dxa"/>
            <w:vAlign w:val="bottom"/>
          </w:tcPr>
          <w:p>
            <w:pPr>
              <w:jc w:val="right"/>
              <w:ind w:right="342"/>
              <w:spacing w:after="0" w:line="174" w:lineRule="exact"/>
              <w:rPr>
                <w:sz w:val="20"/>
                <w:szCs w:val="20"/>
                <w:color w:val="auto"/>
              </w:rPr>
            </w:pPr>
            <w:r>
              <w:rPr>
                <w:rFonts w:ascii="Arial" w:cs="Arial" w:eastAsia="Arial" w:hAnsi="Arial"/>
                <w:sz w:val="16"/>
                <w:szCs w:val="16"/>
                <w:b w:val="1"/>
                <w:bCs w:val="1"/>
                <w:color w:val="auto"/>
              </w:rPr>
              <w:t>83</w:t>
            </w:r>
          </w:p>
        </w:tc>
        <w:tc>
          <w:tcPr>
            <w:tcW w:w="22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Arial" w:cs="Arial" w:eastAsia="Arial" w:hAnsi="Arial"/>
                <w:sz w:val="16"/>
                <w:szCs w:val="16"/>
                <w:color w:val="auto"/>
              </w:rPr>
              <w:t>10</w:t>
            </w:r>
          </w:p>
        </w:tc>
        <w:tc>
          <w:tcPr>
            <w:tcW w:w="1040" w:type="dxa"/>
            <w:vAlign w:val="bottom"/>
          </w:tcPr>
          <w:p>
            <w:pPr>
              <w:jc w:val="right"/>
              <w:ind w:right="302"/>
              <w:spacing w:after="0" w:line="174"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122"/>
              <w:spacing w:after="0" w:line="174" w:lineRule="exact"/>
              <w:rPr>
                <w:sz w:val="20"/>
                <w:szCs w:val="20"/>
                <w:color w:val="auto"/>
              </w:rPr>
            </w:pPr>
            <w:r>
              <w:rPr>
                <w:rFonts w:ascii="Arial" w:cs="Arial" w:eastAsia="Arial" w:hAnsi="Arial"/>
                <w:sz w:val="16"/>
                <w:szCs w:val="16"/>
                <w:b w:val="1"/>
                <w:bCs w:val="1"/>
                <w:color w:val="auto"/>
              </w:rPr>
              <w:t>159</w:t>
            </w:r>
          </w:p>
        </w:tc>
        <w:tc>
          <w:tcPr>
            <w:tcW w:w="5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20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(10,617)</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(21,283)</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(18,194)</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360" w:type="dxa"/>
            <w:vAlign w:val="bottom"/>
          </w:tcPr>
          <w:p>
            <w:pPr>
              <w:jc w:val="right"/>
              <w:ind w:right="41"/>
              <w:spacing w:after="0" w:line="178" w:lineRule="exact"/>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342"/>
              <w:spacing w:after="0" w:line="178" w:lineRule="exact"/>
              <w:rPr>
                <w:sz w:val="20"/>
                <w:szCs w:val="20"/>
                <w:color w:val="auto"/>
              </w:rPr>
            </w:pPr>
            <w:r>
              <w:rPr>
                <w:rFonts w:ascii="Arial" w:cs="Arial" w:eastAsia="Arial" w:hAnsi="Arial"/>
                <w:sz w:val="16"/>
                <w:szCs w:val="16"/>
                <w:b w:val="1"/>
                <w:bCs w:val="1"/>
                <w:color w:val="auto"/>
              </w:rPr>
              <w:t>12,634</w:t>
            </w:r>
          </w:p>
        </w:tc>
        <w:tc>
          <w:tcPr>
            <w:tcW w:w="220" w:type="dxa"/>
            <w:vAlign w:val="bottom"/>
          </w:tcPr>
          <w:p>
            <w:pPr>
              <w:jc w:val="right"/>
              <w:ind w:right="41"/>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2,369</w:t>
            </w:r>
          </w:p>
        </w:tc>
        <w:tc>
          <w:tcPr>
            <w:tcW w:w="1040" w:type="dxa"/>
            <w:vAlign w:val="bottom"/>
          </w:tcPr>
          <w:p>
            <w:pPr>
              <w:jc w:val="right"/>
              <w:ind w:right="302"/>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1"/>
              <w:spacing w:after="0" w:line="178"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31,249</w:t>
            </w:r>
          </w:p>
        </w:tc>
        <w:tc>
          <w:tcPr>
            <w:tcW w:w="560" w:type="dxa"/>
            <w:vAlign w:val="bottom"/>
          </w:tcPr>
          <w:p>
            <w:pPr>
              <w:jc w:val="right"/>
              <w:ind w:right="201"/>
              <w:spacing w:after="0" w:line="178"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5,503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-6985</wp:posOffset>
            </wp:positionV>
            <wp:extent cx="420814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8145" cy="7620"/>
                    </a:xfrm>
                    <a:prstGeom prst="rect">
                      <a:avLst/>
                    </a:prstGeom>
                    <a:noFill/>
                  </pic:spPr>
                </pic:pic>
              </a:graphicData>
            </a:graphic>
          </wp:anchor>
        </w:drawing>
      </w: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25" w:right="139" w:bottom="1440" w:gutter="0" w:footer="0" w:header="0"/>
        </w:sectPr>
      </w:pPr>
    </w:p>
    <w:bookmarkStart w:id="15" w:name="page16"/>
    <w:bookmarkEnd w:id="15"/>
    <w:p>
      <w:pPr>
        <w:jc w:val="center"/>
        <w:ind w:left="1060"/>
        <w:spacing w:after="0"/>
        <w:rPr>
          <w:sz w:val="20"/>
          <w:szCs w:val="20"/>
          <w:color w:val="auto"/>
        </w:rPr>
      </w:pPr>
      <w:r>
        <w:rPr>
          <w:rFonts w:ascii="Arial" w:cs="Arial" w:eastAsia="Arial" w:hAnsi="Arial"/>
          <w:sz w:val="17"/>
          <w:szCs w:val="17"/>
          <w:color w:val="auto"/>
        </w:rPr>
        <w:t>THE WASHINGTON POST COMPANY</w:t>
      </w:r>
    </w:p>
    <w:p>
      <w:pPr>
        <w:spacing w:after="0" w:line="28" w:lineRule="exact"/>
        <w:rPr>
          <w:sz w:val="20"/>
          <w:szCs w:val="20"/>
          <w:color w:val="auto"/>
        </w:rPr>
      </w:pPr>
    </w:p>
    <w:p>
      <w:pPr>
        <w:jc w:val="center"/>
        <w:ind w:left="1060"/>
        <w:spacing w:after="0"/>
        <w:rPr>
          <w:sz w:val="20"/>
          <w:szCs w:val="20"/>
          <w:color w:val="auto"/>
        </w:rPr>
      </w:pPr>
      <w:r>
        <w:rPr>
          <w:rFonts w:ascii="Arial" w:cs="Arial" w:eastAsia="Arial" w:hAnsi="Arial"/>
          <w:sz w:val="17"/>
          <w:szCs w:val="17"/>
          <w:u w:val="single" w:color="auto"/>
          <w:color w:val="auto"/>
        </w:rPr>
        <w:t>EDUCATION DIVISION INFORMATION</w:t>
      </w:r>
    </w:p>
    <w:p>
      <w:pPr>
        <w:spacing w:after="0" w:line="28" w:lineRule="exact"/>
        <w:rPr>
          <w:sz w:val="20"/>
          <w:szCs w:val="20"/>
          <w:color w:val="auto"/>
        </w:rPr>
      </w:pPr>
    </w:p>
    <w:p>
      <w:pPr>
        <w:jc w:val="center"/>
        <w:ind w:left="1060"/>
        <w:spacing w:after="0"/>
        <w:rPr>
          <w:sz w:val="20"/>
          <w:szCs w:val="20"/>
          <w:color w:val="auto"/>
        </w:rPr>
      </w:pPr>
      <w:r>
        <w:rPr>
          <w:rFonts w:ascii="Arial" w:cs="Arial" w:eastAsia="Arial" w:hAnsi="Arial"/>
          <w:sz w:val="17"/>
          <w:szCs w:val="17"/>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80" w:type="dxa"/>
            <w:vAlign w:val="bottom"/>
            <w:gridSpan w:val="3"/>
          </w:tcPr>
          <w:p>
            <w:pPr>
              <w:jc w:val="right"/>
              <w:ind w:right="686"/>
              <w:spacing w:after="0"/>
              <w:rPr>
                <w:sz w:val="20"/>
                <w:szCs w:val="20"/>
                <w:color w:val="auto"/>
              </w:rPr>
            </w:pPr>
            <w:r>
              <w:rPr>
                <w:rFonts w:ascii="Arial" w:cs="Arial" w:eastAsia="Arial" w:hAnsi="Arial"/>
                <w:sz w:val="12"/>
                <w:szCs w:val="12"/>
                <w:b w:val="1"/>
                <w:bCs w:val="1"/>
                <w:color w:val="auto"/>
              </w:rPr>
              <w:t>Three Months Ended</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26"/>
              <w:spacing w:after="0"/>
              <w:rPr>
                <w:sz w:val="20"/>
                <w:szCs w:val="20"/>
                <w:color w:val="auto"/>
              </w:rPr>
            </w:pPr>
            <w:r>
              <w:rPr>
                <w:rFonts w:ascii="Arial" w:cs="Arial" w:eastAsia="Arial" w:hAnsi="Arial"/>
                <w:sz w:val="12"/>
                <w:szCs w:val="12"/>
                <w:b w:val="1"/>
                <w:bCs w:val="1"/>
                <w:color w:val="auto"/>
              </w:rPr>
              <w:t>Six Months Ended</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12"/>
        </w:trPr>
        <w:tc>
          <w:tcPr>
            <w:tcW w:w="38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2"/>
                <w:szCs w:val="12"/>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760" w:type="dxa"/>
            <w:vAlign w:val="bottom"/>
          </w:tcPr>
          <w:p>
            <w:pPr>
              <w:jc w:val="right"/>
              <w:ind w:right="246"/>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06"/>
              <w:spacing w:after="0"/>
              <w:rPr>
                <w:sz w:val="20"/>
                <w:szCs w:val="20"/>
                <w:color w:val="auto"/>
              </w:rPr>
            </w:pPr>
            <w:r>
              <w:rPr>
                <w:rFonts w:ascii="Arial" w:cs="Arial" w:eastAsia="Arial" w:hAnsi="Arial"/>
                <w:sz w:val="12"/>
                <w:szCs w:val="12"/>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3"/>
        </w:trPr>
        <w:tc>
          <w:tcPr>
            <w:tcW w:w="3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2013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color w:val="auto"/>
              </w:rPr>
              <w:t>Change</w:t>
            </w: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7"/>
              <w:spacing w:after="0"/>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color w:val="auto"/>
              </w:rPr>
              <w:t>2012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Cha</w:t>
            </w:r>
          </w:p>
        </w:tc>
      </w:tr>
      <w:tr>
        <w:trPr>
          <w:trHeight w:val="210"/>
        </w:trPr>
        <w:tc>
          <w:tcPr>
            <w:tcW w:w="380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273,092</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290,861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(6)</w:t>
            </w: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544,952</w:t>
            </w:r>
          </w:p>
        </w:tc>
        <w:tc>
          <w:tcPr>
            <w:tcW w:w="5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599,245</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85,690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79,787</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7</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154,633</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142,616</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187,968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179,141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5</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372,781</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352,704</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1,669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3,090</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(46)</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4,273</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6,474</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7"/>
        </w:trPr>
        <w:tc>
          <w:tcPr>
            <w:tcW w:w="38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(189)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(1,105)</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(594)</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(2,580)</w:t>
            </w:r>
          </w:p>
        </w:tc>
        <w:tc>
          <w:tcPr>
            <w:tcW w:w="400" w:type="dxa"/>
            <w:vAlign w:val="bottom"/>
          </w:tcPr>
          <w:p>
            <w:pPr>
              <w:spacing w:after="0"/>
              <w:rPr>
                <w:sz w:val="18"/>
                <w:szCs w:val="18"/>
                <w:color w:val="auto"/>
              </w:rPr>
            </w:pPr>
          </w:p>
        </w:tc>
      </w:tr>
      <w:tr>
        <w:trPr>
          <w:trHeight w:val="203"/>
        </w:trPr>
        <w:tc>
          <w:tcPr>
            <w:tcW w:w="3800" w:type="dxa"/>
            <w:vAlign w:val="bottom"/>
          </w:tcPr>
          <w:p>
            <w:pPr>
              <w:spacing w:after="0"/>
              <w:rPr>
                <w:sz w:val="17"/>
                <w:szCs w:val="17"/>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548,230</w:t>
            </w:r>
          </w:p>
        </w:tc>
        <w:tc>
          <w:tcPr>
            <w:tcW w:w="3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551,774</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(1)</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1,076,045</w:t>
            </w:r>
          </w:p>
        </w:tc>
        <w:tc>
          <w:tcPr>
            <w:tcW w:w="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1,098,459</w:t>
            </w:r>
          </w:p>
        </w:tc>
        <w:tc>
          <w:tcPr>
            <w:tcW w:w="400" w:type="dxa"/>
            <w:vAlign w:val="bottom"/>
          </w:tcPr>
          <w:p>
            <w:pPr>
              <w:spacing w:after="0"/>
              <w:rPr>
                <w:sz w:val="17"/>
                <w:szCs w:val="17"/>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250,558</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285,001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(12)</w:t>
            </w: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517,317</w:t>
            </w:r>
          </w:p>
        </w:tc>
        <w:tc>
          <w:tcPr>
            <w:tcW w:w="5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584,426</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77,859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77,081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1</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151,147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150,129</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181,478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169,353</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7</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359,894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338,776</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12,529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14,074</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(11)</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23,955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29,211</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2,363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3,803</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(38)</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4,881</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7,039</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7"/>
        </w:trPr>
        <w:tc>
          <w:tcPr>
            <w:tcW w:w="38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(283)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(1,266)</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(819)</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(2,935)</w:t>
            </w:r>
          </w:p>
        </w:tc>
        <w:tc>
          <w:tcPr>
            <w:tcW w:w="400" w:type="dxa"/>
            <w:vAlign w:val="bottom"/>
          </w:tcPr>
          <w:p>
            <w:pPr>
              <w:spacing w:after="0"/>
              <w:rPr>
                <w:sz w:val="18"/>
                <w:szCs w:val="18"/>
                <w:color w:val="auto"/>
              </w:rPr>
            </w:pPr>
          </w:p>
        </w:tc>
      </w:tr>
      <w:tr>
        <w:trPr>
          <w:trHeight w:val="203"/>
        </w:trPr>
        <w:tc>
          <w:tcPr>
            <w:tcW w:w="3800" w:type="dxa"/>
            <w:vAlign w:val="bottom"/>
          </w:tcPr>
          <w:p>
            <w:pPr>
              <w:spacing w:after="0"/>
              <w:rPr>
                <w:sz w:val="17"/>
                <w:szCs w:val="17"/>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524,504</w:t>
            </w:r>
          </w:p>
        </w:tc>
        <w:tc>
          <w:tcPr>
            <w:tcW w:w="3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548,046</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(4)</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1,056,375</w:t>
            </w:r>
          </w:p>
        </w:tc>
        <w:tc>
          <w:tcPr>
            <w:tcW w:w="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1,106,646</w:t>
            </w:r>
          </w:p>
        </w:tc>
        <w:tc>
          <w:tcPr>
            <w:tcW w:w="400" w:type="dxa"/>
            <w:vAlign w:val="bottom"/>
          </w:tcPr>
          <w:p>
            <w:pPr>
              <w:spacing w:after="0"/>
              <w:rPr>
                <w:sz w:val="17"/>
                <w:szCs w:val="17"/>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5"/>
                <w:szCs w:val="15"/>
                <w:b w:val="1"/>
                <w:bCs w:val="1"/>
                <w:color w:val="auto"/>
              </w:rPr>
              <w:t>Operating Income (Loss)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22,534</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5,860</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27,635</w:t>
            </w:r>
          </w:p>
        </w:tc>
        <w:tc>
          <w:tcPr>
            <w:tcW w:w="5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14,819</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7,831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2,706</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3,486</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(7,513)</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6,490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9,788</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(34)</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12,887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13,928</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(10,860)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(10,984)</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1</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(19,682)</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(22,737)</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(2,363)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(3,803)</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38</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(4,881)</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(7,039)</w:t>
            </w:r>
          </w:p>
        </w:tc>
        <w:tc>
          <w:tcPr>
            <w:tcW w:w="400" w:type="dxa"/>
            <w:vAlign w:val="bottom"/>
          </w:tcPr>
          <w:p>
            <w:pPr>
              <w:spacing w:after="0"/>
              <w:rPr>
                <w:sz w:val="19"/>
                <w:szCs w:val="19"/>
                <w:color w:val="auto"/>
              </w:rPr>
            </w:pPr>
          </w:p>
        </w:tc>
      </w:tr>
      <w:tr>
        <w:trPr>
          <w:trHeight w:val="217"/>
        </w:trPr>
        <w:tc>
          <w:tcPr>
            <w:tcW w:w="38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94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225</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w:t>
            </w:r>
          </w:p>
        </w:tc>
        <w:tc>
          <w:tcPr>
            <w:tcW w:w="400" w:type="dxa"/>
            <w:vAlign w:val="bottom"/>
          </w:tcPr>
          <w:p>
            <w:pPr>
              <w:spacing w:after="0"/>
              <w:rPr>
                <w:sz w:val="18"/>
                <w:szCs w:val="18"/>
                <w:color w:val="auto"/>
              </w:rPr>
            </w:pPr>
          </w:p>
        </w:tc>
      </w:tr>
      <w:tr>
        <w:trPr>
          <w:trHeight w:val="203"/>
        </w:trPr>
        <w:tc>
          <w:tcPr>
            <w:tcW w:w="3800" w:type="dxa"/>
            <w:vAlign w:val="bottom"/>
          </w:tcPr>
          <w:p>
            <w:pPr>
              <w:spacing w:after="0"/>
              <w:rPr>
                <w:sz w:val="17"/>
                <w:szCs w:val="17"/>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23,726</w:t>
            </w:r>
          </w:p>
        </w:tc>
        <w:tc>
          <w:tcPr>
            <w:tcW w:w="3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3,728</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19,670</w:t>
            </w:r>
          </w:p>
        </w:tc>
        <w:tc>
          <w:tcPr>
            <w:tcW w:w="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(8,187)</w:t>
            </w:r>
          </w:p>
        </w:tc>
        <w:tc>
          <w:tcPr>
            <w:tcW w:w="400" w:type="dxa"/>
            <w:vAlign w:val="bottom"/>
          </w:tcPr>
          <w:p>
            <w:pPr>
              <w:spacing w:after="0"/>
              <w:rPr>
                <w:sz w:val="17"/>
                <w:szCs w:val="17"/>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5"/>
                <w:szCs w:val="15"/>
                <w:b w:val="1"/>
                <w:bCs w:val="1"/>
                <w:color w:val="auto"/>
              </w:rPr>
              <w:t>Depreciation</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10,741</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11,673</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(8)</w:t>
            </w: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24,180</w:t>
            </w:r>
          </w:p>
        </w:tc>
        <w:tc>
          <w:tcPr>
            <w:tcW w:w="5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23,430</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4,866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4,449</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9</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9,624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8,764</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4,116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4,471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(8)</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8,112</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8,649</w:t>
            </w:r>
          </w:p>
        </w:tc>
        <w:tc>
          <w:tcPr>
            <w:tcW w:w="400" w:type="dxa"/>
            <w:vAlign w:val="bottom"/>
          </w:tcPr>
          <w:p>
            <w:pPr>
              <w:spacing w:after="0"/>
              <w:rPr>
                <w:sz w:val="19"/>
                <w:szCs w:val="19"/>
                <w:color w:val="auto"/>
              </w:rPr>
            </w:pPr>
          </w:p>
        </w:tc>
      </w:tr>
      <w:tr>
        <w:trPr>
          <w:trHeight w:val="217"/>
        </w:trPr>
        <w:tc>
          <w:tcPr>
            <w:tcW w:w="38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341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(18)</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736</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885</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3800" w:type="dxa"/>
            <w:vAlign w:val="bottom"/>
          </w:tcPr>
          <w:p>
            <w:pPr>
              <w:spacing w:after="0"/>
              <w:rPr>
                <w:sz w:val="17"/>
                <w:szCs w:val="17"/>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20,064</w:t>
            </w:r>
          </w:p>
        </w:tc>
        <w:tc>
          <w:tcPr>
            <w:tcW w:w="3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21,011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(5)</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42,652</w:t>
            </w:r>
          </w:p>
        </w:tc>
        <w:tc>
          <w:tcPr>
            <w:tcW w:w="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41,728</w:t>
            </w:r>
          </w:p>
        </w:tc>
        <w:tc>
          <w:tcPr>
            <w:tcW w:w="400" w:type="dxa"/>
            <w:vAlign w:val="bottom"/>
          </w:tcPr>
          <w:p>
            <w:pPr>
              <w:spacing w:after="0"/>
              <w:rPr>
                <w:sz w:val="17"/>
                <w:szCs w:val="17"/>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5"/>
                <w:szCs w:val="15"/>
                <w:b w:val="1"/>
                <w:bCs w:val="1"/>
                <w:color w:val="auto"/>
              </w:rPr>
              <w:t>Pension Expense</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Higher education</w:t>
            </w:r>
          </w:p>
        </w:tc>
        <w:tc>
          <w:tcPr>
            <w:tcW w:w="4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2,807</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1,587</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77</w:t>
            </w:r>
          </w:p>
        </w:tc>
        <w:tc>
          <w:tcPr>
            <w:tcW w:w="5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5,614</w:t>
            </w:r>
          </w:p>
        </w:tc>
        <w:tc>
          <w:tcPr>
            <w:tcW w:w="52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3,174</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641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414</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55</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1,281</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827</w:t>
            </w:r>
          </w:p>
        </w:tc>
        <w:tc>
          <w:tcPr>
            <w:tcW w:w="400" w:type="dxa"/>
            <w:vAlign w:val="bottom"/>
          </w:tcPr>
          <w:p>
            <w:pPr>
              <w:spacing w:after="0"/>
              <w:rPr>
                <w:sz w:val="19"/>
                <w:szCs w:val="19"/>
                <w:color w:val="auto"/>
              </w:rPr>
            </w:pPr>
          </w:p>
        </w:tc>
      </w:tr>
      <w:tr>
        <w:trPr>
          <w:trHeight w:val="223"/>
        </w:trPr>
        <w:tc>
          <w:tcPr>
            <w:tcW w:w="38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87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9"/>
                <w:szCs w:val="19"/>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174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c>
          <w:tcPr>
            <w:tcW w:w="400" w:type="dxa"/>
            <w:vAlign w:val="bottom"/>
          </w:tcPr>
          <w:p>
            <w:pPr>
              <w:spacing w:after="0"/>
              <w:rPr>
                <w:sz w:val="19"/>
                <w:szCs w:val="19"/>
                <w:color w:val="auto"/>
              </w:rPr>
            </w:pPr>
          </w:p>
        </w:tc>
      </w:tr>
      <w:tr>
        <w:trPr>
          <w:trHeight w:val="217"/>
        </w:trPr>
        <w:tc>
          <w:tcPr>
            <w:tcW w:w="380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696</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1,268</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w:t>
            </w:r>
          </w:p>
        </w:tc>
        <w:tc>
          <w:tcPr>
            <w:tcW w:w="400" w:type="dxa"/>
            <w:vAlign w:val="bottom"/>
          </w:tcPr>
          <w:p>
            <w:pPr>
              <w:spacing w:after="0"/>
              <w:rPr>
                <w:sz w:val="18"/>
                <w:szCs w:val="18"/>
                <w:color w:val="auto"/>
              </w:rPr>
            </w:pPr>
          </w:p>
        </w:tc>
      </w:tr>
      <w:tr>
        <w:trPr>
          <w:trHeight w:val="203"/>
        </w:trPr>
        <w:tc>
          <w:tcPr>
            <w:tcW w:w="3800" w:type="dxa"/>
            <w:vAlign w:val="bottom"/>
          </w:tcPr>
          <w:p>
            <w:pPr>
              <w:spacing w:after="0"/>
              <w:rPr>
                <w:sz w:val="17"/>
                <w:szCs w:val="17"/>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4,231</w:t>
            </w:r>
          </w:p>
        </w:tc>
        <w:tc>
          <w:tcPr>
            <w:tcW w:w="3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1,969</w:t>
            </w:r>
          </w:p>
        </w:tc>
        <w:tc>
          <w:tcPr>
            <w:tcW w:w="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8,337</w:t>
            </w:r>
          </w:p>
        </w:tc>
        <w:tc>
          <w:tcPr>
            <w:tcW w:w="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4,361</w:t>
            </w:r>
          </w:p>
        </w:tc>
        <w:tc>
          <w:tcPr>
            <w:tcW w:w="400" w:type="dxa"/>
            <w:vAlign w:val="bottom"/>
          </w:tcPr>
          <w:p>
            <w:pPr>
              <w:spacing w:after="0"/>
              <w:rPr>
                <w:sz w:val="17"/>
                <w:szCs w:val="17"/>
                <w:color w:val="auto"/>
              </w:rPr>
            </w:pPr>
          </w:p>
        </w:tc>
      </w:tr>
    </w:tbl>
    <w:p>
      <w:pPr>
        <w:spacing w:after="0" w:line="22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21" w:right="1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NON-GAAP FINANCIAL INFORMATION</w:t>
      </w:r>
    </w:p>
    <w:p>
      <w:pPr>
        <w:spacing w:after="0" w:line="228" w:lineRule="auto"/>
        <w:rPr>
          <w:sz w:val="20"/>
          <w:szCs w:val="20"/>
          <w:color w:val="auto"/>
        </w:rPr>
      </w:pPr>
      <w:r>
        <w:rPr>
          <w:rFonts w:ascii="Arial" w:cs="Arial" w:eastAsia="Arial" w:hAnsi="Arial"/>
          <w:sz w:val="17"/>
          <w:szCs w:val="17"/>
          <w:color w:val="auto"/>
        </w:rPr>
        <w:t>THE WASHINGTON POST COMPANY</w:t>
      </w:r>
    </w:p>
    <w:p>
      <w:pP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to the results reported in accordance with accounting principles generally accepted in the United States (GAAP) included in this press relea the Company has provided information regarding income from continuing operations, excluding certain items described below, reconciled to the most directly comparable GAAP measures. Management believes these non-GAAP measures, when read in conjunction with the Company‘s GAAP financi provide useful information to investors by offering:</w:t>
      </w:r>
    </w:p>
    <w:p>
      <w:pPr>
        <w:spacing w:after="0" w:line="88" w:lineRule="exact"/>
        <w:rPr>
          <w:sz w:val="20"/>
          <w:szCs w:val="20"/>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make meaningful period-to-period comparisons of the Company’s ongoing results;</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identify trends in the Company’s underlying business; and</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better understanding of how management plans and measures the Company’s underlying business.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Income from continuing operations, excluding certain items, should not be considered substitutes or alternatives to computations calculated in accorda with and required by GAAP. These non-GAAP financial measures should be read only in conjunction with financial information presented on a GAAP b</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non-GAAP financial measures to the most directly comparable GAAP measures: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100" w:type="dxa"/>
            <w:vAlign w:val="bottom"/>
            <w:gridSpan w:val="2"/>
          </w:tcPr>
          <w:p>
            <w:pPr>
              <w:jc w:val="center"/>
              <w:ind w:left="528"/>
              <w:spacing w:after="0"/>
              <w:rPr>
                <w:sz w:val="20"/>
                <w:szCs w:val="20"/>
                <w:color w:val="auto"/>
              </w:rPr>
            </w:pPr>
            <w:r>
              <w:rPr>
                <w:rFonts w:ascii="Arial" w:cs="Arial" w:eastAsia="Arial" w:hAnsi="Arial"/>
                <w:sz w:val="12"/>
                <w:szCs w:val="12"/>
                <w:b w:val="1"/>
                <w:bCs w:val="1"/>
                <w:color w:val="auto"/>
              </w:rPr>
              <w:t>Three Months Ended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51"/>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78"/>
              <w:spacing w:after="0"/>
              <w:rPr>
                <w:sz w:val="20"/>
                <w:szCs w:val="20"/>
                <w:color w:val="auto"/>
              </w:rPr>
            </w:pPr>
            <w:r>
              <w:rPr>
                <w:rFonts w:ascii="Arial" w:cs="Arial" w:eastAsia="Arial" w:hAnsi="Arial"/>
                <w:sz w:val="12"/>
                <w:szCs w:val="12"/>
                <w:b w:val="1"/>
                <w:bCs w:val="1"/>
                <w:color w:val="auto"/>
              </w:rPr>
              <w:t>June 30,</w:t>
            </w: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41"/>
        </w:trPr>
        <w:tc>
          <w:tcPr>
            <w:tcW w:w="6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2013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2013</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50"/>
        </w:trPr>
        <w:tc>
          <w:tcPr>
            <w:tcW w:w="6240" w:type="dxa"/>
            <w:vAlign w:val="bottom"/>
          </w:tcPr>
          <w:p>
            <w:pPr>
              <w:spacing w:after="0" w:line="150" w:lineRule="exact"/>
              <w:rPr>
                <w:sz w:val="20"/>
                <w:szCs w:val="20"/>
                <w:color w:val="auto"/>
              </w:rPr>
            </w:pPr>
            <w:r>
              <w:rPr>
                <w:rFonts w:ascii="Arial" w:cs="Arial" w:eastAsia="Arial" w:hAnsi="Arial"/>
                <w:sz w:val="15"/>
                <w:szCs w:val="15"/>
                <w:b w:val="1"/>
                <w:bCs w:val="1"/>
                <w:color w:val="auto"/>
              </w:rPr>
              <w:t>Amounts attributable to The Washington Post Company</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260"/>
              <w:spacing w:after="0"/>
              <w:rPr>
                <w:sz w:val="20"/>
                <w:szCs w:val="20"/>
                <w:color w:val="auto"/>
              </w:rPr>
            </w:pPr>
            <w:r>
              <w:rPr>
                <w:rFonts w:ascii="Arial" w:cs="Arial" w:eastAsia="Arial" w:hAnsi="Arial"/>
                <w:sz w:val="15"/>
                <w:szCs w:val="15"/>
                <w:b w:val="1"/>
                <w:bCs w:val="1"/>
                <w:color w:val="auto"/>
              </w:rPr>
              <w:t>common stockholders</w:t>
            </w: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$ 44,675</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auto"/>
              </w:rPr>
              <w:t>$ 50,779</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240" w:type="dxa"/>
            <w:vAlign w:val="bottom"/>
          </w:tcPr>
          <w:p>
            <w:pPr>
              <w:spacing w:after="0"/>
              <w:rPr>
                <w:sz w:val="20"/>
                <w:szCs w:val="20"/>
                <w:color w:val="auto"/>
              </w:rPr>
            </w:pPr>
            <w:r>
              <w:rPr>
                <w:rFonts w:ascii="Arial" w:cs="Arial" w:eastAsia="Arial" w:hAnsi="Arial"/>
                <w:sz w:val="15"/>
                <w:szCs w:val="15"/>
                <w:color w:val="auto"/>
              </w:rPr>
              <w:t>Income from continuing operations, as reported</w:t>
            </w:r>
          </w:p>
        </w:tc>
        <w:tc>
          <w:tcPr>
            <w:tcW w:w="10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99"/>
              </w:rPr>
              <w:t>$ 36,063</w:t>
            </w:r>
          </w:p>
        </w:tc>
        <w:tc>
          <w:tcPr>
            <w:tcW w:w="7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240" w:type="dxa"/>
            <w:vAlign w:val="bottom"/>
          </w:tcPr>
          <w:p>
            <w:pPr>
              <w:ind w:left="260"/>
              <w:spacing w:after="0"/>
              <w:rPr>
                <w:sz w:val="20"/>
                <w:szCs w:val="20"/>
                <w:color w:val="auto"/>
              </w:rPr>
            </w:pPr>
            <w:r>
              <w:rPr>
                <w:rFonts w:ascii="Arial" w:cs="Arial" w:eastAsia="Arial" w:hAnsi="Arial"/>
                <w:sz w:val="15"/>
                <w:szCs w:val="15"/>
                <w:color w:val="auto"/>
              </w:rPr>
              <w:t>Adjustments:</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Early retirement, severance and restructuring charges</w:t>
            </w:r>
          </w:p>
        </w:tc>
        <w:tc>
          <w:tcPr>
            <w:tcW w:w="1040" w:type="dxa"/>
            <w:vAlign w:val="bottom"/>
          </w:tcPr>
          <w:p>
            <w:pPr>
              <w:jc w:val="right"/>
              <w:ind w:right="8"/>
              <w:spacing w:after="0"/>
              <w:rPr>
                <w:sz w:val="20"/>
                <w:szCs w:val="20"/>
                <w:color w:val="auto"/>
              </w:rPr>
            </w:pPr>
            <w:r>
              <w:rPr>
                <w:rFonts w:ascii="Arial" w:cs="Arial" w:eastAsia="Arial" w:hAnsi="Arial"/>
                <w:sz w:val="15"/>
                <w:szCs w:val="15"/>
                <w:b w:val="1"/>
                <w:bCs w:val="1"/>
                <w:color w:val="auto"/>
              </w:rPr>
              <w:t>9,779</w:t>
            </w: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5,178</w:t>
            </w:r>
          </w:p>
        </w:tc>
        <w:tc>
          <w:tcPr>
            <w:tcW w:w="2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5"/>
                <w:szCs w:val="15"/>
                <w:b w:val="1"/>
                <w:bCs w:val="1"/>
                <w:color w:val="auto"/>
              </w:rPr>
              <w:t>25,959</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Gain on sale of a cost method investment</w:t>
            </w:r>
          </w:p>
        </w:tc>
        <w:tc>
          <w:tcPr>
            <w:tcW w:w="10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8"/>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240" w:type="dxa"/>
            <w:vAlign w:val="bottom"/>
          </w:tcPr>
          <w:p>
            <w:pPr>
              <w:ind w:left="500"/>
              <w:spacing w:after="0"/>
              <w:rPr>
                <w:sz w:val="20"/>
                <w:szCs w:val="20"/>
                <w:color w:val="auto"/>
              </w:rPr>
            </w:pPr>
            <w:r>
              <w:rPr>
                <w:rFonts w:ascii="Arial" w:cs="Arial" w:eastAsia="Arial" w:hAnsi="Arial"/>
                <w:sz w:val="15"/>
                <w:szCs w:val="15"/>
                <w:color w:val="auto"/>
              </w:rPr>
              <w:t>Foreign currency loss (gain)</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8,078</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1,607</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11,031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240" w:type="dxa"/>
            <w:vAlign w:val="bottom"/>
          </w:tcPr>
          <w:p>
            <w:pPr>
              <w:spacing w:after="0" w:line="167" w:lineRule="exact"/>
              <w:rPr>
                <w:sz w:val="20"/>
                <w:szCs w:val="20"/>
                <w:color w:val="auto"/>
              </w:rPr>
            </w:pPr>
            <w:r>
              <w:rPr>
                <w:rFonts w:ascii="Arial" w:cs="Arial" w:eastAsia="Arial" w:hAnsi="Arial"/>
                <w:sz w:val="15"/>
                <w:szCs w:val="15"/>
                <w:color w:val="auto"/>
              </w:rPr>
              <w:t>Income from continuing operations, adjusted (non-GAAP)</w:t>
            </w: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$ 62,532</w:t>
            </w: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20"/>
              <w:spacing w:after="0" w:line="167" w:lineRule="exact"/>
              <w:rPr>
                <w:sz w:val="20"/>
                <w:szCs w:val="20"/>
                <w:color w:val="auto"/>
              </w:rPr>
            </w:pPr>
            <w:r>
              <w:rPr>
                <w:rFonts w:ascii="Arial" w:cs="Arial" w:eastAsia="Arial" w:hAnsi="Arial"/>
                <w:sz w:val="15"/>
                <w:szCs w:val="15"/>
                <w:color w:val="auto"/>
                <w:w w:val="99"/>
              </w:rPr>
              <w:t>$ 42,848</w:t>
            </w:r>
          </w:p>
        </w:tc>
        <w:tc>
          <w:tcPr>
            <w:tcW w:w="780" w:type="dxa"/>
            <w:vAlign w:val="bottom"/>
            <w:tcBorders>
              <w:bottom w:val="single" w:sz="8" w:color="auto"/>
            </w:tcBorders>
          </w:tcPr>
          <w:p>
            <w:pPr>
              <w:jc w:val="right"/>
              <w:ind w:right="28"/>
              <w:spacing w:after="0" w:line="167" w:lineRule="exact"/>
              <w:rPr>
                <w:sz w:val="20"/>
                <w:szCs w:val="20"/>
                <w:color w:val="auto"/>
              </w:rPr>
            </w:pPr>
            <w:r>
              <w:rPr>
                <w:rFonts w:ascii="Arial" w:cs="Arial" w:eastAsia="Arial" w:hAnsi="Arial"/>
                <w:sz w:val="15"/>
                <w:szCs w:val="15"/>
                <w:b w:val="1"/>
                <w:bCs w:val="1"/>
                <w:color w:val="auto"/>
              </w:rPr>
              <w:t>$ 87,769</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48"/>
        </w:trPr>
        <w:tc>
          <w:tcPr>
            <w:tcW w:w="624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The Washington</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260"/>
              <w:spacing w:after="0"/>
              <w:rPr>
                <w:sz w:val="20"/>
                <w:szCs w:val="20"/>
                <w:color w:val="auto"/>
              </w:rPr>
            </w:pPr>
            <w:r>
              <w:rPr>
                <w:rFonts w:ascii="Arial" w:cs="Arial" w:eastAsia="Arial" w:hAnsi="Arial"/>
                <w:sz w:val="15"/>
                <w:szCs w:val="15"/>
                <w:b w:val="1"/>
                <w:bCs w:val="1"/>
                <w:color w:val="auto"/>
              </w:rPr>
              <w:t>Post Company common stockholders</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$ 6.02</w:t>
            </w: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auto"/>
              </w:rPr>
              <w:t>$ 6.84</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240" w:type="dxa"/>
            <w:vAlign w:val="bottom"/>
          </w:tcPr>
          <w:p>
            <w:pPr>
              <w:ind w:left="260"/>
              <w:spacing w:after="0"/>
              <w:rPr>
                <w:sz w:val="20"/>
                <w:szCs w:val="20"/>
                <w:color w:val="auto"/>
              </w:rPr>
            </w:pPr>
            <w:r>
              <w:rPr>
                <w:rFonts w:ascii="Arial" w:cs="Arial" w:eastAsia="Arial" w:hAnsi="Arial"/>
                <w:sz w:val="15"/>
                <w:szCs w:val="15"/>
                <w:color w:val="auto"/>
              </w:rPr>
              <w:t>as reported</w:t>
            </w:r>
          </w:p>
        </w:tc>
        <w:tc>
          <w:tcPr>
            <w:tcW w:w="10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$ 4.76</w:t>
            </w:r>
          </w:p>
        </w:tc>
        <w:tc>
          <w:tcPr>
            <w:tcW w:w="7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40" w:type="dxa"/>
            <w:vAlign w:val="bottom"/>
          </w:tcPr>
          <w:p>
            <w:pPr>
              <w:ind w:left="260"/>
              <w:spacing w:after="0"/>
              <w:rPr>
                <w:sz w:val="20"/>
                <w:szCs w:val="20"/>
                <w:color w:val="auto"/>
              </w:rPr>
            </w:pPr>
            <w:r>
              <w:rPr>
                <w:rFonts w:ascii="Arial" w:cs="Arial" w:eastAsia="Arial" w:hAnsi="Arial"/>
                <w:sz w:val="15"/>
                <w:szCs w:val="15"/>
                <w:color w:val="auto"/>
              </w:rPr>
              <w:t>Adjustments:</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Early retirement, severance and restructuring charges</w:t>
            </w:r>
          </w:p>
        </w:tc>
        <w:tc>
          <w:tcPr>
            <w:tcW w:w="1040" w:type="dxa"/>
            <w:vAlign w:val="bottom"/>
          </w:tcPr>
          <w:p>
            <w:pPr>
              <w:jc w:val="right"/>
              <w:ind w:right="8"/>
              <w:spacing w:after="0"/>
              <w:rPr>
                <w:sz w:val="20"/>
                <w:szCs w:val="20"/>
                <w:color w:val="auto"/>
              </w:rPr>
            </w:pPr>
            <w:r>
              <w:rPr>
                <w:rFonts w:ascii="Arial" w:cs="Arial" w:eastAsia="Arial" w:hAnsi="Arial"/>
                <w:sz w:val="15"/>
                <w:szCs w:val="15"/>
                <w:b w:val="1"/>
                <w:bCs w:val="1"/>
                <w:color w:val="auto"/>
              </w:rPr>
              <w:t>1.34</w:t>
            </w: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0.69</w:t>
            </w:r>
          </w:p>
        </w:tc>
        <w:tc>
          <w:tcPr>
            <w:tcW w:w="2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5"/>
                <w:szCs w:val="15"/>
                <w:b w:val="1"/>
                <w:bCs w:val="1"/>
                <w:color w:val="auto"/>
              </w:rPr>
              <w:t>3.57</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Gain on sale of a cost method investment</w:t>
            </w:r>
          </w:p>
        </w:tc>
        <w:tc>
          <w:tcPr>
            <w:tcW w:w="10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8"/>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500"/>
              <w:spacing w:after="0"/>
              <w:rPr>
                <w:sz w:val="20"/>
                <w:szCs w:val="20"/>
                <w:color w:val="auto"/>
              </w:rPr>
            </w:pPr>
            <w:r>
              <w:rPr>
                <w:rFonts w:ascii="Arial" w:cs="Arial" w:eastAsia="Arial" w:hAnsi="Arial"/>
                <w:sz w:val="15"/>
                <w:szCs w:val="15"/>
                <w:color w:val="auto"/>
              </w:rPr>
              <w:t>Foreign currency loss (gain)</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1.11</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1.52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240" w:type="dxa"/>
            <w:vAlign w:val="bottom"/>
          </w:tcPr>
          <w:p>
            <w:pPr>
              <w:spacing w:after="0" w:line="168" w:lineRule="exact"/>
              <w:rPr>
                <w:sz w:val="20"/>
                <w:szCs w:val="20"/>
                <w:color w:val="auto"/>
              </w:rPr>
            </w:pPr>
            <w:r>
              <w:rPr>
                <w:rFonts w:ascii="Arial" w:cs="Arial" w:eastAsia="Arial" w:hAnsi="Arial"/>
                <w:sz w:val="15"/>
                <w:szCs w:val="15"/>
                <w:color w:val="auto"/>
              </w:rPr>
              <w:t>Diluted income per common share from continuing operations,</w:t>
            </w: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$ 8.47</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auto"/>
              </w:rPr>
              <w:t>$ 11.93</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40" w:type="dxa"/>
            <w:vAlign w:val="bottom"/>
          </w:tcPr>
          <w:p>
            <w:pPr>
              <w:ind w:left="260"/>
              <w:spacing w:after="0"/>
              <w:rPr>
                <w:sz w:val="20"/>
                <w:szCs w:val="20"/>
                <w:color w:val="auto"/>
              </w:rPr>
            </w:pPr>
            <w:r>
              <w:rPr>
                <w:rFonts w:ascii="Arial" w:cs="Arial" w:eastAsia="Arial" w:hAnsi="Arial"/>
                <w:sz w:val="15"/>
                <w:szCs w:val="15"/>
                <w:color w:val="auto"/>
              </w:rPr>
              <w:t>adjusted (non-GAAP)</w:t>
            </w:r>
          </w:p>
        </w:tc>
        <w:tc>
          <w:tcPr>
            <w:tcW w:w="10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$ 5.66</w:t>
            </w:r>
          </w:p>
        </w:tc>
        <w:tc>
          <w:tcPr>
            <w:tcW w:w="7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5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25" w:right="1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2019-12-05T16:34:45Z</dcterms:created>
  <dcterms:modified xsi:type="dcterms:W3CDTF">2019-12-05T16:34:45Z</dcterms:modified>
</cp:coreProperties>
</file>