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This report (including all exhibits)</w:t>
      </w:r>
    </w:p>
    <w:p>
      <w:pPr>
        <w:spacing w:after="0" w:line="5"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consists of a total of 13 pages, of which this</w:t>
      </w:r>
    </w:p>
    <w:p>
      <w:pPr>
        <w:spacing w:after="0" w:line="5" w:lineRule="exact"/>
        <w:rPr>
          <w:sz w:val="24"/>
          <w:szCs w:val="24"/>
          <w:color w:val="auto"/>
        </w:rPr>
      </w:pPr>
    </w:p>
    <w:p>
      <w:pPr>
        <w:ind w:left="1361"/>
        <w:spacing w:after="0"/>
        <w:tabs>
          <w:tab w:leader="none" w:pos="3180" w:val="left"/>
        </w:tabs>
        <w:rPr>
          <w:sz w:val="20"/>
          <w:szCs w:val="20"/>
          <w:color w:val="auto"/>
        </w:rPr>
      </w:pPr>
      <w:r>
        <w:rPr>
          <w:rFonts w:ascii="Courier New" w:cs="Courier New" w:eastAsia="Courier New" w:hAnsi="Courier New"/>
          <w:sz w:val="16"/>
          <w:szCs w:val="16"/>
          <w:color w:val="auto"/>
        </w:rPr>
        <w:t>page is number 1.</w:t>
        <w:tab/>
        <w:t>The exhibit index is on page 10.</w:t>
      </w:r>
    </w:p>
    <w:p>
      <w:pPr>
        <w:spacing w:after="0" w:line="378"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4"/>
          <w:szCs w:val="24"/>
          <w:color w:val="auto"/>
        </w:rPr>
      </w:pPr>
    </w:p>
    <w:p>
      <w:pPr>
        <w:ind w:left="222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ind w:left="2801"/>
        <w:spacing w:after="0"/>
        <w:tabs>
          <w:tab w:leader="none" w:pos="4340" w:val="left"/>
        </w:tabs>
        <w:rPr>
          <w:sz w:val="20"/>
          <w:szCs w:val="20"/>
          <w:color w:val="auto"/>
        </w:rPr>
      </w:pPr>
      <w:r>
        <w:rPr>
          <w:rFonts w:ascii="Courier New" w:cs="Courier New" w:eastAsia="Courier New" w:hAnsi="Courier New"/>
          <w:sz w:val="16"/>
          <w:szCs w:val="16"/>
          <w:color w:val="auto"/>
        </w:rPr>
        <w:t>WASHINGTON, DC</w:t>
        <w:tab/>
        <w:t>20549</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of the Securities Exchange Act of 1934</w:t>
      </w:r>
    </w:p>
    <w:p>
      <w:pPr>
        <w:sectPr>
          <w:pgSz w:w="11900" w:h="16838" w:orient="portrait"/>
          <w:cols w:equalWidth="0" w:num="1">
            <w:col w:w="10220"/>
          </w:cols>
          <w:pgMar w:left="239" w:top="241" w:right="1440" w:bottom="1440" w:gutter="0" w:footer="0" w:header="0"/>
        </w:sectPr>
      </w:pPr>
    </w:p>
    <w:p>
      <w:pPr>
        <w:spacing w:after="0" w:line="200" w:lineRule="exact"/>
        <w:rPr>
          <w:sz w:val="24"/>
          <w:szCs w:val="24"/>
          <w:color w:val="auto"/>
        </w:rPr>
      </w:pPr>
    </w:p>
    <w:p>
      <w:pPr>
        <w:spacing w:after="0" w:line="364" w:lineRule="exact"/>
        <w:rPr>
          <w:sz w:val="24"/>
          <w:szCs w:val="24"/>
          <w:color w:val="auto"/>
        </w:rPr>
      </w:pPr>
    </w:p>
    <w:p>
      <w:pPr>
        <w:ind w:left="1"/>
        <w:spacing w:after="0" w:line="246" w:lineRule="auto"/>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spacing w:after="0"/>
        <w:tabs>
          <w:tab w:leader="none" w:pos="1540" w:val="left"/>
        </w:tabs>
        <w:rPr>
          <w:sz w:val="20"/>
          <w:szCs w:val="20"/>
          <w:color w:val="auto"/>
        </w:rPr>
      </w:pPr>
      <w:r>
        <w:rPr>
          <w:rFonts w:ascii="Courier New" w:cs="Courier New" w:eastAsia="Courier New" w:hAnsi="Courier New"/>
          <w:sz w:val="16"/>
          <w:szCs w:val="16"/>
          <w:color w:val="auto"/>
        </w:rPr>
        <w:t>April 2, 1995</w:t>
      </w:r>
      <w:r>
        <w:rPr>
          <w:sz w:val="20"/>
          <w:szCs w:val="20"/>
          <w:color w:val="auto"/>
        </w:rPr>
        <w:tab/>
      </w:r>
      <w:r>
        <w:rPr>
          <w:rFonts w:ascii="Courier New" w:cs="Courier New" w:eastAsia="Courier New" w:hAnsi="Courier New"/>
          <w:sz w:val="16"/>
          <w:szCs w:val="16"/>
          <w:color w:val="auto"/>
        </w:rPr>
        <w:t>Commission File Number 1-6714</w:t>
      </w:r>
    </w:p>
    <w:p>
      <w:pPr>
        <w:spacing w:after="0" w:line="4" w:lineRule="exact"/>
        <w:rPr>
          <w:sz w:val="24"/>
          <w:szCs w:val="24"/>
          <w:color w:val="auto"/>
        </w:rPr>
      </w:pPr>
    </w:p>
    <w:p>
      <w:pPr>
        <w:sectPr>
          <w:pgSz w:w="11900" w:h="16838" w:orient="portrait"/>
          <w:cols w:equalWidth="0" w:num="2">
            <w:col w:w="1641" w:space="200"/>
            <w:col w:w="8379"/>
          </w:cols>
          <w:pgMar w:left="239" w:top="241" w:right="1440" w:bottom="1440" w:gutter="0" w:footer="0" w:header="0"/>
          <w:type w:val="continuous"/>
        </w:sectPr>
      </w:pPr>
    </w:p>
    <w:p>
      <w:pPr>
        <w:ind w:left="116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THE WASHINGTON POST COMPANY</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5" w:lineRule="exact"/>
        <w:rPr>
          <w:rFonts w:ascii="Courier New" w:cs="Courier New" w:eastAsia="Courier New" w:hAnsi="Courier New"/>
          <w:sz w:val="16"/>
          <w:szCs w:val="16"/>
          <w:color w:val="auto"/>
        </w:rPr>
      </w:pPr>
    </w:p>
    <w:p>
      <w:pPr>
        <w:ind w:left="12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64" w:lineRule="exact"/>
        <w:rPr>
          <w:sz w:val="24"/>
          <w:szCs w:val="24"/>
          <w:color w:val="auto"/>
        </w:rPr>
      </w:pPr>
    </w:p>
    <w:p>
      <w:pPr>
        <w:ind w:left="1" w:right="1799" w:firstLine="1841"/>
        <w:spacing w:after="0" w:line="248" w:lineRule="auto"/>
        <w:rPr>
          <w:sz w:val="20"/>
          <w:szCs w:val="20"/>
          <w:color w:val="auto"/>
        </w:rPr>
      </w:pPr>
      <w:r>
        <w:rPr>
          <w:rFonts w:ascii="Courier New" w:cs="Courier New" w:eastAsia="Courier New" w:hAnsi="Courier New"/>
          <w:sz w:val="16"/>
          <w:szCs w:val="16"/>
          <w:color w:val="auto"/>
        </w:rPr>
        <w:t>Delaware 53-0182885 - - - - ------------------------------------------------------------------------------- (State or other jurisdiction of (I.R.S. Employer incorporation or organization) Identification No.)</w:t>
      </w:r>
    </w:p>
    <w:p>
      <w:pPr>
        <w:spacing w:after="0" w:line="200" w:lineRule="exact"/>
        <w:rPr>
          <w:sz w:val="24"/>
          <w:szCs w:val="24"/>
          <w:color w:val="auto"/>
        </w:rPr>
      </w:pPr>
    </w:p>
    <w:p>
      <w:pPr>
        <w:spacing w:after="0" w:line="356" w:lineRule="exact"/>
        <w:rPr>
          <w:sz w:val="24"/>
          <w:szCs w:val="24"/>
          <w:color w:val="auto"/>
        </w:rPr>
      </w:pPr>
    </w:p>
    <w:p>
      <w:pPr>
        <w:ind w:left="301"/>
        <w:spacing w:after="0"/>
        <w:tabs>
          <w:tab w:leader="none" w:pos="3560" w:val="left"/>
          <w:tab w:leader="none" w:pos="6380" w:val="left"/>
        </w:tabs>
        <w:rPr>
          <w:sz w:val="20"/>
          <w:szCs w:val="20"/>
          <w:color w:val="auto"/>
        </w:rPr>
      </w:pPr>
      <w:r>
        <w:rPr>
          <w:rFonts w:ascii="Courier New" w:cs="Courier New" w:eastAsia="Courier New" w:hAnsi="Courier New"/>
          <w:sz w:val="16"/>
          <w:szCs w:val="16"/>
          <w:color w:val="auto"/>
        </w:rPr>
        <w:t>1150 15th Street, N.W.</w:t>
      </w:r>
      <w:r>
        <w:rPr>
          <w:sz w:val="20"/>
          <w:szCs w:val="20"/>
          <w:color w:val="auto"/>
        </w:rPr>
        <w:tab/>
      </w: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 - - -------------------------------------------------------------------------------</w:t>
      </w:r>
    </w:p>
    <w:p>
      <w:pPr>
        <w:spacing w:after="0" w:line="5" w:lineRule="exact"/>
        <w:rPr>
          <w:sz w:val="24"/>
          <w:szCs w:val="24"/>
          <w:color w:val="auto"/>
        </w:rPr>
      </w:pPr>
    </w:p>
    <w:p>
      <w:pPr>
        <w:ind w:left="881"/>
        <w:spacing w:after="0"/>
        <w:tabs>
          <w:tab w:leader="none" w:pos="580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78" w:lineRule="exact"/>
        <w:rPr>
          <w:sz w:val="24"/>
          <w:szCs w:val="24"/>
          <w:color w:val="auto"/>
        </w:rPr>
      </w:pPr>
    </w:p>
    <w:p>
      <w:pPr>
        <w:ind w:left="3981" w:hanging="589"/>
        <w:spacing w:after="0"/>
        <w:tabs>
          <w:tab w:leader="none" w:pos="39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334-6000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5" w:lineRule="exact"/>
        <w:rPr>
          <w:rFonts w:ascii="Courier New" w:cs="Courier New" w:eastAsia="Courier New" w:hAnsi="Courier New"/>
          <w:sz w:val="16"/>
          <w:szCs w:val="16"/>
          <w:color w:val="auto"/>
        </w:rPr>
      </w:pPr>
    </w:p>
    <w:p>
      <w:pPr>
        <w:ind w:left="13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364" w:lineRule="exact"/>
        <w:rPr>
          <w:sz w:val="24"/>
          <w:szCs w:val="24"/>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2" w:lineRule="exact"/>
        <w:rPr>
          <w:sz w:val="24"/>
          <w:szCs w:val="24"/>
          <w:color w:val="auto"/>
        </w:rPr>
      </w:pPr>
    </w:p>
    <w:p>
      <w:pPr>
        <w:ind w:left="1"/>
        <w:spacing w:after="0"/>
        <w:tabs>
          <w:tab w:leader="none" w:pos="4140" w:val="left"/>
          <w:tab w:leader="none" w:pos="4720" w:val="left"/>
          <w:tab w:leader="none" w:pos="5220" w:val="left"/>
          <w:tab w:leader="none" w:pos="5600" w:val="left"/>
          <w:tab w:leader="none" w:pos="6480" w:val="left"/>
        </w:tabs>
        <w:rPr>
          <w:sz w:val="20"/>
          <w:szCs w:val="20"/>
          <w:color w:val="auto"/>
        </w:rPr>
      </w:pPr>
      <w:r>
        <w:rPr>
          <w:rFonts w:ascii="Courier New" w:cs="Courier New" w:eastAsia="Courier New" w:hAnsi="Courier New"/>
          <w:sz w:val="16"/>
          <w:szCs w:val="16"/>
          <w:color w:val="auto"/>
        </w:rPr>
        <w:t>filing requirements for the past 90 days.</w:t>
        <w:tab/>
        <w:t>Yes</w:t>
        <w:tab/>
        <w:t>X</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3"/>
          <w:szCs w:val="13"/>
          <w:color w:val="auto"/>
        </w:rPr>
        <w:t>.</w:t>
      </w:r>
    </w:p>
    <w:p>
      <w:pPr>
        <w:spacing w:after="0" w:line="5" w:lineRule="exact"/>
        <w:rPr>
          <w:sz w:val="24"/>
          <w:szCs w:val="24"/>
          <w:color w:val="auto"/>
        </w:rPr>
      </w:pPr>
    </w:p>
    <w:p>
      <w:pPr>
        <w:ind w:left="4561"/>
        <w:spacing w:after="0"/>
        <w:tabs>
          <w:tab w:leader="none" w:pos="58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4"/>
          <w:szCs w:val="24"/>
          <w:color w:val="auto"/>
        </w:rPr>
      </w:pPr>
    </w:p>
    <w:p>
      <w:pPr>
        <w:ind w:left="881"/>
        <w:spacing w:after="0"/>
        <w:rPr>
          <w:sz w:val="20"/>
          <w:szCs w:val="20"/>
          <w:color w:val="auto"/>
        </w:rPr>
      </w:pPr>
      <w:r>
        <w:rPr>
          <w:rFonts w:ascii="Courier New" w:cs="Courier New" w:eastAsia="Courier New" w:hAnsi="Courier New"/>
          <w:sz w:val="16"/>
          <w:szCs w:val="16"/>
          <w:color w:val="auto"/>
        </w:rPr>
        <w:t>Shares outstanding at May 3, 1995:</w:t>
      </w:r>
    </w:p>
    <w:p>
      <w:pPr>
        <w:sectPr>
          <w:pgSz w:w="11900" w:h="16838" w:orient="portrait"/>
          <w:cols w:equalWidth="0" w:num="1">
            <w:col w:w="10220"/>
          </w:cols>
          <w:pgMar w:left="239" w:top="241" w:right="1440" w:bottom="1440" w:gutter="0" w:footer="0" w:header="0"/>
          <w:type w:val="continuous"/>
        </w:sectPr>
      </w:pPr>
    </w:p>
    <w:p>
      <w:pPr>
        <w:spacing w:after="0" w:line="200" w:lineRule="exact"/>
        <w:rPr>
          <w:sz w:val="24"/>
          <w:szCs w:val="24"/>
          <w:color w:val="auto"/>
        </w:rPr>
      </w:pPr>
    </w:p>
    <w:p>
      <w:pPr>
        <w:spacing w:after="0" w:line="364"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Class B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1,843,250 Shares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9,231,812 Shares</w:t>
      </w:r>
    </w:p>
    <w:p>
      <w:pPr>
        <w:sectPr>
          <w:pgSz w:w="11900" w:h="16838" w:orient="portrait"/>
          <w:cols w:equalWidth="0" w:num="2">
            <w:col w:w="4701" w:space="720"/>
            <w:col w:w="4799"/>
          </w:cols>
          <w:pgMar w:left="239" w:top="241"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7460"/>
        <w:spacing w:after="0"/>
        <w:rPr>
          <w:sz w:val="20"/>
          <w:szCs w:val="20"/>
          <w:color w:val="auto"/>
        </w:rPr>
      </w:pPr>
      <w:r>
        <w:rPr>
          <w:rFonts w:ascii="Courier New" w:cs="Courier New" w:eastAsia="Courier New" w:hAnsi="Courier New"/>
          <w:sz w:val="16"/>
          <w:szCs w:val="16"/>
          <w:color w:val="auto"/>
        </w:rPr>
        <w:t>2.</w:t>
      </w:r>
    </w:p>
    <w:p>
      <w:pPr>
        <w:spacing w:after="0" w:line="378"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THE WASHINGTON POST COMPANY</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040"/>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378"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Condensed Consolidated Statements of Income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(Unaudited) for the Thirteen Weeks</w:t>
      </w:r>
    </w:p>
    <w:p>
      <w:pPr>
        <w:spacing w:after="0" w:line="5"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Ended April 2, 1995 and April 3, 1994 . . . . . . . . . . . . . . . . . . . . . . . . . .</w:t>
      </w:r>
      <w:r>
        <w:rPr>
          <w:sz w:val="20"/>
          <w:szCs w:val="20"/>
          <w:color w:val="auto"/>
        </w:rPr>
        <w:tab/>
      </w:r>
      <w:r>
        <w:rPr>
          <w:rFonts w:ascii="Courier New" w:cs="Courier New" w:eastAsia="Courier New" w:hAnsi="Courier New"/>
          <w:sz w:val="13"/>
          <w:szCs w:val="13"/>
          <w:color w:val="auto"/>
        </w:rPr>
        <w:t>3</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5" w:lineRule="exact"/>
        <w:rPr>
          <w:sz w:val="20"/>
          <w:szCs w:val="20"/>
          <w:color w:val="auto"/>
        </w:rPr>
      </w:pPr>
    </w:p>
    <w:p>
      <w:pPr>
        <w:jc w:val="right"/>
        <w:spacing w:after="0"/>
        <w:tabs>
          <w:tab w:leader="none" w:pos="5300" w:val="left"/>
          <w:tab w:leader="none" w:pos="60" w:val="left"/>
        </w:tabs>
        <w:rPr>
          <w:sz w:val="20"/>
          <w:szCs w:val="20"/>
          <w:color w:val="auto"/>
        </w:rPr>
      </w:pPr>
      <w:r>
        <w:rPr>
          <w:rFonts w:ascii="Courier New" w:cs="Courier New" w:eastAsia="Courier New" w:hAnsi="Courier New"/>
          <w:sz w:val="16"/>
          <w:szCs w:val="16"/>
          <w:color w:val="auto"/>
        </w:rPr>
        <w:t>at April 2, 1995 and January 1, 1995</w:t>
        <w:tab/>
        <w:t>. . . . . . . . . . . . . . . . . . . . . . . . . .</w:t>
      </w:r>
      <w:r>
        <w:rPr>
          <w:sz w:val="20"/>
          <w:szCs w:val="20"/>
          <w:color w:val="auto"/>
        </w:rPr>
        <w:tab/>
      </w:r>
      <w:r>
        <w:rPr>
          <w:rFonts w:ascii="Courier New" w:cs="Courier New" w:eastAsia="Courier New" w:hAnsi="Courier New"/>
          <w:sz w:val="13"/>
          <w:szCs w:val="13"/>
          <w:color w:val="auto"/>
        </w:rPr>
        <w:t>4</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(Unaudited) for the Thirteen Weeks Ended</w:t>
      </w:r>
    </w:p>
    <w:p>
      <w:pPr>
        <w:spacing w:after="0" w:line="5"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April 2, 1995 and April 3, 1994 . . . . . . . . . . . . . . . . . . . . . . . . . . . . .</w:t>
      </w:r>
      <w:r>
        <w:rPr>
          <w:sz w:val="20"/>
          <w:szCs w:val="20"/>
          <w:color w:val="auto"/>
        </w:rPr>
        <w:tab/>
      </w:r>
      <w:r>
        <w:rPr>
          <w:rFonts w:ascii="Courier New" w:cs="Courier New" w:eastAsia="Courier New" w:hAnsi="Courier New"/>
          <w:sz w:val="13"/>
          <w:szCs w:val="13"/>
          <w:color w:val="auto"/>
        </w:rPr>
        <w:t>5</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5"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(Unaudited) . . . . . . . . . . . . . . . . . . . . . . . . . . . . . . . . . . . . . . .</w:t>
      </w:r>
      <w:r>
        <w:rPr>
          <w:sz w:val="20"/>
          <w:szCs w:val="20"/>
          <w:color w:val="auto"/>
        </w:rPr>
        <w:tab/>
      </w:r>
      <w:r>
        <w:rPr>
          <w:rFonts w:ascii="Courier New" w:cs="Courier New" w:eastAsia="Courier New" w:hAnsi="Courier New"/>
          <w:sz w:val="13"/>
          <w:szCs w:val="13"/>
          <w:color w:val="auto"/>
        </w:rPr>
        <w:t>6</w:t>
      </w:r>
    </w:p>
    <w:p>
      <w:pPr>
        <w:spacing w:after="0" w:line="191"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Results of</w:t>
      </w:r>
    </w:p>
    <w:p>
      <w:pPr>
        <w:spacing w:after="0" w:line="5" w:lineRule="exact"/>
        <w:rPr>
          <w:sz w:val="20"/>
          <w:szCs w:val="20"/>
          <w:color w:val="auto"/>
        </w:rPr>
      </w:pPr>
    </w:p>
    <w:p>
      <w:pPr>
        <w:jc w:val="right"/>
        <w:spacing w:after="0"/>
        <w:tabs>
          <w:tab w:leader="none" w:pos="5500" w:val="left"/>
          <w:tab w:leader="none" w:pos="60" w:val="left"/>
        </w:tabs>
        <w:rPr>
          <w:sz w:val="20"/>
          <w:szCs w:val="20"/>
          <w:color w:val="auto"/>
        </w:rPr>
      </w:pPr>
      <w:r>
        <w:rPr>
          <w:rFonts w:ascii="Courier New" w:cs="Courier New" w:eastAsia="Courier New" w:hAnsi="Courier New"/>
          <w:sz w:val="16"/>
          <w:szCs w:val="16"/>
          <w:color w:val="auto"/>
        </w:rPr>
        <w:t>Operations and Financial Condition</w:t>
        <w:tab/>
        <w:t>. . . . . . . . . . . . . . . . . . . . . . . . . . .</w:t>
      </w:r>
      <w:r>
        <w:rPr>
          <w:sz w:val="20"/>
          <w:szCs w:val="20"/>
          <w:color w:val="auto"/>
        </w:rPr>
        <w:tab/>
      </w:r>
      <w:r>
        <w:rPr>
          <w:rFonts w:ascii="Courier New" w:cs="Courier New" w:eastAsia="Courier New" w:hAnsi="Courier New"/>
          <w:sz w:val="13"/>
          <w:szCs w:val="13"/>
          <w:color w:val="auto"/>
        </w:rPr>
        <w:t>7</w:t>
      </w:r>
    </w:p>
    <w:p>
      <w:pPr>
        <w:spacing w:after="0" w:line="191"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191" w:lineRule="exact"/>
        <w:rPr>
          <w:sz w:val="20"/>
          <w:szCs w:val="20"/>
          <w:color w:val="auto"/>
        </w:rPr>
      </w:pPr>
    </w:p>
    <w:p>
      <w:pPr>
        <w:jc w:val="both"/>
        <w:spacing w:after="0" w:line="494" w:lineRule="auto"/>
        <w:rPr>
          <w:sz w:val="20"/>
          <w:szCs w:val="20"/>
          <w:color w:val="auto"/>
        </w:rPr>
      </w:pPr>
      <w:r>
        <w:rPr>
          <w:rFonts w:ascii="Courier New" w:cs="Courier New" w:eastAsia="Courier New" w:hAnsi="Courier New"/>
          <w:sz w:val="16"/>
          <w:szCs w:val="16"/>
          <w:color w:val="auto"/>
        </w:rPr>
        <w:t>Item 6. Exhibits and Reports on Form 8-K . . . . . . . . . . . . . . . . . . . . . . . . . . . . . . . . . 10 Signatures . . . . . . . . . . . . . . . . . . . . . . . . . . . . . . . . . . . . . . . . . . . . . . . . . . . . 11 Exhibit 11 . . . . . . . . . . . . . . . . . . . . . . . . . . . . . . . . . . . . . . . . . . . . . . . . . . . . 12 Exhibit 27 (Electronic Filing Only) . . . . . . . . . . . . . . . . . . . . . . . . . . . . . . . . . . . . . . . . 13</w:t>
      </w:r>
    </w:p>
    <w:p>
      <w:pPr>
        <w:sectPr>
          <w:pgSz w:w="11900" w:h="16838" w:orient="portrait"/>
          <w:cols w:equalWidth="0" w:num="1">
            <w:col w:w="11520"/>
          </w:cols>
          <w:pgMar w:left="240" w:top="303" w:right="139"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1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w:t>
            </w: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559"/>
        </w:trPr>
        <w:tc>
          <w:tcPr>
            <w:tcW w:w="8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18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18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The Washington Post Company</w:t>
            </w: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Income (Unaudited)</w:t>
            </w:r>
          </w:p>
        </w:tc>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559"/>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0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Thirteen Weeks Ended</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April 2,</w:t>
            </w:r>
          </w:p>
        </w:tc>
        <w:tc>
          <w:tcPr>
            <w:tcW w:w="16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April 3,</w:t>
            </w:r>
          </w:p>
        </w:tc>
      </w:tr>
      <w:tr>
        <w:trPr>
          <w:trHeight w:val="186"/>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218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6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Advertising</w:t>
            </w: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$252,210</w:t>
            </w:r>
          </w:p>
        </w:tc>
        <w:tc>
          <w:tcPr>
            <w:tcW w:w="840" w:type="dxa"/>
            <w:vAlign w:val="bottom"/>
          </w:tcPr>
          <w:p>
            <w:pPr>
              <w:ind w:left="74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212,195</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Circulation and subscriber</w:t>
            </w: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108,466</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109,165</w:t>
            </w:r>
          </w:p>
        </w:tc>
      </w:tr>
      <w:tr>
        <w:trPr>
          <w:trHeight w:val="186"/>
        </w:trPr>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5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7"/>
              </w:rPr>
              <w:t>40,875</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37,094</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401,551</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358,454</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186"/>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Operating</w:t>
            </w: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221,158</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199,553</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Selling, general and administrative</w:t>
            </w:r>
          </w:p>
        </w:tc>
        <w:tc>
          <w:tcPr>
            <w:tcW w:w="218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7"/>
              </w:rPr>
              <w:t>98,013</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88,957</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Depreciation and amortization of</w:t>
            </w:r>
          </w:p>
        </w:tc>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60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property, plant and equipment</w:t>
            </w:r>
          </w:p>
        </w:tc>
        <w:tc>
          <w:tcPr>
            <w:tcW w:w="218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7"/>
              </w:rPr>
              <w:t>16,374</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14,710</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218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7,673</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4,031</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343,218</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307,251</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w:t>
            </w:r>
          </w:p>
        </w:tc>
        <w:tc>
          <w:tcPr>
            <w:tcW w:w="2180" w:type="dxa"/>
            <w:vAlign w:val="bottom"/>
          </w:tcPr>
          <w:p>
            <w:pPr>
              <w:spacing w:after="0"/>
              <w:rPr>
                <w:sz w:val="24"/>
                <w:szCs w:val="24"/>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7"/>
              </w:rPr>
              <w:t>58,333</w:t>
            </w:r>
          </w:p>
        </w:tc>
        <w:tc>
          <w:tcPr>
            <w:tcW w:w="84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51,203</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Equity in earnings (losses) of affiliates</w:t>
            </w:r>
          </w:p>
        </w:tc>
        <w:tc>
          <w:tcPr>
            <w:tcW w:w="218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772</w:t>
            </w:r>
          </w:p>
        </w:tc>
        <w:tc>
          <w:tcPr>
            <w:tcW w:w="8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(5,385)</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218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2,334</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3,565</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2180" w:type="dxa"/>
            <w:vAlign w:val="bottom"/>
          </w:tcPr>
          <w:p>
            <w:pPr>
              <w:spacing w:after="0"/>
              <w:rPr>
                <w:sz w:val="16"/>
                <w:szCs w:val="16"/>
                <w:color w:val="auto"/>
              </w:rPr>
            </w:pPr>
          </w:p>
        </w:tc>
        <w:tc>
          <w:tcPr>
            <w:tcW w:w="1200" w:type="dxa"/>
            <w:vAlign w:val="bottom"/>
          </w:tcPr>
          <w:p>
            <w:pPr>
              <w:jc w:val="right"/>
              <w:ind w:right="439"/>
              <w:spacing w:after="0"/>
              <w:rPr>
                <w:sz w:val="20"/>
                <w:szCs w:val="20"/>
                <w:color w:val="auto"/>
              </w:rPr>
            </w:pPr>
            <w:r>
              <w:rPr>
                <w:rFonts w:ascii="Courier New" w:cs="Courier New" w:eastAsia="Courier New" w:hAnsi="Courier New"/>
                <w:sz w:val="16"/>
                <w:szCs w:val="16"/>
                <w:color w:val="auto"/>
                <w:w w:val="98"/>
              </w:rPr>
              <w:t>(1,431)</w:t>
            </w:r>
          </w:p>
        </w:tc>
        <w:tc>
          <w:tcPr>
            <w:tcW w:w="8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(1,435)</w:t>
            </w:r>
          </w:p>
        </w:tc>
      </w:tr>
      <w:tr>
        <w:trPr>
          <w:trHeight w:val="186"/>
        </w:trPr>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5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7"/>
              </w:rPr>
              <w:t>14,395</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2,604</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2180" w:type="dxa"/>
            <w:vAlign w:val="bottom"/>
          </w:tcPr>
          <w:p>
            <w:pPr>
              <w:spacing w:after="0"/>
              <w:rPr>
                <w:sz w:val="24"/>
                <w:szCs w:val="24"/>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7"/>
              </w:rPr>
              <w:t>74,403</w:t>
            </w:r>
          </w:p>
        </w:tc>
        <w:tc>
          <w:tcPr>
            <w:tcW w:w="84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50,552</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880" w:type="dxa"/>
            <w:vAlign w:val="bottom"/>
          </w:tcPr>
          <w:p>
            <w:pPr>
              <w:ind w:left="200"/>
              <w:spacing w:after="0"/>
              <w:rPr>
                <w:sz w:val="20"/>
                <w:szCs w:val="20"/>
                <w:color w:val="auto"/>
              </w:rPr>
            </w:pPr>
            <w:r>
              <w:rPr>
                <w:rFonts w:ascii="Courier New" w:cs="Courier New" w:eastAsia="Courier New" w:hAnsi="Courier New"/>
                <w:sz w:val="16"/>
                <w:szCs w:val="16"/>
                <w:color w:val="auto"/>
                <w:w w:val="98"/>
              </w:rPr>
              <w:t>Current</w:t>
            </w:r>
          </w:p>
        </w:tc>
        <w:tc>
          <w:tcPr>
            <w:tcW w:w="5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7"/>
              </w:rPr>
              <w:t>28,500</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22,962</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Deferred</w:t>
            </w:r>
          </w:p>
        </w:tc>
        <w:tc>
          <w:tcPr>
            <w:tcW w:w="218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2,005</w:t>
            </w:r>
          </w:p>
        </w:tc>
        <w:tc>
          <w:tcPr>
            <w:tcW w:w="8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(1,222)</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7"/>
              </w:rPr>
              <w:t>30,505</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21,740</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$ 43,898</w:t>
            </w:r>
          </w:p>
        </w:tc>
        <w:tc>
          <w:tcPr>
            <w:tcW w:w="840" w:type="dxa"/>
            <w:vAlign w:val="bottom"/>
          </w:tcPr>
          <w:p>
            <w:pPr>
              <w:ind w:left="74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28,812</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3.91</w:t>
            </w:r>
          </w:p>
        </w:tc>
        <w:tc>
          <w:tcPr>
            <w:tcW w:w="840" w:type="dxa"/>
            <w:vAlign w:val="bottom"/>
          </w:tcPr>
          <w:p>
            <w:pPr>
              <w:ind w:left="74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2.46</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Dividends declared per share</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2.20</w:t>
            </w:r>
          </w:p>
        </w:tc>
        <w:tc>
          <w:tcPr>
            <w:tcW w:w="840" w:type="dxa"/>
            <w:vAlign w:val="bottom"/>
          </w:tcPr>
          <w:p>
            <w:pPr>
              <w:ind w:left="74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2.10</w:t>
            </w:r>
          </w:p>
        </w:tc>
      </w:tr>
      <w:tr>
        <w:trPr>
          <w:trHeight w:val="186"/>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3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Average number of shares outstanding</w:t>
            </w:r>
          </w:p>
        </w:tc>
        <w:tc>
          <w:tcPr>
            <w:tcW w:w="2180" w:type="dxa"/>
            <w:vAlign w:val="bottom"/>
          </w:tcPr>
          <w:p>
            <w:pPr>
              <w:spacing w:after="0"/>
              <w:rPr>
                <w:sz w:val="24"/>
                <w:szCs w:val="24"/>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7"/>
              </w:rPr>
              <w:t>11,220</w:t>
            </w:r>
          </w:p>
        </w:tc>
        <w:tc>
          <w:tcPr>
            <w:tcW w:w="84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11,720</w:t>
            </w:r>
          </w:p>
        </w:tc>
      </w:tr>
    </w:tbl>
    <w:p>
      <w:pPr>
        <w:sectPr>
          <w:pgSz w:w="11900" w:h="16838" w:orient="portrait"/>
          <w:cols w:equalWidth="0" w:num="1">
            <w:col w:w="11040"/>
          </w:cols>
          <w:pgMar w:left="240" w:top="303" w:right="619"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18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w:t>
            </w:r>
          </w:p>
        </w:tc>
        <w:tc>
          <w:tcPr>
            <w:tcW w:w="1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559"/>
        </w:trPr>
        <w:tc>
          <w:tcPr>
            <w:tcW w:w="610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Consolidated Balance Sheets (Unaudited)</w:t>
            </w: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745"/>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639"/>
              <w:spacing w:after="0"/>
              <w:rPr>
                <w:sz w:val="20"/>
                <w:szCs w:val="20"/>
                <w:color w:val="auto"/>
              </w:rPr>
            </w:pPr>
            <w:r>
              <w:rPr>
                <w:rFonts w:ascii="Courier New" w:cs="Courier New" w:eastAsia="Courier New" w:hAnsi="Courier New"/>
                <w:sz w:val="16"/>
                <w:szCs w:val="16"/>
                <w:color w:val="auto"/>
                <w:w w:val="98"/>
              </w:rPr>
              <w:t>April 2,</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January 1,</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840" w:type="dxa"/>
            <w:vAlign w:val="bottom"/>
          </w:tcPr>
          <w:p>
            <w:pPr>
              <w:spacing w:after="0"/>
              <w:rPr>
                <w:sz w:val="16"/>
                <w:szCs w:val="16"/>
                <w:color w:val="auto"/>
              </w:rPr>
            </w:pPr>
          </w:p>
        </w:tc>
        <w:tc>
          <w:tcPr>
            <w:tcW w:w="15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1995</w:t>
            </w:r>
          </w:p>
        </w:tc>
        <w:tc>
          <w:tcPr>
            <w:tcW w:w="6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1995</w:t>
            </w:r>
          </w:p>
        </w:tc>
      </w:tr>
      <w:tr>
        <w:trPr>
          <w:trHeight w:val="186"/>
        </w:trPr>
        <w:tc>
          <w:tcPr>
            <w:tcW w:w="6100" w:type="dxa"/>
            <w:vAlign w:val="bottom"/>
          </w:tcPr>
          <w:p>
            <w:pPr>
              <w:spacing w:after="0"/>
              <w:rPr>
                <w:sz w:val="16"/>
                <w:szCs w:val="16"/>
                <w:color w:val="auto"/>
              </w:rPr>
            </w:pPr>
          </w:p>
        </w:tc>
        <w:tc>
          <w:tcPr>
            <w:tcW w:w="334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82,589</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117,269</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Marketable securities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68,690</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24,570</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 less estimated returns,</w:t>
            </w: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doubtful accounts and allowances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170,236</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175,441</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Inventories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25,666</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20,378</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Program rights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16,479</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18,972</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Other current assets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17,072</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19,249</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380,732</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375,879</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Investments in affiliates</w:t>
            </w:r>
          </w:p>
        </w:tc>
        <w:tc>
          <w:tcPr>
            <w:tcW w:w="1840" w:type="dxa"/>
            <w:vAlign w:val="bottom"/>
          </w:tcPr>
          <w:p>
            <w:pPr>
              <w:spacing w:after="0"/>
              <w:rPr>
                <w:sz w:val="24"/>
                <w:szCs w:val="24"/>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171,561</w:t>
            </w:r>
          </w:p>
        </w:tc>
        <w:tc>
          <w:tcPr>
            <w:tcW w:w="64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170,754</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Buildings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185,231</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185,193</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Machinery, equipment and fixtures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632,717</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629,043</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Leasehold improvements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33,239</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33,287</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851,187</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847,523</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840" w:type="dxa"/>
            <w:vAlign w:val="bottom"/>
          </w:tcPr>
          <w:p>
            <w:pPr>
              <w:spacing w:after="0"/>
              <w:rPr>
                <w:sz w:val="16"/>
                <w:szCs w:val="16"/>
                <w:color w:val="auto"/>
              </w:rPr>
            </w:pP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(514,676)</w:t>
            </w:r>
          </w:p>
        </w:tc>
        <w:tc>
          <w:tcPr>
            <w:tcW w:w="6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(499,172)</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336,511</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348,351</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Land</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32,562</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32,562</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Construction in progress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41,483</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30,483</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410,556</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411,396</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intangibles,</w:t>
            </w: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less accumulated amortization</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504,972</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512,405</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Deferred charges and other assets</w:t>
            </w:r>
          </w:p>
        </w:tc>
        <w:tc>
          <w:tcPr>
            <w:tcW w:w="1840" w:type="dxa"/>
            <w:vAlign w:val="bottom"/>
          </w:tcPr>
          <w:p>
            <w:pPr>
              <w:spacing w:after="0"/>
              <w:rPr>
                <w:sz w:val="24"/>
                <w:szCs w:val="24"/>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223,162</w:t>
            </w:r>
          </w:p>
        </w:tc>
        <w:tc>
          <w:tcPr>
            <w:tcW w:w="64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226,434</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6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1,690,983</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1,696,868</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 and accrued liabilities</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160,184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186,129</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Federal and state income taxes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35,314</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6,593</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Deferred subscription revenue</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84,348</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80,351</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Current portion of long-term debt</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50,277</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Dividends declared</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12,220</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342,343</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273,073</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840" w:type="dxa"/>
            <w:vAlign w:val="bottom"/>
          </w:tcPr>
          <w:p>
            <w:pPr>
              <w:spacing w:after="0"/>
              <w:rPr>
                <w:sz w:val="24"/>
                <w:szCs w:val="24"/>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223,233</w:t>
            </w:r>
          </w:p>
        </w:tc>
        <w:tc>
          <w:tcPr>
            <w:tcW w:w="64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217,461</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840" w:type="dxa"/>
            <w:vAlign w:val="bottom"/>
          </w:tcPr>
          <w:p>
            <w:pPr>
              <w:spacing w:after="0"/>
              <w:rPr>
                <w:sz w:val="24"/>
                <w:szCs w:val="24"/>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50,297</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840" w:type="dxa"/>
            <w:vAlign w:val="bottom"/>
          </w:tcPr>
          <w:p>
            <w:pPr>
              <w:spacing w:after="0"/>
              <w:rPr>
                <w:sz w:val="24"/>
                <w:szCs w:val="24"/>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32,311</w:t>
            </w:r>
          </w:p>
        </w:tc>
        <w:tc>
          <w:tcPr>
            <w:tcW w:w="64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29,104</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597,887</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569,935</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Capital stock</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20,000</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20,000</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Capital in excess of par value</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24,261</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21,273</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Retained earnings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1,710,732</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1,691,497</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Unrealized gain on available-for-sale</w:t>
            </w: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securities</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4,951</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2,933</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Cumulative foreign currency translation</w:t>
            </w: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adjustment</w:t>
            </w: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5,503</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5,328</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Cost of Class B common stock held in Treasury</w:t>
            </w:r>
          </w:p>
        </w:tc>
        <w:tc>
          <w:tcPr>
            <w:tcW w:w="1840" w:type="dxa"/>
            <w:vAlign w:val="bottom"/>
          </w:tcPr>
          <w:p>
            <w:pPr>
              <w:spacing w:after="0"/>
              <w:rPr>
                <w:sz w:val="16"/>
                <w:szCs w:val="16"/>
                <w:color w:val="auto"/>
              </w:rPr>
            </w:pP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(672,351)</w:t>
            </w:r>
          </w:p>
        </w:tc>
        <w:tc>
          <w:tcPr>
            <w:tcW w:w="6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(614,098)</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1,093,096</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1,126,933</w:t>
            </w:r>
          </w:p>
        </w:tc>
      </w:tr>
      <w:tr>
        <w:trPr>
          <w:trHeight w:val="186"/>
        </w:trPr>
        <w:tc>
          <w:tcPr>
            <w:tcW w:w="6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w:t>
            </w:r>
          </w:p>
        </w:tc>
        <w:tc>
          <w:tcPr>
            <w:tcW w:w="6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6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9"/>
              </w:rPr>
              <w:t>1,690,983</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1,696,868</w:t>
            </w:r>
          </w:p>
        </w:tc>
      </w:tr>
      <w:tr>
        <w:trPr>
          <w:trHeight w:val="186"/>
        </w:trPr>
        <w:tc>
          <w:tcPr>
            <w:tcW w:w="6100" w:type="dxa"/>
            <w:vAlign w:val="bottom"/>
          </w:tcPr>
          <w:p>
            <w:pPr>
              <w:spacing w:after="0"/>
              <w:rPr>
                <w:sz w:val="16"/>
                <w:szCs w:val="16"/>
                <w:color w:val="auto"/>
              </w:rPr>
            </w:pPr>
          </w:p>
        </w:tc>
        <w:tc>
          <w:tcPr>
            <w:tcW w:w="334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140"/>
          </w:cols>
          <w:pgMar w:left="240" w:top="303" w:right="519"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40" w:type="dxa"/>
            <w:vAlign w:val="bottom"/>
          </w:tcPr>
          <w:p>
            <w:pPr>
              <w:spacing w:after="0"/>
              <w:rPr>
                <w:sz w:val="15"/>
                <w:szCs w:val="15"/>
                <w:color w:val="auto"/>
              </w:rPr>
            </w:pPr>
          </w:p>
        </w:tc>
        <w:tc>
          <w:tcPr>
            <w:tcW w:w="3160" w:type="dxa"/>
            <w:vAlign w:val="bottom"/>
          </w:tcPr>
          <w:p>
            <w:pPr>
              <w:jc w:val="right"/>
              <w:ind w:right="1759"/>
              <w:spacing w:after="0"/>
              <w:rPr>
                <w:sz w:val="20"/>
                <w:szCs w:val="20"/>
                <w:color w:val="auto"/>
              </w:rPr>
            </w:pPr>
            <w:r>
              <w:rPr>
                <w:rFonts w:ascii="Courier New" w:cs="Courier New" w:eastAsia="Courier New" w:hAnsi="Courier New"/>
                <w:sz w:val="16"/>
                <w:szCs w:val="16"/>
                <w:color w:val="auto"/>
              </w:rPr>
              <w:t>5.</w:t>
            </w:r>
          </w:p>
        </w:tc>
        <w:tc>
          <w:tcPr>
            <w:tcW w:w="1540" w:type="dxa"/>
            <w:vAlign w:val="bottom"/>
          </w:tcPr>
          <w:p>
            <w:pPr>
              <w:spacing w:after="0"/>
              <w:rPr>
                <w:sz w:val="15"/>
                <w:szCs w:val="15"/>
                <w:color w:val="auto"/>
              </w:rPr>
            </w:pPr>
          </w:p>
        </w:tc>
      </w:tr>
      <w:tr>
        <w:trPr>
          <w:trHeight w:val="559"/>
        </w:trPr>
        <w:tc>
          <w:tcPr>
            <w:tcW w:w="634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3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559"/>
        </w:trPr>
        <w:tc>
          <w:tcPr>
            <w:tcW w:w="6340" w:type="dxa"/>
            <w:vAlign w:val="bottom"/>
          </w:tcPr>
          <w:p>
            <w:pPr>
              <w:spacing w:after="0"/>
              <w:rPr>
                <w:sz w:val="24"/>
                <w:szCs w:val="24"/>
                <w:color w:val="auto"/>
              </w:rPr>
            </w:pPr>
          </w:p>
        </w:tc>
        <w:tc>
          <w:tcPr>
            <w:tcW w:w="470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Thirteen Weeks Ended</w:t>
            </w:r>
          </w:p>
        </w:tc>
      </w:tr>
      <w:tr>
        <w:trPr>
          <w:trHeight w:val="186"/>
        </w:trPr>
        <w:tc>
          <w:tcPr>
            <w:tcW w:w="6340" w:type="dxa"/>
            <w:vAlign w:val="bottom"/>
          </w:tcPr>
          <w:p>
            <w:pPr>
              <w:spacing w:after="0"/>
              <w:rPr>
                <w:sz w:val="16"/>
                <w:szCs w:val="16"/>
                <w:color w:val="auto"/>
              </w:rPr>
            </w:pPr>
          </w:p>
        </w:tc>
        <w:tc>
          <w:tcPr>
            <w:tcW w:w="4700" w:type="dxa"/>
            <w:vAlign w:val="bottom"/>
            <w:gridSpan w:val="2"/>
          </w:tcPr>
          <w:p>
            <w:pPr>
              <w:ind w:left="1900"/>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16"/>
                <w:szCs w:val="16"/>
                <w:color w:val="auto"/>
              </w:rPr>
            </w:pP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April 2,</w:t>
            </w:r>
          </w:p>
        </w:tc>
        <w:tc>
          <w:tcPr>
            <w:tcW w:w="15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April 3,</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160" w:type="dxa"/>
            <w:vAlign w:val="bottom"/>
          </w:tcPr>
          <w:p>
            <w:pPr>
              <w:ind w:left="1900"/>
              <w:spacing w:after="0"/>
              <w:rPr>
                <w:sz w:val="20"/>
                <w:szCs w:val="20"/>
                <w:color w:val="auto"/>
              </w:rPr>
            </w:pPr>
            <w:r>
              <w:rPr>
                <w:rFonts w:ascii="Courier New" w:cs="Courier New" w:eastAsia="Courier New" w:hAnsi="Courier New"/>
                <w:sz w:val="16"/>
                <w:szCs w:val="16"/>
                <w:color w:val="auto"/>
              </w:rPr>
              <w:t>1995</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6340" w:type="dxa"/>
            <w:vAlign w:val="bottom"/>
          </w:tcPr>
          <w:p>
            <w:pPr>
              <w:spacing w:after="0"/>
              <w:rPr>
                <w:sz w:val="16"/>
                <w:szCs w:val="16"/>
                <w:color w:val="auto"/>
              </w:rPr>
            </w:pP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Net income</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$ 43,898</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$ 28,812</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provided by operating activities:</w:t>
            </w:r>
          </w:p>
        </w:tc>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Depreciation and amortization of property, plant</w:t>
            </w:r>
          </w:p>
        </w:tc>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and equipment</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16,374</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14,710</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7,673</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4,031</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program rights</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5,887</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4,661</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Provision for doubtful accounts</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12,667</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15,276</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Gain on sale of business</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(14,253)</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Increase (decrease) in interest and income</w:t>
            </w:r>
          </w:p>
        </w:tc>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taxes payable</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24,933</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17,437</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Provision for deferred income taxes</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2,005</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(1,222)</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Change in assets and liabilities:</w:t>
            </w:r>
          </w:p>
        </w:tc>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(Increase) in accounts receivable</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(7,462)</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(937)</w:t>
            </w:r>
          </w:p>
        </w:tc>
      </w:tr>
      <w:tr>
        <w:trPr>
          <w:trHeight w:val="186"/>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(Increase) in inventories</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(5,288)</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(4,259)</w:t>
            </w:r>
          </w:p>
        </w:tc>
      </w:tr>
      <w:tr>
        <w:trPr>
          <w:trHeight w:val="186"/>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(Decrease) in accounts payable and accrued</w:t>
            </w:r>
          </w:p>
        </w:tc>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340" w:type="dxa"/>
            <w:vAlign w:val="bottom"/>
          </w:tcPr>
          <w:p>
            <w:pPr>
              <w:ind w:left="880"/>
              <w:spacing w:after="0"/>
              <w:rPr>
                <w:sz w:val="20"/>
                <w:szCs w:val="20"/>
                <w:color w:val="auto"/>
              </w:rPr>
            </w:pPr>
            <w:r>
              <w:rPr>
                <w:rFonts w:ascii="Courier New" w:cs="Courier New" w:eastAsia="Courier New" w:hAnsi="Courier New"/>
                <w:sz w:val="16"/>
                <w:szCs w:val="16"/>
                <w:color w:val="auto"/>
              </w:rPr>
              <w:t>liabilities</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(22,158)</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(11,905)</w:t>
            </w:r>
          </w:p>
        </w:tc>
      </w:tr>
      <w:tr>
        <w:trPr>
          <w:trHeight w:val="186"/>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(Increase) in other assets and other</w:t>
            </w:r>
          </w:p>
        </w:tc>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340" w:type="dxa"/>
            <w:vAlign w:val="bottom"/>
          </w:tcPr>
          <w:p>
            <w:pPr>
              <w:ind w:left="880"/>
              <w:spacing w:after="0"/>
              <w:rPr>
                <w:sz w:val="20"/>
                <w:szCs w:val="20"/>
                <w:color w:val="auto"/>
              </w:rPr>
            </w:pPr>
            <w:r>
              <w:rPr>
                <w:rFonts w:ascii="Courier New" w:cs="Courier New" w:eastAsia="Courier New" w:hAnsi="Courier New"/>
                <w:sz w:val="16"/>
                <w:szCs w:val="16"/>
                <w:color w:val="auto"/>
              </w:rPr>
              <w:t>liabilities, net</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(109)</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5,565</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5,202</w:t>
            </w:r>
          </w:p>
        </w:tc>
      </w:tr>
      <w:tr>
        <w:trPr>
          <w:trHeight w:val="186"/>
        </w:trPr>
        <w:tc>
          <w:tcPr>
            <w:tcW w:w="6340" w:type="dxa"/>
            <w:vAlign w:val="bottom"/>
          </w:tcPr>
          <w:p>
            <w:pPr>
              <w:spacing w:after="0"/>
              <w:rPr>
                <w:sz w:val="16"/>
                <w:szCs w:val="16"/>
                <w:color w:val="auto"/>
              </w:rPr>
            </w:pP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69,732</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71,806</w:t>
            </w:r>
          </w:p>
        </w:tc>
      </w:tr>
      <w:tr>
        <w:trPr>
          <w:trHeight w:val="186"/>
        </w:trPr>
        <w:tc>
          <w:tcPr>
            <w:tcW w:w="6340" w:type="dxa"/>
            <w:vAlign w:val="bottom"/>
          </w:tcPr>
          <w:p>
            <w:pPr>
              <w:spacing w:after="0"/>
              <w:rPr>
                <w:sz w:val="16"/>
                <w:szCs w:val="16"/>
                <w:color w:val="auto"/>
              </w:rPr>
            </w:pP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Net proceeds from sale of business</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32,743</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Purchases of property, plant and equipment</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(16,259)</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(22,894)</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Purchases of marketable securities</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(43,116)</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Proceeds from sales of marketable securities</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182,587</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Investments in certain businesses</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(8,750)</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Payments for program rights</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(5,834)</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(4,526)</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33</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456</w:t>
            </w:r>
          </w:p>
        </w:tc>
      </w:tr>
      <w:tr>
        <w:trPr>
          <w:trHeight w:val="186"/>
        </w:trPr>
        <w:tc>
          <w:tcPr>
            <w:tcW w:w="6340" w:type="dxa"/>
            <w:vAlign w:val="bottom"/>
          </w:tcPr>
          <w:p>
            <w:pPr>
              <w:spacing w:after="0"/>
              <w:rPr>
                <w:sz w:val="16"/>
                <w:szCs w:val="16"/>
                <w:color w:val="auto"/>
              </w:rPr>
            </w:pP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Net cash (used) provided by investing activities</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(32,433)</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146,873</w:t>
            </w:r>
          </w:p>
        </w:tc>
      </w:tr>
      <w:tr>
        <w:trPr>
          <w:trHeight w:val="186"/>
        </w:trPr>
        <w:tc>
          <w:tcPr>
            <w:tcW w:w="6340" w:type="dxa"/>
            <w:vAlign w:val="bottom"/>
          </w:tcPr>
          <w:p>
            <w:pPr>
              <w:spacing w:after="0"/>
              <w:rPr>
                <w:sz w:val="16"/>
                <w:szCs w:val="16"/>
                <w:color w:val="auto"/>
              </w:rPr>
            </w:pP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Dividends paid</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(12,443)</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(12,300)</w:t>
            </w:r>
          </w:p>
        </w:tc>
      </w:tr>
      <w:tr>
        <w:trPr>
          <w:trHeight w:val="186"/>
        </w:trPr>
        <w:tc>
          <w:tcPr>
            <w:tcW w:w="6340" w:type="dxa"/>
            <w:vAlign w:val="bottom"/>
          </w:tcPr>
          <w:p>
            <w:pPr>
              <w:ind w:left="300"/>
              <w:spacing w:after="0"/>
              <w:rPr>
                <w:sz w:val="20"/>
                <w:szCs w:val="20"/>
                <w:color w:val="auto"/>
              </w:rPr>
            </w:pPr>
            <w:r>
              <w:rPr>
                <w:rFonts w:ascii="Courier New" w:cs="Courier New" w:eastAsia="Courier New" w:hAnsi="Courier New"/>
                <w:sz w:val="16"/>
                <w:szCs w:val="16"/>
                <w:color w:val="auto"/>
              </w:rPr>
              <w:t>Common shares repurchased</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(59,536)</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16"/>
                <w:szCs w:val="16"/>
                <w:color w:val="auto"/>
              </w:rPr>
            </w:pP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580"/>
              <w:spacing w:after="0"/>
              <w:rPr>
                <w:sz w:val="20"/>
                <w:szCs w:val="20"/>
                <w:color w:val="auto"/>
              </w:rPr>
            </w:pPr>
            <w:r>
              <w:rPr>
                <w:rFonts w:ascii="Courier New" w:cs="Courier New" w:eastAsia="Courier New" w:hAnsi="Courier New"/>
                <w:sz w:val="16"/>
                <w:szCs w:val="16"/>
                <w:color w:val="auto"/>
              </w:rPr>
              <w:t>Net cash (used) by financing activities</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(71,979)</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(12,300)</w:t>
            </w:r>
          </w:p>
        </w:tc>
      </w:tr>
      <w:tr>
        <w:trPr>
          <w:trHeight w:val="186"/>
        </w:trPr>
        <w:tc>
          <w:tcPr>
            <w:tcW w:w="6340" w:type="dxa"/>
            <w:vAlign w:val="bottom"/>
          </w:tcPr>
          <w:p>
            <w:pPr>
              <w:spacing w:after="0"/>
              <w:rPr>
                <w:sz w:val="16"/>
                <w:szCs w:val="16"/>
                <w:color w:val="auto"/>
              </w:rPr>
            </w:pP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3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(34,680)</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206,379</w:t>
            </w:r>
          </w:p>
        </w:tc>
      </w:tr>
      <w:tr>
        <w:trPr>
          <w:trHeight w:val="373"/>
        </w:trPr>
        <w:tc>
          <w:tcPr>
            <w:tcW w:w="6340" w:type="dxa"/>
            <w:vAlign w:val="bottom"/>
          </w:tcPr>
          <w:p>
            <w:pPr>
              <w:spacing w:after="0"/>
              <w:rPr>
                <w:sz w:val="20"/>
                <w:szCs w:val="20"/>
                <w:color w:val="auto"/>
              </w:rPr>
            </w:pPr>
            <w:r>
              <w:rPr>
                <w:rFonts w:ascii="Courier New" w:cs="Courier New" w:eastAsia="Courier New" w:hAnsi="Courier New"/>
                <w:sz w:val="16"/>
                <w:szCs w:val="16"/>
                <w:color w:val="auto"/>
              </w:rPr>
              <w:t>Beginning cash and cash equivalents</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117,269</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171,512</w:t>
            </w:r>
          </w:p>
        </w:tc>
      </w:tr>
      <w:tr>
        <w:trPr>
          <w:trHeight w:val="186"/>
        </w:trPr>
        <w:tc>
          <w:tcPr>
            <w:tcW w:w="6340" w:type="dxa"/>
            <w:vAlign w:val="bottom"/>
          </w:tcPr>
          <w:p>
            <w:pPr>
              <w:spacing w:after="0"/>
              <w:rPr>
                <w:sz w:val="16"/>
                <w:szCs w:val="16"/>
                <w:color w:val="auto"/>
              </w:rPr>
            </w:pP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spacing w:after="0"/>
              <w:rPr>
                <w:sz w:val="20"/>
                <w:szCs w:val="20"/>
                <w:color w:val="auto"/>
              </w:rPr>
            </w:pPr>
            <w:r>
              <w:rPr>
                <w:rFonts w:ascii="Courier New" w:cs="Courier New" w:eastAsia="Courier New" w:hAnsi="Courier New"/>
                <w:sz w:val="16"/>
                <w:szCs w:val="16"/>
                <w:color w:val="auto"/>
              </w:rPr>
              <w:t>Ending cash and cash equivalents</w:t>
            </w: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$ 82,589</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$377,891</w:t>
            </w:r>
          </w:p>
        </w:tc>
      </w:tr>
      <w:tr>
        <w:trPr>
          <w:trHeight w:val="186"/>
        </w:trPr>
        <w:tc>
          <w:tcPr>
            <w:tcW w:w="6340" w:type="dxa"/>
            <w:vAlign w:val="bottom"/>
          </w:tcPr>
          <w:p>
            <w:pPr>
              <w:spacing w:after="0"/>
              <w:rPr>
                <w:sz w:val="16"/>
                <w:szCs w:val="16"/>
                <w:color w:val="auto"/>
              </w:rPr>
            </w:pPr>
          </w:p>
        </w:tc>
        <w:tc>
          <w:tcPr>
            <w:tcW w:w="3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040"/>
          </w:cols>
          <w:pgMar w:left="240" w:top="303" w:right="619"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6.</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378"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8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Note 2: Summarized combined (unaudited) results of operations for the first quarters of 1995 and 1994 for the company's affiliates are as follows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80" w:type="dxa"/>
            <w:vAlign w:val="bottom"/>
          </w:tcPr>
          <w:p>
            <w:pPr>
              <w:spacing w:after="0"/>
              <w:rPr>
                <w:sz w:val="15"/>
                <w:szCs w:val="15"/>
                <w:color w:val="auto"/>
              </w:rPr>
            </w:pPr>
          </w:p>
        </w:tc>
        <w:tc>
          <w:tcPr>
            <w:tcW w:w="42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First Quarter</w:t>
            </w:r>
          </w:p>
        </w:tc>
      </w:tr>
      <w:tr>
        <w:trPr>
          <w:trHeight w:val="186"/>
        </w:trPr>
        <w:tc>
          <w:tcPr>
            <w:tcW w:w="3480" w:type="dxa"/>
            <w:vAlign w:val="bottom"/>
          </w:tcPr>
          <w:p>
            <w:pPr>
              <w:spacing w:after="0"/>
              <w:rPr>
                <w:sz w:val="16"/>
                <w:szCs w:val="16"/>
                <w:color w:val="auto"/>
              </w:rPr>
            </w:pPr>
          </w:p>
        </w:tc>
        <w:tc>
          <w:tcPr>
            <w:tcW w:w="42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spacing w:after="0"/>
              <w:rPr>
                <w:sz w:val="16"/>
                <w:szCs w:val="16"/>
                <w:color w:val="auto"/>
              </w:rPr>
            </w:pPr>
          </w:p>
        </w:tc>
        <w:tc>
          <w:tcPr>
            <w:tcW w:w="29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3480" w:type="dxa"/>
            <w:vAlign w:val="bottom"/>
          </w:tcPr>
          <w:p>
            <w:pPr>
              <w:spacing w:after="0"/>
              <w:rPr>
                <w:sz w:val="16"/>
                <w:szCs w:val="16"/>
                <w:color w:val="auto"/>
              </w:rPr>
            </w:pPr>
          </w:p>
        </w:tc>
        <w:tc>
          <w:tcPr>
            <w:tcW w:w="29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4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9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$200,810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$167,142</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9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15,414</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2,454</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9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7,770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(4,204)</w:t>
            </w:r>
          </w:p>
        </w:tc>
      </w:tr>
    </w:tbl>
    <w:p>
      <w:pPr>
        <w:spacing w:after="0" w:line="377"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Note 3: In April 1994 the company acquired substantially all of the assets comprising the businesses of television stations KPRC-TV, an NBC affiliate in Houston, Texas, and KSAT-TV, an ABC affiliate in San Antonio, Texas, for $253 million in cash. The transaction was accounted for as a purchase and the results of operations of the television stations were included with those of the company for the period subsequent to the date of acquisition.</w:t>
      </w:r>
    </w:p>
    <w:p>
      <w:pPr>
        <w:spacing w:after="0" w:line="185" w:lineRule="exact"/>
        <w:rPr>
          <w:sz w:val="20"/>
          <w:szCs w:val="20"/>
          <w:color w:val="auto"/>
        </w:rPr>
      </w:pPr>
    </w:p>
    <w:p>
      <w:pPr>
        <w:ind w:right="2559" w:firstLine="1066"/>
        <w:spacing w:after="0" w:line="246" w:lineRule="auto"/>
        <w:rPr>
          <w:sz w:val="20"/>
          <w:szCs w:val="20"/>
          <w:color w:val="auto"/>
        </w:rPr>
      </w:pPr>
      <w:r>
        <w:rPr>
          <w:rFonts w:ascii="Courier New" w:cs="Courier New" w:eastAsia="Courier New" w:hAnsi="Courier New"/>
          <w:sz w:val="16"/>
          <w:szCs w:val="16"/>
          <w:color w:val="auto"/>
        </w:rPr>
        <w:t>The following statement presents the company's unaudited pro forma condensed consolidated income statement for the three months ended April 3, 1994, as if the acquisition of the television stations had occurred at the beginning of the three month period. Amounts reflect an allocation of the purchase price to the acquired net tangible assets, with the excess being amortized over a period of 20 years. The revenues and results of operations presented in the pro forma income statement does not necessarily reflect the results of operations that would actually have been obtained if the acquisition had occurred at the beginning of the three month period.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Pro Forma Income Statement</w:t>
            </w:r>
          </w:p>
        </w:tc>
      </w:tr>
      <w:tr>
        <w:trPr>
          <w:trHeight w:val="186"/>
        </w:trPr>
        <w:tc>
          <w:tcPr>
            <w:tcW w:w="5280" w:type="dxa"/>
            <w:vAlign w:val="bottom"/>
          </w:tcPr>
          <w:p>
            <w:pPr>
              <w:spacing w:after="0"/>
              <w:rPr>
                <w:sz w:val="16"/>
                <w:szCs w:val="16"/>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For the Three-months Ended</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39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April 3, 1994</w:t>
            </w:r>
          </w:p>
        </w:tc>
      </w:tr>
      <w:tr>
        <w:trPr>
          <w:trHeight w:val="186"/>
        </w:trPr>
        <w:tc>
          <w:tcPr>
            <w:tcW w:w="5280" w:type="dxa"/>
            <w:vAlign w:val="bottom"/>
          </w:tcPr>
          <w:p>
            <w:pPr>
              <w:spacing w:after="0"/>
              <w:rPr>
                <w:sz w:val="16"/>
                <w:szCs w:val="16"/>
                <w:color w:val="auto"/>
              </w:rPr>
            </w:pPr>
          </w:p>
        </w:tc>
        <w:tc>
          <w:tcPr>
            <w:tcW w:w="39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39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$373,439</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9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28,872</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39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$2.46</w:t>
            </w:r>
          </w:p>
        </w:tc>
      </w:tr>
    </w:tbl>
    <w:p>
      <w:pPr>
        <w:spacing w:after="0" w:line="377"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In January 1995 the company sold substantially all of its 70 percent limited partnership interest in American Personal Communications (APC) to its partner APC, Inc., and others, for approximately $33 million. The proceeds approximate the amounts The Washington Post Company had invested in the partnership since it was formed in August 1990. The company's 1995 first-quarter net income includes $8.4 million ($.75 per share) from the sale.</w:t>
      </w:r>
    </w:p>
    <w:p>
      <w:pPr>
        <w:spacing w:after="0" w:line="18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Note 4: During the first three months of 1995 the company repurchased 244,906 shares of its Class B common stock at a cost of $59.5 million.</w:t>
      </w:r>
    </w:p>
    <w:p>
      <w:pPr>
        <w:sectPr>
          <w:pgSz w:w="11900" w:h="16838" w:orient="portrait"/>
          <w:cols w:equalWidth="0" w:num="1">
            <w:col w:w="10219"/>
          </w:cols>
          <w:pgMar w:left="240" w:top="30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7.</w:t>
      </w:r>
    </w:p>
    <w:p>
      <w:pPr>
        <w:spacing w:after="0" w:line="378" w:lineRule="exact"/>
        <w:rPr>
          <w:sz w:val="20"/>
          <w:szCs w:val="20"/>
          <w:color w:val="auto"/>
        </w:rPr>
      </w:pPr>
    </w:p>
    <w:p>
      <w:pPr>
        <w:ind w:right="4499"/>
        <w:spacing w:after="0" w:line="248" w:lineRule="auto"/>
        <w:rPr>
          <w:sz w:val="20"/>
          <w:szCs w:val="20"/>
          <w:color w:val="auto"/>
        </w:rPr>
      </w:pPr>
      <w:r>
        <w:rPr>
          <w:rFonts w:ascii="Courier New" w:cs="Courier New" w:eastAsia="Courier New" w:hAnsi="Courier New"/>
          <w:sz w:val="16"/>
          <w:szCs w:val="16"/>
          <w:color w:val="auto"/>
        </w:rPr>
        <w:t>ITEM 2. MANAGEMENT'S DISCUSSION AND ANALYSIS OF RESULTS OF OPERATIONS AND FINANCIAL CONDITION</w:t>
      </w:r>
    </w:p>
    <w:p>
      <w:pPr>
        <w:spacing w:after="0" w:line="184" w:lineRule="exact"/>
        <w:rPr>
          <w:sz w:val="20"/>
          <w:szCs w:val="20"/>
          <w:color w:val="auto"/>
        </w:rPr>
      </w:pPr>
    </w:p>
    <w:p>
      <w:pPr>
        <w:ind w:right="3039" w:firstLine="872"/>
        <w:spacing w:after="0" w:line="248" w:lineRule="auto"/>
        <w:rPr>
          <w:sz w:val="20"/>
          <w:szCs w:val="20"/>
          <w:color w:val="auto"/>
        </w:rPr>
      </w:pPr>
      <w:r>
        <w:rPr>
          <w:rFonts w:ascii="Courier New" w:cs="Courier New" w:eastAsia="Courier New" w:hAnsi="Courier New"/>
          <w:sz w:val="16"/>
          <w:szCs w:val="16"/>
          <w:color w:val="auto"/>
        </w:rPr>
        <w:t>This analysis should be read in conjunction with the consolidated financial statements and the notes thereto.</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Revenues and expenses in the first and third quarters are customarily lower than those in the second and fourth quarters because of significant fluctuations in advertising volume. For that reason, the results of operations for each quarter are compared with those of the corresponding quarter in the preceding year.</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RESULTS OF OPERATION</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Net income for the first quarter of 1995 was $43.9 million ($3.91 per share), an increase of 52.4 percent from net income of $28.8 million ($2.46 per share) last year. The company's 1995 first-quarter net income includes $8.4 million ($0.75 per share) from the sale, at its original cost, of substantially all of the company's investment in American PCS, L.P. Excluding the effect of the sale, net income increased 23.2 percent to $35.5 million in the first quarter this year.</w:t>
      </w:r>
    </w:p>
    <w:p>
      <w:pPr>
        <w:spacing w:after="0" w:line="185" w:lineRule="exact"/>
        <w:rPr>
          <w:sz w:val="20"/>
          <w:szCs w:val="20"/>
          <w:color w:val="auto"/>
        </w:rPr>
      </w:pPr>
    </w:p>
    <w:p>
      <w:pPr>
        <w:ind w:right="2759" w:firstLine="872"/>
        <w:spacing w:after="0" w:line="246" w:lineRule="auto"/>
        <w:rPr>
          <w:sz w:val="20"/>
          <w:szCs w:val="20"/>
          <w:color w:val="auto"/>
        </w:rPr>
      </w:pPr>
      <w:r>
        <w:rPr>
          <w:rFonts w:ascii="Courier New" w:cs="Courier New" w:eastAsia="Courier New" w:hAnsi="Courier New"/>
          <w:sz w:val="16"/>
          <w:szCs w:val="16"/>
          <w:color w:val="auto"/>
        </w:rPr>
        <w:t>Revenues for the first three months of 1995 were $401.6 million, an increase of 12.0 percent from $358.5 million in the first quarter of 1994. Advertising revenues rose 18.9 percent and other revenues increased 10.2 percent while circulation and subscriber revenues were down less than one percent. All divisions reported higher revenues in the first quarter of 1995 compared to the same period last year. The broadcast division had exceptionally strong revenue gains, reflecting the results of the two television stations acquired April 22, 1994 as well as higher revenues at the original four stations.</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Costs and expenses for the first quarter of 1995 increased 11.7 percent to $343.2 million , from $307.3 million in the first quarter of 1994. Operating expenses and selling, general and administrative expenses increased 10.8 percent and 10.2 percent, respectively, over the same period last year. Depreciation expense increased 11.3 percent compared to the first quarter of 1994 while amortization expense increased 90.3 percent. Approximately one-half of the total increase in costs and expenses (and all of the amortization increase) relates to additional expenses associated with new businesses, principally the two television stations acquired in April of 1994. In addition, a 21.7 percent increase in newsprint expense at The Post newspaper had a significant negative impact on operating results versus last year. The remainder of the increases reflect normal growth in operating expenses.</w:t>
      </w:r>
    </w:p>
    <w:p>
      <w:pPr>
        <w:spacing w:after="0" w:line="193"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In the first quarter of 1995 operating income rose to $58.3 million, a 13.9 percent increase over $51.2 million in 1994. The improvement was due principally to better results at the broadcast division.</w:t>
      </w:r>
    </w:p>
    <w:p>
      <w:pPr>
        <w:sectPr>
          <w:pgSz w:w="11900" w:h="16838" w:orient="portrait"/>
          <w:cols w:equalWidth="0" w:num="1">
            <w:col w:w="10219"/>
          </w:cols>
          <w:pgMar w:left="240" w:top="30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746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64"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NEWSPAPER DIVISION. At the newspaper division, revenues increased 6.9 percent in the first quarter of 1995. Advertising revenues for the division increased 7.3 percent, due primarily to strong classified and preprint advertising at The Post. Retail lineage at The Post was down 6.4 percent; classified volume increased 5.2 percent due to strong performance in recruitment advertising. General lineage at The Post was down 3.4 percent while preprint volume improved 20 percent. Circulation revenues increased 2.1 percent for the division compared to the first quarter of 1994. Daily and Sunday circulation at The Post were down 1.5 percent and 0.8 percent, respectively, compared to last year.</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BROADCAST DIVISION. Revenues at the broadcast division, which include the results of the two Texas television stations purchased on April 22, 1994, increased 61.1 percent over the first quarter of 1994. Local advertising revenues increased 56.5 percent and national advertising revenues rose 49.7 percent in the first quarter of 1995 compared to the same period last year. Approximately 70 percent of the total increase in revenue is attributable to the new television stations. Costs and expenses at the broadcast division increased 65.3 percent compared to the first quarter of 1994. The increase was due almost entirely to the new television stations.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60" w:type="dxa"/>
            <w:vAlign w:val="bottom"/>
            <w:gridSpan w:val="4"/>
          </w:tcPr>
          <w:p>
            <w:pPr>
              <w:spacing w:after="0"/>
              <w:rPr>
                <w:sz w:val="20"/>
                <w:szCs w:val="20"/>
                <w:color w:val="auto"/>
              </w:rPr>
            </w:pPr>
            <w:r>
              <w:rPr>
                <w:rFonts w:ascii="Courier New" w:cs="Courier New" w:eastAsia="Courier New" w:hAnsi="Courier New"/>
                <w:sz w:val="16"/>
                <w:szCs w:val="16"/>
                <w:color w:val="auto"/>
              </w:rPr>
              <w:t>MAGAZINE DIVISION.  Newsweek revenues in the</w:t>
            </w:r>
          </w:p>
        </w:tc>
        <w:tc>
          <w:tcPr>
            <w:tcW w:w="3300" w:type="dxa"/>
            <w:vAlign w:val="bottom"/>
            <w:gridSpan w:val="3"/>
          </w:tcPr>
          <w:p>
            <w:pPr>
              <w:spacing w:after="0"/>
              <w:rPr>
                <w:sz w:val="20"/>
                <w:szCs w:val="20"/>
                <w:color w:val="auto"/>
              </w:rPr>
            </w:pPr>
            <w:r>
              <w:rPr>
                <w:rFonts w:ascii="Courier New" w:cs="Courier New" w:eastAsia="Courier New" w:hAnsi="Courier New"/>
                <w:sz w:val="16"/>
                <w:szCs w:val="16"/>
                <w:color w:val="auto"/>
              </w:rPr>
              <w:t>first quarter of 1995 increased</w:t>
            </w:r>
          </w:p>
        </w:tc>
      </w:tr>
      <w:tr>
        <w:trPr>
          <w:trHeight w:val="186"/>
        </w:trPr>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rPr>
              <w:t>2.5 percent.</w:t>
            </w:r>
          </w:p>
        </w:tc>
        <w:tc>
          <w:tcPr>
            <w:tcW w:w="3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Advertising revenues increased</w:t>
            </w: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11.1 percent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on higher</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advertising</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volume at</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both</w:t>
            </w:r>
          </w:p>
        </w:tc>
        <w:tc>
          <w:tcPr>
            <w:tcW w:w="1300" w:type="dxa"/>
            <w:vAlign w:val="bottom"/>
          </w:tcPr>
          <w:p>
            <w:pPr>
              <w:ind w:left="100"/>
              <w:spacing w:after="0"/>
              <w:rPr>
                <w:sz w:val="20"/>
                <w:szCs w:val="20"/>
                <w:color w:val="auto"/>
              </w:rPr>
            </w:pPr>
            <w:r>
              <w:rPr>
                <w:rFonts w:ascii="Courier New" w:cs="Courier New" w:eastAsia="Courier New" w:hAnsi="Courier New"/>
                <w:sz w:val="16"/>
                <w:szCs w:val="16"/>
                <w:color w:val="auto"/>
              </w:rPr>
              <w:t>the domestic</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and international</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divisions.</w:t>
            </w:r>
          </w:p>
        </w:tc>
        <w:tc>
          <w:tcPr>
            <w:tcW w:w="20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Circulation revenues</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were down</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6.0</w:t>
            </w:r>
          </w:p>
        </w:tc>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percent as a result of one less</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regular issue and one</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less</w:t>
            </w:r>
          </w:p>
        </w:tc>
      </w:tr>
      <w:tr>
        <w:trPr>
          <w:trHeight w:val="186"/>
        </w:trPr>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w w:val="99"/>
              </w:rPr>
              <w:t>newsstand-only</w:t>
            </w:r>
          </w:p>
        </w:tc>
        <w:tc>
          <w:tcPr>
            <w:tcW w:w="1300" w:type="dxa"/>
            <w:vAlign w:val="bottom"/>
          </w:tcPr>
          <w:p>
            <w:pPr>
              <w:ind w:left="100"/>
              <w:spacing w:after="0"/>
              <w:rPr>
                <w:sz w:val="20"/>
                <w:szCs w:val="20"/>
                <w:color w:val="auto"/>
              </w:rPr>
            </w:pPr>
            <w:r>
              <w:rPr>
                <w:rFonts w:ascii="Courier New" w:cs="Courier New" w:eastAsia="Courier New" w:hAnsi="Courier New"/>
                <w:sz w:val="16"/>
                <w:szCs w:val="16"/>
                <w:color w:val="auto"/>
              </w:rPr>
              <w:t>issue at the</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domestic edition.</w:t>
            </w: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90"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CABLE DIVISION. At the cable division, first quarter revenues were 2.5 percent higher than in the comparable period in 1994. A 3.5 percent increase in the number of basic subscribers was offset by lower subscriber rates as a result of the second round of cable industry regulation effective in July 1994. At the end of the quarter, there were approximately 504,000 basic subscribers.</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OTHER BUSINESSES. In the first quarter of 1995, revenues from other businesses increased 10.8 percent led by a 13.7 percent improvement at Kaplan Educational Centers. Revenues at the remaining other businesses, principally PASS Sports, Legi-Slate, Digital Ink, Mammoth Micro Productions and Moffet, Larson &amp; Johnson, increased 4.6 percent.</w:t>
      </w:r>
    </w:p>
    <w:p>
      <w:pPr>
        <w:spacing w:after="0" w:line="18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EQUITY IN EARNINGS AND LOSSES OF AFFILIATES. The company's equity in earnings of affiliates in the first three months was $0.8 million compared with a loss of $5.4 million in 1994. The improvement was due to better results at the company's affiliated newsprint mills, which are benefiting from higher newsprint prices.</w:t>
      </w:r>
    </w:p>
    <w:p>
      <w:pPr>
        <w:spacing w:after="0" w:line="185"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6"/>
          <w:szCs w:val="16"/>
          <w:color w:val="auto"/>
        </w:rPr>
        <w:t>NON-OPERATING ITEMS. Interest income, net of interest expense, was $0.9 million, compared with $2.1 million in the first quarter of 1994.</w:t>
      </w:r>
    </w:p>
    <w:p>
      <w:pPr>
        <w:sectPr>
          <w:pgSz w:w="11900" w:h="16838" w:orient="portrait"/>
          <w:cols w:equalWidth="0" w:num="1">
            <w:col w:w="10219"/>
          </w:cols>
          <w:pgMar w:left="240" w:top="303"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9.</w:t>
      </w:r>
    </w:p>
    <w:p>
      <w:pPr>
        <w:spacing w:after="0" w:line="378"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The company had lower invested cash balances due mainly to the acquisition of two television stations in April 1994 and the repurchase of company stock.</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Other income in the first quarter of 1995 was $14.4 million compared with $2.6 million in the same period last year. The increase is due to the sale of substantially all of the company's interest in American PCS, LP in January 1995. The first quarter of 1994 included a gain of $2.5 million resulting from a change in the company's ownership interest in another of it's affiliates.</w:t>
      </w:r>
    </w:p>
    <w:p>
      <w:pPr>
        <w:spacing w:after="0" w:line="18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INCOME TAXES. The effective tax rate in 1995 decreased to 41 percent, from 43 percent in 1994.</w:t>
      </w:r>
    </w:p>
    <w:p>
      <w:pPr>
        <w:spacing w:after="0" w:line="184"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FINANCIAL CONDITION:</w:t>
        <w:tab/>
        <w:t>CAPITAL RESOURCES AND LIQUIDITY</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company has completed its assessment of the need for a new production facility at The Washington Post newspaper. On May 17, 1995, the company announced a contract to purchase new press equipment as part of a three year $250 million capital project beginning later in 1995. The company expects to fund all of these expenditures from operating cash flows.</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As indicated previously, the newspaper division has experienced significant increases in newsprint prices in the first quarter and anticipates further increases during the year. These increases have and will impact the company's operating results significantly. As a result of the company's investment in newsprint paper mills, which are included in equity in income of affiliates, the company expects that a significant portion of the increased costs will be offset by increased profits at the newsprint affiliates.</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As of the end of 1994, the company had repurchased approximately 885,000 shares of the one million Class B shares authorized for repurchase by the Board of Directors in May 1990. In January 1995 the Board of Directors authorized the company to repurchase an additional one million Class B shares, primarily through block purchases. In the first quarter of 1995, the company repurchased 244,906 shares of its Class B common stock for $59.5 million. This completed the repurchase under the May 1990 authorization; approximately 870,000 Class B shares remain to be repurchased under the January 1995 authorization.</w:t>
      </w:r>
    </w:p>
    <w:p>
      <w:pPr>
        <w:spacing w:after="0" w:line="191" w:lineRule="exact"/>
        <w:rPr>
          <w:sz w:val="20"/>
          <w:szCs w:val="20"/>
          <w:color w:val="auto"/>
        </w:rPr>
      </w:pPr>
    </w:p>
    <w:p>
      <w:pPr>
        <w:ind w:right="3239" w:firstLine="872"/>
        <w:spacing w:after="0" w:line="248" w:lineRule="auto"/>
        <w:rPr>
          <w:sz w:val="20"/>
          <w:szCs w:val="20"/>
          <w:color w:val="auto"/>
        </w:rPr>
      </w:pPr>
      <w:r>
        <w:rPr>
          <w:rFonts w:ascii="Courier New" w:cs="Courier New" w:eastAsia="Courier New" w:hAnsi="Courier New"/>
          <w:sz w:val="16"/>
          <w:szCs w:val="16"/>
          <w:color w:val="auto"/>
        </w:rPr>
        <w:t>The company has experienced no other significant changes in its financial condition since the end of 1994.</w:t>
      </w:r>
    </w:p>
    <w:p>
      <w:pPr>
        <w:sectPr>
          <w:pgSz w:w="11900" w:h="16838" w:orient="portrait"/>
          <w:cols w:equalWidth="0" w:num="1">
            <w:col w:w="10219"/>
          </w:cols>
          <w:pgMar w:left="240" w:top="303"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10.</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378" w:lineRule="exact"/>
        <w:rPr>
          <w:sz w:val="20"/>
          <w:szCs w:val="20"/>
          <w:color w:val="auto"/>
        </w:rPr>
      </w:pPr>
    </w:p>
    <w:p>
      <w:pPr>
        <w:ind w:left="880" w:hanging="590"/>
        <w:spacing w:after="0"/>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documents are filed as exhibits to this report:</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EXHIBIT</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91" w:lineRule="exact"/>
        <w:rPr>
          <w:sz w:val="20"/>
          <w:szCs w:val="20"/>
          <w:color w:val="auto"/>
        </w:rPr>
      </w:pPr>
    </w:p>
    <w:p>
      <w:pPr>
        <w:sectPr>
          <w:pgSz w:w="11900" w:h="16838" w:orient="portrait"/>
          <w:cols w:equalWidth="0" w:num="2">
            <w:col w:w="3440" w:space="720"/>
            <w:col w:w="6059"/>
          </w:cols>
          <w:pgMar w:left="240" w:top="303" w:right="1440" w:bottom="1440" w:gutter="0" w:footer="0" w:header="0"/>
          <w:type w:val="continuous"/>
        </w:sectPr>
      </w:pPr>
    </w:p>
    <w:p>
      <w:pPr>
        <w:ind w:left="1940" w:right="5179" w:hanging="1650"/>
        <w:spacing w:after="0" w:line="248" w:lineRule="auto"/>
        <w:tabs>
          <w:tab w:leader="none" w:pos="1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average number of shares outstanding</w:t>
      </w:r>
    </w:p>
    <w:p>
      <w:pPr>
        <w:spacing w:after="0" w:line="184" w:lineRule="exact"/>
        <w:rPr>
          <w:sz w:val="20"/>
          <w:szCs w:val="20"/>
          <w:color w:val="auto"/>
        </w:rPr>
      </w:pPr>
    </w:p>
    <w:p>
      <w:pPr>
        <w:ind w:left="300"/>
        <w:spacing w:after="0"/>
        <w:tabs>
          <w:tab w:leader="none" w:pos="192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 (Electronic Filing Only)</w:t>
      </w:r>
    </w:p>
    <w:p>
      <w:pPr>
        <w:spacing w:after="0" w:line="200" w:lineRule="exact"/>
        <w:rPr>
          <w:sz w:val="20"/>
          <w:szCs w:val="20"/>
          <w:color w:val="auto"/>
        </w:rPr>
      </w:pPr>
    </w:p>
    <w:p>
      <w:pPr>
        <w:spacing w:after="0" w:line="364" w:lineRule="exact"/>
        <w:rPr>
          <w:sz w:val="20"/>
          <w:szCs w:val="20"/>
          <w:color w:val="auto"/>
        </w:rPr>
      </w:pPr>
    </w:p>
    <w:p>
      <w:pPr>
        <w:ind w:left="880" w:right="3339" w:hanging="590"/>
        <w:spacing w:after="0" w:line="248"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period covered by this report.</w:t>
      </w:r>
    </w:p>
    <w:p>
      <w:pPr>
        <w:sectPr>
          <w:pgSz w:w="11900" w:h="16838" w:orient="portrait"/>
          <w:cols w:equalWidth="0" w:num="1">
            <w:col w:w="10219"/>
          </w:cols>
          <w:pgMar w:left="240" w:top="303"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64" w:lineRule="exact"/>
        <w:rPr>
          <w:sz w:val="20"/>
          <w:szCs w:val="20"/>
          <w:color w:val="auto"/>
        </w:rPr>
      </w:pPr>
    </w:p>
    <w:p>
      <w:pPr>
        <w:jc w:val="both"/>
        <w:ind w:right="2759"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THE WASHINGTON POST COMPANY</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17,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 Donald E. Graham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Donald E. Graham, Chairman &amp;</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Chief Executive Officer</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480" w:space="200"/>
            <w:col w:w="2080" w:space="720"/>
            <w:col w:w="6739"/>
          </w:cols>
          <w:pgMar w:left="240" w:top="303" w:right="1440"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17,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 John B. Morse,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B. Morse, Jr., Vice President-Finance</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(Principal Financial Officer)</w:t>
      </w:r>
    </w:p>
    <w:p>
      <w:pPr>
        <w:sectPr>
          <w:pgSz w:w="11900" w:h="16838" w:orient="portrait"/>
          <w:cols w:equalWidth="0" w:num="3">
            <w:col w:w="480" w:space="200"/>
            <w:col w:w="2080" w:space="720"/>
            <w:col w:w="6739"/>
          </w:cols>
          <w:pgMar w:left="240" w:top="303"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w:t>
      </w:r>
    </w:p>
    <w:p>
      <w:pPr>
        <w:spacing w:after="0" w:line="378" w:lineRule="exact"/>
        <w:rPr>
          <w:sz w:val="20"/>
          <w:szCs w:val="20"/>
          <w:color w:val="auto"/>
        </w:rPr>
      </w:pPr>
    </w:p>
    <w:p>
      <w:pPr>
        <w:ind w:left="6780"/>
        <w:spacing w:after="0"/>
        <w:rPr>
          <w:sz w:val="20"/>
          <w:szCs w:val="20"/>
          <w:color w:val="auto"/>
        </w:rPr>
      </w:pPr>
      <w:r>
        <w:rPr>
          <w:rFonts w:ascii="Courier New" w:cs="Courier New" w:eastAsia="Courier New" w:hAnsi="Courier New"/>
          <w:sz w:val="16"/>
          <w:szCs w:val="16"/>
          <w:color w:val="auto"/>
        </w:rPr>
        <w:t>Exhibit 11</w:t>
      </w:r>
    </w:p>
    <w:p>
      <w:pPr>
        <w:spacing w:after="0" w:line="37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CALCULATION OF AVERAGE</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NUMBER OF SHARES OUTSTANDING</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 thousands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20" w:type="dxa"/>
            <w:vAlign w:val="bottom"/>
          </w:tcPr>
          <w:p>
            <w:pPr>
              <w:spacing w:after="0"/>
              <w:rPr>
                <w:sz w:val="15"/>
                <w:szCs w:val="15"/>
                <w:color w:val="auto"/>
              </w:rPr>
            </w:pPr>
          </w:p>
        </w:tc>
        <w:tc>
          <w:tcPr>
            <w:tcW w:w="51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Thirteen Weeks Ended</w:t>
            </w:r>
          </w:p>
        </w:tc>
      </w:tr>
      <w:tr>
        <w:trPr>
          <w:trHeight w:val="186"/>
        </w:trPr>
        <w:tc>
          <w:tcPr>
            <w:tcW w:w="4320" w:type="dxa"/>
            <w:vAlign w:val="bottom"/>
          </w:tcPr>
          <w:p>
            <w:pPr>
              <w:spacing w:after="0"/>
              <w:rPr>
                <w:sz w:val="16"/>
                <w:szCs w:val="16"/>
                <w:color w:val="auto"/>
              </w:rPr>
            </w:pPr>
          </w:p>
        </w:tc>
        <w:tc>
          <w:tcPr>
            <w:tcW w:w="51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4320" w:type="dxa"/>
            <w:vAlign w:val="bottom"/>
          </w:tcPr>
          <w:p>
            <w:pPr>
              <w:spacing w:after="0"/>
              <w:rPr>
                <w:sz w:val="16"/>
                <w:szCs w:val="16"/>
                <w:color w:val="auto"/>
              </w:rPr>
            </w:pPr>
          </w:p>
        </w:tc>
        <w:tc>
          <w:tcPr>
            <w:tcW w:w="3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April 2,</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April 3,</w:t>
            </w:r>
          </w:p>
        </w:tc>
      </w:tr>
      <w:tr>
        <w:trPr>
          <w:trHeight w:val="186"/>
        </w:trPr>
        <w:tc>
          <w:tcPr>
            <w:tcW w:w="4320" w:type="dxa"/>
            <w:vAlign w:val="bottom"/>
          </w:tcPr>
          <w:p>
            <w:pPr>
              <w:spacing w:after="0"/>
              <w:rPr>
                <w:sz w:val="16"/>
                <w:szCs w:val="16"/>
                <w:color w:val="auto"/>
              </w:rPr>
            </w:pPr>
          </w:p>
        </w:tc>
        <w:tc>
          <w:tcPr>
            <w:tcW w:w="348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1995</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4320" w:type="dxa"/>
            <w:vAlign w:val="bottom"/>
          </w:tcPr>
          <w:p>
            <w:pPr>
              <w:spacing w:after="0"/>
              <w:rPr>
                <w:sz w:val="16"/>
                <w:szCs w:val="16"/>
                <w:color w:val="auto"/>
              </w:rPr>
            </w:pPr>
          </w:p>
        </w:tc>
        <w:tc>
          <w:tcPr>
            <w:tcW w:w="3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4320" w:type="dxa"/>
            <w:vAlign w:val="bottom"/>
          </w:tcPr>
          <w:p>
            <w:pPr>
              <w:spacing w:after="0"/>
              <w:rPr>
                <w:sz w:val="20"/>
                <w:szCs w:val="20"/>
                <w:color w:val="auto"/>
              </w:rPr>
            </w:pPr>
            <w:r>
              <w:rPr>
                <w:rFonts w:ascii="Courier New" w:cs="Courier New" w:eastAsia="Courier New" w:hAnsi="Courier New"/>
                <w:sz w:val="16"/>
                <w:szCs w:val="16"/>
                <w:color w:val="auto"/>
              </w:rPr>
              <w:t>Number of shares of</w:t>
            </w:r>
          </w:p>
        </w:tc>
        <w:tc>
          <w:tcPr>
            <w:tcW w:w="34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Class A and Class B</w:t>
            </w:r>
          </w:p>
        </w:tc>
        <w:tc>
          <w:tcPr>
            <w:tcW w:w="34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stock outstanding</w:t>
            </w:r>
          </w:p>
        </w:tc>
        <w:tc>
          <w:tcPr>
            <w:tcW w:w="34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at beginning of</w:t>
            </w:r>
          </w:p>
        </w:tc>
        <w:tc>
          <w:tcPr>
            <w:tcW w:w="34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3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11,345</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11,713</w:t>
            </w:r>
          </w:p>
        </w:tc>
      </w:tr>
      <w:tr>
        <w:trPr>
          <w:trHeight w:val="373"/>
        </w:trPr>
        <w:tc>
          <w:tcPr>
            <w:tcW w:w="4320" w:type="dxa"/>
            <w:vAlign w:val="bottom"/>
          </w:tcPr>
          <w:p>
            <w:pPr>
              <w:spacing w:after="0"/>
              <w:rPr>
                <w:sz w:val="20"/>
                <w:szCs w:val="20"/>
                <w:color w:val="auto"/>
              </w:rPr>
            </w:pPr>
            <w:r>
              <w:rPr>
                <w:rFonts w:ascii="Courier New" w:cs="Courier New" w:eastAsia="Courier New" w:hAnsi="Courier New"/>
                <w:sz w:val="16"/>
                <w:szCs w:val="16"/>
                <w:color w:val="auto"/>
              </w:rPr>
              <w:t>Issuance of shares of</w:t>
            </w:r>
          </w:p>
        </w:tc>
        <w:tc>
          <w:tcPr>
            <w:tcW w:w="34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Class B common stock</w:t>
            </w:r>
          </w:p>
        </w:tc>
        <w:tc>
          <w:tcPr>
            <w:tcW w:w="34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(weighted), net of</w:t>
            </w:r>
          </w:p>
        </w:tc>
        <w:tc>
          <w:tcPr>
            <w:tcW w:w="34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forfeiture of re-</w:t>
            </w:r>
          </w:p>
        </w:tc>
        <w:tc>
          <w:tcPr>
            <w:tcW w:w="34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stricted stock awards</w:t>
            </w:r>
          </w:p>
        </w:tc>
        <w:tc>
          <w:tcPr>
            <w:tcW w:w="3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18</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320" w:type="dxa"/>
            <w:vAlign w:val="bottom"/>
          </w:tcPr>
          <w:p>
            <w:pPr>
              <w:spacing w:after="0"/>
              <w:rPr>
                <w:sz w:val="20"/>
                <w:szCs w:val="20"/>
                <w:color w:val="auto"/>
              </w:rPr>
            </w:pPr>
            <w:r>
              <w:rPr>
                <w:rFonts w:ascii="Courier New" w:cs="Courier New" w:eastAsia="Courier New" w:hAnsi="Courier New"/>
                <w:sz w:val="16"/>
                <w:szCs w:val="16"/>
                <w:color w:val="auto"/>
              </w:rPr>
              <w:t>Repurchase of Class B</w:t>
            </w:r>
          </w:p>
        </w:tc>
        <w:tc>
          <w:tcPr>
            <w:tcW w:w="34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common stock (weighted)</w:t>
            </w:r>
          </w:p>
        </w:tc>
        <w:tc>
          <w:tcPr>
            <w:tcW w:w="3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(149)</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320" w:type="dxa"/>
            <w:vAlign w:val="bottom"/>
          </w:tcPr>
          <w:p>
            <w:pPr>
              <w:spacing w:after="0"/>
              <w:rPr>
                <w:sz w:val="20"/>
                <w:szCs w:val="20"/>
                <w:color w:val="auto"/>
              </w:rPr>
            </w:pPr>
            <w:r>
              <w:rPr>
                <w:rFonts w:ascii="Courier New" w:cs="Courier New" w:eastAsia="Courier New" w:hAnsi="Courier New"/>
                <w:sz w:val="16"/>
                <w:szCs w:val="16"/>
                <w:color w:val="auto"/>
              </w:rPr>
              <w:t>Unexercised stock option</w:t>
            </w:r>
          </w:p>
        </w:tc>
        <w:tc>
          <w:tcPr>
            <w:tcW w:w="34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equivalent shares com-</w:t>
            </w:r>
          </w:p>
        </w:tc>
        <w:tc>
          <w:tcPr>
            <w:tcW w:w="34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puted under the "treasury</w:t>
            </w:r>
          </w:p>
        </w:tc>
        <w:tc>
          <w:tcPr>
            <w:tcW w:w="34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stock method"</w:t>
            </w:r>
          </w:p>
        </w:tc>
        <w:tc>
          <w:tcPr>
            <w:tcW w:w="3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6</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4320" w:type="dxa"/>
            <w:vAlign w:val="bottom"/>
          </w:tcPr>
          <w:p>
            <w:pPr>
              <w:spacing w:after="0"/>
              <w:rPr>
                <w:sz w:val="16"/>
                <w:szCs w:val="16"/>
                <w:color w:val="auto"/>
              </w:rPr>
            </w:pPr>
          </w:p>
        </w:tc>
        <w:tc>
          <w:tcPr>
            <w:tcW w:w="3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320" w:type="dxa"/>
            <w:vAlign w:val="bottom"/>
          </w:tcPr>
          <w:p>
            <w:pPr>
              <w:spacing w:after="0"/>
              <w:rPr>
                <w:sz w:val="20"/>
                <w:szCs w:val="20"/>
                <w:color w:val="auto"/>
              </w:rPr>
            </w:pPr>
            <w:r>
              <w:rPr>
                <w:rFonts w:ascii="Courier New" w:cs="Courier New" w:eastAsia="Courier New" w:hAnsi="Courier New"/>
                <w:sz w:val="16"/>
                <w:szCs w:val="16"/>
                <w:color w:val="auto"/>
              </w:rPr>
              <w:t>Average number of</w:t>
            </w:r>
          </w:p>
        </w:tc>
        <w:tc>
          <w:tcPr>
            <w:tcW w:w="34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shares outstanding</w:t>
            </w:r>
          </w:p>
        </w:tc>
        <w:tc>
          <w:tcPr>
            <w:tcW w:w="34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during the period</w:t>
            </w:r>
          </w:p>
        </w:tc>
        <w:tc>
          <w:tcPr>
            <w:tcW w:w="3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11,220</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11,720</w:t>
            </w:r>
          </w:p>
        </w:tc>
      </w:tr>
      <w:tr>
        <w:trPr>
          <w:trHeight w:val="186"/>
        </w:trPr>
        <w:tc>
          <w:tcPr>
            <w:tcW w:w="4320" w:type="dxa"/>
            <w:vAlign w:val="bottom"/>
          </w:tcPr>
          <w:p>
            <w:pPr>
              <w:spacing w:after="0"/>
              <w:rPr>
                <w:sz w:val="16"/>
                <w:szCs w:val="16"/>
                <w:color w:val="auto"/>
              </w:rPr>
            </w:pPr>
          </w:p>
        </w:tc>
        <w:tc>
          <w:tcPr>
            <w:tcW w:w="3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142" w:right="1440" w:bottom="1440" w:gutter="0" w:footer="0" w:header="0"/>
        </w:sectPr>
      </w:pPr>
    </w:p>
    <w:bookmarkStart w:id="12" w:name="page13"/>
    <w:bookmarkEnd w:id="12"/>
    <w:p>
      <w:pPr>
        <w:ind w:left="8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right="2739"/>
        <w:spacing w:after="0" w:line="24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INCOME FOR THE THREE MONTHS ENDED APRIL 2, 1995 AND THE CONSOLIDATED BALANCE SHEET AS OF APRIL 2, 1995 AND IS QUALIFIED IN ITS ENTIRETY BY REFERENCE TO SUCH FINANCIAL STATEMENTS.</w:t>
      </w:r>
    </w:p>
    <w:p>
      <w:pPr>
        <w:spacing w:after="0" w:line="18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7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3-MOS</w:t>
      </w:r>
    </w:p>
    <w:p>
      <w:pPr>
        <w:spacing w:after="0" w:line="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DEC-31-1995</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JAN-02-1995</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APR-02-1995</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82,589</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68,690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206,968</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36,732</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25,666</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380,732</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925,232</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514,676</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1,690,983</w:t>
      </w:r>
    </w:p>
    <w:p>
      <w:pPr>
        <w:spacing w:after="0" w:line="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342,343</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50,277</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20,000</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1,073,096</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1,690,983</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401,551</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221,158</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12,667</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1,431</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74,403</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30,505</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43,898</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43,898</w:t>
      </w:r>
    </w:p>
    <w:p>
      <w:pPr>
        <w:spacing w:after="0" w:line="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3.91</w:t>
      </w:r>
    </w:p>
    <w:p>
      <w:pPr>
        <w:spacing w:after="0" w:line="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3.91</w:t>
      </w:r>
    </w:p>
    <w:sectPr>
      <w:pgSz w:w="11900" w:h="16838" w:orient="portrait"/>
      <w:cols w:equalWidth="0" w:num="1">
        <w:col w:w="10199"/>
      </w:cols>
      <w:pgMar w:left="26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202"/>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2019-12-13T08:06:20Z</dcterms:created>
  <dcterms:modified xsi:type="dcterms:W3CDTF">2019-12-13T08:06:20Z</dcterms:modified>
</cp:coreProperties>
</file>