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ind w:left="3284"/>
        <w:spacing w:after="0"/>
        <w:rPr>
          <w:sz w:val="20"/>
          <w:szCs w:val="20"/>
          <w:color w:val="auto"/>
        </w:rPr>
      </w:pPr>
      <w:r>
        <w:rPr>
          <w:rFonts w:ascii="Courier New" w:cs="Courier New" w:eastAsia="Courier New" w:hAnsi="Courier New"/>
          <w:sz w:val="16"/>
          <w:szCs w:val="16"/>
          <w:color w:val="auto"/>
        </w:rPr>
        <w:t>FORM 10-Q</w:t>
      </w:r>
    </w:p>
    <w:p>
      <w:pPr>
        <w:ind w:left="2164"/>
        <w:spacing w:after="0" w:line="237" w:lineRule="auto"/>
        <w:rPr>
          <w:sz w:val="20"/>
          <w:szCs w:val="20"/>
          <w:color w:val="auto"/>
        </w:rPr>
      </w:pPr>
      <w:r>
        <w:rPr>
          <w:rFonts w:ascii="Courier New" w:cs="Courier New" w:eastAsia="Courier New" w:hAnsi="Courier New"/>
          <w:sz w:val="16"/>
          <w:szCs w:val="16"/>
          <w:color w:val="auto"/>
        </w:rPr>
        <w:t>SECURITIES AND EXCHANGE COMMISSION</w:t>
      </w:r>
    </w:p>
    <w:p>
      <w:pPr>
        <w:ind w:left="2724"/>
        <w:spacing w:after="0"/>
        <w:tabs>
          <w:tab w:leader="none" w:pos="4203"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20549</w:t>
      </w:r>
    </w:p>
    <w:p>
      <w:pPr>
        <w:spacing w:after="0" w:line="184"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Quarterly Report Pursuant to Section 13 or 15(d)</w:t>
      </w:r>
    </w:p>
    <w:p>
      <w:pPr>
        <w:spacing w:after="0" w:line="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of the Securities Exchange Act of 1934</w:t>
      </w:r>
    </w:p>
    <w:p>
      <w:pPr>
        <w:sectPr>
          <w:pgSz w:w="11900" w:h="16838" w:orient="portrait"/>
          <w:cols w:equalWidth="0" w:num="1">
            <w:col w:w="10223"/>
          </w:cols>
          <w:pgMar w:left="236" w:top="233" w:right="1440" w:bottom="1440" w:gutter="0" w:footer="0" w:header="0"/>
        </w:sectPr>
      </w:pPr>
    </w:p>
    <w:p>
      <w:pPr>
        <w:spacing w:after="0" w:line="200" w:lineRule="exact"/>
        <w:rPr>
          <w:sz w:val="24"/>
          <w:szCs w:val="24"/>
          <w:color w:val="auto"/>
        </w:rPr>
      </w:pPr>
    </w:p>
    <w:p>
      <w:pPr>
        <w:spacing w:after="0" w:line="345" w:lineRule="exact"/>
        <w:rPr>
          <w:sz w:val="24"/>
          <w:szCs w:val="24"/>
          <w:color w:val="auto"/>
        </w:rPr>
      </w:pPr>
    </w:p>
    <w:p>
      <w:pPr>
        <w:ind w:left="4" w:right="200"/>
        <w:spacing w:after="0" w:line="254" w:lineRule="auto"/>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tabs>
          <w:tab w:leader="none" w:pos="2140" w:val="left"/>
        </w:tabs>
        <w:rPr>
          <w:sz w:val="20"/>
          <w:szCs w:val="20"/>
          <w:color w:val="auto"/>
        </w:rPr>
      </w:pPr>
      <w:r>
        <w:rPr>
          <w:rFonts w:ascii="Courier New" w:cs="Courier New" w:eastAsia="Courier New" w:hAnsi="Courier New"/>
          <w:sz w:val="16"/>
          <w:szCs w:val="16"/>
          <w:color w:val="auto"/>
        </w:rPr>
        <w:t>June 29, 1997</w:t>
      </w:r>
      <w:r>
        <w:rPr>
          <w:sz w:val="20"/>
          <w:szCs w:val="20"/>
          <w:color w:val="auto"/>
        </w:rPr>
        <w:tab/>
      </w:r>
      <w:r>
        <w:rPr>
          <w:rFonts w:ascii="Courier New" w:cs="Courier New" w:eastAsia="Courier New" w:hAnsi="Courier New"/>
          <w:sz w:val="15"/>
          <w:szCs w:val="15"/>
          <w:color w:val="auto"/>
        </w:rPr>
        <w:t>Commission File Number 1-6714</w:t>
      </w:r>
    </w:p>
    <w:p>
      <w:pPr>
        <w:spacing w:after="0" w:line="4" w:lineRule="exact"/>
        <w:rPr>
          <w:sz w:val="24"/>
          <w:szCs w:val="24"/>
          <w:color w:val="auto"/>
        </w:rPr>
      </w:pPr>
    </w:p>
    <w:p>
      <w:pPr>
        <w:sectPr>
          <w:pgSz w:w="11900" w:h="16838" w:orient="portrait"/>
          <w:cols w:equalWidth="0" w:num="2">
            <w:col w:w="1804" w:space="720"/>
            <w:col w:w="7699"/>
          </w:cols>
          <w:pgMar w:left="236" w:top="233" w:right="1440" w:bottom="1440" w:gutter="0" w:footer="0" w:header="0"/>
          <w:type w:val="continuous"/>
        </w:sectPr>
      </w:pPr>
    </w:p>
    <w:p>
      <w:pPr>
        <w:ind w:left="1124"/>
        <w:spacing w:after="0" w:line="234"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THE WASHINGTON POST COMPANY</w:t>
      </w:r>
    </w:p>
    <w:p>
      <w:pPr>
        <w:spacing w:after="0" w:line="4" w:lineRule="exact"/>
        <w:rPr>
          <w:sz w:val="24"/>
          <w:szCs w:val="24"/>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6" w:lineRule="exact"/>
        <w:rPr>
          <w:rFonts w:ascii="Courier New" w:cs="Courier New" w:eastAsia="Courier New" w:hAnsi="Courier New"/>
          <w:sz w:val="15"/>
          <w:szCs w:val="15"/>
          <w:color w:val="auto"/>
        </w:rPr>
      </w:pPr>
    </w:p>
    <w:p>
      <w:pPr>
        <w:ind w:left="12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39" w:lineRule="exact"/>
        <w:rPr>
          <w:sz w:val="24"/>
          <w:szCs w:val="24"/>
          <w:color w:val="auto"/>
        </w:rPr>
      </w:pPr>
    </w:p>
    <w:p>
      <w:pPr>
        <w:ind w:left="1784"/>
        <w:spacing w:after="0"/>
        <w:tabs>
          <w:tab w:leader="none" w:pos="5983"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5"/>
          <w:szCs w:val="15"/>
          <w:color w:val="auto"/>
        </w:rPr>
        <w:t>53-0182885</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4"/>
          <w:szCs w:val="24"/>
          <w:color w:val="auto"/>
        </w:rPr>
      </w:pPr>
    </w:p>
    <w:p>
      <w:pPr>
        <w:ind w:left="844"/>
        <w:spacing w:after="0"/>
        <w:tabs>
          <w:tab w:leader="none" w:pos="5603"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ind w:left="844"/>
        <w:spacing w:after="0"/>
        <w:tabs>
          <w:tab w:leader="none" w:pos="5603"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359" w:lineRule="exact"/>
        <w:rPr>
          <w:sz w:val="24"/>
          <w:szCs w:val="24"/>
          <w:color w:val="auto"/>
        </w:rPr>
      </w:pPr>
    </w:p>
    <w:p>
      <w:pPr>
        <w:ind w:left="284"/>
        <w:spacing w:after="0"/>
        <w:tabs>
          <w:tab w:leader="none" w:pos="3443" w:val="left"/>
          <w:tab w:leader="none" w:pos="6643" w:val="left"/>
        </w:tabs>
        <w:rPr>
          <w:sz w:val="20"/>
          <w:szCs w:val="20"/>
          <w:color w:val="auto"/>
        </w:rPr>
      </w:pPr>
      <w:r>
        <w:rPr>
          <w:rFonts w:ascii="Courier New" w:cs="Courier New" w:eastAsia="Courier New" w:hAnsi="Courier New"/>
          <w:sz w:val="16"/>
          <w:szCs w:val="16"/>
          <w:color w:val="auto"/>
        </w:rPr>
        <w:t>1150 15th Street, N.W.</w:t>
      </w:r>
      <w:r>
        <w:rPr>
          <w:sz w:val="20"/>
          <w:szCs w:val="20"/>
          <w:color w:val="auto"/>
        </w:rPr>
        <w:tab/>
      </w: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20071</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4"/>
          <w:szCs w:val="24"/>
          <w:color w:val="auto"/>
        </w:rPr>
      </w:pPr>
    </w:p>
    <w:p>
      <w:pPr>
        <w:ind w:left="844"/>
        <w:spacing w:after="0"/>
        <w:tabs>
          <w:tab w:leader="none" w:pos="6443"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60" w:lineRule="exact"/>
        <w:rPr>
          <w:sz w:val="24"/>
          <w:szCs w:val="24"/>
          <w:color w:val="auto"/>
        </w:rPr>
      </w:pPr>
    </w:p>
    <w:p>
      <w:pPr>
        <w:ind w:left="3464" w:hanging="556"/>
        <w:spacing w:after="0"/>
        <w:tabs>
          <w:tab w:leader="none" w:pos="34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334-6000</w:t>
      </w:r>
    </w:p>
    <w:p>
      <w:pPr>
        <w:spacing w:after="0" w:line="4"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39"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Indicate by check mark</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whether the registrant</w:t>
            </w:r>
          </w:p>
        </w:tc>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rPr>
              <w:t>(1) has filed all</w:t>
            </w:r>
          </w:p>
        </w:tc>
      </w:tr>
      <w:tr>
        <w:trPr>
          <w:trHeight w:val="180"/>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w w:val="96"/>
              </w:rPr>
              <w:t>reports required to be filed by</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Section 13 or 15(d) of</w:t>
            </w:r>
          </w:p>
        </w:tc>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rPr>
              <w:t>the Securities Exchange</w:t>
            </w:r>
          </w:p>
        </w:tc>
      </w:tr>
      <w:tr>
        <w:trPr>
          <w:trHeight w:val="18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w w:val="98"/>
              </w:rPr>
              <w:t>Act of 1934 during the preceding 12 months (or for</w:t>
            </w:r>
          </w:p>
        </w:tc>
        <w:tc>
          <w:tcPr>
            <w:tcW w:w="26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such shorter period that the</w:t>
            </w:r>
          </w:p>
        </w:tc>
      </w:tr>
      <w:tr>
        <w:trPr>
          <w:trHeight w:val="180"/>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w w:val="96"/>
              </w:rPr>
              <w:t>registrant was required to file</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w w:val="99"/>
              </w:rPr>
              <w:t>such reports), and</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w w:val="96"/>
              </w:rPr>
              <w:t>has been subject to such</w:t>
            </w:r>
          </w:p>
        </w:tc>
      </w:tr>
      <w:tr>
        <w:trPr>
          <w:trHeight w:val="18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w w:val="98"/>
              </w:rPr>
              <w:t>filing requirements for the past 90 days.  Yes   X</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ind w:left="280"/>
              <w:spacing w:after="0"/>
              <w:rPr>
                <w:sz w:val="20"/>
                <w:szCs w:val="20"/>
                <w:color w:val="auto"/>
              </w:rPr>
            </w:pPr>
            <w:r>
              <w:rPr>
                <w:rFonts w:ascii="Courier New" w:cs="Courier New" w:eastAsia="Courier New" w:hAnsi="Courier New"/>
                <w:sz w:val="16"/>
                <w:szCs w:val="16"/>
                <w:color w:val="auto"/>
                <w:w w:val="83"/>
              </w:rPr>
              <w:t>No</w:t>
            </w:r>
          </w:p>
        </w:tc>
        <w:tc>
          <w:tcPr>
            <w:tcW w:w="178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r>
      <w:tr>
        <w:trPr>
          <w:trHeight w:val="180"/>
        </w:trPr>
        <w:tc>
          <w:tcPr>
            <w:tcW w:w="2960" w:type="dxa"/>
            <w:vAlign w:val="bottom"/>
          </w:tcPr>
          <w:p>
            <w:pPr>
              <w:spacing w:after="0"/>
              <w:rPr>
                <w:sz w:val="15"/>
                <w:szCs w:val="15"/>
                <w:color w:val="auto"/>
              </w:rPr>
            </w:pPr>
          </w:p>
        </w:tc>
        <w:tc>
          <w:tcPr>
            <w:tcW w:w="2200" w:type="dxa"/>
            <w:vAlign w:val="bottom"/>
            <w:gridSpan w:val="2"/>
          </w:tcPr>
          <w:p>
            <w:pPr>
              <w:ind w:left="1360"/>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780" w:type="dxa"/>
            <w:vAlign w:val="bottom"/>
          </w:tcPr>
          <w:p>
            <w:pPr>
              <w:jc w:val="right"/>
              <w:ind w:right="104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474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Shares outstanding at July 31, 1997:</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1"/>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Class A Common</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4"/>
              </w:rPr>
              <w:t>1,739,250</w:t>
            </w:r>
          </w:p>
        </w:tc>
        <w:tc>
          <w:tcPr>
            <w:tcW w:w="178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Class B Common</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4"/>
              </w:rPr>
              <w:t>8,975,655</w:t>
            </w:r>
          </w:p>
        </w:tc>
        <w:tc>
          <w:tcPr>
            <w:tcW w:w="178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Shares</w:t>
            </w:r>
          </w:p>
        </w:tc>
      </w:tr>
    </w:tbl>
    <w:p>
      <w:pPr>
        <w:sectPr>
          <w:pgSz w:w="11900" w:h="16838" w:orient="portrait"/>
          <w:cols w:equalWidth="0" w:num="1">
            <w:col w:w="10223"/>
          </w:cols>
          <w:pgMar w:left="236" w:top="233"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tbl>
      <w:tblPr>
        <w:tblLayout w:type="fixed"/>
        <w:tblInd w:w="0" w:type="dxa"/>
        <w:tblCellMar>
          <w:top w:w="0" w:type="dxa"/>
          <w:left w:w="0" w:type="dxa"/>
          <w:bottom w:w="0" w:type="dxa"/>
          <w:right w:w="0" w:type="dxa"/>
        </w:tblCellMar>
      </w:tblPr>
      <w:tr>
        <w:trPr>
          <w:trHeight w:val="180"/>
        </w:trPr>
        <w:tc>
          <w:tcPr>
            <w:tcW w:w="160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r>
      <w:tr>
        <w:trPr>
          <w:trHeight w:val="361"/>
        </w:trPr>
        <w:tc>
          <w:tcPr>
            <w:tcW w:w="1600" w:type="dxa"/>
            <w:vAlign w:val="bottom"/>
          </w:tcPr>
          <w:p>
            <w:pPr>
              <w:spacing w:after="0"/>
              <w:rPr>
                <w:sz w:val="24"/>
                <w:szCs w:val="24"/>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rPr>
              <w:t>THE WASHINGTON POST COMPANY</w:t>
            </w:r>
          </w:p>
        </w:tc>
        <w:tc>
          <w:tcPr>
            <w:tcW w:w="4260" w:type="dxa"/>
            <w:vAlign w:val="bottom"/>
          </w:tcPr>
          <w:p>
            <w:pPr>
              <w:spacing w:after="0"/>
              <w:rPr>
                <w:sz w:val="24"/>
                <w:szCs w:val="24"/>
                <w:color w:val="auto"/>
              </w:rPr>
            </w:pPr>
          </w:p>
        </w:tc>
      </w:tr>
      <w:tr>
        <w:trPr>
          <w:trHeight w:val="361"/>
        </w:trPr>
        <w:tc>
          <w:tcPr>
            <w:tcW w:w="1600" w:type="dxa"/>
            <w:vAlign w:val="bottom"/>
          </w:tcPr>
          <w:p>
            <w:pPr>
              <w:spacing w:after="0"/>
              <w:rPr>
                <w:sz w:val="24"/>
                <w:szCs w:val="24"/>
                <w:color w:val="auto"/>
              </w:rPr>
            </w:pPr>
          </w:p>
        </w:tc>
        <w:tc>
          <w:tcPr>
            <w:tcW w:w="5660" w:type="dxa"/>
            <w:vAlign w:val="bottom"/>
          </w:tcPr>
          <w:p>
            <w:pPr>
              <w:ind w:left="1300"/>
              <w:spacing w:after="0"/>
              <w:rPr>
                <w:sz w:val="20"/>
                <w:szCs w:val="20"/>
                <w:color w:val="auto"/>
              </w:rPr>
            </w:pPr>
            <w:r>
              <w:rPr>
                <w:rFonts w:ascii="Courier New" w:cs="Courier New" w:eastAsia="Courier New" w:hAnsi="Courier New"/>
                <w:sz w:val="16"/>
                <w:szCs w:val="16"/>
                <w:color w:val="auto"/>
              </w:rPr>
              <w:t>INDEX TO FORM 10-Q</w:t>
            </w:r>
          </w:p>
        </w:tc>
        <w:tc>
          <w:tcPr>
            <w:tcW w:w="4260" w:type="dxa"/>
            <w:vAlign w:val="bottom"/>
          </w:tcPr>
          <w:p>
            <w:pPr>
              <w:spacing w:after="0"/>
              <w:rPr>
                <w:sz w:val="24"/>
                <w:szCs w:val="24"/>
                <w:color w:val="auto"/>
              </w:rPr>
            </w:pPr>
          </w:p>
        </w:tc>
      </w:tr>
      <w:tr>
        <w:trPr>
          <w:trHeight w:val="721"/>
        </w:trPr>
        <w:tc>
          <w:tcPr>
            <w:tcW w:w="16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260" w:type="dxa"/>
            <w:vAlign w:val="bottom"/>
          </w:tcPr>
          <w:p>
            <w:pPr>
              <w:ind w:left="3900"/>
              <w:spacing w:after="0"/>
              <w:rPr>
                <w:sz w:val="20"/>
                <w:szCs w:val="20"/>
                <w:color w:val="auto"/>
              </w:rPr>
            </w:pPr>
            <w:r>
              <w:rPr>
                <w:rFonts w:ascii="Courier New" w:cs="Courier New" w:eastAsia="Courier New" w:hAnsi="Courier New"/>
                <w:sz w:val="16"/>
                <w:szCs w:val="16"/>
                <w:color w:val="auto"/>
                <w:w w:val="88"/>
              </w:rPr>
              <w:t>PAGE</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4260" w:type="dxa"/>
            <w:vAlign w:val="bottom"/>
          </w:tcPr>
          <w:p>
            <w:pPr>
              <w:spacing w:after="0"/>
              <w:rPr>
                <w:sz w:val="24"/>
                <w:szCs w:val="24"/>
                <w:color w:val="auto"/>
              </w:rPr>
            </w:pP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4260" w:type="dxa"/>
            <w:vAlign w:val="bottom"/>
          </w:tcPr>
          <w:p>
            <w:pPr>
              <w:spacing w:after="0"/>
              <w:rPr>
                <w:sz w:val="24"/>
                <w:szCs w:val="24"/>
                <w:color w:val="auto"/>
              </w:rPr>
            </w:pPr>
          </w:p>
        </w:tc>
      </w:tr>
      <w:tr>
        <w:trPr>
          <w:trHeight w:val="361"/>
        </w:trPr>
        <w:tc>
          <w:tcPr>
            <w:tcW w:w="160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Income</w:t>
            </w:r>
          </w:p>
        </w:tc>
        <w:tc>
          <w:tcPr>
            <w:tcW w:w="4260" w:type="dxa"/>
            <w:vAlign w:val="bottom"/>
          </w:tcPr>
          <w:p>
            <w:pPr>
              <w:spacing w:after="0"/>
              <w:rPr>
                <w:sz w:val="24"/>
                <w:szCs w:val="24"/>
                <w:color w:val="auto"/>
              </w:rPr>
            </w:pPr>
          </w:p>
        </w:tc>
      </w:tr>
      <w:tr>
        <w:trPr>
          <w:trHeight w:val="180"/>
        </w:trPr>
        <w:tc>
          <w:tcPr>
            <w:tcW w:w="1600" w:type="dxa"/>
            <w:vAlign w:val="bottom"/>
          </w:tcPr>
          <w:p>
            <w:pPr>
              <w:spacing w:after="0"/>
              <w:rPr>
                <w:sz w:val="15"/>
                <w:szCs w:val="15"/>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rPr>
              <w:t>(Unaudited) for the Thirteen and Twenty-six</w:t>
            </w:r>
          </w:p>
        </w:tc>
        <w:tc>
          <w:tcPr>
            <w:tcW w:w="4260" w:type="dxa"/>
            <w:vAlign w:val="bottom"/>
          </w:tcPr>
          <w:p>
            <w:pPr>
              <w:spacing w:after="0"/>
              <w:rPr>
                <w:sz w:val="15"/>
                <w:szCs w:val="15"/>
                <w:color w:val="auto"/>
              </w:rPr>
            </w:pPr>
          </w:p>
        </w:tc>
      </w:tr>
      <w:tr>
        <w:trPr>
          <w:trHeight w:val="180"/>
        </w:trPr>
        <w:tc>
          <w:tcPr>
            <w:tcW w:w="1600" w:type="dxa"/>
            <w:vAlign w:val="bottom"/>
          </w:tcPr>
          <w:p>
            <w:pPr>
              <w:spacing w:after="0"/>
              <w:rPr>
                <w:sz w:val="15"/>
                <w:szCs w:val="15"/>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rPr>
              <w:t>Weeks Ended June 29, 1997 and</w:t>
            </w:r>
          </w:p>
        </w:tc>
        <w:tc>
          <w:tcPr>
            <w:tcW w:w="4260" w:type="dxa"/>
            <w:vAlign w:val="bottom"/>
          </w:tcPr>
          <w:p>
            <w:pPr>
              <w:spacing w:after="0"/>
              <w:rPr>
                <w:sz w:val="15"/>
                <w:szCs w:val="15"/>
                <w:color w:val="auto"/>
              </w:rPr>
            </w:pPr>
          </w:p>
        </w:tc>
      </w:tr>
      <w:tr>
        <w:trPr>
          <w:trHeight w:val="180"/>
        </w:trPr>
        <w:tc>
          <w:tcPr>
            <w:tcW w:w="1600" w:type="dxa"/>
            <w:vAlign w:val="bottom"/>
          </w:tcPr>
          <w:p>
            <w:pPr>
              <w:spacing w:after="0"/>
              <w:rPr>
                <w:sz w:val="15"/>
                <w:szCs w:val="15"/>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w w:val="98"/>
              </w:rPr>
              <w:t>June 30, 1996 . . . . . . . . . . . . . . . . . . .</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w w:val="96"/>
              </w:rPr>
              <w:t>. . . . . . . . . . . . . . . . . . . . . . 3</w:t>
            </w:r>
          </w:p>
        </w:tc>
      </w:tr>
      <w:tr>
        <w:trPr>
          <w:trHeight w:val="361"/>
        </w:trPr>
        <w:tc>
          <w:tcPr>
            <w:tcW w:w="160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Condensed Consolidated Balance Sheets at</w:t>
            </w:r>
          </w:p>
        </w:tc>
        <w:tc>
          <w:tcPr>
            <w:tcW w:w="4260" w:type="dxa"/>
            <w:vAlign w:val="bottom"/>
          </w:tcPr>
          <w:p>
            <w:pPr>
              <w:spacing w:after="0"/>
              <w:rPr>
                <w:sz w:val="24"/>
                <w:szCs w:val="24"/>
                <w:color w:val="auto"/>
              </w:rPr>
            </w:pPr>
          </w:p>
        </w:tc>
      </w:tr>
      <w:tr>
        <w:trPr>
          <w:trHeight w:val="180"/>
        </w:trPr>
        <w:tc>
          <w:tcPr>
            <w:tcW w:w="1600" w:type="dxa"/>
            <w:vAlign w:val="bottom"/>
          </w:tcPr>
          <w:p>
            <w:pPr>
              <w:spacing w:after="0"/>
              <w:rPr>
                <w:sz w:val="15"/>
                <w:szCs w:val="15"/>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w w:val="98"/>
              </w:rPr>
              <w:t>June 29, 1997 (Unaudited) and December 29, 1996 . .</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w w:val="96"/>
              </w:rPr>
              <w:t>. . . . . . . . . . . . . . . . . . . . . . 4</w:t>
            </w:r>
          </w:p>
        </w:tc>
      </w:tr>
      <w:tr>
        <w:trPr>
          <w:trHeight w:val="361"/>
        </w:trPr>
        <w:tc>
          <w:tcPr>
            <w:tcW w:w="160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4260" w:type="dxa"/>
            <w:vAlign w:val="bottom"/>
          </w:tcPr>
          <w:p>
            <w:pPr>
              <w:spacing w:after="0"/>
              <w:rPr>
                <w:sz w:val="24"/>
                <w:szCs w:val="24"/>
                <w:color w:val="auto"/>
              </w:rPr>
            </w:pPr>
          </w:p>
        </w:tc>
      </w:tr>
      <w:tr>
        <w:trPr>
          <w:trHeight w:val="180"/>
        </w:trPr>
        <w:tc>
          <w:tcPr>
            <w:tcW w:w="1600" w:type="dxa"/>
            <w:vAlign w:val="bottom"/>
          </w:tcPr>
          <w:p>
            <w:pPr>
              <w:spacing w:after="0"/>
              <w:rPr>
                <w:sz w:val="15"/>
                <w:szCs w:val="15"/>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rPr>
              <w:t>(Unaudited) for the Twenty-six Weeks Ended</w:t>
            </w:r>
          </w:p>
        </w:tc>
        <w:tc>
          <w:tcPr>
            <w:tcW w:w="4260" w:type="dxa"/>
            <w:vAlign w:val="bottom"/>
          </w:tcPr>
          <w:p>
            <w:pPr>
              <w:spacing w:after="0"/>
              <w:rPr>
                <w:sz w:val="15"/>
                <w:szCs w:val="15"/>
                <w:color w:val="auto"/>
              </w:rPr>
            </w:pPr>
          </w:p>
        </w:tc>
      </w:tr>
      <w:tr>
        <w:trPr>
          <w:trHeight w:val="180"/>
        </w:trPr>
        <w:tc>
          <w:tcPr>
            <w:tcW w:w="1600" w:type="dxa"/>
            <w:vAlign w:val="bottom"/>
          </w:tcPr>
          <w:p>
            <w:pPr>
              <w:spacing w:after="0"/>
              <w:rPr>
                <w:sz w:val="15"/>
                <w:szCs w:val="15"/>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w w:val="98"/>
              </w:rPr>
              <w:t>June 29, 1997 and June 30, 1996 . . . . . . . . . .</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w w:val="96"/>
              </w:rPr>
              <w:t>. . . . . . . . . . . . . . . . . . . . . . 5</w:t>
            </w:r>
          </w:p>
        </w:tc>
      </w:tr>
      <w:tr>
        <w:trPr>
          <w:trHeight w:val="361"/>
        </w:trPr>
        <w:tc>
          <w:tcPr>
            <w:tcW w:w="160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4260" w:type="dxa"/>
            <w:vAlign w:val="bottom"/>
          </w:tcPr>
          <w:p>
            <w:pPr>
              <w:spacing w:after="0"/>
              <w:rPr>
                <w:sz w:val="24"/>
                <w:szCs w:val="24"/>
                <w:color w:val="auto"/>
              </w:rPr>
            </w:pPr>
          </w:p>
        </w:tc>
      </w:tr>
      <w:tr>
        <w:trPr>
          <w:trHeight w:val="180"/>
        </w:trPr>
        <w:tc>
          <w:tcPr>
            <w:tcW w:w="1600" w:type="dxa"/>
            <w:vAlign w:val="bottom"/>
          </w:tcPr>
          <w:p>
            <w:pPr>
              <w:spacing w:after="0"/>
              <w:rPr>
                <w:sz w:val="15"/>
                <w:szCs w:val="15"/>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w w:val="98"/>
              </w:rPr>
              <w:t>(Unaudited) . . . . . . . . . . . . . . . . . . . .</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w w:val="96"/>
              </w:rPr>
              <w:t>. . . . . . . . . . . . . . . . . . . . . . 6</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Results of</w:t>
            </w:r>
          </w:p>
        </w:tc>
        <w:tc>
          <w:tcPr>
            <w:tcW w:w="4260" w:type="dxa"/>
            <w:vAlign w:val="bottom"/>
          </w:tcPr>
          <w:p>
            <w:pPr>
              <w:spacing w:after="0"/>
              <w:rPr>
                <w:sz w:val="24"/>
                <w:szCs w:val="24"/>
                <w:color w:val="auto"/>
              </w:rPr>
            </w:pPr>
          </w:p>
        </w:tc>
      </w:tr>
      <w:tr>
        <w:trPr>
          <w:trHeight w:val="180"/>
        </w:trPr>
        <w:tc>
          <w:tcPr>
            <w:tcW w:w="1600" w:type="dxa"/>
            <w:vAlign w:val="bottom"/>
          </w:tcPr>
          <w:p>
            <w:pPr>
              <w:spacing w:after="0"/>
              <w:rPr>
                <w:sz w:val="15"/>
                <w:szCs w:val="15"/>
                <w:color w:val="auto"/>
              </w:rPr>
            </w:pPr>
          </w:p>
        </w:tc>
        <w:tc>
          <w:tcPr>
            <w:tcW w:w="5660" w:type="dxa"/>
            <w:vAlign w:val="bottom"/>
          </w:tcPr>
          <w:p>
            <w:pPr>
              <w:ind w:left="840"/>
              <w:spacing w:after="0"/>
              <w:rPr>
                <w:sz w:val="20"/>
                <w:szCs w:val="20"/>
                <w:color w:val="auto"/>
              </w:rPr>
            </w:pPr>
            <w:r>
              <w:rPr>
                <w:rFonts w:ascii="Courier New" w:cs="Courier New" w:eastAsia="Courier New" w:hAnsi="Courier New"/>
                <w:sz w:val="16"/>
                <w:szCs w:val="16"/>
                <w:color w:val="auto"/>
                <w:w w:val="98"/>
              </w:rPr>
              <w:t>Operations and Financial Condition  . . . . . . . .</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w w:val="96"/>
              </w:rPr>
              <w:t>. . . . . . . . . . . . . . . . . . . . . . 8</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66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4260" w:type="dxa"/>
            <w:vAlign w:val="bottom"/>
          </w:tcPr>
          <w:p>
            <w:pPr>
              <w:spacing w:after="0"/>
              <w:rPr>
                <w:sz w:val="24"/>
                <w:szCs w:val="24"/>
                <w:color w:val="auto"/>
              </w:rPr>
            </w:pP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Submission of Matters to a Vote of Security Holders  . . . .</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w w:val="96"/>
              </w:rPr>
              <w:t>. . . . . . . . . . . . . . . . . . . . .  12</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Exhibits and Reports on Form 8-K . . . . . . . . . . . . . .</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w w:val="96"/>
              </w:rPr>
              <w:t>. . . . . . . . . . . . . . . . . . . . .  13</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w w:val="96"/>
              </w:rPr>
              <w:t>Signatures  . . .</w:t>
            </w:r>
          </w:p>
        </w:tc>
        <w:tc>
          <w:tcPr>
            <w:tcW w:w="5660" w:type="dxa"/>
            <w:vAlign w:val="bottom"/>
          </w:tcPr>
          <w:p>
            <w:pPr>
              <w:ind w:left="80"/>
              <w:spacing w:after="0"/>
              <w:rPr>
                <w:sz w:val="20"/>
                <w:szCs w:val="20"/>
                <w:color w:val="auto"/>
              </w:rPr>
            </w:pPr>
            <w:r>
              <w:rPr>
                <w:rFonts w:ascii="Courier New" w:cs="Courier New" w:eastAsia="Courier New" w:hAnsi="Courier New"/>
                <w:sz w:val="16"/>
                <w:szCs w:val="16"/>
                <w:color w:val="auto"/>
                <w:w w:val="98"/>
              </w:rPr>
              <w:t>. . . . . . . . . . . . . . . . . . . . . . . . . . . . . .</w:t>
            </w:r>
          </w:p>
        </w:tc>
        <w:tc>
          <w:tcPr>
            <w:tcW w:w="4260" w:type="dxa"/>
            <w:vAlign w:val="bottom"/>
          </w:tcPr>
          <w:p>
            <w:pPr>
              <w:ind w:left="60"/>
              <w:spacing w:after="0"/>
              <w:rPr>
                <w:sz w:val="20"/>
                <w:szCs w:val="20"/>
                <w:color w:val="auto"/>
              </w:rPr>
            </w:pPr>
            <w:r>
              <w:rPr>
                <w:rFonts w:ascii="Courier New" w:cs="Courier New" w:eastAsia="Courier New" w:hAnsi="Courier New"/>
                <w:sz w:val="16"/>
                <w:szCs w:val="16"/>
                <w:color w:val="auto"/>
                <w:w w:val="96"/>
              </w:rPr>
              <w:t>. . . . . . . . . . . . . . . . . . . . .  14</w:t>
            </w:r>
          </w:p>
        </w:tc>
      </w:tr>
      <w:tr>
        <w:trPr>
          <w:trHeight w:val="541"/>
        </w:trPr>
        <w:tc>
          <w:tcPr>
            <w:tcW w:w="1600" w:type="dxa"/>
            <w:vAlign w:val="bottom"/>
          </w:tcPr>
          <w:p>
            <w:pPr>
              <w:spacing w:after="0"/>
              <w:rPr>
                <w:sz w:val="20"/>
                <w:szCs w:val="20"/>
                <w:color w:val="auto"/>
              </w:rPr>
            </w:pPr>
            <w:r>
              <w:rPr>
                <w:rFonts w:ascii="Courier New" w:cs="Courier New" w:eastAsia="Courier New" w:hAnsi="Courier New"/>
                <w:sz w:val="16"/>
                <w:szCs w:val="16"/>
                <w:color w:val="auto"/>
              </w:rPr>
              <w:t>Exhibit 11</w:t>
            </w:r>
          </w:p>
        </w:tc>
        <w:tc>
          <w:tcPr>
            <w:tcW w:w="566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27 (Electronic Filing Only)</w:t>
      </w:r>
    </w:p>
    <w:p>
      <w:pPr>
        <w:sectPr>
          <w:pgSz w:w="11900" w:h="16838" w:orient="portrait"/>
          <w:cols w:equalWidth="0" w:num="1">
            <w:col w:w="11520"/>
          </w:cols>
          <w:pgMar w:left="240" w:top="293"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tbl>
      <w:tblPr>
        <w:tblLayout w:type="fixed"/>
        <w:tblInd w:w="0" w:type="dxa"/>
        <w:tblCellMar>
          <w:top w:w="0" w:type="dxa"/>
          <w:left w:w="0" w:type="dxa"/>
          <w:bottom w:w="0" w:type="dxa"/>
          <w:right w:w="0" w:type="dxa"/>
        </w:tblCellMar>
      </w:tblP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1"/>
        </w:trPr>
        <w:tc>
          <w:tcPr>
            <w:tcW w:w="8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450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450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The Washington Post Company</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Condensed Consolidated Statements of Income (Unaudited)</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21"/>
        </w:trPr>
        <w:tc>
          <w:tcPr>
            <w:tcW w:w="8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140" w:type="dxa"/>
            <w:vAlign w:val="bottom"/>
            <w:gridSpan w:val="4"/>
          </w:tcPr>
          <w:p>
            <w:pPr>
              <w:jc w:val="right"/>
              <w:ind w:right="722"/>
              <w:spacing w:after="0"/>
              <w:rPr>
                <w:sz w:val="20"/>
                <w:szCs w:val="20"/>
                <w:color w:val="auto"/>
              </w:rPr>
            </w:pPr>
            <w:r>
              <w:rPr>
                <w:rFonts w:ascii="Courier New" w:cs="Courier New" w:eastAsia="Courier New" w:hAnsi="Courier New"/>
                <w:sz w:val="16"/>
                <w:szCs w:val="16"/>
                <w:color w:val="auto"/>
              </w:rPr>
              <w:t>Thirteen Weeks Ended</w:t>
            </w:r>
          </w:p>
        </w:tc>
        <w:tc>
          <w:tcPr>
            <w:tcW w:w="2860" w:type="dxa"/>
            <w:vAlign w:val="bottom"/>
            <w:gridSpan w:val="4"/>
          </w:tcPr>
          <w:p>
            <w:pPr>
              <w:jc w:val="right"/>
              <w:ind w:right="282"/>
              <w:spacing w:after="0"/>
              <w:rPr>
                <w:sz w:val="20"/>
                <w:szCs w:val="20"/>
                <w:color w:val="auto"/>
              </w:rPr>
            </w:pPr>
            <w:r>
              <w:rPr>
                <w:rFonts w:ascii="Courier New" w:cs="Courier New" w:eastAsia="Courier New" w:hAnsi="Courier New"/>
                <w:sz w:val="16"/>
                <w:szCs w:val="16"/>
                <w:color w:val="auto"/>
              </w:rPr>
              <w:t>Twenty-six Weeks Ended</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140" w:type="dxa"/>
            <w:vAlign w:val="bottom"/>
            <w:gridSpan w:val="4"/>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June 29,</w:t>
            </w:r>
          </w:p>
        </w:tc>
        <w:tc>
          <w:tcPr>
            <w:tcW w:w="15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June 30,</w:t>
            </w:r>
          </w:p>
        </w:tc>
        <w:tc>
          <w:tcPr>
            <w:tcW w:w="16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June 29,</w:t>
            </w:r>
          </w:p>
        </w:tc>
        <w:tc>
          <w:tcPr>
            <w:tcW w:w="12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June 30,</w:t>
            </w:r>
          </w:p>
        </w:tc>
      </w:tr>
      <w:tr>
        <w:trPr>
          <w:trHeight w:val="180"/>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16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1997</w:t>
            </w:r>
          </w:p>
        </w:tc>
        <w:tc>
          <w:tcPr>
            <w:tcW w:w="154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1996</w:t>
            </w:r>
          </w:p>
        </w:tc>
        <w:tc>
          <w:tcPr>
            <w:tcW w:w="16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1997</w:t>
            </w:r>
          </w:p>
        </w:tc>
        <w:tc>
          <w:tcPr>
            <w:tcW w:w="480" w:type="dxa"/>
            <w:vAlign w:val="bottom"/>
          </w:tcPr>
          <w:p>
            <w:pPr>
              <w:spacing w:after="0"/>
              <w:rPr>
                <w:sz w:val="15"/>
                <w:szCs w:val="15"/>
                <w:color w:val="auto"/>
              </w:rPr>
            </w:pPr>
          </w:p>
        </w:tc>
        <w:tc>
          <w:tcPr>
            <w:tcW w:w="74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1996</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Advertising</w:t>
            </w:r>
          </w:p>
        </w:tc>
        <w:tc>
          <w:tcPr>
            <w:tcW w:w="560" w:type="dxa"/>
            <w:vAlign w:val="bottom"/>
          </w:tcPr>
          <w:p>
            <w:pPr>
              <w:ind w:left="480"/>
              <w:spacing w:after="0"/>
              <w:rPr>
                <w:sz w:val="20"/>
                <w:szCs w:val="20"/>
                <w:color w:val="auto"/>
              </w:rPr>
            </w:pPr>
            <w:r>
              <w:rPr>
                <w:rFonts w:ascii="Courier New" w:cs="Courier New" w:eastAsia="Courier New" w:hAnsi="Courier New"/>
                <w:sz w:val="13"/>
                <w:szCs w:val="13"/>
                <w:color w:val="auto"/>
                <w:w w:val="76"/>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327,949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310,459</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606,477</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563,266</w:t>
            </w: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Circulation and subscriber</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128,901</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121,488</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252,575</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238,559</w:t>
            </w:r>
          </w:p>
        </w:tc>
      </w:tr>
      <w:tr>
        <w:trPr>
          <w:trHeight w:val="180"/>
        </w:trPr>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44,525</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40,905</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96,424</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87,646</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8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501,375</w:t>
            </w:r>
          </w:p>
        </w:tc>
        <w:tc>
          <w:tcPr>
            <w:tcW w:w="56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472,852</w:t>
            </w:r>
          </w:p>
        </w:tc>
        <w:tc>
          <w:tcPr>
            <w:tcW w:w="62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955,476</w:t>
            </w:r>
          </w:p>
        </w:tc>
        <w:tc>
          <w:tcPr>
            <w:tcW w:w="4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889,471</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246,478</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253,639</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489,982</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496,121</w:t>
            </w: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118,875</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100,562</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225,761</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201,354</w:t>
            </w: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and amortization of</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3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property, plant and equipment</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17,871</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16,004</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35,661</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32,164</w:t>
            </w: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3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intangibles</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8,214</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7,162</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16,167</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14,147</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391,438</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377,367</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767,571</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743,786</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560" w:type="dxa"/>
            <w:vAlign w:val="bottom"/>
          </w:tcPr>
          <w:p>
            <w:pPr>
              <w:spacing w:after="0"/>
              <w:rPr>
                <w:sz w:val="24"/>
                <w:szCs w:val="24"/>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109,937</w:t>
            </w:r>
          </w:p>
        </w:tc>
        <w:tc>
          <w:tcPr>
            <w:tcW w:w="56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95,485</w:t>
            </w:r>
          </w:p>
        </w:tc>
        <w:tc>
          <w:tcPr>
            <w:tcW w:w="62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187,905</w:t>
            </w:r>
          </w:p>
        </w:tc>
        <w:tc>
          <w:tcPr>
            <w:tcW w:w="4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145,685</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Equity in earnings of affiliates</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3,331</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7,807</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3,456</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15,160</w:t>
            </w: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1,079</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1,175</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2,192</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2,399</w:t>
            </w: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5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(158)</w:t>
            </w:r>
          </w:p>
        </w:tc>
        <w:tc>
          <w:tcPr>
            <w:tcW w:w="56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(139)</w:t>
            </w:r>
          </w:p>
        </w:tc>
        <w:tc>
          <w:tcPr>
            <w:tcW w:w="62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(323)</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(1,222)</w:t>
            </w:r>
          </w:p>
        </w:tc>
      </w:tr>
      <w:tr>
        <w:trPr>
          <w:trHeight w:val="180"/>
        </w:trPr>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1,668</w:t>
            </w:r>
          </w:p>
        </w:tc>
        <w:tc>
          <w:tcPr>
            <w:tcW w:w="56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(689)</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821</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2,178</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560" w:type="dxa"/>
            <w:vAlign w:val="bottom"/>
          </w:tcPr>
          <w:p>
            <w:pPr>
              <w:spacing w:after="0"/>
              <w:rPr>
                <w:sz w:val="24"/>
                <w:szCs w:val="24"/>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115,857</w:t>
            </w:r>
          </w:p>
        </w:tc>
        <w:tc>
          <w:tcPr>
            <w:tcW w:w="56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103,639</w:t>
            </w:r>
          </w:p>
        </w:tc>
        <w:tc>
          <w:tcPr>
            <w:tcW w:w="62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194,051</w:t>
            </w:r>
          </w:p>
        </w:tc>
        <w:tc>
          <w:tcPr>
            <w:tcW w:w="4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164,200</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Current</w:t>
            </w: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41,990</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39,243</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72,243</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61,586</w:t>
            </w:r>
          </w:p>
        </w:tc>
      </w:tr>
      <w:tr>
        <w:trPr>
          <w:trHeight w:val="180"/>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Deferred</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2,510</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1,178</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2,757</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2,454</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44,500</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40,421</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75,000</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64,040</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560" w:type="dxa"/>
            <w:vAlign w:val="bottom"/>
          </w:tcPr>
          <w:p>
            <w:pPr>
              <w:spacing w:after="0"/>
              <w:rPr>
                <w:sz w:val="24"/>
                <w:szCs w:val="24"/>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71,357</w:t>
            </w:r>
          </w:p>
        </w:tc>
        <w:tc>
          <w:tcPr>
            <w:tcW w:w="56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63,218</w:t>
            </w:r>
          </w:p>
        </w:tc>
        <w:tc>
          <w:tcPr>
            <w:tcW w:w="62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119,051</w:t>
            </w:r>
          </w:p>
        </w:tc>
        <w:tc>
          <w:tcPr>
            <w:tcW w:w="4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100,160</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Redeemable preferred stock dividends</w:t>
            </w:r>
          </w:p>
        </w:tc>
        <w:tc>
          <w:tcPr>
            <w:tcW w:w="560" w:type="dxa"/>
            <w:vAlign w:val="bottom"/>
          </w:tcPr>
          <w:p>
            <w:pPr>
              <w:spacing w:after="0"/>
              <w:rPr>
                <w:sz w:val="24"/>
                <w:szCs w:val="24"/>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(239)</w:t>
            </w:r>
          </w:p>
        </w:tc>
        <w:tc>
          <w:tcPr>
            <w:tcW w:w="56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24"/>
                <w:szCs w:val="24"/>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(717)</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Net income available for common shares</w:t>
            </w:r>
          </w:p>
        </w:tc>
        <w:tc>
          <w:tcPr>
            <w:tcW w:w="560" w:type="dxa"/>
            <w:vAlign w:val="bottom"/>
          </w:tcPr>
          <w:p>
            <w:pPr>
              <w:ind w:left="480"/>
              <w:spacing w:after="0"/>
              <w:rPr>
                <w:sz w:val="20"/>
                <w:szCs w:val="20"/>
                <w:color w:val="auto"/>
              </w:rPr>
            </w:pPr>
            <w:r>
              <w:rPr>
                <w:rFonts w:ascii="Courier New" w:cs="Courier New" w:eastAsia="Courier New" w:hAnsi="Courier New"/>
                <w:sz w:val="13"/>
                <w:szCs w:val="13"/>
                <w:color w:val="auto"/>
                <w:w w:val="76"/>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71,118</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63,218</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118,334</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99,958</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common share</w:t>
            </w:r>
          </w:p>
        </w:tc>
        <w:tc>
          <w:tcPr>
            <w:tcW w:w="560" w:type="dxa"/>
            <w:vAlign w:val="bottom"/>
          </w:tcPr>
          <w:p>
            <w:pPr>
              <w:ind w:left="480"/>
              <w:spacing w:after="0"/>
              <w:rPr>
                <w:sz w:val="20"/>
                <w:szCs w:val="20"/>
                <w:color w:val="auto"/>
              </w:rPr>
            </w:pPr>
            <w:r>
              <w:rPr>
                <w:rFonts w:ascii="Courier New" w:cs="Courier New" w:eastAsia="Courier New" w:hAnsi="Courier New"/>
                <w:sz w:val="13"/>
                <w:szCs w:val="13"/>
                <w:color w:val="auto"/>
                <w:w w:val="76"/>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6.60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5.76</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10.94</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9.09</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 per common share</w:t>
            </w:r>
          </w:p>
        </w:tc>
        <w:tc>
          <w:tcPr>
            <w:tcW w:w="560" w:type="dxa"/>
            <w:vAlign w:val="bottom"/>
          </w:tcPr>
          <w:p>
            <w:pPr>
              <w:ind w:left="480"/>
              <w:spacing w:after="0"/>
              <w:rPr>
                <w:sz w:val="20"/>
                <w:szCs w:val="20"/>
                <w:color w:val="auto"/>
              </w:rPr>
            </w:pPr>
            <w:r>
              <w:rPr>
                <w:rFonts w:ascii="Courier New" w:cs="Courier New" w:eastAsia="Courier New" w:hAnsi="Courier New"/>
                <w:sz w:val="13"/>
                <w:szCs w:val="13"/>
                <w:color w:val="auto"/>
                <w:w w:val="76"/>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3.60</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2.30</w:t>
            </w:r>
          </w:p>
        </w:tc>
      </w:tr>
      <w:tr>
        <w:trPr>
          <w:trHeight w:val="180"/>
        </w:trPr>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Average number of common shares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53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outstanding</w:t>
            </w:r>
          </w:p>
        </w:tc>
        <w:tc>
          <w:tcPr>
            <w:tcW w:w="56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10,772</w:t>
            </w:r>
          </w:p>
        </w:tc>
        <w:tc>
          <w:tcPr>
            <w:tcW w:w="5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10,970</w:t>
            </w:r>
          </w:p>
        </w:tc>
        <w:tc>
          <w:tcPr>
            <w:tcW w:w="62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10,819</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10,998</w:t>
            </w:r>
          </w:p>
        </w:tc>
      </w:tr>
    </w:tbl>
    <w:p>
      <w:pPr>
        <w:sectPr>
          <w:pgSz w:w="11900" w:h="16838" w:orient="portrait"/>
          <w:cols w:equalWidth="0" w:num="1">
            <w:col w:w="11340"/>
          </w:cols>
          <w:pgMar w:left="240" w:top="293" w:right="31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tbl>
      <w:tblPr>
        <w:tblLayout w:type="fixed"/>
        <w:tblInd w:w="0" w:type="dxa"/>
        <w:tblCellMar>
          <w:top w:w="0" w:type="dxa"/>
          <w:left w:w="0" w:type="dxa"/>
          <w:bottom w:w="0" w:type="dxa"/>
          <w:right w:w="0" w:type="dxa"/>
        </w:tblCellMar>
      </w:tblPr>
      <w:tr>
        <w:trPr>
          <w:trHeight w:val="180"/>
        </w:trPr>
        <w:tc>
          <w:tcPr>
            <w:tcW w:w="5900" w:type="dxa"/>
            <w:vAlign w:val="bottom"/>
          </w:tcPr>
          <w:p>
            <w:pPr>
              <w:spacing w:after="0"/>
              <w:rPr>
                <w:sz w:val="15"/>
                <w:szCs w:val="15"/>
                <w:color w:val="auto"/>
              </w:rPr>
            </w:pPr>
          </w:p>
        </w:tc>
        <w:tc>
          <w:tcPr>
            <w:tcW w:w="1880" w:type="dxa"/>
            <w:vAlign w:val="bottom"/>
          </w:tcPr>
          <w:p>
            <w:pPr>
              <w:ind w:left="1420"/>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Condensed Consolidated Balance Sheets</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41"/>
        </w:trPr>
        <w:tc>
          <w:tcPr>
            <w:tcW w:w="5900" w:type="dxa"/>
            <w:vAlign w:val="bottom"/>
          </w:tcPr>
          <w:p>
            <w:pPr>
              <w:spacing w:after="0"/>
              <w:rPr>
                <w:sz w:val="24"/>
                <w:szCs w:val="24"/>
                <w:color w:val="auto"/>
              </w:rPr>
            </w:pPr>
          </w:p>
        </w:tc>
        <w:tc>
          <w:tcPr>
            <w:tcW w:w="310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June 29,</w:t>
            </w:r>
          </w:p>
        </w:tc>
        <w:tc>
          <w:tcPr>
            <w:tcW w:w="1680" w:type="dxa"/>
            <w:vAlign w:val="bottom"/>
            <w:gridSpan w:val="2"/>
          </w:tcPr>
          <w:p>
            <w:pPr>
              <w:jc w:val="center"/>
              <w:ind w:left="122"/>
              <w:spacing w:after="0"/>
              <w:rPr>
                <w:sz w:val="20"/>
                <w:szCs w:val="20"/>
                <w:color w:val="auto"/>
              </w:rPr>
            </w:pPr>
            <w:r>
              <w:rPr>
                <w:rFonts w:ascii="Courier New" w:cs="Courier New" w:eastAsia="Courier New" w:hAnsi="Courier New"/>
                <w:sz w:val="16"/>
                <w:szCs w:val="16"/>
                <w:color w:val="auto"/>
                <w:w w:val="97"/>
              </w:rPr>
              <w:t>December 29,</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100" w:type="dxa"/>
            <w:vAlign w:val="bottom"/>
            <w:gridSpan w:val="2"/>
          </w:tcPr>
          <w:p>
            <w:pPr>
              <w:ind w:left="1780"/>
              <w:spacing w:after="0"/>
              <w:rPr>
                <w:sz w:val="20"/>
                <w:szCs w:val="20"/>
                <w:color w:val="auto"/>
              </w:rPr>
            </w:pPr>
            <w:r>
              <w:rPr>
                <w:rFonts w:ascii="Courier New" w:cs="Courier New" w:eastAsia="Courier New" w:hAnsi="Courier New"/>
                <w:sz w:val="16"/>
                <w:szCs w:val="16"/>
                <w:color w:val="auto"/>
              </w:rPr>
              <w:t>1997</w:t>
            </w:r>
          </w:p>
        </w:tc>
        <w:tc>
          <w:tcPr>
            <w:tcW w:w="760" w:type="dxa"/>
            <w:vAlign w:val="bottom"/>
          </w:tcPr>
          <w:p>
            <w:pPr>
              <w:spacing w:after="0"/>
              <w:rPr>
                <w:sz w:val="15"/>
                <w:szCs w:val="15"/>
                <w:color w:val="auto"/>
              </w:rPr>
            </w:pPr>
          </w:p>
        </w:tc>
        <w:tc>
          <w:tcPr>
            <w:tcW w:w="92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3"/>
              </w:rPr>
              <w:t>1996</w:t>
            </w:r>
          </w:p>
        </w:tc>
      </w:tr>
      <w:tr>
        <w:trPr>
          <w:trHeight w:val="180"/>
        </w:trPr>
        <w:tc>
          <w:tcPr>
            <w:tcW w:w="5900" w:type="dxa"/>
            <w:vAlign w:val="bottom"/>
          </w:tcPr>
          <w:p>
            <w:pPr>
              <w:spacing w:after="0"/>
              <w:rPr>
                <w:sz w:val="15"/>
                <w:szCs w:val="15"/>
                <w:color w:val="auto"/>
              </w:rPr>
            </w:pPr>
          </w:p>
        </w:tc>
        <w:tc>
          <w:tcPr>
            <w:tcW w:w="3100" w:type="dxa"/>
            <w:vAlign w:val="bottom"/>
            <w:gridSpan w:val="2"/>
          </w:tcPr>
          <w:p>
            <w:pPr>
              <w:ind w:left="1420"/>
              <w:spacing w:after="0"/>
              <w:rPr>
                <w:sz w:val="20"/>
                <w:szCs w:val="20"/>
                <w:color w:val="auto"/>
              </w:rPr>
            </w:pPr>
            <w:r>
              <w:rPr>
                <w:rFonts w:ascii="Courier New" w:cs="Courier New" w:eastAsia="Courier New" w:hAnsi="Courier New"/>
                <w:sz w:val="16"/>
                <w:szCs w:val="16"/>
                <w:color w:val="auto"/>
              </w:rPr>
              <w:t>(Unaudited)</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left="12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880" w:type="dxa"/>
            <w:vAlign w:val="bottom"/>
          </w:tcPr>
          <w:p>
            <w:pPr>
              <w:ind w:left="178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63,127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102,278</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estimated returns,</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900" w:type="dxa"/>
            <w:vAlign w:val="bottom"/>
          </w:tcPr>
          <w:p>
            <w:pPr>
              <w:ind w:left="560"/>
              <w:spacing w:after="0"/>
              <w:rPr>
                <w:sz w:val="20"/>
                <w:szCs w:val="20"/>
                <w:color w:val="auto"/>
              </w:rPr>
            </w:pPr>
            <w:r>
              <w:rPr>
                <w:rFonts w:ascii="Courier New" w:cs="Courier New" w:eastAsia="Courier New" w:hAnsi="Courier New"/>
                <w:sz w:val="16"/>
                <w:szCs w:val="16"/>
                <w:color w:val="auto"/>
              </w:rPr>
              <w:t>doubtful accounts and allowances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234,560</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233,063</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26,795</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24,427</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18,464</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22,863</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342,946</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382,631</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Investments in affiliates</w:t>
            </w:r>
          </w:p>
        </w:tc>
        <w:tc>
          <w:tcPr>
            <w:tcW w:w="1880" w:type="dxa"/>
            <w:vAlign w:val="bottom"/>
          </w:tcPr>
          <w:p>
            <w:pPr>
              <w:spacing w:after="0"/>
              <w:rPr>
                <w:sz w:val="24"/>
                <w:szCs w:val="24"/>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198,241</w:t>
            </w:r>
          </w:p>
        </w:tc>
        <w:tc>
          <w:tcPr>
            <w:tcW w:w="7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199,278</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Buildings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187,542</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188,527</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Machinery, equipment and fixtures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752,428</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768,509</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37,528</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28,883</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977,498</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985,919</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88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(613,048)</w:t>
            </w:r>
          </w:p>
        </w:tc>
        <w:tc>
          <w:tcPr>
            <w:tcW w:w="7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(594,195)</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364,450</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391,724</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Land</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33,922</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34,332</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Construction in progress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164,855</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85,307</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563,227</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511,363</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intangibles,</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amortization</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541,413</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544,349</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Deferred charges and other assets</w:t>
            </w:r>
          </w:p>
        </w:tc>
        <w:tc>
          <w:tcPr>
            <w:tcW w:w="1880" w:type="dxa"/>
            <w:vAlign w:val="bottom"/>
          </w:tcPr>
          <w:p>
            <w:pPr>
              <w:spacing w:after="0"/>
              <w:rPr>
                <w:sz w:val="24"/>
                <w:szCs w:val="24"/>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241,042</w:t>
            </w:r>
          </w:p>
        </w:tc>
        <w:tc>
          <w:tcPr>
            <w:tcW w:w="7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232,790</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$1,886,869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1,870,411</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880" w:type="dxa"/>
            <w:vAlign w:val="bottom"/>
          </w:tcPr>
          <w:p>
            <w:pPr>
              <w:ind w:left="17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194,350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194,186</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Federal and state income taxes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3,889</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5,381</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Deferred subscription revenue</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78,850</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82,069</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Dividends declared</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13,206</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290,295</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281,636</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880" w:type="dxa"/>
            <w:vAlign w:val="bottom"/>
          </w:tcPr>
          <w:p>
            <w:pPr>
              <w:spacing w:after="0"/>
              <w:rPr>
                <w:sz w:val="24"/>
                <w:szCs w:val="24"/>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226,237</w:t>
            </w:r>
          </w:p>
        </w:tc>
        <w:tc>
          <w:tcPr>
            <w:tcW w:w="7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223,878</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880" w:type="dxa"/>
            <w:vAlign w:val="bottom"/>
          </w:tcPr>
          <w:p>
            <w:pPr>
              <w:spacing w:after="0"/>
              <w:rPr>
                <w:sz w:val="24"/>
                <w:szCs w:val="24"/>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31,192</w:t>
            </w:r>
          </w:p>
        </w:tc>
        <w:tc>
          <w:tcPr>
            <w:tcW w:w="7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30,147</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547,724</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535,661</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Redeemable preferred stock</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11,947</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11,947</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Common shareholders' equity</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Common stock</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20,000</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20,000</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31,080</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26,455</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2,081,773</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2,002,359</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900" w:type="dxa"/>
            <w:vAlign w:val="bottom"/>
          </w:tcPr>
          <w:p>
            <w:pPr>
              <w:ind w:left="560"/>
              <w:spacing w:after="0"/>
              <w:rPr>
                <w:sz w:val="20"/>
                <w:szCs w:val="20"/>
                <w:color w:val="auto"/>
              </w:rPr>
            </w:pPr>
            <w:r>
              <w:rPr>
                <w:rFonts w:ascii="Courier New" w:cs="Courier New" w:eastAsia="Courier New" w:hAnsi="Courier New"/>
                <w:sz w:val="16"/>
                <w:szCs w:val="16"/>
                <w:color w:val="auto"/>
              </w:rPr>
              <w:t>adjustment</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1,455</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4,663</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 available-for-sale</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900" w:type="dxa"/>
            <w:vAlign w:val="bottom"/>
          </w:tcPr>
          <w:p>
            <w:pPr>
              <w:ind w:left="560"/>
              <w:spacing w:after="0"/>
              <w:rPr>
                <w:sz w:val="20"/>
                <w:szCs w:val="20"/>
                <w:color w:val="auto"/>
              </w:rPr>
            </w:pPr>
            <w:r>
              <w:rPr>
                <w:rFonts w:ascii="Courier New" w:cs="Courier New" w:eastAsia="Courier New" w:hAnsi="Courier New"/>
                <w:sz w:val="16"/>
                <w:szCs w:val="16"/>
                <w:color w:val="auto"/>
              </w:rPr>
              <w:t>securities</w:t>
            </w:r>
          </w:p>
        </w:tc>
        <w:tc>
          <w:tcPr>
            <w:tcW w:w="188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476</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3,155</w:t>
            </w:r>
          </w:p>
        </w:tc>
      </w:tr>
      <w:tr>
        <w:trPr>
          <w:trHeight w:val="180"/>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Cost of Class B common stock held in treasury</w:t>
            </w:r>
          </w:p>
        </w:tc>
        <w:tc>
          <w:tcPr>
            <w:tcW w:w="188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(807,586)</w:t>
            </w:r>
          </w:p>
        </w:tc>
        <w:tc>
          <w:tcPr>
            <w:tcW w:w="7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(733,829)</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1,327,198</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1,322,803</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$1,886,869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1,870,411</w:t>
            </w:r>
          </w:p>
        </w:tc>
      </w:tr>
      <w:tr>
        <w:trPr>
          <w:trHeight w:val="180"/>
        </w:trPr>
        <w:tc>
          <w:tcPr>
            <w:tcW w:w="5900" w:type="dxa"/>
            <w:vAlign w:val="bottom"/>
          </w:tcPr>
          <w:p>
            <w:pPr>
              <w:spacing w:after="0"/>
              <w:rPr>
                <w:sz w:val="15"/>
                <w:szCs w:val="15"/>
                <w:color w:val="auto"/>
              </w:rPr>
            </w:pPr>
          </w:p>
        </w:tc>
        <w:tc>
          <w:tcPr>
            <w:tcW w:w="31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bl>
    <w:p>
      <w:pPr>
        <w:sectPr>
          <w:pgSz w:w="11900" w:h="16838" w:orient="portrait"/>
          <w:cols w:equalWidth="0" w:num="1">
            <w:col w:w="10680"/>
          </w:cols>
          <w:pgMar w:left="240" w:top="293" w:right="97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tbl>
      <w:tblPr>
        <w:tblLayout w:type="fixed"/>
        <w:tblInd w:w="0" w:type="dxa"/>
        <w:tblCellMar>
          <w:top w:w="0" w:type="dxa"/>
          <w:left w:w="0" w:type="dxa"/>
          <w:bottom w:w="0" w:type="dxa"/>
          <w:right w:w="0" w:type="dxa"/>
        </w:tblCellMar>
      </w:tblPr>
      <w:tr>
        <w:trPr>
          <w:trHeight w:val="180"/>
        </w:trPr>
        <w:tc>
          <w:tcPr>
            <w:tcW w:w="6420" w:type="dxa"/>
            <w:vAlign w:val="bottom"/>
          </w:tcPr>
          <w:p>
            <w:pPr>
              <w:spacing w:after="0"/>
              <w:rPr>
                <w:sz w:val="15"/>
                <w:szCs w:val="15"/>
                <w:color w:val="auto"/>
              </w:rPr>
            </w:pPr>
          </w:p>
        </w:tc>
        <w:tc>
          <w:tcPr>
            <w:tcW w:w="352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5.</w:t>
            </w:r>
          </w:p>
        </w:tc>
        <w:tc>
          <w:tcPr>
            <w:tcW w:w="1320" w:type="dxa"/>
            <w:vAlign w:val="bottom"/>
          </w:tcPr>
          <w:p>
            <w:pPr>
              <w:spacing w:after="0"/>
              <w:rPr>
                <w:sz w:val="15"/>
                <w:szCs w:val="15"/>
                <w:color w:val="auto"/>
              </w:rPr>
            </w:pPr>
          </w:p>
        </w:tc>
      </w:tr>
      <w:tr>
        <w:trPr>
          <w:trHeight w:val="361"/>
        </w:trPr>
        <w:tc>
          <w:tcPr>
            <w:tcW w:w="642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Cash Flows (Unaudited)</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541"/>
        </w:trPr>
        <w:tc>
          <w:tcPr>
            <w:tcW w:w="6420" w:type="dxa"/>
            <w:vAlign w:val="bottom"/>
          </w:tcPr>
          <w:p>
            <w:pPr>
              <w:spacing w:after="0"/>
              <w:rPr>
                <w:sz w:val="24"/>
                <w:szCs w:val="24"/>
                <w:color w:val="auto"/>
              </w:rPr>
            </w:pPr>
          </w:p>
        </w:tc>
        <w:tc>
          <w:tcPr>
            <w:tcW w:w="48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Twenty-six Weeks Ended</w:t>
            </w:r>
          </w:p>
        </w:tc>
      </w:tr>
      <w:tr>
        <w:trPr>
          <w:trHeight w:val="180"/>
        </w:trPr>
        <w:tc>
          <w:tcPr>
            <w:tcW w:w="6420" w:type="dxa"/>
            <w:vAlign w:val="bottom"/>
          </w:tcPr>
          <w:p>
            <w:pPr>
              <w:spacing w:after="0"/>
              <w:rPr>
                <w:sz w:val="15"/>
                <w:szCs w:val="15"/>
                <w:color w:val="auto"/>
              </w:rPr>
            </w:pPr>
          </w:p>
        </w:tc>
        <w:tc>
          <w:tcPr>
            <w:tcW w:w="48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June 29,</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June 30,</w:t>
            </w: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5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1997</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4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$119,051</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$100,160</w:t>
            </w: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provided by operating activities:</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Depreciation and amortization of property, plant</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940"/>
              <w:spacing w:after="0"/>
              <w:rPr>
                <w:sz w:val="20"/>
                <w:szCs w:val="20"/>
                <w:color w:val="auto"/>
              </w:rPr>
            </w:pPr>
            <w:r>
              <w:rPr>
                <w:rFonts w:ascii="Courier New" w:cs="Courier New" w:eastAsia="Courier New" w:hAnsi="Courier New"/>
                <w:sz w:val="16"/>
                <w:szCs w:val="16"/>
                <w:color w:val="auto"/>
              </w:rPr>
              <w:t>and equipment</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35,661</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32,164</w:t>
            </w:r>
          </w:p>
        </w:tc>
      </w:tr>
      <w:tr>
        <w:trPr>
          <w:trHeight w:val="180"/>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16,167</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14,147</w:t>
            </w:r>
          </w:p>
        </w:tc>
      </w:tr>
      <w:tr>
        <w:trPr>
          <w:trHeight w:val="180"/>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Gain from sale of business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(3,112)</w:t>
            </w:r>
          </w:p>
        </w:tc>
      </w:tr>
      <w:tr>
        <w:trPr>
          <w:trHeight w:val="180"/>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(Decrease) in income taxes payable</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(1,492)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(594)</w:t>
            </w:r>
          </w:p>
        </w:tc>
      </w:tr>
      <w:tr>
        <w:trPr>
          <w:trHeight w:val="180"/>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Provision for deferred income taxes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2,757</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2,454</w:t>
            </w:r>
          </w:p>
        </w:tc>
      </w:tr>
      <w:tr>
        <w:trPr>
          <w:trHeight w:val="180"/>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Equity in earnings of affiliates, net of</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940"/>
              <w:spacing w:after="0"/>
              <w:rPr>
                <w:sz w:val="20"/>
                <w:szCs w:val="20"/>
                <w:color w:val="auto"/>
              </w:rPr>
            </w:pPr>
            <w:r>
              <w:rPr>
                <w:rFonts w:ascii="Courier New" w:cs="Courier New" w:eastAsia="Courier New" w:hAnsi="Courier New"/>
                <w:sz w:val="16"/>
                <w:szCs w:val="16"/>
                <w:color w:val="auto"/>
              </w:rPr>
              <w:t>distributions</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(2,171)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(9,803)</w:t>
            </w:r>
          </w:p>
        </w:tc>
      </w:tr>
      <w:tr>
        <w:trPr>
          <w:trHeight w:val="180"/>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Change in assets and liabilities:</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940"/>
              <w:spacing w:after="0"/>
              <w:rPr>
                <w:sz w:val="20"/>
                <w:szCs w:val="20"/>
                <w:color w:val="auto"/>
              </w:rPr>
            </w:pPr>
            <w:r>
              <w:rPr>
                <w:rFonts w:ascii="Courier New" w:cs="Courier New" w:eastAsia="Courier New" w:hAnsi="Courier New"/>
                <w:sz w:val="16"/>
                <w:szCs w:val="16"/>
                <w:color w:val="auto"/>
              </w:rPr>
              <w:t>(Increase) in accounts receivable, net</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(1,497)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(31,770)</w:t>
            </w:r>
          </w:p>
        </w:tc>
      </w:tr>
      <w:tr>
        <w:trPr>
          <w:trHeight w:val="180"/>
        </w:trPr>
        <w:tc>
          <w:tcPr>
            <w:tcW w:w="6420" w:type="dxa"/>
            <w:vAlign w:val="bottom"/>
          </w:tcPr>
          <w:p>
            <w:pPr>
              <w:ind w:left="940"/>
              <w:spacing w:after="0"/>
              <w:rPr>
                <w:sz w:val="20"/>
                <w:szCs w:val="20"/>
                <w:color w:val="auto"/>
              </w:rPr>
            </w:pPr>
            <w:r>
              <w:rPr>
                <w:rFonts w:ascii="Courier New" w:cs="Courier New" w:eastAsia="Courier New" w:hAnsi="Courier New"/>
                <w:sz w:val="16"/>
                <w:szCs w:val="16"/>
                <w:color w:val="auto"/>
              </w:rPr>
              <w:t>(Increase) decrease in inventories</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(2,368)</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2,235</w:t>
            </w:r>
          </w:p>
        </w:tc>
      </w:tr>
      <w:tr>
        <w:trPr>
          <w:trHeight w:val="180"/>
        </w:trPr>
        <w:tc>
          <w:tcPr>
            <w:tcW w:w="6420" w:type="dxa"/>
            <w:vAlign w:val="bottom"/>
          </w:tcPr>
          <w:p>
            <w:pPr>
              <w:ind w:left="940"/>
              <w:spacing w:after="0"/>
              <w:rPr>
                <w:sz w:val="20"/>
                <w:szCs w:val="20"/>
                <w:color w:val="auto"/>
              </w:rPr>
            </w:pPr>
            <w:r>
              <w:rPr>
                <w:rFonts w:ascii="Courier New" w:cs="Courier New" w:eastAsia="Courier New" w:hAnsi="Courier New"/>
                <w:sz w:val="16"/>
                <w:szCs w:val="16"/>
                <w:color w:val="auto"/>
              </w:rPr>
              <w:t>Increase in accounts payable and</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1120"/>
              <w:spacing w:after="0"/>
              <w:rPr>
                <w:sz w:val="20"/>
                <w:szCs w:val="20"/>
                <w:color w:val="auto"/>
              </w:rPr>
            </w:pPr>
            <w:r>
              <w:rPr>
                <w:rFonts w:ascii="Courier New" w:cs="Courier New" w:eastAsia="Courier New" w:hAnsi="Courier New"/>
                <w:sz w:val="16"/>
                <w:szCs w:val="16"/>
                <w:color w:val="auto"/>
              </w:rPr>
              <w:t>accrued liabilities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163</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24,125</w:t>
            </w:r>
          </w:p>
        </w:tc>
      </w:tr>
      <w:tr>
        <w:trPr>
          <w:trHeight w:val="180"/>
        </w:trPr>
        <w:tc>
          <w:tcPr>
            <w:tcW w:w="6420" w:type="dxa"/>
            <w:vAlign w:val="bottom"/>
          </w:tcPr>
          <w:p>
            <w:pPr>
              <w:ind w:left="940"/>
              <w:spacing w:after="0"/>
              <w:rPr>
                <w:sz w:val="20"/>
                <w:szCs w:val="20"/>
                <w:color w:val="auto"/>
              </w:rPr>
            </w:pPr>
            <w:r>
              <w:rPr>
                <w:rFonts w:ascii="Courier New" w:cs="Courier New" w:eastAsia="Courier New" w:hAnsi="Courier New"/>
                <w:sz w:val="16"/>
                <w:szCs w:val="16"/>
                <w:color w:val="auto"/>
              </w:rPr>
              <w:t>(Increase) in other assets and other</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1120"/>
              <w:spacing w:after="0"/>
              <w:rPr>
                <w:sz w:val="20"/>
                <w:szCs w:val="20"/>
                <w:color w:val="auto"/>
              </w:rPr>
            </w:pPr>
            <w:r>
              <w:rPr>
                <w:rFonts w:ascii="Courier New" w:cs="Courier New" w:eastAsia="Courier New" w:hAnsi="Courier New"/>
                <w:sz w:val="16"/>
                <w:szCs w:val="16"/>
                <w:color w:val="auto"/>
              </w:rPr>
              <w:t>liabilities, net</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(2,644)</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(12,960)</w:t>
            </w:r>
          </w:p>
        </w:tc>
      </w:tr>
      <w:tr>
        <w:trPr>
          <w:trHeight w:val="180"/>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Other</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(630)</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3,411</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162,997</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120,457</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Net proceeds from sale of business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3,517</w:t>
            </w: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(86,920)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(16,197)</w:t>
            </w: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marketable securities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12,821</w:t>
            </w: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certain businesses</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(23,141)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(89,471)</w:t>
            </w: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9,825</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332</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420" w:type="dxa"/>
            <w:vAlign w:val="bottom"/>
          </w:tcPr>
          <w:p>
            <w:pPr>
              <w:ind w:left="740"/>
              <w:spacing w:after="0"/>
              <w:rPr>
                <w:sz w:val="20"/>
                <w:szCs w:val="20"/>
                <w:color w:val="auto"/>
              </w:rPr>
            </w:pPr>
            <w:r>
              <w:rPr>
                <w:rFonts w:ascii="Courier New" w:cs="Courier New" w:eastAsia="Courier New" w:hAnsi="Courier New"/>
                <w:sz w:val="16"/>
                <w:szCs w:val="16"/>
                <w:color w:val="auto"/>
              </w:rPr>
              <w:t>Net cash used in investing activities</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(100,236)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(88,998)</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Principal payments on debt</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(50,209)</w:t>
            </w: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Issuance of redeemable preferred stock</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11,947</w:t>
            </w: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Dividends paid</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(26,432)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(25,482)</w:t>
            </w: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Common shares repurchased</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(75,480)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(12,952)</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Net cash used in financing activities</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(101,912)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(76,696)</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42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35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(39,151)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(45,237)</w:t>
            </w:r>
          </w:p>
        </w:tc>
      </w:tr>
      <w:tr>
        <w:trPr>
          <w:trHeight w:val="361"/>
        </w:trPr>
        <w:tc>
          <w:tcPr>
            <w:tcW w:w="6420" w:type="dxa"/>
            <w:vAlign w:val="bottom"/>
          </w:tcPr>
          <w:p>
            <w:pPr>
              <w:spacing w:after="0"/>
              <w:rPr>
                <w:sz w:val="20"/>
                <w:szCs w:val="20"/>
                <w:color w:val="auto"/>
              </w:rPr>
            </w:pPr>
            <w:r>
              <w:rPr>
                <w:rFonts w:ascii="Courier New" w:cs="Courier New" w:eastAsia="Courier New" w:hAnsi="Courier New"/>
                <w:sz w:val="16"/>
                <w:szCs w:val="16"/>
                <w:color w:val="auto"/>
              </w:rPr>
              <w:t>Beginning cash and cash equivalents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102,278</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146,901</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420" w:type="dxa"/>
            <w:vAlign w:val="bottom"/>
          </w:tcPr>
          <w:p>
            <w:pPr>
              <w:spacing w:after="0"/>
              <w:rPr>
                <w:sz w:val="20"/>
                <w:szCs w:val="20"/>
                <w:color w:val="auto"/>
              </w:rPr>
            </w:pPr>
            <w:r>
              <w:rPr>
                <w:rFonts w:ascii="Courier New" w:cs="Courier New" w:eastAsia="Courier New" w:hAnsi="Courier New"/>
                <w:sz w:val="16"/>
                <w:szCs w:val="16"/>
                <w:color w:val="auto"/>
              </w:rPr>
              <w:t>Ending cash and cash equivalents</w:t>
            </w: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$ 63,127</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$101,664</w:t>
            </w:r>
          </w:p>
        </w:tc>
      </w:tr>
      <w:tr>
        <w:trPr>
          <w:trHeight w:val="180"/>
        </w:trPr>
        <w:tc>
          <w:tcPr>
            <w:tcW w:w="6420" w:type="dxa"/>
            <w:vAlign w:val="bottom"/>
          </w:tcPr>
          <w:p>
            <w:pPr>
              <w:spacing w:after="0"/>
              <w:rPr>
                <w:sz w:val="15"/>
                <w:szCs w:val="15"/>
                <w:color w:val="auto"/>
              </w:rPr>
            </w:pPr>
          </w:p>
        </w:tc>
        <w:tc>
          <w:tcPr>
            <w:tcW w:w="3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260"/>
          </w:cols>
          <w:pgMar w:left="240" w:top="293" w:right="39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jc w:val="right"/>
        <w:ind w:right="220"/>
        <w:spacing w:after="0"/>
        <w:rPr>
          <w:sz w:val="20"/>
          <w:szCs w:val="20"/>
          <w:color w:val="auto"/>
        </w:rPr>
      </w:pPr>
      <w:r>
        <w:rPr>
          <w:rFonts w:ascii="Courier New" w:cs="Courier New" w:eastAsia="Courier New" w:hAnsi="Courier New"/>
          <w:sz w:val="16"/>
          <w:szCs w:val="16"/>
          <w:color w:val="auto"/>
        </w:rPr>
        <w:t>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84" w:lineRule="exact"/>
        <w:rPr>
          <w:sz w:val="20"/>
          <w:szCs w:val="20"/>
          <w:color w:val="auto"/>
        </w:rPr>
      </w:pPr>
    </w:p>
    <w:p>
      <w:pPr>
        <w:ind w:right="320"/>
        <w:spacing w:after="0" w:line="256" w:lineRule="auto"/>
        <w:rPr>
          <w:sz w:val="20"/>
          <w:szCs w:val="20"/>
          <w:color w:val="auto"/>
        </w:rPr>
      </w:pPr>
      <w:r>
        <w:rPr>
          <w:rFonts w:ascii="Courier New" w:cs="Courier New" w:eastAsia="Courier New" w:hAnsi="Courier New"/>
          <w:sz w:val="15"/>
          <w:szCs w:val="15"/>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76" w:lineRule="exact"/>
        <w:rPr>
          <w:sz w:val="20"/>
          <w:szCs w:val="20"/>
          <w:color w:val="auto"/>
        </w:rPr>
      </w:pPr>
    </w:p>
    <w:p>
      <w:pPr>
        <w:jc w:val="both"/>
        <w:ind w:right="500"/>
        <w:spacing w:after="0" w:line="237" w:lineRule="auto"/>
        <w:rPr>
          <w:sz w:val="20"/>
          <w:szCs w:val="20"/>
          <w:color w:val="auto"/>
        </w:rPr>
      </w:pPr>
      <w:r>
        <w:rPr>
          <w:rFonts w:ascii="Courier New" w:cs="Courier New" w:eastAsia="Courier New" w:hAnsi="Courier New"/>
          <w:sz w:val="16"/>
          <w:szCs w:val="16"/>
          <w:color w:val="auto"/>
        </w:rPr>
        <w:t>Note 2: Summarized combined (unaudited) results of operations for the second quarter and year-to-date of 1997 and 1996 for the company's affiliates are as follows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39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Second Quarter</w:t>
            </w:r>
          </w:p>
        </w:tc>
      </w:tr>
      <w:tr>
        <w:trPr>
          <w:trHeight w:val="180"/>
        </w:trPr>
        <w:tc>
          <w:tcPr>
            <w:tcW w:w="3240" w:type="dxa"/>
            <w:vAlign w:val="bottom"/>
          </w:tcPr>
          <w:p>
            <w:pPr>
              <w:spacing w:after="0"/>
              <w:rPr>
                <w:sz w:val="15"/>
                <w:szCs w:val="15"/>
                <w:color w:val="auto"/>
              </w:rPr>
            </w:pPr>
          </w:p>
        </w:tc>
        <w:tc>
          <w:tcPr>
            <w:tcW w:w="3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240" w:type="dxa"/>
            <w:vAlign w:val="bottom"/>
          </w:tcPr>
          <w:p>
            <w:pPr>
              <w:spacing w:after="0"/>
              <w:rPr>
                <w:sz w:val="15"/>
                <w:szCs w:val="15"/>
                <w:color w:val="auto"/>
              </w:rPr>
            </w:pPr>
          </w:p>
        </w:tc>
        <w:tc>
          <w:tcPr>
            <w:tcW w:w="27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3240" w:type="dxa"/>
            <w:vAlign w:val="bottom"/>
          </w:tcPr>
          <w:p>
            <w:pPr>
              <w:spacing w:after="0"/>
              <w:rPr>
                <w:sz w:val="15"/>
                <w:szCs w:val="15"/>
                <w:color w:val="auto"/>
              </w:rPr>
            </w:pPr>
          </w:p>
        </w:tc>
        <w:tc>
          <w:tcPr>
            <w:tcW w:w="27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2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7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$219,474</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$236,430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7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22,897</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27,655</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7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13,327</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19,851</w:t>
            </w:r>
          </w:p>
        </w:tc>
      </w:tr>
    </w:tbl>
    <w:p>
      <w:pPr>
        <w:spacing w:after="0" w:line="365" w:lineRule="exact"/>
        <w:rPr>
          <w:sz w:val="20"/>
          <w:szCs w:val="20"/>
          <w:color w:val="auto"/>
        </w:rPr>
      </w:pPr>
    </w:p>
    <w:p>
      <w:pPr>
        <w:jc w:val="both"/>
        <w:ind w:right="400"/>
        <w:spacing w:after="0" w:line="237" w:lineRule="auto"/>
        <w:rPr>
          <w:sz w:val="20"/>
          <w:szCs w:val="20"/>
          <w:color w:val="auto"/>
        </w:rPr>
      </w:pPr>
      <w:r>
        <w:rPr>
          <w:rFonts w:ascii="Courier New" w:cs="Courier New" w:eastAsia="Courier New" w:hAnsi="Courier New"/>
          <w:sz w:val="16"/>
          <w:szCs w:val="16"/>
          <w:color w:val="auto"/>
        </w:rPr>
        <w:t>Note 3: In the first quarter of 1997, the company purchased a cable system in Cleveland, Mississippi, serving about 16,000 subscribers for approximately $23 million.</w:t>
      </w:r>
    </w:p>
    <w:p>
      <w:pPr>
        <w:spacing w:after="0" w:line="185" w:lineRule="exact"/>
        <w:rPr>
          <w:sz w:val="20"/>
          <w:szCs w:val="20"/>
          <w:color w:val="auto"/>
        </w:rPr>
      </w:pPr>
    </w:p>
    <w:p>
      <w:pPr>
        <w:ind w:right="320" w:firstLine="375"/>
        <w:spacing w:after="0" w:line="237" w:lineRule="auto"/>
        <w:rPr>
          <w:sz w:val="20"/>
          <w:szCs w:val="20"/>
          <w:color w:val="auto"/>
        </w:rPr>
      </w:pPr>
      <w:r>
        <w:rPr>
          <w:rFonts w:ascii="Courier New" w:cs="Courier New" w:eastAsia="Courier New" w:hAnsi="Courier New"/>
          <w:sz w:val="16"/>
          <w:szCs w:val="16"/>
          <w:color w:val="auto"/>
        </w:rPr>
        <w:t>In the second quarter of 1997, the company completed the exchange of assets of certain cable systems with Tele-Communications, Inc. The trade resulted in an increase of about 21,000 subscribers for the company.</w:t>
      </w:r>
    </w:p>
    <w:p>
      <w:pPr>
        <w:spacing w:after="0" w:line="185" w:lineRule="exact"/>
        <w:rPr>
          <w:sz w:val="20"/>
          <w:szCs w:val="20"/>
          <w:color w:val="auto"/>
        </w:rPr>
      </w:pPr>
    </w:p>
    <w:p>
      <w:pPr>
        <w:ind w:right="320" w:firstLine="375"/>
        <w:spacing w:after="0" w:line="238" w:lineRule="auto"/>
        <w:rPr>
          <w:sz w:val="20"/>
          <w:szCs w:val="20"/>
          <w:color w:val="auto"/>
        </w:rPr>
      </w:pPr>
      <w:r>
        <w:rPr>
          <w:rFonts w:ascii="Courier New" w:cs="Courier New" w:eastAsia="Courier New" w:hAnsi="Courier New"/>
          <w:sz w:val="16"/>
          <w:szCs w:val="16"/>
          <w:color w:val="auto"/>
        </w:rPr>
        <w:t>In the first quarter of 1996 the company purchased two businesses for approximately $60 million, a cable system in Texarkana serving about 24,000 subscribers and a commercial printing operation located in the Maryland suburbs of Washington, D.C. In the first quarter of 1996 the company also acquired a cable system in Columbus, Mississippi, serving about 15,700 subscribers for approximately $23 million consisting of cash and non-convertible, redeemable preferred stock of the company.</w:t>
      </w:r>
    </w:p>
    <w:p>
      <w:pPr>
        <w:spacing w:after="0" w:line="185" w:lineRule="exact"/>
        <w:rPr>
          <w:sz w:val="20"/>
          <w:szCs w:val="20"/>
          <w:color w:val="auto"/>
        </w:rPr>
      </w:pPr>
    </w:p>
    <w:p>
      <w:pPr>
        <w:ind w:right="500" w:firstLine="375"/>
        <w:spacing w:after="0" w:line="254" w:lineRule="auto"/>
        <w:rPr>
          <w:sz w:val="20"/>
          <w:szCs w:val="20"/>
          <w:color w:val="auto"/>
        </w:rPr>
      </w:pPr>
      <w:r>
        <w:rPr>
          <w:rFonts w:ascii="Courier New" w:cs="Courier New" w:eastAsia="Courier New" w:hAnsi="Courier New"/>
          <w:sz w:val="15"/>
          <w:szCs w:val="15"/>
          <w:color w:val="auto"/>
        </w:rPr>
        <w:t>The redeemable preferred stock issued in conjunction with the Columbus cable acquisition has a par value of $1.00 per share, and a redemption price and liquidation preference of $1,000 per share. Dividends are payable four times a year at the annual rate of $80 per share. Shares of the redeemable preferred stock are redeemable by the company at any time on or after October 1, 2015. In addition, holders of such stock have a right to require the company to purchase their shares at the redemption price during an annual 60-day election period, with the first such period beginning on February 23,</w:t>
      </w:r>
    </w:p>
    <w:p>
      <w:pPr>
        <w:spacing w:after="0"/>
        <w:rPr>
          <w:sz w:val="20"/>
          <w:szCs w:val="20"/>
          <w:color w:val="auto"/>
        </w:rPr>
      </w:pPr>
      <w:r>
        <w:rPr>
          <w:rFonts w:ascii="Courier New" w:cs="Courier New" w:eastAsia="Courier New" w:hAnsi="Courier New"/>
          <w:sz w:val="16"/>
          <w:szCs w:val="16"/>
          <w:color w:val="auto"/>
        </w:rPr>
        <w:t>2001.</w:t>
      </w:r>
    </w:p>
    <w:p>
      <w:pPr>
        <w:spacing w:after="0" w:line="184" w:lineRule="exact"/>
        <w:rPr>
          <w:sz w:val="20"/>
          <w:szCs w:val="20"/>
          <w:color w:val="auto"/>
        </w:rPr>
      </w:pPr>
    </w:p>
    <w:p>
      <w:pPr>
        <w:ind w:right="320"/>
        <w:spacing w:after="0" w:line="238" w:lineRule="auto"/>
        <w:rPr>
          <w:sz w:val="20"/>
          <w:szCs w:val="20"/>
          <w:color w:val="auto"/>
        </w:rPr>
      </w:pPr>
      <w:r>
        <w:rPr>
          <w:rFonts w:ascii="Courier New" w:cs="Courier New" w:eastAsia="Courier New" w:hAnsi="Courier New"/>
          <w:sz w:val="16"/>
          <w:szCs w:val="16"/>
          <w:color w:val="auto"/>
        </w:rPr>
        <w:t>Note 4: In February 1997, the Financial Accounting Standards Board issued Statement of Financial Accounting Standards No. 128, "Earnings Per Share," which is effective for periods ending after December 15, 1997, including interim periods. The new standard requires disclosure of basic and diluted earnings per share for income from continuing operations and net income. The company intends to adopt this standard in the fourth quarter of its fiscal year ending December 28, 1997. Adoption of this new standard will not have a material impact on the company's computation of earnings per share.</w:t>
      </w:r>
    </w:p>
    <w:p>
      <w:pPr>
        <w:spacing w:after="0" w:line="185" w:lineRule="exact"/>
        <w:rPr>
          <w:sz w:val="20"/>
          <w:szCs w:val="20"/>
          <w:color w:val="auto"/>
        </w:rPr>
      </w:pPr>
    </w:p>
    <w:p>
      <w:pPr>
        <w:ind w:right="400" w:firstLine="375"/>
        <w:spacing w:after="0" w:line="237" w:lineRule="auto"/>
        <w:rPr>
          <w:sz w:val="20"/>
          <w:szCs w:val="20"/>
          <w:color w:val="auto"/>
        </w:rPr>
      </w:pPr>
      <w:r>
        <w:rPr>
          <w:rFonts w:ascii="Courier New" w:cs="Courier New" w:eastAsia="Courier New" w:hAnsi="Courier New"/>
          <w:sz w:val="16"/>
          <w:szCs w:val="16"/>
          <w:color w:val="auto"/>
        </w:rPr>
        <w:t>In June 1997, the Financial Accounting Standards Board issued Statement of Accounting Standards No. 130, "Reporting Comprehensive Income," which is effective for fiscal years beginning after December 15, 1997. The Statement establishes standards for reporting and displaying comprehensive income, as defined, and its components. The company plans to adopt the Statement's disclosure standards in fiscal 1998.</w:t>
      </w:r>
    </w:p>
    <w:p>
      <w:pPr>
        <w:spacing w:after="0" w:line="189" w:lineRule="exact"/>
        <w:rPr>
          <w:sz w:val="20"/>
          <w:szCs w:val="20"/>
          <w:color w:val="auto"/>
        </w:rPr>
      </w:pPr>
    </w:p>
    <w:p>
      <w:pPr>
        <w:ind w:right="400" w:firstLine="375"/>
        <w:spacing w:after="0" w:line="237" w:lineRule="auto"/>
        <w:rPr>
          <w:sz w:val="20"/>
          <w:szCs w:val="20"/>
          <w:color w:val="auto"/>
        </w:rPr>
      </w:pPr>
      <w:r>
        <w:rPr>
          <w:rFonts w:ascii="Courier New" w:cs="Courier New" w:eastAsia="Courier New" w:hAnsi="Courier New"/>
          <w:sz w:val="16"/>
          <w:szCs w:val="16"/>
          <w:color w:val="auto"/>
        </w:rPr>
        <w:t>In June 1997, the Financial Accounting Standards Board issued Statement of Financial Accounting Standards No. 131, "Disclosures about Segments of an Enterprise and Related Information," which is effective for fiscal years beginning after December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Year-to-Date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tabs>
          <w:tab w:leader="none" w:pos="2040"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280"/>
        <w:spacing w:after="0"/>
        <w:tabs>
          <w:tab w:leader="none" w:pos="1760" w:val="left"/>
        </w:tabs>
        <w:rPr>
          <w:sz w:val="20"/>
          <w:szCs w:val="20"/>
          <w:color w:val="auto"/>
        </w:rPr>
      </w:pPr>
      <w:r>
        <w:rPr>
          <w:rFonts w:ascii="Courier New" w:cs="Courier New" w:eastAsia="Courier New" w:hAnsi="Courier New"/>
          <w:sz w:val="16"/>
          <w:szCs w:val="16"/>
          <w:color w:val="auto"/>
        </w:rPr>
        <w:t>$433,072</w:t>
      </w:r>
      <w:r>
        <w:rPr>
          <w:sz w:val="20"/>
          <w:szCs w:val="20"/>
          <w:color w:val="auto"/>
        </w:rPr>
        <w:tab/>
      </w:r>
      <w:r>
        <w:rPr>
          <w:rFonts w:ascii="Courier New" w:cs="Courier New" w:eastAsia="Courier New" w:hAnsi="Courier New"/>
          <w:sz w:val="15"/>
          <w:szCs w:val="15"/>
          <w:color w:val="auto"/>
        </w:rPr>
        <w:t>$471,903</w:t>
      </w:r>
    </w:p>
    <w:p>
      <w:pPr>
        <w:ind w:left="460"/>
        <w:spacing w:after="0"/>
        <w:tabs>
          <w:tab w:leader="none" w:pos="1940" w:val="left"/>
        </w:tabs>
        <w:rPr>
          <w:sz w:val="20"/>
          <w:szCs w:val="20"/>
          <w:color w:val="auto"/>
        </w:rPr>
      </w:pPr>
      <w:r>
        <w:rPr>
          <w:rFonts w:ascii="Courier New" w:cs="Courier New" w:eastAsia="Courier New" w:hAnsi="Courier New"/>
          <w:sz w:val="16"/>
          <w:szCs w:val="16"/>
          <w:color w:val="auto"/>
        </w:rPr>
        <w:t>30,043</w:t>
      </w:r>
      <w:r>
        <w:rPr>
          <w:sz w:val="20"/>
          <w:szCs w:val="20"/>
          <w:color w:val="auto"/>
        </w:rPr>
        <w:tab/>
      </w:r>
      <w:r>
        <w:rPr>
          <w:rFonts w:ascii="Courier New" w:cs="Courier New" w:eastAsia="Courier New" w:hAnsi="Courier New"/>
          <w:sz w:val="16"/>
          <w:szCs w:val="16"/>
          <w:color w:val="auto"/>
        </w:rPr>
        <w:t>65,057</w:t>
      </w:r>
    </w:p>
    <w:p>
      <w:pPr>
        <w:ind w:left="460"/>
        <w:spacing w:after="0" w:line="237" w:lineRule="auto"/>
        <w:tabs>
          <w:tab w:leader="none" w:pos="1940" w:val="left"/>
        </w:tabs>
        <w:rPr>
          <w:sz w:val="20"/>
          <w:szCs w:val="20"/>
          <w:color w:val="auto"/>
        </w:rPr>
      </w:pPr>
      <w:r>
        <w:rPr>
          <w:rFonts w:ascii="Courier New" w:cs="Courier New" w:eastAsia="Courier New" w:hAnsi="Courier New"/>
          <w:sz w:val="16"/>
          <w:szCs w:val="16"/>
          <w:color w:val="auto"/>
        </w:rPr>
        <w:t>17,629</w:t>
      </w:r>
      <w:r>
        <w:rPr>
          <w:sz w:val="20"/>
          <w:szCs w:val="20"/>
          <w:color w:val="auto"/>
        </w:rPr>
        <w:tab/>
      </w:r>
      <w:r>
        <w:rPr>
          <w:rFonts w:ascii="Courier New" w:cs="Courier New" w:eastAsia="Courier New" w:hAnsi="Courier New"/>
          <w:sz w:val="16"/>
          <w:szCs w:val="16"/>
          <w:color w:val="auto"/>
        </w:rPr>
        <w:t>47,224</w:t>
      </w:r>
    </w:p>
    <w:p>
      <w:pPr>
        <w:sectPr>
          <w:pgSz w:w="11900" w:h="16838" w:orient="portrait"/>
          <w:cols w:equalWidth="0" w:num="2">
            <w:col w:w="7720" w:space="720"/>
            <w:col w:w="2620"/>
          </w:cols>
          <w:pgMar w:left="240" w:top="293" w:right="59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jc w:val="right"/>
        <w:ind w:right="2819"/>
        <w:spacing w:after="0"/>
        <w:rPr>
          <w:sz w:val="20"/>
          <w:szCs w:val="20"/>
          <w:color w:val="auto"/>
        </w:rPr>
      </w:pPr>
      <w:r>
        <w:rPr>
          <w:rFonts w:ascii="Courier New" w:cs="Courier New" w:eastAsia="Courier New" w:hAnsi="Courier New"/>
          <w:sz w:val="16"/>
          <w:szCs w:val="16"/>
          <w:color w:val="auto"/>
        </w:rPr>
        <w:t>7.</w:t>
      </w:r>
    </w:p>
    <w:p>
      <w:pPr>
        <w:spacing w:after="0" w:line="184"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5"/>
          <w:szCs w:val="15"/>
          <w:color w:val="auto"/>
        </w:rPr>
        <w:t>15, 1997. The Statement establishes standards for the way companies report information about operating segments in annual and interim financial statements. Generally, the Statement requires financial information to be reported on the basis that is used internally for evaluating segment performance and deciding how to allocate resources to segments. The company plans to adopt the Statement's disclosure standards in fiscal 1998.</w:t>
      </w:r>
    </w:p>
    <w:p>
      <w:pPr>
        <w:spacing w:after="0" w:line="17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Note 5: During the first six months of 1997 the company repurchased 217,590 shares of its Class B common stock at a cost of $75.5 million.</w:t>
      </w:r>
    </w:p>
    <w:p>
      <w:pPr>
        <w:sectPr>
          <w:pgSz w:w="11900" w:h="16838" w:orient="portrait"/>
          <w:cols w:equalWidth="0" w:num="1">
            <w:col w:w="10219"/>
          </w:cols>
          <w:pgMar w:left="240" w:top="293"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jc w:val="right"/>
        <w:ind w:right="2819"/>
        <w:spacing w:after="0"/>
        <w:rPr>
          <w:sz w:val="20"/>
          <w:szCs w:val="20"/>
          <w:color w:val="auto"/>
        </w:rPr>
      </w:pPr>
      <w:r>
        <w:rPr>
          <w:rFonts w:ascii="Courier New" w:cs="Courier New" w:eastAsia="Courier New" w:hAnsi="Courier New"/>
          <w:sz w:val="16"/>
          <w:szCs w:val="16"/>
          <w:color w:val="auto"/>
        </w:rPr>
        <w:t>8.</w:t>
      </w:r>
    </w:p>
    <w:p>
      <w:pPr>
        <w:spacing w:after="0" w:line="184" w:lineRule="exact"/>
        <w:rPr>
          <w:sz w:val="20"/>
          <w:szCs w:val="20"/>
          <w:color w:val="auto"/>
        </w:rPr>
      </w:pPr>
    </w:p>
    <w:p>
      <w:pPr>
        <w:ind w:right="4679"/>
        <w:spacing w:after="0" w:line="236" w:lineRule="auto"/>
        <w:rPr>
          <w:sz w:val="20"/>
          <w:szCs w:val="20"/>
          <w:color w:val="auto"/>
        </w:rPr>
      </w:pPr>
      <w:r>
        <w:rPr>
          <w:rFonts w:ascii="Courier New" w:cs="Courier New" w:eastAsia="Courier New" w:hAnsi="Courier New"/>
          <w:sz w:val="16"/>
          <w:szCs w:val="16"/>
          <w:color w:val="auto"/>
        </w:rPr>
        <w:t>ITEM 2. MANAGEMENT'S DISCUSSION AND ANALYSIS OF RESULTS OF OPERATIONS AND FINANCIAL CONDITION</w:t>
      </w:r>
    </w:p>
    <w:p>
      <w:pPr>
        <w:spacing w:after="0" w:line="185"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This analysis should be read in conjunction with the consolidated financial statements and the notes thereto.</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QUARTER COMPARISONS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Net income for the second quarter of 1997 was $71.4 million, an increase of 13 percent over net income of $63.2 million in the second quarter last year. Earnings per share increased 15 percent to $6.60, from $5.76 in the second quarter of 1996, with a smaller number of shares outstanding.</w:t>
      </w:r>
    </w:p>
    <w:p>
      <w:pPr>
        <w:spacing w:after="0" w:line="186"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Revenues for the second quarter of 1997 rose 6 percent to $501.4 million, from $472.9 million in the same period last year. Both advertising revenues and circulation and subscriber revenues increased 6 percent. Other revenues increased 9 percent over the second quarter of 1996.</w:t>
      </w:r>
    </w:p>
    <w:p>
      <w:pPr>
        <w:spacing w:after="0" w:line="186" w:lineRule="exact"/>
        <w:rPr>
          <w:sz w:val="20"/>
          <w:szCs w:val="20"/>
          <w:color w:val="auto"/>
        </w:rPr>
      </w:pPr>
    </w:p>
    <w:p>
      <w:pPr>
        <w:ind w:right="2999" w:firstLine="375"/>
        <w:spacing w:after="0" w:line="238" w:lineRule="auto"/>
        <w:rPr>
          <w:sz w:val="20"/>
          <w:szCs w:val="20"/>
          <w:color w:val="auto"/>
        </w:rPr>
      </w:pPr>
      <w:r>
        <w:rPr>
          <w:rFonts w:ascii="Courier New" w:cs="Courier New" w:eastAsia="Courier New" w:hAnsi="Courier New"/>
          <w:sz w:val="16"/>
          <w:szCs w:val="16"/>
          <w:color w:val="auto"/>
        </w:rPr>
        <w:t>Costs and expenses for the second quarter of 1997 increased 4 percent to $391.4 million, from $377.4 million in the second quarter of 1996. Operating expenses decreased 3 percent. A 20 percent decline in newsprint expense accounted for almost all of the net decrease in operating expenses. Selling, general and administrative expenses increased 18 percent. Expansion at the cable division and Kaplan Educational Centers contributed to the increase. Depreciation expense increased 12 percent and amortization expense rose 15 percent compared to the second quarter of 1996 due primarily to recent acquisitions.</w:t>
      </w:r>
    </w:p>
    <w:p>
      <w:pPr>
        <w:spacing w:after="0" w:line="186"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In the second quarter of 1997 operating income rose to $109.9 million, a 15 percent increase over $95.5 million in 1996. The increase was primarily a result of strength in the company's print businesses due to improved advertising revenues and lower paper costs as discussed above.</w:t>
      </w:r>
    </w:p>
    <w:p>
      <w:pPr>
        <w:spacing w:after="0" w:line="186"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NEWSPAPER DIVISION. At the newspaper division revenues increased 8 percent in the second quarter of 1997. Advertising revenues for the division rose 10 percent for the quarter, due mainly to a 5 percent increase in advertising volume at The Washington Post. All advertising categories - retail, general, classified, and preprints - reported improved volume in the period. Circulation revenues for the division did not vary significantly in comparison to the same period last year.</w:t>
      </w:r>
    </w:p>
    <w:p>
      <w:pPr>
        <w:sectPr>
          <w:pgSz w:w="11900" w:h="16838" w:orient="portrait"/>
          <w:cols w:equalWidth="0" w:num="1">
            <w:col w:w="10219"/>
          </w:cols>
          <w:pgMar w:left="240" w:top="293"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ind w:left="7220"/>
        <w:spacing w:after="0"/>
        <w:rPr>
          <w:sz w:val="20"/>
          <w:szCs w:val="20"/>
          <w:color w:val="auto"/>
        </w:rPr>
      </w:pPr>
      <w:r>
        <w:rPr>
          <w:rFonts w:ascii="Courier New" w:cs="Courier New" w:eastAsia="Courier New" w:hAnsi="Courier New"/>
          <w:sz w:val="15"/>
          <w:szCs w:val="15"/>
          <w:color w:val="auto"/>
        </w:rPr>
        <w:t>9.</w:t>
      </w:r>
    </w:p>
    <w:p>
      <w:pPr>
        <w:spacing w:after="0" w:line="191"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BROADCAST DIVISION. Revenues at the broadcast division increased 3 percent in the second quarter of 1997.</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MAGAZINE DIVISION. Newsweek revenues in the second quarter of 1997 declined 2 percent. Advertising revenues fell 3 percent, primarily due to lower advertising page volume for the quarter. Circulation revenues did not vary significantly from the comparable period last year.</w:t>
      </w:r>
    </w:p>
    <w:p>
      <w:pPr>
        <w:spacing w:after="0" w:line="186"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CABLE DIVISION. At the cable division, second quarter 1997 revenues were 13 percent higher than 1996. Higher subscriber levels, resulting mainly from recent acquisitions, as well as slightly higher rates accounted for the increase. At the end of the second quarter, the number of basic subscribers totaled approximately 633,000, 13 percent higher than at the same time last year.</w:t>
      </w:r>
    </w:p>
    <w:p>
      <w:pPr>
        <w:spacing w:after="0" w:line="189"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OTHER BUSINESSES. In the second quarter of 1997, revenues from other businesses -- principally Kaplan Educational Centers, PASS Sports, Legi-Slate, Digital Ink, MLJ (Moffet, Larson &amp; Johnson),and TechNews -- increased 19 percent over the prior year. The increase was due to strong revenue growth at Kaplan Educational Centers.</w:t>
      </w:r>
    </w:p>
    <w:p>
      <w:pPr>
        <w:spacing w:after="0" w:line="18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6"/>
          <w:szCs w:val="16"/>
          <w:color w:val="auto"/>
        </w:rPr>
        <w:t>EQUITY IN EARNINGS AND LOSSES OF AFFILIATES.</w:t>
      </w:r>
      <w:r>
        <w:rPr>
          <w:sz w:val="20"/>
          <w:szCs w:val="20"/>
          <w:color w:val="auto"/>
        </w:rPr>
        <w:tab/>
      </w:r>
      <w:r>
        <w:rPr>
          <w:rFonts w:ascii="Courier New" w:cs="Courier New" w:eastAsia="Courier New" w:hAnsi="Courier New"/>
          <w:sz w:val="15"/>
          <w:szCs w:val="15"/>
          <w:color w:val="auto"/>
        </w:rPr>
        <w:t>The company's equity in earnings</w:t>
      </w:r>
    </w:p>
    <w:p>
      <w:pPr>
        <w:spacing w:after="0"/>
        <w:rPr>
          <w:sz w:val="20"/>
          <w:szCs w:val="20"/>
          <w:color w:val="auto"/>
        </w:rPr>
      </w:pPr>
      <w:r>
        <w:rPr>
          <w:rFonts w:ascii="Courier New" w:cs="Courier New" w:eastAsia="Courier New" w:hAnsi="Courier New"/>
          <w:sz w:val="16"/>
          <w:szCs w:val="16"/>
          <w:color w:val="auto"/>
        </w:rPr>
        <w:t>of affiliates in the second quarter of 1997 was $3.3 million, compared with</w:t>
      </w:r>
    </w:p>
    <w:p>
      <w:pPr>
        <w:spacing w:after="0"/>
        <w:tabs>
          <w:tab w:leader="none" w:pos="4200" w:val="left"/>
        </w:tabs>
        <w:rPr>
          <w:sz w:val="20"/>
          <w:szCs w:val="20"/>
          <w:color w:val="auto"/>
        </w:rPr>
      </w:pPr>
      <w:r>
        <w:rPr>
          <w:rFonts w:ascii="Courier New" w:cs="Courier New" w:eastAsia="Courier New" w:hAnsi="Courier New"/>
          <w:sz w:val="16"/>
          <w:szCs w:val="16"/>
          <w:color w:val="auto"/>
        </w:rPr>
        <w:t>$7.8 million in the second quarter of 1996.</w:t>
      </w:r>
      <w:r>
        <w:rPr>
          <w:sz w:val="20"/>
          <w:szCs w:val="20"/>
          <w:color w:val="auto"/>
        </w:rPr>
        <w:tab/>
      </w:r>
      <w:r>
        <w:rPr>
          <w:rFonts w:ascii="Courier New" w:cs="Courier New" w:eastAsia="Courier New" w:hAnsi="Courier New"/>
          <w:sz w:val="15"/>
          <w:szCs w:val="15"/>
          <w:color w:val="auto"/>
        </w:rPr>
        <w:t>The decrease was due to declining</w:t>
      </w:r>
    </w:p>
    <w:p>
      <w:pPr>
        <w:spacing w:after="0"/>
        <w:rPr>
          <w:sz w:val="20"/>
          <w:szCs w:val="20"/>
          <w:color w:val="auto"/>
        </w:rPr>
      </w:pPr>
      <w:r>
        <w:rPr>
          <w:rFonts w:ascii="Courier New" w:cs="Courier New" w:eastAsia="Courier New" w:hAnsi="Courier New"/>
          <w:sz w:val="16"/>
          <w:szCs w:val="16"/>
          <w:color w:val="auto"/>
        </w:rPr>
        <w:t>results at the company's affiliated newsprint mills.</w:t>
      </w:r>
    </w:p>
    <w:p>
      <w:pPr>
        <w:spacing w:after="0" w:line="184" w:lineRule="exact"/>
        <w:rPr>
          <w:sz w:val="20"/>
          <w:szCs w:val="20"/>
          <w:color w:val="auto"/>
        </w:rPr>
      </w:pPr>
    </w:p>
    <w:p>
      <w:pPr>
        <w:ind w:right="2819"/>
        <w:spacing w:after="0" w:line="263" w:lineRule="auto"/>
        <w:rPr>
          <w:sz w:val="20"/>
          <w:szCs w:val="20"/>
          <w:color w:val="auto"/>
        </w:rPr>
      </w:pPr>
      <w:r>
        <w:rPr>
          <w:rFonts w:ascii="Courier New" w:cs="Courier New" w:eastAsia="Courier New" w:hAnsi="Courier New"/>
          <w:sz w:val="15"/>
          <w:szCs w:val="15"/>
          <w:color w:val="auto"/>
        </w:rPr>
        <w:t>NON-OPERATING ITEMS. Interest income, net of interest expense, was $0.9 million and $1.0 million for the second quarters of 1997 and 1996,respectively.</w:t>
      </w:r>
    </w:p>
    <w:p>
      <w:pPr>
        <w:spacing w:after="0" w:line="169"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INCOME TAXES. The effective tax rate in the second quarter of 1997 decreased to 38.4 percent, from 39.0 percent in 1996.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 COMPARISONS</w:t>
      </w:r>
    </w:p>
    <w:p>
      <w:pPr>
        <w:spacing w:after="0" w:line="185" w:lineRule="exact"/>
        <w:rPr>
          <w:sz w:val="20"/>
          <w:szCs w:val="20"/>
          <w:color w:val="auto"/>
        </w:rPr>
      </w:pPr>
    </w:p>
    <w:p>
      <w:pPr>
        <w:ind w:right="3099" w:firstLine="375"/>
        <w:spacing w:after="0" w:line="237" w:lineRule="auto"/>
        <w:rPr>
          <w:sz w:val="20"/>
          <w:szCs w:val="20"/>
          <w:color w:val="auto"/>
        </w:rPr>
      </w:pPr>
      <w:r>
        <w:rPr>
          <w:rFonts w:ascii="Courier New" w:cs="Courier New" w:eastAsia="Courier New" w:hAnsi="Courier New"/>
          <w:sz w:val="16"/>
          <w:szCs w:val="16"/>
          <w:color w:val="auto"/>
        </w:rPr>
        <w:t>Net income for the first six months of 1997 was $119.1 million, compared with net income of $100.2 million in the first half of 1996. Earnings per share for the first half of the year were $10.94, an increase of 20 percent over the same period last year.</w:t>
      </w:r>
    </w:p>
    <w:p>
      <w:pPr>
        <w:spacing w:after="0" w:line="186"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Revenues for the first half of 1997 increased 7 percent to $955.5 million, from $889.5 million in the comparable period last year. Advertising revenues increased 8 percent, circulation and subscriber revenues increased 6 percent and other revenues increased 10 percent.</w:t>
      </w:r>
    </w:p>
    <w:p>
      <w:pPr>
        <w:sectPr>
          <w:pgSz w:w="11900" w:h="16838" w:orient="portrait"/>
          <w:cols w:equalWidth="0" w:num="1">
            <w:col w:w="10219"/>
          </w:cols>
          <w:pgMar w:left="240" w:top="293"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jc w:val="right"/>
        <w:ind w:right="2819"/>
        <w:spacing w:after="0"/>
        <w:rPr>
          <w:sz w:val="20"/>
          <w:szCs w:val="20"/>
          <w:color w:val="auto"/>
        </w:rPr>
      </w:pPr>
      <w:r>
        <w:rPr>
          <w:rFonts w:ascii="Courier New" w:cs="Courier New" w:eastAsia="Courier New" w:hAnsi="Courier New"/>
          <w:sz w:val="16"/>
          <w:szCs w:val="16"/>
          <w:color w:val="auto"/>
        </w:rPr>
        <w:t>10.</w:t>
      </w:r>
    </w:p>
    <w:p>
      <w:pPr>
        <w:spacing w:after="0" w:line="184" w:lineRule="exact"/>
        <w:rPr>
          <w:sz w:val="20"/>
          <w:szCs w:val="20"/>
          <w:color w:val="auto"/>
        </w:rPr>
      </w:pPr>
    </w:p>
    <w:p>
      <w:pPr>
        <w:ind w:right="2999" w:firstLine="375"/>
        <w:spacing w:after="0" w:line="238" w:lineRule="auto"/>
        <w:rPr>
          <w:sz w:val="20"/>
          <w:szCs w:val="20"/>
          <w:color w:val="auto"/>
        </w:rPr>
      </w:pPr>
      <w:r>
        <w:rPr>
          <w:rFonts w:ascii="Courier New" w:cs="Courier New" w:eastAsia="Courier New" w:hAnsi="Courier New"/>
          <w:sz w:val="16"/>
          <w:szCs w:val="16"/>
          <w:color w:val="auto"/>
        </w:rPr>
        <w:t>Costs and expenses increased 3 percent during the first half of 1997 to $767.6 million, from $743.8 million in the corresponding period of 1996. Operating expenses declined 1 percent due mainly to a 20 percent decrease in newsprint expense. Selling, general and administrative expenses increased 12 percent, with expansion at the cable division and Kaplan Educational Centers contributing to the increase. Depreciation expense and amortization expense increased 11 percent and 14 percent, respectively, resulting from recent acquisitions.</w:t>
      </w:r>
    </w:p>
    <w:p>
      <w:pPr>
        <w:spacing w:after="0" w:line="185" w:lineRule="exact"/>
        <w:rPr>
          <w:sz w:val="20"/>
          <w:szCs w:val="20"/>
          <w:color w:val="auto"/>
        </w:rPr>
      </w:pPr>
    </w:p>
    <w:p>
      <w:pPr>
        <w:ind w:right="3379" w:firstLine="375"/>
        <w:spacing w:after="0" w:line="263" w:lineRule="auto"/>
        <w:rPr>
          <w:sz w:val="20"/>
          <w:szCs w:val="20"/>
          <w:color w:val="auto"/>
        </w:rPr>
      </w:pPr>
      <w:r>
        <w:rPr>
          <w:rFonts w:ascii="Courier New" w:cs="Courier New" w:eastAsia="Courier New" w:hAnsi="Courier New"/>
          <w:sz w:val="15"/>
          <w:szCs w:val="15"/>
          <w:color w:val="auto"/>
        </w:rPr>
        <w:t>In the first half of 1997 operating income rose to $187.9 million, an increase of 29 percent over $145.7 million in the same period last year.</w:t>
      </w:r>
    </w:p>
    <w:p>
      <w:pPr>
        <w:spacing w:after="0" w:line="169"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NEWSPAPER DIVISION. Newspaper division revenues were up 8 percent in the first half of 1997 over the comparable period of 1996. Advertising revenues for the division rose 10 percent in the period due mainly to the increased advertising volume. All advertising categories reported higher volume over the first six months of 1996. Circulation revenues for the division did not vary significantly compared with the first half of 1996. Daily and Sunday circulation at The Post declined 2 percent and 1 percent, respectively, from the prior year.</w:t>
      </w:r>
    </w:p>
    <w:p>
      <w:pPr>
        <w:spacing w:after="0" w:line="18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BROADCAST DIVISION. Revenues at the broadcast division increased 3 percent over the first six months of 1996.</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MAGAZINE DIVISION. At Newsweek revenues increased 3 percent in the first half of 1997. Advertising revenues rose 5 percent, resulting primarily from higher advertising page volume, combined with higher net advertising revenue realized per page for the period. Circulation revenues did not vary significantly compared to the first six months of 1996.</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CABLE DIVISION. Cable division revenues increased 13 percent in the first half of 1997. Subscriber revenues grew 14 percent in the first six months of 1997 due to a 13 percent increase in the number of basic subscribers, resulting mainly from recent acquisitions, as well as slightly higher rates.</w:t>
      </w:r>
    </w:p>
    <w:p>
      <w:pPr>
        <w:spacing w:after="0" w:line="186"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OTHER BUSINESSES. At the company's other businesses, revenues rose 18 percent in the first half of 1997. Strong revenue growth at Kaplan Educational Centers accounted for almost all of the increase.</w:t>
      </w:r>
    </w:p>
    <w:p>
      <w:pPr>
        <w:spacing w:after="0" w:line="185"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during the first half of 1997 was $3.5 million, compared with $15.2 million in the first six months of 1996. Declining results at the company's newsprint mill affiliates were responsible for the decrease.</w:t>
      </w:r>
    </w:p>
    <w:p>
      <w:pPr>
        <w:sectPr>
          <w:pgSz w:w="11900" w:h="16838" w:orient="portrait"/>
          <w:cols w:equalWidth="0" w:num="1">
            <w:col w:w="10219"/>
          </w:cols>
          <w:pgMar w:left="240" w:top="293"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jc w:val="right"/>
        <w:ind w:right="2819"/>
        <w:spacing w:after="0"/>
        <w:rPr>
          <w:sz w:val="20"/>
          <w:szCs w:val="20"/>
          <w:color w:val="auto"/>
        </w:rPr>
      </w:pPr>
      <w:r>
        <w:rPr>
          <w:rFonts w:ascii="Courier New" w:cs="Courier New" w:eastAsia="Courier New" w:hAnsi="Courier New"/>
          <w:sz w:val="16"/>
          <w:szCs w:val="16"/>
          <w:color w:val="auto"/>
        </w:rPr>
        <w:t>11.</w:t>
      </w:r>
    </w:p>
    <w:p>
      <w:pPr>
        <w:spacing w:after="0" w:line="184"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5"/>
          <w:szCs w:val="15"/>
          <w:color w:val="auto"/>
        </w:rPr>
        <w:t>NON-OPERATING ITEMS. Interest income, net of interest expense, was $1.9 million in the first six months of 1997, compared to $1.2 million in 1996.</w:t>
      </w:r>
    </w:p>
    <w:p>
      <w:pPr>
        <w:spacing w:after="0" w:line="169"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Other income in the first half of 1997 was $0.8 million, compared with $2.2 million in the comparable period of 1996.</w:t>
      </w:r>
    </w:p>
    <w:p>
      <w:pPr>
        <w:spacing w:after="0" w:line="185" w:lineRule="exact"/>
        <w:rPr>
          <w:sz w:val="20"/>
          <w:szCs w:val="20"/>
          <w:color w:val="auto"/>
        </w:rPr>
      </w:pPr>
    </w:p>
    <w:p>
      <w:pPr>
        <w:ind w:right="3659"/>
        <w:spacing w:after="0" w:line="236" w:lineRule="auto"/>
        <w:rPr>
          <w:sz w:val="20"/>
          <w:szCs w:val="20"/>
          <w:color w:val="auto"/>
        </w:rPr>
      </w:pPr>
      <w:r>
        <w:rPr>
          <w:rFonts w:ascii="Courier New" w:cs="Courier New" w:eastAsia="Courier New" w:hAnsi="Courier New"/>
          <w:sz w:val="16"/>
          <w:szCs w:val="16"/>
          <w:color w:val="auto"/>
        </w:rPr>
        <w:t>INCOME TAXES. The effective tax rate for the first six months of 1997 decreased to 38.7 percent, from 39.0 percent in 1996.</w:t>
      </w:r>
    </w:p>
    <w:p>
      <w:pPr>
        <w:spacing w:after="0" w:line="360"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FINANCIAL CONDITION:</w:t>
      </w:r>
      <w:r>
        <w:rPr>
          <w:sz w:val="20"/>
          <w:szCs w:val="20"/>
          <w:color w:val="auto"/>
        </w:rPr>
        <w:tab/>
      </w:r>
      <w:r>
        <w:rPr>
          <w:rFonts w:ascii="Courier New" w:cs="Courier New" w:eastAsia="Courier New" w:hAnsi="Courier New"/>
          <w:sz w:val="15"/>
          <w:szCs w:val="15"/>
          <w:color w:val="auto"/>
        </w:rPr>
        <w:t>CAPITAL RESOURCES AND LIQUIDITY</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During the first half 1997 the company purchased a cable system in Cleveland, Mississippi, serving about 16,000 subscribers for approximately $23 million. The company also completed the exchange of the assets of certain cable systems with Tele-Communications, Inc. The trade resulted in an increase of about 21,000 subscribers for the company.</w:t>
      </w:r>
    </w:p>
    <w:p>
      <w:pPr>
        <w:spacing w:after="0" w:line="187"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In June 1997 the company entered into an agreement with Meredith Corporation to acquire the assets of WCPX, the CBS affiliate in Orlando, Florida, in exchange for the assets of WFSB, the company's CBS affiliate in Hartford, Connecticut, and approximately $60 million in cash. The exchange is contingent on approval by the Federal Communications Commission and is expected to be completed in the second half of the year.</w:t>
      </w:r>
    </w:p>
    <w:p>
      <w:pPr>
        <w:spacing w:after="0" w:line="189" w:lineRule="exact"/>
        <w:rPr>
          <w:sz w:val="20"/>
          <w:szCs w:val="20"/>
          <w:color w:val="auto"/>
        </w:rPr>
      </w:pPr>
    </w:p>
    <w:p>
      <w:pPr>
        <w:jc w:val="both"/>
        <w:ind w:right="2999" w:firstLine="375"/>
        <w:spacing w:after="0" w:line="237" w:lineRule="auto"/>
        <w:rPr>
          <w:sz w:val="20"/>
          <w:szCs w:val="20"/>
          <w:color w:val="auto"/>
        </w:rPr>
      </w:pPr>
      <w:r>
        <w:rPr>
          <w:rFonts w:ascii="Courier New" w:cs="Courier New" w:eastAsia="Courier New" w:hAnsi="Courier New"/>
          <w:sz w:val="16"/>
          <w:szCs w:val="16"/>
          <w:color w:val="auto"/>
        </w:rPr>
        <w:t>The company estimates that it will spend approximately $50 million during the remainder of 1997 as part of a three-year $250 million project to provide new production facilities for The Washington Post newspaper.</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At June 29, 1997, the company had $63 million in cash and cash equivalents. The company expects to fund the majority of its estimated capital expenditures and business acquisitions through internally generated funds and, if necessary, through the issuance of short-term promissory notes supported by existing credit facilities. In management's opinion, the company will have ample liquidity to meet its various cash needs in the second half of 1997 as outlined above.</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As of the end of 1996, the company had repurchased approximately 339,000 shares of the one million Class B shares authorized for repurchase by the Board of Directors in January 1995. In the first half of 1997, the company repurchased 217,590 shares of its Class B common stock for approximately $75.5 million. Approximately 444,000 Class B common shares remain to be repurchased under the January 1995 authorization.</w:t>
      </w:r>
    </w:p>
    <w:p>
      <w:pPr>
        <w:spacing w:after="0" w:line="189"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The company has experienced no other significant changes in its financial condition since the end of 1996.</w:t>
      </w:r>
    </w:p>
    <w:p>
      <w:pPr>
        <w:sectPr>
          <w:pgSz w:w="11900" w:h="16838" w:orient="portrait"/>
          <w:cols w:equalWidth="0" w:num="1">
            <w:col w:w="10219"/>
          </w:cols>
          <w:pgMar w:left="240" w:top="293"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ind w:left="7120"/>
        <w:spacing w:after="0"/>
        <w:rPr>
          <w:sz w:val="20"/>
          <w:szCs w:val="20"/>
          <w:color w:val="auto"/>
        </w:rPr>
      </w:pPr>
      <w:r>
        <w:rPr>
          <w:rFonts w:ascii="Courier New" w:cs="Courier New" w:eastAsia="Courier New" w:hAnsi="Courier New"/>
          <w:sz w:val="16"/>
          <w:szCs w:val="16"/>
          <w:color w:val="auto"/>
        </w:rPr>
        <w:t>12.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5" w:lineRule="exact"/>
        <w:rPr>
          <w:sz w:val="20"/>
          <w:szCs w:val="20"/>
          <w:color w:val="auto"/>
        </w:rPr>
      </w:pPr>
    </w:p>
    <w:p>
      <w:pPr>
        <w:ind w:right="2820" w:firstLine="844"/>
        <w:spacing w:after="0" w:line="237" w:lineRule="auto"/>
        <w:rPr>
          <w:sz w:val="20"/>
          <w:szCs w:val="20"/>
          <w:color w:val="auto"/>
        </w:rPr>
      </w:pPr>
      <w:r>
        <w:rPr>
          <w:rFonts w:ascii="Courier New" w:cs="Courier New" w:eastAsia="Courier New" w:hAnsi="Courier New"/>
          <w:sz w:val="16"/>
          <w:szCs w:val="16"/>
          <w:color w:val="auto"/>
        </w:rPr>
        <w:t>At the Company's May 8, 1997, Annual Meeting of Stockholders, the stockholders elected each of the nominees to its Board of Directors named in the Company's proxy statement dated March 28, 1997. The voting results are set forth below:</w:t>
      </w:r>
    </w:p>
    <w:p>
      <w:pPr>
        <w:spacing w:after="0" w:line="181"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3900" w:type="dxa"/>
            <w:vAlign w:val="bottom"/>
          </w:tcPr>
          <w:p>
            <w:pPr>
              <w:ind w:left="2060"/>
              <w:spacing w:after="0"/>
              <w:rPr>
                <w:sz w:val="20"/>
                <w:szCs w:val="20"/>
                <w:color w:val="auto"/>
              </w:rPr>
            </w:pPr>
            <w:r>
              <w:rPr>
                <w:rFonts w:ascii="Courier New" w:cs="Courier New" w:eastAsia="Courier New" w:hAnsi="Courier New"/>
                <w:sz w:val="16"/>
                <w:szCs w:val="16"/>
                <w:color w:val="auto"/>
              </w:rPr>
              <w:t>Class A Directors</w:t>
            </w:r>
          </w:p>
        </w:tc>
        <w:tc>
          <w:tcPr>
            <w:tcW w:w="1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21"/>
        </w:trPr>
        <w:tc>
          <w:tcPr>
            <w:tcW w:w="3900" w:type="dxa"/>
            <w:vAlign w:val="bottom"/>
          </w:tcPr>
          <w:p>
            <w:pPr>
              <w:spacing w:after="0"/>
              <w:rPr>
                <w:sz w:val="24"/>
                <w:szCs w:val="24"/>
                <w:color w:val="auto"/>
              </w:rPr>
            </w:pPr>
          </w:p>
        </w:tc>
        <w:tc>
          <w:tcPr>
            <w:tcW w:w="1960" w:type="dxa"/>
            <w:vAlign w:val="bottom"/>
          </w:tcPr>
          <w:p>
            <w:pPr>
              <w:jc w:val="center"/>
              <w:ind w:right="762"/>
              <w:spacing w:after="0"/>
              <w:rPr>
                <w:sz w:val="20"/>
                <w:szCs w:val="20"/>
                <w:color w:val="auto"/>
              </w:rPr>
            </w:pPr>
            <w:r>
              <w:rPr>
                <w:rFonts w:ascii="Courier New" w:cs="Courier New" w:eastAsia="Courier New" w:hAnsi="Courier New"/>
                <w:sz w:val="16"/>
                <w:szCs w:val="16"/>
                <w:color w:val="auto"/>
                <w:w w:val="99"/>
              </w:rPr>
              <w:t>Votes</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Votes</w:t>
            </w:r>
          </w:p>
        </w:tc>
        <w:tc>
          <w:tcPr>
            <w:tcW w:w="1260" w:type="dxa"/>
            <w:vAlign w:val="bottom"/>
          </w:tcPr>
          <w:p>
            <w:pPr>
              <w:ind w:left="500"/>
              <w:spacing w:after="0"/>
              <w:rPr>
                <w:sz w:val="20"/>
                <w:szCs w:val="20"/>
                <w:color w:val="auto"/>
              </w:rPr>
            </w:pPr>
            <w:r>
              <w:rPr>
                <w:rFonts w:ascii="Courier New" w:cs="Courier New" w:eastAsia="Courier New" w:hAnsi="Courier New"/>
                <w:sz w:val="16"/>
                <w:szCs w:val="16"/>
                <w:color w:val="auto"/>
              </w:rPr>
              <w:t>Broker</w:t>
            </w:r>
          </w:p>
        </w:tc>
      </w:tr>
      <w:tr>
        <w:trPr>
          <w:trHeight w:val="180"/>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Nominee</w:t>
            </w:r>
          </w:p>
        </w:tc>
        <w:tc>
          <w:tcPr>
            <w:tcW w:w="1960" w:type="dxa"/>
            <w:vAlign w:val="bottom"/>
          </w:tcPr>
          <w:p>
            <w:pPr>
              <w:jc w:val="center"/>
              <w:ind w:right="762"/>
              <w:spacing w:after="0"/>
              <w:rPr>
                <w:sz w:val="20"/>
                <w:szCs w:val="20"/>
                <w:color w:val="auto"/>
              </w:rPr>
            </w:pPr>
            <w:r>
              <w:rPr>
                <w:rFonts w:ascii="Courier New" w:cs="Courier New" w:eastAsia="Courier New" w:hAnsi="Courier New"/>
                <w:sz w:val="16"/>
                <w:szCs w:val="16"/>
                <w:color w:val="auto"/>
                <w:w w:val="97"/>
              </w:rPr>
              <w:t>For</w:t>
            </w:r>
          </w:p>
        </w:tc>
        <w:tc>
          <w:tcPr>
            <w:tcW w:w="2260" w:type="dxa"/>
            <w:vAlign w:val="bottom"/>
          </w:tcPr>
          <w:p>
            <w:pPr>
              <w:ind w:left="900"/>
              <w:spacing w:after="0"/>
              <w:rPr>
                <w:sz w:val="20"/>
                <w:szCs w:val="20"/>
                <w:color w:val="auto"/>
              </w:rPr>
            </w:pPr>
            <w:r>
              <w:rPr>
                <w:rFonts w:ascii="Courier New" w:cs="Courier New" w:eastAsia="Courier New" w:hAnsi="Courier New"/>
                <w:sz w:val="16"/>
                <w:szCs w:val="16"/>
                <w:color w:val="auto"/>
              </w:rPr>
              <w:t>Withheld</w:t>
            </w:r>
          </w:p>
        </w:tc>
        <w:tc>
          <w:tcPr>
            <w:tcW w:w="1260" w:type="dxa"/>
            <w:vAlign w:val="bottom"/>
          </w:tcPr>
          <w:p>
            <w:pPr>
              <w:ind w:left="420"/>
              <w:spacing w:after="0"/>
              <w:rPr>
                <w:sz w:val="20"/>
                <w:szCs w:val="20"/>
                <w:color w:val="auto"/>
              </w:rPr>
            </w:pPr>
            <w:r>
              <w:rPr>
                <w:rFonts w:ascii="Courier New" w:cs="Courier New" w:eastAsia="Courier New" w:hAnsi="Courier New"/>
                <w:sz w:val="16"/>
                <w:szCs w:val="16"/>
                <w:color w:val="auto"/>
                <w:w w:val="94"/>
              </w:rPr>
              <w:t>Non-Votes</w:t>
            </w:r>
          </w:p>
        </w:tc>
      </w:tr>
      <w:tr>
        <w:trPr>
          <w:trHeight w:val="180"/>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center"/>
              <w:ind w:right="762"/>
              <w:spacing w:after="0"/>
              <w:rPr>
                <w:sz w:val="20"/>
                <w:szCs w:val="20"/>
                <w:color w:val="auto"/>
              </w:rPr>
            </w:pPr>
            <w:r>
              <w:rPr>
                <w:rFonts w:ascii="Courier New" w:cs="Courier New" w:eastAsia="Courier New" w:hAnsi="Courier New"/>
                <w:sz w:val="16"/>
                <w:szCs w:val="16"/>
                <w:color w:val="auto"/>
                <w:w w:val="99"/>
              </w:rPr>
              <w:t>-----</w:t>
            </w:r>
          </w:p>
        </w:tc>
        <w:tc>
          <w:tcPr>
            <w:tcW w:w="226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3900" w:type="dxa"/>
            <w:vAlign w:val="bottom"/>
          </w:tcPr>
          <w:p>
            <w:pPr>
              <w:spacing w:after="0"/>
              <w:rPr>
                <w:sz w:val="20"/>
                <w:szCs w:val="20"/>
                <w:color w:val="auto"/>
              </w:rPr>
            </w:pPr>
            <w:r>
              <w:rPr>
                <w:rFonts w:ascii="Courier New" w:cs="Courier New" w:eastAsia="Courier New" w:hAnsi="Courier New"/>
                <w:sz w:val="16"/>
                <w:szCs w:val="16"/>
                <w:color w:val="auto"/>
              </w:rPr>
              <w:t>Warren E. Buffett</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Martin Cohen</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George J. Gillespie III</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Donald E. Graham</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Katharine Graham</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William J. Ruane</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Richard D. Simmons</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Alan G. Spoon</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George W. Wilson</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1,779,250</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541"/>
        </w:trPr>
        <w:tc>
          <w:tcPr>
            <w:tcW w:w="3900" w:type="dxa"/>
            <w:vAlign w:val="bottom"/>
          </w:tcPr>
          <w:p>
            <w:pPr>
              <w:ind w:left="2060"/>
              <w:spacing w:after="0"/>
              <w:rPr>
                <w:sz w:val="20"/>
                <w:szCs w:val="20"/>
                <w:color w:val="auto"/>
              </w:rPr>
            </w:pPr>
            <w:r>
              <w:rPr>
                <w:rFonts w:ascii="Courier New" w:cs="Courier New" w:eastAsia="Courier New" w:hAnsi="Courier New"/>
                <w:sz w:val="16"/>
                <w:szCs w:val="16"/>
                <w:color w:val="auto"/>
              </w:rPr>
              <w:t>Class B Directors</w:t>
            </w:r>
          </w:p>
        </w:tc>
        <w:tc>
          <w:tcPr>
            <w:tcW w:w="1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21"/>
        </w:trPr>
        <w:tc>
          <w:tcPr>
            <w:tcW w:w="3900" w:type="dxa"/>
            <w:vAlign w:val="bottom"/>
          </w:tcPr>
          <w:p>
            <w:pPr>
              <w:spacing w:after="0"/>
              <w:rPr>
                <w:sz w:val="24"/>
                <w:szCs w:val="24"/>
                <w:color w:val="auto"/>
              </w:rPr>
            </w:pPr>
          </w:p>
        </w:tc>
        <w:tc>
          <w:tcPr>
            <w:tcW w:w="196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9"/>
              </w:rPr>
              <w:t>Votes</w:t>
            </w:r>
          </w:p>
        </w:tc>
        <w:tc>
          <w:tcPr>
            <w:tcW w:w="2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Votes</w:t>
            </w:r>
          </w:p>
        </w:tc>
        <w:tc>
          <w:tcPr>
            <w:tcW w:w="1260" w:type="dxa"/>
            <w:vAlign w:val="bottom"/>
          </w:tcPr>
          <w:p>
            <w:pPr>
              <w:ind w:left="500"/>
              <w:spacing w:after="0"/>
              <w:rPr>
                <w:sz w:val="20"/>
                <w:szCs w:val="20"/>
                <w:color w:val="auto"/>
              </w:rPr>
            </w:pPr>
            <w:r>
              <w:rPr>
                <w:rFonts w:ascii="Courier New" w:cs="Courier New" w:eastAsia="Courier New" w:hAnsi="Courier New"/>
                <w:sz w:val="16"/>
                <w:szCs w:val="16"/>
                <w:color w:val="auto"/>
              </w:rPr>
              <w:t>Broker</w:t>
            </w:r>
          </w:p>
        </w:tc>
      </w:tr>
      <w:tr>
        <w:trPr>
          <w:trHeight w:val="180"/>
        </w:trPr>
        <w:tc>
          <w:tcPr>
            <w:tcW w:w="3900" w:type="dxa"/>
            <w:vAlign w:val="bottom"/>
          </w:tcPr>
          <w:p>
            <w:pPr>
              <w:ind w:left="180"/>
              <w:spacing w:after="0"/>
              <w:rPr>
                <w:sz w:val="20"/>
                <w:szCs w:val="20"/>
                <w:color w:val="auto"/>
              </w:rPr>
            </w:pPr>
            <w:r>
              <w:rPr>
                <w:rFonts w:ascii="Courier New" w:cs="Courier New" w:eastAsia="Courier New" w:hAnsi="Courier New"/>
                <w:sz w:val="16"/>
                <w:szCs w:val="16"/>
                <w:color w:val="auto"/>
              </w:rPr>
              <w:t>Nominee</w:t>
            </w:r>
          </w:p>
        </w:tc>
        <w:tc>
          <w:tcPr>
            <w:tcW w:w="196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For</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Withheld</w:t>
            </w:r>
          </w:p>
        </w:tc>
        <w:tc>
          <w:tcPr>
            <w:tcW w:w="1260" w:type="dxa"/>
            <w:vAlign w:val="bottom"/>
          </w:tcPr>
          <w:p>
            <w:pPr>
              <w:ind w:left="420"/>
              <w:spacing w:after="0"/>
              <w:rPr>
                <w:sz w:val="20"/>
                <w:szCs w:val="20"/>
                <w:color w:val="auto"/>
              </w:rPr>
            </w:pPr>
            <w:r>
              <w:rPr>
                <w:rFonts w:ascii="Courier New" w:cs="Courier New" w:eastAsia="Courier New" w:hAnsi="Courier New"/>
                <w:sz w:val="16"/>
                <w:szCs w:val="16"/>
                <w:color w:val="auto"/>
                <w:w w:val="94"/>
              </w:rPr>
              <w:t>Non-Votes</w:t>
            </w:r>
          </w:p>
        </w:tc>
      </w:tr>
      <w:tr>
        <w:trPr>
          <w:trHeight w:val="180"/>
        </w:trPr>
        <w:tc>
          <w:tcPr>
            <w:tcW w:w="39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9"/>
              </w:rPr>
              <w:t>-----</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3900" w:type="dxa"/>
            <w:vAlign w:val="bottom"/>
          </w:tcPr>
          <w:p>
            <w:pPr>
              <w:spacing w:after="0"/>
              <w:rPr>
                <w:sz w:val="20"/>
                <w:szCs w:val="20"/>
                <w:color w:val="auto"/>
              </w:rPr>
            </w:pPr>
            <w:r>
              <w:rPr>
                <w:rFonts w:ascii="Courier New" w:cs="Courier New" w:eastAsia="Courier New" w:hAnsi="Courier New"/>
                <w:sz w:val="16"/>
                <w:szCs w:val="16"/>
                <w:color w:val="auto"/>
              </w:rPr>
              <w:t>Daniel B. Burke</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6,971,165</w:t>
            </w:r>
          </w:p>
        </w:tc>
        <w:tc>
          <w:tcPr>
            <w:tcW w:w="2260" w:type="dxa"/>
            <w:vAlign w:val="bottom"/>
          </w:tcPr>
          <w:p>
            <w:pPr>
              <w:ind w:left="1080"/>
              <w:spacing w:after="0"/>
              <w:rPr>
                <w:sz w:val="20"/>
                <w:szCs w:val="20"/>
                <w:color w:val="auto"/>
              </w:rPr>
            </w:pPr>
            <w:r>
              <w:rPr>
                <w:rFonts w:ascii="Courier New" w:cs="Courier New" w:eastAsia="Courier New" w:hAnsi="Courier New"/>
                <w:sz w:val="16"/>
                <w:szCs w:val="16"/>
                <w:color w:val="auto"/>
              </w:rPr>
              <w:t>150,563</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James E. Burke</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7,071,851</w:t>
            </w:r>
          </w:p>
        </w:tc>
        <w:tc>
          <w:tcPr>
            <w:tcW w:w="2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49,877</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Ralph E. Gomory</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7,072,094</w:t>
            </w:r>
          </w:p>
        </w:tc>
        <w:tc>
          <w:tcPr>
            <w:tcW w:w="2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49,634</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Donald R. Keough</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7,071,812</w:t>
            </w:r>
          </w:p>
        </w:tc>
        <w:tc>
          <w:tcPr>
            <w:tcW w:w="2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49,916</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Barbara Scott Preiskel</w:t>
            </w:r>
          </w:p>
        </w:tc>
        <w:tc>
          <w:tcPr>
            <w:tcW w:w="19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7,070,333</w:t>
            </w:r>
          </w:p>
        </w:tc>
        <w:tc>
          <w:tcPr>
            <w:tcW w:w="2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51,395</w:t>
            </w:r>
          </w:p>
        </w:tc>
        <w:tc>
          <w:tcPr>
            <w:tcW w:w="1260" w:type="dxa"/>
            <w:vAlign w:val="bottom"/>
          </w:tcPr>
          <w:p>
            <w:pPr>
              <w:jc w:val="center"/>
              <w:ind w:left="342"/>
              <w:spacing w:after="0"/>
              <w:rPr>
                <w:sz w:val="20"/>
                <w:szCs w:val="20"/>
                <w:color w:val="auto"/>
              </w:rPr>
            </w:pPr>
            <w:r>
              <w:rPr>
                <w:rFonts w:ascii="Courier New" w:cs="Courier New" w:eastAsia="Courier New" w:hAnsi="Courier New"/>
                <w:sz w:val="16"/>
                <w:szCs w:val="16"/>
                <w:color w:val="auto"/>
                <w:w w:val="97"/>
              </w:rPr>
              <w:t>-0-</w:t>
            </w:r>
          </w:p>
        </w:tc>
      </w:tr>
    </w:tbl>
    <w:p>
      <w:pPr>
        <w:sectPr>
          <w:pgSz w:w="11900" w:h="16838" w:orient="portrait"/>
          <w:cols w:equalWidth="0" w:num="1">
            <w:col w:w="10220"/>
          </w:cols>
          <w:pgMar w:left="240" w:top="293" w:right="143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jc w:val="right"/>
        <w:ind w:right="2819"/>
        <w:spacing w:after="0"/>
        <w:rPr>
          <w:sz w:val="20"/>
          <w:szCs w:val="20"/>
          <w:color w:val="auto"/>
        </w:rPr>
      </w:pPr>
      <w:r>
        <w:rPr>
          <w:rFonts w:ascii="Courier New" w:cs="Courier New" w:eastAsia="Courier New" w:hAnsi="Courier New"/>
          <w:sz w:val="16"/>
          <w:szCs w:val="16"/>
          <w:color w:val="auto"/>
        </w:rPr>
        <w:t>13.</w:t>
      </w:r>
    </w:p>
    <w:p>
      <w:pPr>
        <w:spacing w:after="0" w:line="17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360" w:lineRule="exact"/>
        <w:rPr>
          <w:sz w:val="20"/>
          <w:szCs w:val="20"/>
          <w:color w:val="auto"/>
        </w:rPr>
      </w:pPr>
    </w:p>
    <w:p>
      <w:pPr>
        <w:ind w:left="1020" w:hanging="555"/>
        <w:spacing w:after="0"/>
        <w:tabs>
          <w:tab w:leader="none" w:pos="10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exhibits to this report: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tabs>
          <w:tab w:leader="none" w:pos="242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184" w:lineRule="exact"/>
        <w:rPr>
          <w:sz w:val="20"/>
          <w:szCs w:val="20"/>
          <w:color w:val="auto"/>
        </w:rPr>
      </w:pPr>
    </w:p>
    <w:p>
      <w:pPr>
        <w:ind w:left="1600" w:right="5259" w:hanging="1322"/>
        <w:spacing w:after="0" w:line="236" w:lineRule="auto"/>
        <w:tabs>
          <w:tab w:leader="none" w:pos="16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Earnings Per Share of Common Stock</w:t>
      </w:r>
    </w:p>
    <w:p>
      <w:pPr>
        <w:spacing w:after="0" w:line="180" w:lineRule="exact"/>
        <w:rPr>
          <w:sz w:val="20"/>
          <w:szCs w:val="20"/>
          <w:color w:val="auto"/>
        </w:rPr>
      </w:pPr>
    </w:p>
    <w:p>
      <w:pPr>
        <w:ind w:left="1600" w:hanging="1322"/>
        <w:spacing w:after="0"/>
        <w:tabs>
          <w:tab w:leader="none" w:pos="16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(Electronic Filing Only)</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1020" w:right="2899" w:hanging="555"/>
        <w:spacing w:after="0" w:line="236" w:lineRule="auto"/>
        <w:tabs>
          <w:tab w:leader="none" w:pos="102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period covered by this report.</w:t>
      </w:r>
    </w:p>
    <w:p>
      <w:pPr>
        <w:sectPr>
          <w:pgSz w:w="11900" w:h="16838" w:orient="portrait"/>
          <w:cols w:equalWidth="0" w:num="1">
            <w:col w:w="10219"/>
          </w:cols>
          <w:pgMar w:left="240" w:top="293"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jc w:val="right"/>
        <w:ind w:right="2819"/>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45"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THE WASHINGTON POST COMPANY</w:t>
      </w:r>
    </w:p>
    <w:p>
      <w:pPr>
        <w:ind w:left="37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Courier New" w:cs="Courier New" w:eastAsia="Courier New" w:hAnsi="Courier New"/>
          <w:sz w:val="15"/>
          <w:szCs w:val="15"/>
          <w:color w:val="auto"/>
        </w:rPr>
        <w:t>August 8, 1997 --------------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Donald E. Graham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Donald E. Graham, Chairman &amp;</w:t>
      </w:r>
    </w:p>
    <w:p>
      <w:pPr>
        <w:ind w:left="480"/>
        <w:spacing w:after="0"/>
        <w:rPr>
          <w:sz w:val="20"/>
          <w:szCs w:val="20"/>
          <w:color w:val="auto"/>
        </w:rPr>
      </w:pPr>
      <w:r>
        <w:rPr>
          <w:rFonts w:ascii="Courier New" w:cs="Courier New" w:eastAsia="Courier New" w:hAnsi="Courier New"/>
          <w:sz w:val="16"/>
          <w:szCs w:val="16"/>
          <w:color w:val="auto"/>
        </w:rPr>
        <w:t>Chief Executive Officer</w:t>
      </w:r>
    </w:p>
    <w:p>
      <w:pPr>
        <w:ind w:left="380"/>
        <w:spacing w:after="0" w:line="237" w:lineRule="auto"/>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460" w:space="200"/>
            <w:col w:w="1300" w:space="660"/>
            <w:col w:w="7599"/>
          </w:cols>
          <w:pgMar w:left="240" w:top="293" w:right="1440"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both"/>
        <w:ind w:right="140"/>
        <w:spacing w:after="0" w:line="263" w:lineRule="auto"/>
        <w:rPr>
          <w:sz w:val="20"/>
          <w:szCs w:val="20"/>
          <w:color w:val="auto"/>
        </w:rPr>
      </w:pPr>
      <w:r>
        <w:rPr>
          <w:rFonts w:ascii="Courier New" w:cs="Courier New" w:eastAsia="Courier New" w:hAnsi="Courier New"/>
          <w:sz w:val="15"/>
          <w:szCs w:val="15"/>
          <w:color w:val="auto"/>
        </w:rPr>
        <w:t>August 8, 1997 --------------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John B. Morse,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3">
            <w:col w:w="460" w:space="200"/>
            <w:col w:w="1440" w:space="720"/>
            <w:col w:w="7399"/>
          </w:cols>
          <w:pgMar w:left="240" w:top="293" w:right="1440" w:bottom="1440" w:gutter="0" w:footer="0" w:header="0"/>
          <w:type w:val="continuous"/>
        </w:sectPr>
      </w:pPr>
    </w:p>
    <w:bookmarkStart w:id="14" w:name="page15"/>
    <w:bookmarkEnd w:id="14"/>
    <w:p>
      <w:pPr>
        <w:ind w:left="284"/>
        <w:spacing w:after="0"/>
        <w:rPr>
          <w:sz w:val="20"/>
          <w:szCs w:val="20"/>
          <w:color w:val="auto"/>
        </w:rPr>
      </w:pPr>
      <w:r>
        <w:rPr>
          <w:rFonts w:ascii="Courier New" w:cs="Courier New" w:eastAsia="Courier New" w:hAnsi="Courier New"/>
          <w:sz w:val="16"/>
          <w:szCs w:val="16"/>
          <w:color w:val="auto"/>
        </w:rPr>
        <w:t>1</w:t>
      </w:r>
    </w:p>
    <w:tbl>
      <w:tblPr>
        <w:tblLayout w:type="fixed"/>
        <w:tblInd w:w="4" w:type="dxa"/>
        <w:tblCellMar>
          <w:top w:w="0" w:type="dxa"/>
          <w:left w:w="0" w:type="dxa"/>
          <w:bottom w:w="0" w:type="dxa"/>
          <w:right w:w="0" w:type="dxa"/>
        </w:tblCellMar>
      </w:tblP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80" w:type="dxa"/>
            <w:vAlign w:val="bottom"/>
            <w:gridSpan w:val="2"/>
          </w:tcPr>
          <w:p>
            <w:pPr>
              <w:jc w:val="right"/>
              <w:ind w:right="1002"/>
              <w:spacing w:after="0"/>
              <w:rPr>
                <w:sz w:val="20"/>
                <w:szCs w:val="20"/>
                <w:color w:val="auto"/>
              </w:rPr>
            </w:pPr>
            <w:r>
              <w:rPr>
                <w:rFonts w:ascii="Courier New" w:cs="Courier New" w:eastAsia="Courier New" w:hAnsi="Courier New"/>
                <w:sz w:val="16"/>
                <w:szCs w:val="16"/>
                <w:color w:val="auto"/>
              </w:rPr>
              <w:t>Exhibit 11</w:t>
            </w: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541"/>
        </w:trPr>
        <w:tc>
          <w:tcPr>
            <w:tcW w:w="5340" w:type="dxa"/>
            <w:vAlign w:val="bottom"/>
          </w:tcPr>
          <w:p>
            <w:pPr>
              <w:ind w:left="2520"/>
              <w:spacing w:after="0"/>
              <w:rPr>
                <w:sz w:val="20"/>
                <w:szCs w:val="20"/>
                <w:color w:val="auto"/>
              </w:rPr>
            </w:pPr>
            <w:r>
              <w:rPr>
                <w:rFonts w:ascii="Courier New" w:cs="Courier New" w:eastAsia="Courier New" w:hAnsi="Courier New"/>
                <w:sz w:val="16"/>
                <w:szCs w:val="16"/>
                <w:color w:val="auto"/>
              </w:rPr>
              <w:t>CALCULATION OF EARNINGS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ind w:left="2440"/>
              <w:spacing w:after="0"/>
              <w:rPr>
                <w:sz w:val="20"/>
                <w:szCs w:val="20"/>
                <w:color w:val="auto"/>
              </w:rPr>
            </w:pPr>
            <w:r>
              <w:rPr>
                <w:rFonts w:ascii="Courier New" w:cs="Courier New" w:eastAsia="Courier New" w:hAnsi="Courier New"/>
                <w:sz w:val="16"/>
                <w:szCs w:val="16"/>
                <w:color w:val="auto"/>
              </w:rPr>
              <w:t>PER SHARE OF COMMON STOCK</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ind w:left="2520"/>
              <w:spacing w:after="0"/>
              <w:rPr>
                <w:sz w:val="20"/>
                <w:szCs w:val="20"/>
                <w:color w:val="auto"/>
              </w:rPr>
            </w:pPr>
            <w:r>
              <w:rPr>
                <w:rFonts w:ascii="Courier New" w:cs="Courier New" w:eastAsia="Courier New" w:hAnsi="Courier New"/>
                <w:sz w:val="16"/>
                <w:szCs w:val="16"/>
                <w:color w:val="auto"/>
              </w:rPr>
              <w:t>(In thousands of shares)</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902"/>
        </w:trPr>
        <w:tc>
          <w:tcPr>
            <w:tcW w:w="5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6"/>
                <w:szCs w:val="16"/>
                <w:color w:val="auto"/>
              </w:rPr>
              <w:t>Thirteen Weeks Ended</w:t>
            </w:r>
          </w:p>
        </w:tc>
        <w:tc>
          <w:tcPr>
            <w:tcW w:w="2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Twenty-Six Weeks Ended</w:t>
            </w:r>
          </w:p>
        </w:tc>
      </w:t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8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w w:val="96"/>
              </w:rPr>
              <w:t>--------------------</w:t>
            </w:r>
          </w:p>
        </w:tc>
        <w:tc>
          <w:tcPr>
            <w:tcW w:w="2760" w:type="dxa"/>
            <w:vAlign w:val="bottom"/>
            <w:gridSpan w:val="4"/>
          </w:tcPr>
          <w:p>
            <w:pPr>
              <w:ind w:left="7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June 29,</w:t>
            </w:r>
          </w:p>
        </w:tc>
        <w:tc>
          <w:tcPr>
            <w:tcW w:w="16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June 30,</w:t>
            </w:r>
          </w:p>
        </w:tc>
        <w:tc>
          <w:tcPr>
            <w:tcW w:w="17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June 29,</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64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1996</w:t>
            </w:r>
          </w:p>
        </w:tc>
        <w:tc>
          <w:tcPr>
            <w:tcW w:w="80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1997</w:t>
            </w:r>
          </w:p>
        </w:tc>
        <w:tc>
          <w:tcPr>
            <w:tcW w:w="3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Number of shares of</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Class A and Class B</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stock outstanding</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at beginning of</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10,805</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10,986</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10,910</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11,005</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Issuance of shares of</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Class B common stock</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(weighted), net of</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forfeiture of re-</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stricted stock awards</w:t>
            </w: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17</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Repurchase of Class B</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common stock (weighted)</w:t>
            </w:r>
          </w:p>
        </w:tc>
        <w:tc>
          <w:tcPr>
            <w:tcW w:w="66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w:t>
            </w:r>
          </w:p>
        </w:tc>
        <w:tc>
          <w:tcPr>
            <w:tcW w:w="16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w:t>
            </w:r>
          </w:p>
        </w:tc>
        <w:tc>
          <w:tcPr>
            <w:tcW w:w="80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(133)</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Unexercised stock option</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equivalent shares com-</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puted under the "treasury</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stock method"</w:t>
            </w: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340" w:type="dxa"/>
            <w:vAlign w:val="bottom"/>
          </w:tcPr>
          <w:p>
            <w:pPr>
              <w:spacing w:after="0"/>
              <w:rPr>
                <w:sz w:val="15"/>
                <w:szCs w:val="15"/>
                <w:color w:val="auto"/>
              </w:rPr>
            </w:pPr>
          </w:p>
        </w:tc>
        <w:tc>
          <w:tcPr>
            <w:tcW w:w="16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Shares used in the</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computation of primary</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10,772</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10,970</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10,819</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10,998</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Adjustment to reflect fully</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dilution computation (1)</w:t>
            </w: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10,772</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10,970</w:t>
            </w:r>
          </w:p>
        </w:tc>
        <w:tc>
          <w:tcPr>
            <w:tcW w:w="80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10,819</w:t>
            </w:r>
          </w:p>
        </w:tc>
        <w:tc>
          <w:tcPr>
            <w:tcW w:w="32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10,998</w:t>
            </w:r>
          </w:p>
        </w:tc>
      </w:t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 available for</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common shares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71,118</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$63,218</w:t>
            </w:r>
          </w:p>
        </w:tc>
        <w:tc>
          <w:tcPr>
            <w:tcW w:w="800" w:type="dxa"/>
            <w:vAlign w:val="bottom"/>
          </w:tcPr>
          <w:p>
            <w:pPr>
              <w:ind w:left="70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118,334</w:t>
            </w:r>
          </w:p>
        </w:tc>
        <w:tc>
          <w:tcPr>
            <w:tcW w:w="320" w:type="dxa"/>
            <w:vAlign w:val="bottom"/>
          </w:tcPr>
          <w:p>
            <w:pPr>
              <w:ind w:left="240"/>
              <w:spacing w:after="0"/>
              <w:rPr>
                <w:sz w:val="20"/>
                <w:szCs w:val="20"/>
                <w:color w:val="auto"/>
              </w:rPr>
            </w:pPr>
            <w:r>
              <w:rPr>
                <w:rFonts w:ascii="Courier New" w:cs="Courier New" w:eastAsia="Courier New" w:hAnsi="Courier New"/>
                <w:sz w:val="13"/>
                <w:szCs w:val="13"/>
                <w:color w:val="auto"/>
                <w:w w:val="76"/>
              </w:rPr>
              <w:t>$</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99,958</w:t>
            </w:r>
          </w:p>
        </w:tc>
      </w:t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Primary earnings per common</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6.60</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$ 5.76</w:t>
            </w:r>
          </w:p>
        </w:tc>
        <w:tc>
          <w:tcPr>
            <w:tcW w:w="800" w:type="dxa"/>
            <w:vAlign w:val="bottom"/>
          </w:tcPr>
          <w:p>
            <w:pPr>
              <w:ind w:left="70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10.94</w:t>
            </w:r>
          </w:p>
        </w:tc>
        <w:tc>
          <w:tcPr>
            <w:tcW w:w="320" w:type="dxa"/>
            <w:vAlign w:val="bottom"/>
          </w:tcPr>
          <w:p>
            <w:pPr>
              <w:ind w:left="240"/>
              <w:spacing w:after="0"/>
              <w:rPr>
                <w:sz w:val="20"/>
                <w:szCs w:val="20"/>
                <w:color w:val="auto"/>
              </w:rPr>
            </w:pPr>
            <w:r>
              <w:rPr>
                <w:rFonts w:ascii="Courier New" w:cs="Courier New" w:eastAsia="Courier New" w:hAnsi="Courier New"/>
                <w:sz w:val="13"/>
                <w:szCs w:val="13"/>
                <w:color w:val="auto"/>
                <w:w w:val="76"/>
              </w:rPr>
              <w:t>$</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9.09</w:t>
            </w:r>
          </w:p>
        </w:tc>
      </w:t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Fully diluted earnings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per common share (1)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6.60</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$ 5.76</w:t>
            </w:r>
          </w:p>
        </w:tc>
        <w:tc>
          <w:tcPr>
            <w:tcW w:w="800" w:type="dxa"/>
            <w:vAlign w:val="bottom"/>
          </w:tcPr>
          <w:p>
            <w:pPr>
              <w:ind w:left="70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10.94</w:t>
            </w:r>
          </w:p>
        </w:tc>
        <w:tc>
          <w:tcPr>
            <w:tcW w:w="320" w:type="dxa"/>
            <w:vAlign w:val="bottom"/>
          </w:tcPr>
          <w:p>
            <w:pPr>
              <w:ind w:left="240"/>
              <w:spacing w:after="0"/>
              <w:rPr>
                <w:sz w:val="20"/>
                <w:szCs w:val="20"/>
                <w:color w:val="auto"/>
              </w:rPr>
            </w:pPr>
            <w:r>
              <w:rPr>
                <w:rFonts w:ascii="Courier New" w:cs="Courier New" w:eastAsia="Courier New" w:hAnsi="Courier New"/>
                <w:sz w:val="13"/>
                <w:szCs w:val="13"/>
                <w:color w:val="auto"/>
                <w:w w:val="76"/>
              </w:rPr>
              <w:t>$</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9.09</w:t>
            </w:r>
          </w:p>
        </w:tc>
      </w:tr>
      <w:tr>
        <w:trPr>
          <w:trHeight w:val="180"/>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5" w:lineRule="exact"/>
        <w:rPr>
          <w:sz w:val="20"/>
          <w:szCs w:val="20"/>
          <w:color w:val="auto"/>
        </w:rPr>
      </w:pPr>
    </w:p>
    <w:p>
      <w:pPr>
        <w:jc w:val="both"/>
        <w:ind w:left="4" w:right="4300" w:hanging="4"/>
        <w:spacing w:after="0" w:line="237" w:lineRule="auto"/>
        <w:tabs>
          <w:tab w:leader="none" w:pos="37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computation is submitted although it is not required by Accounting Principles Board Opinion No. 15 since it results in dilution of less than 3 percent.</w:t>
      </w:r>
    </w:p>
    <w:p>
      <w:pPr>
        <w:sectPr>
          <w:pgSz w:w="11900" w:h="16838" w:orient="portrait"/>
          <w:cols w:equalWidth="0" w:num="1">
            <w:col w:w="11344"/>
          </w:cols>
          <w:pgMar w:left="236" w:top="137" w:right="319" w:bottom="1440" w:gutter="0" w:footer="0" w:header="0"/>
        </w:sectPr>
      </w:pPr>
    </w:p>
    <w:bookmarkStart w:id="15" w:name="page16"/>
    <w:bookmarkEnd w:id="15"/>
    <w:p>
      <w:pPr>
        <w:ind w:left="80"/>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Income for the twenty-six weeks ended June 29, 1997 and the Condensed Consolidated Balance Sheet as of</w:t>
      </w:r>
    </w:p>
    <w:p>
      <w:pPr>
        <w:spacing w:after="0" w:line="4"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6"/>
          <w:szCs w:val="16"/>
          <w:color w:val="auto"/>
        </w:rPr>
        <w:t>June 29, 1997 and is qualified in its entirety by reference to such financial statements.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6-MOS</w:t>
      </w:r>
    </w:p>
    <w:p>
      <w:pPr>
        <w:ind w:left="2420"/>
        <w:spacing w:after="0"/>
        <w:rPr>
          <w:sz w:val="20"/>
          <w:szCs w:val="20"/>
          <w:color w:val="auto"/>
        </w:rPr>
      </w:pPr>
      <w:r>
        <w:rPr>
          <w:rFonts w:ascii="Courier New" w:cs="Courier New" w:eastAsia="Courier New" w:hAnsi="Courier New"/>
          <w:sz w:val="16"/>
          <w:szCs w:val="16"/>
          <w:color w:val="auto"/>
        </w:rPr>
        <w:t>DEC-28-1997</w:t>
      </w:r>
    </w:p>
    <w:p>
      <w:pPr>
        <w:ind w:left="2880"/>
        <w:spacing w:after="0" w:line="237" w:lineRule="auto"/>
        <w:rPr>
          <w:sz w:val="20"/>
          <w:szCs w:val="20"/>
          <w:color w:val="auto"/>
        </w:rPr>
      </w:pPr>
      <w:r>
        <w:rPr>
          <w:rFonts w:ascii="Courier New" w:cs="Courier New" w:eastAsia="Courier New" w:hAnsi="Courier New"/>
          <w:sz w:val="16"/>
          <w:szCs w:val="16"/>
          <w:color w:val="auto"/>
        </w:rPr>
        <w:t>JUN-29-1997</w:t>
      </w:r>
    </w:p>
    <w:p>
      <w:pPr>
        <w:ind w:left="3920"/>
        <w:spacing w:after="0"/>
        <w:rPr>
          <w:sz w:val="20"/>
          <w:szCs w:val="20"/>
          <w:color w:val="auto"/>
        </w:rPr>
      </w:pPr>
      <w:r>
        <w:rPr>
          <w:rFonts w:ascii="Courier New" w:cs="Courier New" w:eastAsia="Courier New" w:hAnsi="Courier New"/>
          <w:sz w:val="16"/>
          <w:szCs w:val="16"/>
          <w:color w:val="auto"/>
        </w:rPr>
        <w:t>63,127</w:t>
      </w:r>
    </w:p>
    <w:p>
      <w:pPr>
        <w:ind w:left="3820"/>
        <w:spacing w:after="0" w:line="238" w:lineRule="auto"/>
        <w:rPr>
          <w:sz w:val="20"/>
          <w:szCs w:val="20"/>
          <w:color w:val="auto"/>
        </w:rPr>
      </w:pPr>
      <w:r>
        <w:rPr>
          <w:rFonts w:ascii="Courier New" w:cs="Courier New" w:eastAsia="Courier New" w:hAnsi="Courier New"/>
          <w:sz w:val="16"/>
          <w:szCs w:val="16"/>
          <w:color w:val="auto"/>
        </w:rPr>
        <w:t>0</w:t>
      </w:r>
    </w:p>
    <w:p>
      <w:pPr>
        <w:ind w:left="3160"/>
        <w:spacing w:after="0"/>
        <w:rPr>
          <w:sz w:val="20"/>
          <w:szCs w:val="20"/>
          <w:color w:val="auto"/>
        </w:rPr>
      </w:pPr>
      <w:r>
        <w:rPr>
          <w:rFonts w:ascii="Courier New" w:cs="Courier New" w:eastAsia="Courier New" w:hAnsi="Courier New"/>
          <w:sz w:val="16"/>
          <w:szCs w:val="16"/>
          <w:color w:val="auto"/>
        </w:rPr>
        <w:t>284,621</w:t>
      </w:r>
    </w:p>
    <w:p>
      <w:pPr>
        <w:ind w:left="3360"/>
        <w:spacing w:after="0" w:line="238" w:lineRule="auto"/>
        <w:rPr>
          <w:sz w:val="20"/>
          <w:szCs w:val="20"/>
          <w:color w:val="auto"/>
        </w:rPr>
      </w:pPr>
      <w:r>
        <w:rPr>
          <w:rFonts w:ascii="Courier New" w:cs="Courier New" w:eastAsia="Courier New" w:hAnsi="Courier New"/>
          <w:sz w:val="16"/>
          <w:szCs w:val="16"/>
          <w:color w:val="auto"/>
        </w:rPr>
        <w:t>50,061</w:t>
      </w:r>
    </w:p>
    <w:p>
      <w:pPr>
        <w:ind w:left="3440"/>
        <w:spacing w:after="0"/>
        <w:rPr>
          <w:sz w:val="20"/>
          <w:szCs w:val="20"/>
          <w:color w:val="auto"/>
        </w:rPr>
      </w:pPr>
      <w:r>
        <w:rPr>
          <w:rFonts w:ascii="Courier New" w:cs="Courier New" w:eastAsia="Courier New" w:hAnsi="Courier New"/>
          <w:sz w:val="16"/>
          <w:szCs w:val="16"/>
          <w:color w:val="auto"/>
        </w:rPr>
        <w:t>26,795</w:t>
      </w:r>
    </w:p>
    <w:p>
      <w:pPr>
        <w:ind w:left="2880"/>
        <w:spacing w:after="0" w:line="237" w:lineRule="auto"/>
        <w:rPr>
          <w:sz w:val="20"/>
          <w:szCs w:val="20"/>
          <w:color w:val="auto"/>
        </w:rPr>
      </w:pPr>
      <w:r>
        <w:rPr>
          <w:rFonts w:ascii="Courier New" w:cs="Courier New" w:eastAsia="Courier New" w:hAnsi="Courier New"/>
          <w:sz w:val="16"/>
          <w:szCs w:val="16"/>
          <w:color w:val="auto"/>
        </w:rPr>
        <w:t>342,946</w:t>
      </w:r>
    </w:p>
    <w:p>
      <w:pPr>
        <w:ind w:left="3640"/>
        <w:spacing w:after="0"/>
        <w:rPr>
          <w:sz w:val="20"/>
          <w:szCs w:val="20"/>
          <w:color w:val="auto"/>
        </w:rPr>
      </w:pPr>
      <w:r>
        <w:rPr>
          <w:rFonts w:ascii="Courier New" w:cs="Courier New" w:eastAsia="Courier New" w:hAnsi="Courier New"/>
          <w:sz w:val="16"/>
          <w:szCs w:val="16"/>
          <w:color w:val="auto"/>
        </w:rPr>
        <w:t>1,176,275</w:t>
      </w:r>
    </w:p>
    <w:p>
      <w:pPr>
        <w:ind w:left="3080"/>
        <w:spacing w:after="0" w:line="238" w:lineRule="auto"/>
        <w:rPr>
          <w:sz w:val="20"/>
          <w:szCs w:val="20"/>
          <w:color w:val="auto"/>
        </w:rPr>
      </w:pPr>
      <w:r>
        <w:rPr>
          <w:rFonts w:ascii="Courier New" w:cs="Courier New" w:eastAsia="Courier New" w:hAnsi="Courier New"/>
          <w:sz w:val="16"/>
          <w:szCs w:val="16"/>
          <w:color w:val="auto"/>
        </w:rPr>
        <w:t>613,048</w:t>
      </w:r>
    </w:p>
    <w:p>
      <w:pPr>
        <w:ind w:left="2880"/>
        <w:spacing w:after="0"/>
        <w:rPr>
          <w:sz w:val="20"/>
          <w:szCs w:val="20"/>
          <w:color w:val="auto"/>
        </w:rPr>
      </w:pPr>
      <w:r>
        <w:rPr>
          <w:rFonts w:ascii="Courier New" w:cs="Courier New" w:eastAsia="Courier New" w:hAnsi="Courier New"/>
          <w:sz w:val="16"/>
          <w:szCs w:val="16"/>
          <w:color w:val="auto"/>
        </w:rPr>
        <w:t>1,886,869</w:t>
      </w:r>
    </w:p>
    <w:p>
      <w:pPr>
        <w:ind w:left="2420"/>
        <w:spacing w:after="0" w:line="238" w:lineRule="auto"/>
        <w:rPr>
          <w:sz w:val="20"/>
          <w:szCs w:val="20"/>
          <w:color w:val="auto"/>
        </w:rPr>
      </w:pPr>
      <w:r>
        <w:rPr>
          <w:rFonts w:ascii="Courier New" w:cs="Courier New" w:eastAsia="Courier New" w:hAnsi="Courier New"/>
          <w:sz w:val="16"/>
          <w:szCs w:val="16"/>
          <w:color w:val="auto"/>
        </w:rPr>
        <w:t>290,295</w:t>
      </w:r>
    </w:p>
    <w:p>
      <w:pPr>
        <w:ind w:left="4300"/>
        <w:spacing w:after="0"/>
        <w:rPr>
          <w:sz w:val="20"/>
          <w:szCs w:val="20"/>
          <w:color w:val="auto"/>
        </w:rPr>
      </w:pPr>
      <w:r>
        <w:rPr>
          <w:rFonts w:ascii="Courier New" w:cs="Courier New" w:eastAsia="Courier New" w:hAnsi="Courier New"/>
          <w:sz w:val="16"/>
          <w:szCs w:val="16"/>
          <w:color w:val="auto"/>
        </w:rPr>
        <w:t>0</w:t>
      </w:r>
    </w:p>
    <w:p>
      <w:pPr>
        <w:ind w:left="2500"/>
        <w:spacing w:after="0" w:line="237" w:lineRule="auto"/>
        <w:rPr>
          <w:sz w:val="20"/>
          <w:szCs w:val="20"/>
          <w:color w:val="auto"/>
        </w:rPr>
      </w:pPr>
      <w:r>
        <w:rPr>
          <w:rFonts w:ascii="Courier New" w:cs="Courier New" w:eastAsia="Courier New" w:hAnsi="Courier New"/>
          <w:sz w:val="16"/>
          <w:szCs w:val="16"/>
          <w:color w:val="auto"/>
        </w:rPr>
        <w:t>11,947</w:t>
      </w:r>
    </w:p>
    <w:p>
      <w:pPr>
        <w:ind w:left="3920"/>
        <w:spacing w:after="0"/>
        <w:rPr>
          <w:sz w:val="20"/>
          <w:szCs w:val="20"/>
          <w:color w:val="auto"/>
        </w:rPr>
      </w:pPr>
      <w:r>
        <w:rPr>
          <w:rFonts w:ascii="Courier New" w:cs="Courier New" w:eastAsia="Courier New" w:hAnsi="Courier New"/>
          <w:sz w:val="16"/>
          <w:szCs w:val="16"/>
          <w:color w:val="auto"/>
        </w:rPr>
        <w:t>0</w:t>
      </w:r>
    </w:p>
    <w:p>
      <w:pPr>
        <w:ind w:left="3720"/>
        <w:spacing w:after="0" w:line="238" w:lineRule="auto"/>
        <w:rPr>
          <w:sz w:val="20"/>
          <w:szCs w:val="20"/>
          <w:color w:val="auto"/>
        </w:rPr>
      </w:pPr>
      <w:r>
        <w:rPr>
          <w:rFonts w:ascii="Courier New" w:cs="Courier New" w:eastAsia="Courier New" w:hAnsi="Courier New"/>
          <w:sz w:val="16"/>
          <w:szCs w:val="16"/>
          <w:color w:val="auto"/>
        </w:rPr>
        <w:t>20,000</w:t>
      </w:r>
    </w:p>
    <w:p>
      <w:pPr>
        <w:ind w:left="3260"/>
        <w:spacing w:after="0"/>
        <w:rPr>
          <w:sz w:val="20"/>
          <w:szCs w:val="20"/>
          <w:color w:val="auto"/>
        </w:rPr>
      </w:pPr>
      <w:r>
        <w:rPr>
          <w:rFonts w:ascii="Courier New" w:cs="Courier New" w:eastAsia="Courier New" w:hAnsi="Courier New"/>
          <w:sz w:val="16"/>
          <w:szCs w:val="16"/>
          <w:color w:val="auto"/>
        </w:rPr>
        <w:t>1,307,198</w:t>
      </w:r>
    </w:p>
    <w:p>
      <w:pPr>
        <w:ind w:left="1580"/>
        <w:spacing w:after="0" w:line="238" w:lineRule="auto"/>
        <w:rPr>
          <w:sz w:val="20"/>
          <w:szCs w:val="20"/>
          <w:color w:val="auto"/>
        </w:rPr>
      </w:pPr>
      <w:r>
        <w:rPr>
          <w:rFonts w:ascii="Courier New" w:cs="Courier New" w:eastAsia="Courier New" w:hAnsi="Courier New"/>
          <w:sz w:val="16"/>
          <w:szCs w:val="16"/>
          <w:color w:val="auto"/>
        </w:rPr>
        <w:t>1,886,869</w:t>
      </w:r>
    </w:p>
    <w:p>
      <w:pPr>
        <w:ind w:left="4300"/>
        <w:spacing w:after="0"/>
        <w:rPr>
          <w:sz w:val="20"/>
          <w:szCs w:val="20"/>
          <w:color w:val="auto"/>
        </w:rPr>
      </w:pPr>
      <w:r>
        <w:rPr>
          <w:rFonts w:ascii="Courier New" w:cs="Courier New" w:eastAsia="Courier New" w:hAnsi="Courier New"/>
          <w:sz w:val="16"/>
          <w:szCs w:val="16"/>
          <w:color w:val="auto"/>
        </w:rPr>
        <w:t>0</w:t>
      </w:r>
    </w:p>
    <w:p>
      <w:pPr>
        <w:ind w:left="2880"/>
        <w:spacing w:after="0" w:line="237" w:lineRule="auto"/>
        <w:rPr>
          <w:sz w:val="20"/>
          <w:szCs w:val="20"/>
          <w:color w:val="auto"/>
        </w:rPr>
      </w:pPr>
      <w:r>
        <w:rPr>
          <w:rFonts w:ascii="Courier New" w:cs="Courier New" w:eastAsia="Courier New" w:hAnsi="Courier New"/>
          <w:sz w:val="16"/>
          <w:szCs w:val="16"/>
          <w:color w:val="auto"/>
        </w:rPr>
        <w:t>955,476</w:t>
      </w:r>
    </w:p>
    <w:p>
      <w:pPr>
        <w:ind w:left="4480"/>
        <w:spacing w:after="0"/>
        <w:rPr>
          <w:sz w:val="20"/>
          <w:szCs w:val="20"/>
          <w:color w:val="auto"/>
        </w:rPr>
      </w:pPr>
      <w:r>
        <w:rPr>
          <w:rFonts w:ascii="Courier New" w:cs="Courier New" w:eastAsia="Courier New" w:hAnsi="Courier New"/>
          <w:sz w:val="16"/>
          <w:szCs w:val="16"/>
          <w:color w:val="auto"/>
        </w:rPr>
        <w:t>0</w:t>
      </w:r>
    </w:p>
    <w:p>
      <w:pPr>
        <w:ind w:left="3160"/>
        <w:spacing w:after="0" w:line="238" w:lineRule="auto"/>
        <w:rPr>
          <w:sz w:val="20"/>
          <w:szCs w:val="20"/>
          <w:color w:val="auto"/>
        </w:rPr>
      </w:pPr>
      <w:r>
        <w:rPr>
          <w:rFonts w:ascii="Courier New" w:cs="Courier New" w:eastAsia="Courier New" w:hAnsi="Courier New"/>
          <w:sz w:val="16"/>
          <w:szCs w:val="16"/>
          <w:color w:val="auto"/>
        </w:rPr>
        <w:t>489,982</w:t>
      </w:r>
    </w:p>
    <w:p>
      <w:pPr>
        <w:ind w:left="3440"/>
        <w:spacing w:after="0"/>
        <w:rPr>
          <w:sz w:val="20"/>
          <w:szCs w:val="20"/>
          <w:color w:val="auto"/>
        </w:rPr>
      </w:pPr>
      <w:r>
        <w:rPr>
          <w:rFonts w:ascii="Courier New" w:cs="Courier New" w:eastAsia="Courier New" w:hAnsi="Courier New"/>
          <w:sz w:val="16"/>
          <w:szCs w:val="16"/>
          <w:color w:val="auto"/>
        </w:rPr>
        <w:t>0</w:t>
      </w:r>
    </w:p>
    <w:p>
      <w:pPr>
        <w:ind w:left="2980"/>
        <w:spacing w:after="0" w:line="238" w:lineRule="auto"/>
        <w:rPr>
          <w:sz w:val="20"/>
          <w:szCs w:val="20"/>
          <w:color w:val="auto"/>
        </w:rPr>
      </w:pPr>
      <w:r>
        <w:rPr>
          <w:rFonts w:ascii="Courier New" w:cs="Courier New" w:eastAsia="Courier New" w:hAnsi="Courier New"/>
          <w:sz w:val="16"/>
          <w:szCs w:val="16"/>
          <w:color w:val="auto"/>
        </w:rPr>
        <w:t>31,556</w:t>
      </w:r>
    </w:p>
    <w:p>
      <w:pPr>
        <w:ind w:left="3080"/>
        <w:spacing w:after="0"/>
        <w:rPr>
          <w:sz w:val="20"/>
          <w:szCs w:val="20"/>
          <w:color w:val="auto"/>
        </w:rPr>
      </w:pPr>
      <w:r>
        <w:rPr>
          <w:rFonts w:ascii="Courier New" w:cs="Courier New" w:eastAsia="Courier New" w:hAnsi="Courier New"/>
          <w:sz w:val="16"/>
          <w:szCs w:val="16"/>
          <w:color w:val="auto"/>
        </w:rPr>
        <w:t>323</w:t>
      </w:r>
    </w:p>
    <w:p>
      <w:pPr>
        <w:ind w:left="2980"/>
        <w:spacing w:after="0" w:line="237" w:lineRule="auto"/>
        <w:rPr>
          <w:sz w:val="20"/>
          <w:szCs w:val="20"/>
          <w:color w:val="auto"/>
        </w:rPr>
      </w:pPr>
      <w:r>
        <w:rPr>
          <w:rFonts w:ascii="Courier New" w:cs="Courier New" w:eastAsia="Courier New" w:hAnsi="Courier New"/>
          <w:sz w:val="16"/>
          <w:szCs w:val="16"/>
          <w:color w:val="auto"/>
        </w:rPr>
        <w:t>194,051</w:t>
      </w:r>
    </w:p>
    <w:p>
      <w:pPr>
        <w:ind w:left="3360"/>
        <w:spacing w:after="0"/>
        <w:rPr>
          <w:sz w:val="20"/>
          <w:szCs w:val="20"/>
          <w:color w:val="auto"/>
        </w:rPr>
      </w:pPr>
      <w:r>
        <w:rPr>
          <w:rFonts w:ascii="Courier New" w:cs="Courier New" w:eastAsia="Courier New" w:hAnsi="Courier New"/>
          <w:sz w:val="16"/>
          <w:szCs w:val="16"/>
          <w:color w:val="auto"/>
        </w:rPr>
        <w:t>75,000</w:t>
      </w:r>
    </w:p>
    <w:p>
      <w:pPr>
        <w:ind w:left="2600"/>
        <w:spacing w:after="0" w:line="238" w:lineRule="auto"/>
        <w:rPr>
          <w:sz w:val="20"/>
          <w:szCs w:val="20"/>
          <w:color w:val="auto"/>
        </w:rPr>
      </w:pPr>
      <w:r>
        <w:rPr>
          <w:rFonts w:ascii="Courier New" w:cs="Courier New" w:eastAsia="Courier New" w:hAnsi="Courier New"/>
          <w:sz w:val="16"/>
          <w:szCs w:val="16"/>
          <w:color w:val="auto"/>
        </w:rPr>
        <w:t>119,051</w:t>
      </w:r>
    </w:p>
    <w:p>
      <w:pPr>
        <w:ind w:left="3640"/>
        <w:spacing w:after="0"/>
        <w:rPr>
          <w:sz w:val="20"/>
          <w:szCs w:val="20"/>
          <w:color w:val="auto"/>
        </w:rPr>
      </w:pPr>
      <w:r>
        <w:rPr>
          <w:rFonts w:ascii="Courier New" w:cs="Courier New" w:eastAsia="Courier New" w:hAnsi="Courier New"/>
          <w:sz w:val="16"/>
          <w:szCs w:val="16"/>
          <w:color w:val="auto"/>
        </w:rPr>
        <w:t>0</w:t>
      </w:r>
    </w:p>
    <w:p>
      <w:pPr>
        <w:ind w:left="3540"/>
        <w:spacing w:after="0" w:line="238" w:lineRule="auto"/>
        <w:rPr>
          <w:sz w:val="20"/>
          <w:szCs w:val="20"/>
          <w:color w:val="auto"/>
        </w:rPr>
      </w:pPr>
      <w:r>
        <w:rPr>
          <w:rFonts w:ascii="Courier New" w:cs="Courier New" w:eastAsia="Courier New" w:hAnsi="Courier New"/>
          <w:sz w:val="16"/>
          <w:szCs w:val="16"/>
          <w:color w:val="auto"/>
        </w:rPr>
        <w:t>0</w:t>
      </w:r>
    </w:p>
    <w:p>
      <w:pPr>
        <w:ind w:left="4100"/>
        <w:spacing w:after="0"/>
        <w:rPr>
          <w:sz w:val="20"/>
          <w:szCs w:val="20"/>
          <w:color w:val="auto"/>
        </w:rPr>
      </w:pPr>
      <w:r>
        <w:rPr>
          <w:rFonts w:ascii="Courier New" w:cs="Courier New" w:eastAsia="Courier New" w:hAnsi="Courier New"/>
          <w:sz w:val="16"/>
          <w:szCs w:val="16"/>
          <w:color w:val="auto"/>
        </w:rPr>
        <w:t>0</w:t>
      </w:r>
    </w:p>
    <w:p>
      <w:pPr>
        <w:jc w:val="center"/>
        <w:ind w:right="3019"/>
        <w:spacing w:after="0" w:line="237" w:lineRule="auto"/>
        <w:rPr>
          <w:sz w:val="20"/>
          <w:szCs w:val="20"/>
          <w:color w:val="auto"/>
        </w:rPr>
      </w:pPr>
      <w:r>
        <w:rPr>
          <w:rFonts w:ascii="Courier New" w:cs="Courier New" w:eastAsia="Courier New" w:hAnsi="Courier New"/>
          <w:sz w:val="16"/>
          <w:szCs w:val="16"/>
          <w:color w:val="auto"/>
        </w:rPr>
        <w:t>119,051</w:t>
      </w:r>
    </w:p>
    <w:p>
      <w:pPr>
        <w:jc w:val="center"/>
        <w:ind w:right="3019"/>
        <w:spacing w:after="0"/>
        <w:rPr>
          <w:sz w:val="20"/>
          <w:szCs w:val="20"/>
          <w:color w:val="auto"/>
        </w:rPr>
      </w:pPr>
      <w:r>
        <w:rPr>
          <w:rFonts w:ascii="Courier New" w:cs="Courier New" w:eastAsia="Courier New" w:hAnsi="Courier New"/>
          <w:sz w:val="16"/>
          <w:szCs w:val="16"/>
          <w:color w:val="auto"/>
        </w:rPr>
        <w:t>10.94</w:t>
      </w:r>
    </w:p>
    <w:p>
      <w:pPr>
        <w:jc w:val="center"/>
        <w:ind w:right="3019"/>
        <w:spacing w:after="0" w:line="238" w:lineRule="auto"/>
        <w:rPr>
          <w:sz w:val="20"/>
          <w:szCs w:val="20"/>
          <w:color w:val="auto"/>
        </w:rPr>
      </w:pPr>
      <w:r>
        <w:rPr>
          <w:rFonts w:ascii="Courier New" w:cs="Courier New" w:eastAsia="Courier New" w:hAnsi="Courier New"/>
          <w:sz w:val="16"/>
          <w:szCs w:val="16"/>
          <w:color w:val="auto"/>
        </w:rPr>
        <w:t>10.94</w:t>
      </w:r>
    </w:p>
    <w:sectPr>
      <w:pgSz w:w="11900" w:h="16838" w:orient="portrait"/>
      <w:cols w:equalWidth="0" w:num="1">
        <w:col w:w="10199"/>
      </w:cols>
      <w:pgMar w:left="260"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202"/>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decimal"/>
      <w:start w:val="27"/>
    </w:lvl>
    <w:lvl w:ilvl="1">
      <w:lvlJc w:val="left"/>
      <w:lvlText w:val="(%2)"/>
      <w:numFmt w:val="lowerLetter"/>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2019-12-13T07:52:58Z</dcterms:created>
  <dcterms:modified xsi:type="dcterms:W3CDTF">2019-12-13T07:52:58Z</dcterms:modified>
</cp:coreProperties>
</file>