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2024</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88" w:lineRule="exact"/>
        <w:rPr>
          <w:sz w:val="24"/>
          <w:szCs w:val="24"/>
          <w:color w:val="auto"/>
        </w:rPr>
      </w:pPr>
    </w:p>
    <w:p>
      <w:pPr>
        <w:ind w:left="2827"/>
        <w:spacing w:after="0"/>
        <w:rPr>
          <w:sz w:val="20"/>
          <w:szCs w:val="20"/>
          <w:color w:val="auto"/>
        </w:rPr>
      </w:pPr>
      <w:r>
        <w:rPr>
          <w:rFonts w:ascii="Arial" w:cs="Arial" w:eastAsia="Arial" w:hAnsi="Arial"/>
          <w:sz w:val="28"/>
          <w:szCs w:val="28"/>
          <w:b w:val="1"/>
          <w:bCs w:val="1"/>
          <w:color w:val="auto"/>
        </w:rPr>
        <w:t>The 401(k) Savings Plan for GHC Affiliates</w:t>
      </w:r>
    </w:p>
    <w:p>
      <w:pPr>
        <w:spacing w:after="0" w:line="200" w:lineRule="exact"/>
        <w:rPr>
          <w:sz w:val="24"/>
          <w:szCs w:val="24"/>
          <w:color w:val="auto"/>
        </w:rPr>
      </w:pPr>
    </w:p>
    <w:p>
      <w:pPr>
        <w:spacing w:after="0" w:line="290"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1812 North Moore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Reports of Independent Registered Public Accounting Firms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2024 and 2023</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2024</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Line 4i—Schedule of Assets (Held at End of Year)</w:t>
            </w:r>
          </w:p>
        </w:tc>
        <w:tc>
          <w:tcPr>
            <w:tcW w:w="1600" w:type="dxa"/>
            <w:vAlign w:val="bottom"/>
          </w:tcPr>
          <w:p>
            <w:pPr>
              <w:spacing w:after="0"/>
              <w:rPr>
                <w:sz w:val="20"/>
                <w:szCs w:val="20"/>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rPr>
              <w:t>12</w:t>
            </w: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rPr>
              <w:t>13</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rPr>
              <w:t>14</w:t>
            </w:r>
          </w:p>
        </w:tc>
        <w:tc>
          <w:tcPr>
            <w:tcW w:w="260" w:type="dxa"/>
            <w:vAlign w:val="bottom"/>
          </w:tcPr>
          <w:p>
            <w:pPr>
              <w:spacing w:after="0"/>
              <w:rPr>
                <w:sz w:val="19"/>
                <w:szCs w:val="19"/>
                <w:color w:val="auto"/>
              </w:rPr>
            </w:pPr>
          </w:p>
        </w:tc>
      </w:tr>
    </w:tbl>
    <w:p>
      <w:pPr>
        <w:spacing w:after="0" w:line="64"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33"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Administrator and Plan Participants of The 401(k) Savings Plan for GHC Affiliates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statements of net assets available for benefits of The 401(k) Savings Plan for GHC Affiliates (the “Plan”) as of</w:t>
      </w:r>
    </w:p>
    <w:p>
      <w:pPr>
        <w:spacing w:after="0" w:line="14"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December 31, 2024 and the related statement of changes in net assets available for benefits for the year then ended, including the related notes (collectively referred to as the “financial statements”). In our opinion, the financial statements present fairly, in all material respects, the net assets</w:t>
      </w:r>
    </w:p>
    <w:p>
      <w:pPr>
        <w:ind w:right="740"/>
        <w:spacing w:after="0" w:line="255" w:lineRule="auto"/>
        <w:rPr>
          <w:sz w:val="20"/>
          <w:szCs w:val="20"/>
          <w:color w:val="auto"/>
        </w:rPr>
      </w:pPr>
      <w:r>
        <w:rPr>
          <w:rFonts w:ascii="Arial" w:cs="Arial" w:eastAsia="Arial" w:hAnsi="Arial"/>
          <w:sz w:val="17"/>
          <w:szCs w:val="17"/>
          <w:color w:val="auto"/>
        </w:rPr>
        <w:t>available for benefits of the Plan as of December 31, 2024, and the changes in net assets available for benefits for the year then ended in conformity with accounting principles generally accepted in the United States of America.</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conducted our audit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9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w:t>
      </w:r>
    </w:p>
    <w:p>
      <w:pPr>
        <w:spacing w:after="0"/>
        <w:rPr>
          <w:sz w:val="20"/>
          <w:szCs w:val="20"/>
          <w:color w:val="auto"/>
        </w:rPr>
      </w:pPr>
      <w:r>
        <w:rPr>
          <w:rFonts w:ascii="Arial" w:cs="Arial" w:eastAsia="Arial" w:hAnsi="Arial"/>
          <w:sz w:val="17"/>
          <w:szCs w:val="17"/>
          <w:color w:val="auto"/>
        </w:rPr>
        <w:t>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4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supplemental Schedule H, Line 4i – Schedule of Assets (Held at End of Year) as of December 31, 2024 has been subjected to audit procedures performed in conjunction with the audit of the Plan’s financial statements. The supplemental schedule is the responsibility of the Plan’s</w:t>
      </w:r>
    </w:p>
    <w:p>
      <w:pPr>
        <w:spacing w:after="0" w:line="1" w:lineRule="exact"/>
        <w:rPr>
          <w:sz w:val="20"/>
          <w:szCs w:val="20"/>
          <w:color w:val="auto"/>
        </w:rPr>
      </w:pPr>
    </w:p>
    <w:p>
      <w:pPr>
        <w:ind w:right="500"/>
        <w:spacing w:after="0" w:line="230" w:lineRule="auto"/>
        <w:rPr>
          <w:sz w:val="20"/>
          <w:szCs w:val="20"/>
          <w:color w:val="auto"/>
        </w:rPr>
      </w:pPr>
      <w:r>
        <w:rPr>
          <w:rFonts w:ascii="Arial" w:cs="Arial" w:eastAsia="Arial" w:hAnsi="Arial"/>
          <w:sz w:val="17"/>
          <w:szCs w:val="17"/>
          <w:color w:val="auto"/>
        </w:rPr>
        <w:t>management. Our audit procedures included determining whether the supplemental schedule reconciles to the financial statements or the underlying accounting and other records, as applicable, and performing procedures to test the completeness and accuracy of the information</w:t>
      </w:r>
    </w:p>
    <w:p>
      <w:pPr>
        <w:spacing w:after="0" w:line="238" w:lineRule="auto"/>
        <w:rPr>
          <w:sz w:val="20"/>
          <w:szCs w:val="20"/>
          <w:color w:val="auto"/>
        </w:rPr>
      </w:pPr>
      <w:r>
        <w:rPr>
          <w:rFonts w:ascii="Arial" w:cs="Arial" w:eastAsia="Arial" w:hAnsi="Arial"/>
          <w:sz w:val="17"/>
          <w:szCs w:val="17"/>
          <w:color w:val="auto"/>
        </w:rPr>
        <w:t>presented in the supplemental schedule. In forming our opinion on the supplemental schedule, we evaluated whether the supplemental schedule,</w:t>
      </w:r>
    </w:p>
    <w:p>
      <w:pPr>
        <w:spacing w:after="0" w:line="230" w:lineRule="auto"/>
        <w:rPr>
          <w:sz w:val="20"/>
          <w:szCs w:val="20"/>
          <w:color w:val="auto"/>
        </w:rPr>
      </w:pPr>
      <w:r>
        <w:rPr>
          <w:rFonts w:ascii="Arial" w:cs="Arial" w:eastAsia="Arial" w:hAnsi="Arial"/>
          <w:sz w:val="17"/>
          <w:szCs w:val="17"/>
          <w:color w:val="auto"/>
        </w:rPr>
        <w:t>including its form and content, is presented in conformity with the Department of Labor’s Rules and Regulations for Reporting and Disclosure under the Employee Retirement Income Security Act of 1974. In our opinion, the supplemental schedule is fairly stated, in all material respects, in relation</w:t>
      </w:r>
    </w:p>
    <w:p>
      <w:pPr>
        <w:spacing w:after="0"/>
        <w:rPr>
          <w:sz w:val="20"/>
          <w:szCs w:val="20"/>
          <w:color w:val="auto"/>
        </w:rPr>
      </w:pPr>
      <w:r>
        <w:rPr>
          <w:rFonts w:ascii="Arial" w:cs="Arial" w:eastAsia="Arial" w:hAnsi="Arial"/>
          <w:sz w:val="17"/>
          <w:szCs w:val="17"/>
          <w:color w:val="auto"/>
        </w:rPr>
        <w:t>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320" w:top="850" w:right="379" w:bottom="1440" w:gutter="0" w:footer="0" w:header="0"/>
        </w:sectPr>
      </w:pPr>
    </w:p>
    <w:bookmarkStart w:id="3" w:name="page4"/>
    <w:bookmarkEnd w:id="3"/>
    <w:p>
      <w:pPr>
        <w:ind w:left="2120"/>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401(k) Savings Plan for GHC Affiliates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23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audited the accompanying statement of net assets available for benefits of The 401(k) Savings Plan for GHC Affiliates (the Plan) as of December 31, 2023 and the related notes (collectively referred to as the financial statements). In our opinion, the financial statements present fairly,</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all material respects, the net assets available for benefits of the Plan as of December 31, 2023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202" w:lineRule="exact"/>
        <w:rPr>
          <w:sz w:val="20"/>
          <w:szCs w:val="20"/>
          <w:color w:val="auto"/>
        </w:rPr>
      </w:pPr>
    </w:p>
    <w:p>
      <w:pPr>
        <w:ind w:right="380"/>
        <w:spacing w:after="0" w:line="24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w:t>
      </w:r>
    </w:p>
    <w:p>
      <w:pPr>
        <w:spacing w:after="0" w:line="1"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w:t>
      </w:r>
    </w:p>
    <w:p>
      <w:pPr>
        <w:spacing w:after="0"/>
        <w:rPr>
          <w:sz w:val="20"/>
          <w:szCs w:val="20"/>
          <w:color w:val="auto"/>
        </w:rPr>
      </w:pPr>
      <w:r>
        <w:rPr>
          <w:rFonts w:ascii="Arial" w:cs="Arial" w:eastAsia="Arial" w:hAnsi="Arial"/>
          <w:sz w:val="17"/>
          <w:szCs w:val="17"/>
          <w:color w:val="auto"/>
        </w:rPr>
        <w:t>Plan’s internal control over financial reporting. Accordingly, we express no such opinion.</w:t>
      </w:r>
    </w:p>
    <w:p>
      <w:pPr>
        <w:spacing w:after="0" w:line="21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w:t>
      </w:r>
    </w:p>
    <w:p>
      <w:pPr>
        <w:spacing w:after="0"/>
        <w:rPr>
          <w:sz w:val="20"/>
          <w:szCs w:val="20"/>
          <w:color w:val="auto"/>
        </w:rPr>
      </w:pPr>
      <w:r>
        <w:rPr>
          <w:rFonts w:ascii="Arial" w:cs="Arial" w:eastAsia="Arial" w:hAnsi="Arial"/>
          <w:sz w:val="17"/>
          <w:szCs w:val="17"/>
          <w:color w:val="auto"/>
        </w:rPr>
        <w:t>disclosures in the financial statements. Our audit also included evaluating the accounting principles used and significant estimates made by</w:t>
      </w:r>
    </w:p>
    <w:p>
      <w:pPr>
        <w:ind w:right="200"/>
        <w:spacing w:after="0" w:line="239" w:lineRule="auto"/>
        <w:rPr>
          <w:sz w:val="20"/>
          <w:szCs w:val="20"/>
          <w:color w:val="auto"/>
        </w:rPr>
      </w:pPr>
      <w:r>
        <w:rPr>
          <w:rFonts w:ascii="Arial" w:cs="Arial" w:eastAsia="Arial" w:hAnsi="Arial"/>
          <w:sz w:val="17"/>
          <w:szCs w:val="17"/>
          <w:color w:val="auto"/>
        </w:rPr>
        <w:t>management, as well as evaluating the overall presentation of the financial statements.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Plan’s auditor from 2012 to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85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6"/>
              </w:rPr>
              <w:t>2023</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75,706,100</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79,166,903</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75,706,100</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79,166,903</w:t>
            </w:r>
          </w:p>
        </w:tc>
      </w:tr>
      <w:tr>
        <w:trPr>
          <w:trHeight w:val="393"/>
        </w:trPr>
        <w:tc>
          <w:tcPr>
            <w:tcW w:w="80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participants</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142,551</w:t>
            </w: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Contributions receivable from employer</w:t>
            </w:r>
          </w:p>
        </w:tc>
        <w:tc>
          <w:tcPr>
            <w:tcW w:w="360" w:type="dxa"/>
            <w:vAlign w:val="bottom"/>
          </w:tcPr>
          <w:p>
            <w:pPr>
              <w:spacing w:after="0"/>
              <w:rPr>
                <w:sz w:val="17"/>
                <w:szCs w:val="17"/>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1,923</w:t>
            </w:r>
          </w:p>
        </w:tc>
        <w:tc>
          <w:tcPr>
            <w:tcW w:w="6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120"/>
              <w:spacing w:after="0"/>
              <w:rPr>
                <w:sz w:val="20"/>
                <w:szCs w:val="20"/>
                <w:color w:val="auto"/>
              </w:rPr>
            </w:pPr>
            <w:r>
              <w:rPr>
                <w:rFonts w:ascii="Arial" w:cs="Arial" w:eastAsia="Arial" w:hAnsi="Arial"/>
                <w:sz w:val="16"/>
                <w:szCs w:val="16"/>
                <w:color w:val="auto"/>
              </w:rPr>
              <w:t>Notes receivable from participants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761,725</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97,801</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receivables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906,199</w:t>
            </w:r>
          </w:p>
        </w:tc>
        <w:tc>
          <w:tcPr>
            <w:tcW w:w="6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97,801</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76,612,299</w:t>
            </w:r>
          </w:p>
        </w:tc>
        <w:tc>
          <w:tcPr>
            <w:tcW w:w="6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79,264,704</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1"/>
          <w:szCs w:val="21"/>
          <w:b w:val="1"/>
          <w:bCs w:val="1"/>
          <w:color w:val="auto"/>
        </w:rPr>
        <w:t>THE 401(k) SAVINGS PLAN FOR GHC AFFILIATES</w:t>
      </w:r>
    </w:p>
    <w:p>
      <w:pPr>
        <w:jc w:val="center"/>
        <w:ind w:right="-39"/>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ectPr>
          <w:pgSz w:w="11900" w:h="16838" w:orient="portrait"/>
          <w:cols w:equalWidth="0" w:num="1">
            <w:col w:w="11200"/>
          </w:cols>
          <w:pgMar w:left="320" w:top="8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Additions to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-246380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0" w:lineRule="exact"/>
        <w:rPr>
          <w:sz w:val="20"/>
          <w:szCs w:val="20"/>
          <w:color w:val="auto"/>
        </w:rPr>
      </w:pPr>
    </w:p>
    <w:p>
      <w:pPr>
        <w:ind w:left="140" w:right="3191"/>
        <w:spacing w:after="0" w:line="274" w:lineRule="auto"/>
        <w:rPr>
          <w:sz w:val="20"/>
          <w:szCs w:val="20"/>
          <w:color w:val="auto"/>
        </w:rPr>
      </w:pPr>
      <w:r>
        <w:rPr>
          <w:rFonts w:ascii="Arial" w:cs="Arial" w:eastAsia="Arial" w:hAnsi="Arial"/>
          <w:sz w:val="16"/>
          <w:szCs w:val="16"/>
          <w:color w:val="auto"/>
        </w:rPr>
        <w:t>Plan interest in investment income of the Graham Holdings Company Master Trust Interest income - notes receivable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investment income</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Contributions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Participant</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Employer</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Rollovers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contributions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Deductions from net assets: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Benefits paid to participants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Administrative expenses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deductions</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Transfers (to) from affiliated plans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from Kaplan Tax Deferred Savings Plan</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Kaplan Tax Deferred Savings Plan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Transfers to Savings Plan for Graham Holdings Company</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transfers (to) from other affiliated plans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Net increase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assets available for benefits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Beginning of year</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End of year</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8"/>
        <w:spacing w:after="0"/>
        <w:rPr>
          <w:sz w:val="20"/>
          <w:szCs w:val="20"/>
          <w:color w:val="auto"/>
        </w:rPr>
      </w:pPr>
      <w:r>
        <w:rPr>
          <w:rFonts w:ascii="Arial" w:cs="Arial" w:eastAsia="Arial" w:hAnsi="Arial"/>
          <w:sz w:val="13"/>
          <w:szCs w:val="13"/>
          <w:b w:val="1"/>
          <w:bCs w:val="1"/>
          <w:color w:val="auto"/>
        </w:rPr>
        <w:t>Year Ended December</w:t>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31, 2024</w:t>
      </w:r>
    </w:p>
    <w:p>
      <w:pPr>
        <w:spacing w:after="0" w:line="200" w:lineRule="exact"/>
        <w:rPr>
          <w:sz w:val="20"/>
          <w:szCs w:val="20"/>
          <w:color w:val="auto"/>
        </w:rPr>
      </w:pPr>
    </w:p>
    <w:p>
      <w:pPr>
        <w:spacing w:after="0" w:line="217" w:lineRule="exact"/>
        <w:rPr>
          <w:sz w:val="20"/>
          <w:szCs w:val="20"/>
          <w:color w:val="auto"/>
        </w:rPr>
      </w:pPr>
    </w:p>
    <w:p>
      <w:pPr>
        <w:ind w:left="669" w:hanging="669"/>
        <w:spacing w:after="0"/>
        <w:tabs>
          <w:tab w:leader="none" w:pos="669" w:val="left"/>
        </w:tabs>
        <w:numPr>
          <w:ilvl w:val="0"/>
          <w:numId w:val="4"/>
        </w:numPr>
        <w:rPr>
          <w:rFonts w:ascii="Arial" w:cs="Arial" w:eastAsia="Arial" w:hAnsi="Arial"/>
          <w:sz w:val="16"/>
          <w:szCs w:val="16"/>
          <w:color w:val="auto"/>
        </w:rPr>
      </w:pPr>
      <w:r>
        <w:rPr>
          <w:rFonts w:ascii="Arial" w:cs="Arial" w:eastAsia="Arial" w:hAnsi="Arial"/>
          <w:sz w:val="16"/>
          <w:szCs w:val="16"/>
          <w:color w:val="auto"/>
        </w:rPr>
        <w:t>10,808,205</w:t>
      </w:r>
    </w:p>
    <w:p>
      <w:pPr>
        <w:spacing w:after="0" w:line="22" w:lineRule="exact"/>
        <w:rPr>
          <w:rFonts w:ascii="Arial" w:cs="Arial" w:eastAsia="Arial" w:hAnsi="Arial"/>
          <w:sz w:val="16"/>
          <w:szCs w:val="16"/>
          <w:color w:val="auto"/>
        </w:rPr>
      </w:pPr>
    </w:p>
    <w:p>
      <w:pPr>
        <w:ind w:left="969"/>
        <w:spacing w:after="0"/>
        <w:rPr>
          <w:rFonts w:ascii="Arial" w:cs="Arial" w:eastAsia="Arial" w:hAnsi="Arial"/>
          <w:sz w:val="16"/>
          <w:szCs w:val="16"/>
          <w:color w:val="auto"/>
        </w:rPr>
      </w:pPr>
      <w:r>
        <w:rPr>
          <w:rFonts w:ascii="Arial" w:cs="Arial" w:eastAsia="Arial" w:hAnsi="Arial"/>
          <w:sz w:val="16"/>
          <w:szCs w:val="16"/>
          <w:color w:val="auto"/>
        </w:rPr>
        <w:t>37,770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10,845,975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3,765,730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66,109</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221,133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769"/>
        <w:spacing w:after="0"/>
        <w:rPr>
          <w:sz w:val="20"/>
          <w:szCs w:val="20"/>
          <w:color w:val="auto"/>
        </w:rPr>
      </w:pPr>
      <w:r>
        <w:rPr>
          <w:rFonts w:ascii="Arial" w:cs="Arial" w:eastAsia="Arial" w:hAnsi="Arial"/>
          <w:sz w:val="16"/>
          <w:szCs w:val="16"/>
          <w:color w:val="auto"/>
        </w:rPr>
        <w:t>4,052,972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(5,911,186)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(6,037,710)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8,123,765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(19,538,179)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(99,228)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(11,513,642)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(2,652,405)</w:t>
      </w:r>
    </w:p>
    <w:p>
      <w:pPr>
        <w:spacing w:after="0" w:line="200" w:lineRule="exact"/>
        <w:rPr>
          <w:sz w:val="20"/>
          <w:szCs w:val="20"/>
          <w:color w:val="auto"/>
        </w:rPr>
      </w:pPr>
    </w:p>
    <w:p>
      <w:pPr>
        <w:spacing w:after="0" w:line="236" w:lineRule="exact"/>
        <w:rPr>
          <w:sz w:val="20"/>
          <w:szCs w:val="20"/>
          <w:color w:val="auto"/>
        </w:rPr>
      </w:pPr>
    </w:p>
    <w:p>
      <w:pPr>
        <w:ind w:left="669"/>
        <w:spacing w:after="0"/>
        <w:rPr>
          <w:sz w:val="20"/>
          <w:szCs w:val="20"/>
          <w:color w:val="auto"/>
        </w:rPr>
      </w:pPr>
      <w:r>
        <w:rPr>
          <w:rFonts w:ascii="Arial" w:cs="Arial" w:eastAsia="Arial" w:hAnsi="Arial"/>
          <w:sz w:val="16"/>
          <w:szCs w:val="16"/>
          <w:color w:val="auto"/>
        </w:rPr>
        <w:t>79,264,704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16" w:lineRule="exact"/>
        <w:rPr>
          <w:sz w:val="20"/>
          <w:szCs w:val="20"/>
          <w:color w:val="auto"/>
        </w:rPr>
      </w:pPr>
    </w:p>
    <w:p>
      <w:pPr>
        <w:ind w:left="669" w:hanging="669"/>
        <w:spacing w:after="0"/>
        <w:tabs>
          <w:tab w:leader="none" w:pos="669" w:val="left"/>
        </w:tabs>
        <w:numPr>
          <w:ilvl w:val="0"/>
          <w:numId w:val="5"/>
        </w:numPr>
        <w:rPr>
          <w:rFonts w:ascii="Arial" w:cs="Arial" w:eastAsia="Arial" w:hAnsi="Arial"/>
          <w:sz w:val="16"/>
          <w:szCs w:val="16"/>
          <w:color w:val="auto"/>
        </w:rPr>
      </w:pPr>
      <w:r>
        <w:rPr>
          <w:rFonts w:ascii="Arial" w:cs="Arial" w:eastAsia="Arial" w:hAnsi="Arial"/>
          <w:sz w:val="16"/>
          <w:szCs w:val="16"/>
          <w:color w:val="auto"/>
        </w:rPr>
        <w:t>76,612,299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976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663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976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991" w:space="720"/>
            <w:col w:w="1489"/>
          </w:cols>
          <w:pgMar w:left="320" w:top="822" w:right="37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822" w:right="37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 of The 401(k) Savings Plan for GHC Affiliates (the Plan) provides only general information. Participants should refer to the</w:t>
      </w:r>
    </w:p>
    <w:p>
      <w:pPr>
        <w:spacing w:after="0" w:line="14"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Plan document and Summary Plan Description (SPD) for a more comprehensive description of the Plan’s provisions. The Plan is subject to the provisions of the Employee Retirement Income Security Act of 1974, as amended (ERISA).</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Plan is a defined contribution plan permitting eligible employees of Kaplan, Inc. and its subsidiaries and Clyde’s Restaurant Group (Clyde’s) (collectively, the Company) to participate upon hire. The Company is a subsidiary of the Plan Sponsor, Graham Holdings Company (GHC). Eligible</w:t>
      </w:r>
    </w:p>
    <w:p>
      <w:pPr>
        <w:spacing w:after="0" w:line="1" w:lineRule="exact"/>
        <w:rPr>
          <w:sz w:val="20"/>
          <w:szCs w:val="20"/>
          <w:color w:val="auto"/>
        </w:rPr>
      </w:pPr>
    </w:p>
    <w:p>
      <w:pPr>
        <w:ind w:right="440"/>
        <w:spacing w:after="0" w:line="239" w:lineRule="auto"/>
        <w:rPr>
          <w:sz w:val="20"/>
          <w:szCs w:val="20"/>
          <w:color w:val="auto"/>
        </w:rPr>
      </w:pPr>
      <w:r>
        <w:rPr>
          <w:rFonts w:ascii="Arial" w:cs="Arial" w:eastAsia="Arial" w:hAnsi="Arial"/>
          <w:sz w:val="17"/>
          <w:szCs w:val="17"/>
          <w:color w:val="auto"/>
        </w:rPr>
        <w:t>employees must affirmatively elect to participate in the Plan. The Plan was amended and restated effective January 1, 2024 to incorporate the amendments detailed below.</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Plan is administered by The GHC Savings Plan Committee (the Plan Administrator), whose members are appointed by the Plan Sponsor.</w:t>
      </w:r>
    </w:p>
    <w:p>
      <w:pPr>
        <w:spacing w:after="0" w:line="14"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Vanguard Fiduciary Trust Company (VFTC) is the Plan’s Trustee and recordkeeper. The Plan entered into a Master Trust Agreement with VFTC to establish the Graham Holdings Company Master Trust (Master Trust) effective January 1,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During 2024 and 2023, the Plan Administrator adopted amendments to the Plan, which are not expected to affect the Plan’s qualified status under</w:t>
      </w:r>
    </w:p>
    <w:p>
      <w:pPr>
        <w:spacing w:after="0" w:line="1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ERISA. Substantially all of these amendments became effective in 2024. The Plan was restated in 2024 and the Summary Plan Description was amended on January 1, 2024 and July 1, 2024, and again in January 1, 2025.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50" w:lineRule="exact"/>
        <w:rPr>
          <w:sz w:val="20"/>
          <w:szCs w:val="20"/>
          <w:color w:val="auto"/>
        </w:rPr>
      </w:pPr>
    </w:p>
    <w:p>
      <w:pPr>
        <w:ind w:left="62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employees of Clyde’s who are designated as hourly employees and Kaplan, Inc. who are designated as part-time employees and certain collectively bargained union employees are eligible to receive Company Matching Contributions (generally 1% of base salary) if they are not eligible to participate in The Retirement Plan for Graham Holdings Company;</w:t>
      </w:r>
    </w:p>
    <w:p>
      <w:pPr>
        <w:spacing w:after="0" w:line="14" w:lineRule="exact"/>
        <w:rPr>
          <w:rFonts w:ascii="Arial" w:cs="Arial" w:eastAsia="Arial" w:hAnsi="Arial"/>
          <w:sz w:val="17"/>
          <w:szCs w:val="17"/>
          <w:color w:val="auto"/>
        </w:rPr>
      </w:pPr>
    </w:p>
    <w:p>
      <w:pPr>
        <w:ind w:left="620" w:right="380" w:hanging="307"/>
        <w:spacing w:after="0" w:line="259"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w:t>
      </w:r>
    </w:p>
    <w:p>
      <w:pPr>
        <w:spacing w:after="0" w:line="4" w:lineRule="exact"/>
        <w:rPr>
          <w:rFonts w:ascii="Arial" w:cs="Arial" w:eastAsia="Arial" w:hAnsi="Arial"/>
          <w:sz w:val="17"/>
          <w:szCs w:val="17"/>
          <w:color w:val="auto"/>
        </w:rPr>
      </w:pPr>
    </w:p>
    <w:p>
      <w:pPr>
        <w:ind w:left="620" w:right="340" w:hanging="307"/>
        <w:spacing w:after="0" w:line="261"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with respect to all or a portion of the vested amounts in the participant’s accounts other than a Roth Contribution Account or a Roth Rollover Account;</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spacing w:after="0" w:line="50" w:lineRule="exact"/>
        <w:rPr>
          <w:rFonts w:ascii="Arial" w:cs="Arial" w:eastAsia="Arial" w:hAnsi="Arial"/>
          <w:sz w:val="17"/>
          <w:szCs w:val="17"/>
          <w:color w:val="auto"/>
        </w:rPr>
      </w:pPr>
    </w:p>
    <w:p>
      <w:pPr>
        <w:jc w:val="both"/>
        <w:ind w:left="620" w:right="220" w:hanging="307"/>
        <w:spacing w:after="0" w:line="248"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Additionally, the Plan has a feature wherein participants can elect to have’s pre-tax deferrals automatically increase at increments of 1%, 2%, or 3% on an annual basis up to the limits established by the Plan. Certain restrictions apply and participants always have the right to opt out or to elect a different rate of increase; and</w:t>
      </w:r>
    </w:p>
    <w:p>
      <w:pPr>
        <w:spacing w:after="0" w:line="53" w:lineRule="exact"/>
        <w:rPr>
          <w:rFonts w:ascii="Arial" w:cs="Arial" w:eastAsia="Arial" w:hAnsi="Arial"/>
          <w:sz w:val="17"/>
          <w:szCs w:val="17"/>
          <w:color w:val="auto"/>
        </w:rPr>
      </w:pPr>
    </w:p>
    <w:p>
      <w:pPr>
        <w:ind w:left="620" w:right="120" w:hanging="307"/>
        <w:spacing w:after="0" w:line="230" w:lineRule="auto"/>
        <w:tabs>
          <w:tab w:leader="none" w:pos="615" w:val="left"/>
        </w:tabs>
        <w:numPr>
          <w:ilvl w:val="0"/>
          <w:numId w:val="6"/>
        </w:numPr>
        <w:rPr>
          <w:rFonts w:ascii="Arial" w:cs="Arial" w:eastAsia="Arial" w:hAnsi="Arial"/>
          <w:sz w:val="21"/>
          <w:szCs w:val="21"/>
          <w:color w:val="auto"/>
        </w:rPr>
      </w:pPr>
      <w:r>
        <w:rPr>
          <w:rFonts w:ascii="Arial" w:cs="Arial" w:eastAsia="Arial" w:hAnsi="Arial"/>
          <w:sz w:val="17"/>
          <w:szCs w:val="17"/>
          <w:color w:val="auto"/>
        </w:rPr>
        <w:t>Participants can allocate up to 20% of certain contributions into the Graham Holdings Company Stock Fund, in accordance with the Plan’s provisions.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Each year, participants may contribute a percentage of pre-tax and Roth annual eligible compensation to the Plan at rates specified in the Plan. The</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total pre-tax and Roth combined contributions, however, is subject to dollar limitations set forth by the Internal Revenue Code ($23,000 in 2024). Participants age 50 or older by the end of the plan year, may make additional pre-tax or Roth 401(k) contributions (of up to $7,500 in 2024) that are</w:t>
      </w:r>
    </w:p>
    <w:p>
      <w:pPr>
        <w:spacing w:after="0" w:line="238" w:lineRule="auto"/>
        <w:rPr>
          <w:sz w:val="20"/>
          <w:szCs w:val="20"/>
          <w:color w:val="auto"/>
        </w:rPr>
      </w:pPr>
      <w:r>
        <w:rPr>
          <w:rFonts w:ascii="Arial" w:cs="Arial" w:eastAsia="Arial" w:hAnsi="Arial"/>
          <w:sz w:val="17"/>
          <w:szCs w:val="17"/>
          <w:color w:val="auto"/>
        </w:rPr>
        <w:t>called “catch-up” contributions. Participants may also contribute a percentage of after-tax annual eligible compensation to the Plan at rates</w:t>
      </w:r>
    </w:p>
    <w:p>
      <w:pPr>
        <w:ind w:right="40"/>
        <w:spacing w:after="0" w:line="230" w:lineRule="auto"/>
        <w:rPr>
          <w:sz w:val="20"/>
          <w:szCs w:val="20"/>
          <w:color w:val="auto"/>
        </w:rPr>
      </w:pPr>
      <w:r>
        <w:rPr>
          <w:rFonts w:ascii="Arial" w:cs="Arial" w:eastAsia="Arial" w:hAnsi="Arial"/>
          <w:sz w:val="17"/>
          <w:szCs w:val="17"/>
          <w:color w:val="auto"/>
        </w:rPr>
        <w:t>established by the Plan Administrator. Eligible participants in the Plan receive Company Matching Contributions equal to 100% of their pre-tax and after-tax contributions up to 1% of their base salary, which does not apply to employees covered under a collectively bargained union or employees</w:t>
      </w:r>
    </w:p>
    <w:p>
      <w:pPr>
        <w:ind w:right="80"/>
        <w:spacing w:after="0" w:line="230" w:lineRule="auto"/>
        <w:rPr>
          <w:sz w:val="20"/>
          <w:szCs w:val="20"/>
          <w:color w:val="auto"/>
        </w:rPr>
      </w:pPr>
      <w:r>
        <w:rPr>
          <w:rFonts w:ascii="Arial" w:cs="Arial" w:eastAsia="Arial" w:hAnsi="Arial"/>
          <w:sz w:val="17"/>
          <w:szCs w:val="17"/>
          <w:color w:val="auto"/>
        </w:rPr>
        <w:t>of Clyde’s. Union employees may be eligible for a Matching Contribution up to 3% of their base salary depending on their position and length of service. Clyde’s may make a discretionary Company Matching Contribution for its participating employees equal to a percentage (to be determined</w:t>
      </w:r>
    </w:p>
    <w:p>
      <w:pPr>
        <w:spacing w:after="0" w:line="238" w:lineRule="auto"/>
        <w:rPr>
          <w:sz w:val="20"/>
          <w:szCs w:val="20"/>
          <w:color w:val="auto"/>
        </w:rPr>
      </w:pPr>
      <w:r>
        <w:rPr>
          <w:rFonts w:ascii="Arial" w:cs="Arial" w:eastAsia="Arial" w:hAnsi="Arial"/>
          <w:sz w:val="17"/>
          <w:szCs w:val="17"/>
          <w:color w:val="auto"/>
        </w:rPr>
        <w:t>at the discretion of Clyde’s) of the employees’ pre-tax or Roth contributions not in excess of a percentage (to be determined at the discretion of</w:t>
      </w:r>
    </w:p>
    <w:p>
      <w:pPr>
        <w:spacing w:after="0" w:line="239" w:lineRule="auto"/>
        <w:rPr>
          <w:sz w:val="20"/>
          <w:szCs w:val="20"/>
          <w:color w:val="auto"/>
        </w:rPr>
      </w:pPr>
      <w:r>
        <w:rPr>
          <w:rFonts w:ascii="Arial" w:cs="Arial" w:eastAsia="Arial" w:hAnsi="Arial"/>
          <w:sz w:val="17"/>
          <w:szCs w:val="17"/>
          <w:color w:val="auto"/>
        </w:rPr>
        <w:t>Clyde’s) of the employee’s compensation. The parameters of this discretionary Company Matching Contribution, and whether it will be made, will be communicated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50" w:right="339" w:bottom="1440" w:gutter="0" w:footer="0" w:header="0"/>
        </w:sectPr>
      </w:pPr>
    </w:p>
    <w:bookmarkStart w:id="7" w:name="page8"/>
    <w:bookmarkEnd w:id="7"/>
    <w:p>
      <w:pPr>
        <w:ind w:right="420"/>
        <w:spacing w:after="0" w:line="275" w:lineRule="auto"/>
        <w:rPr>
          <w:sz w:val="20"/>
          <w:szCs w:val="20"/>
          <w:color w:val="auto"/>
        </w:rPr>
      </w:pPr>
      <w:r>
        <w:rPr>
          <w:rFonts w:ascii="Arial" w:cs="Arial" w:eastAsia="Arial" w:hAnsi="Arial"/>
          <w:sz w:val="17"/>
          <w:szCs w:val="17"/>
          <w:color w:val="auto"/>
        </w:rPr>
        <w:t>to participants on an annual basis. Additionally, the Company may at its discretion contribute a supplemental contribution to the Plan. No such discretionary or supplemental contributions were made in 2024.</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Contributions to the Berkshire Hathaway Stock Fund may not exceed 25% of a participant’s own contributions or 25% of the employer contributions to a participant’s account. Exchanges into the Berkshire Hathaway Stock Fund from any other fund(s) may be made only if the resulting investment in the Berkshire Hathaway Stock Fund immediately following the exchange is no more than 25% of the participant’s total account balance.</w:t>
      </w:r>
    </w:p>
    <w:p>
      <w:pPr>
        <w:spacing w:after="0" w:line="9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All investments are participant-directed. If no investment direction is provided, a participant’s contributions will be invested in a Vanguard Target Date Retirement Fund with the target date closest to the year in which the participant reaches age 65. This serves as the Plan’s Qualified Default Investment Alternative (“QDIA”).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Each participant’s account is credited with his/her contributions, the Company contributions, if any, and an allocation of the investment income</w:t>
      </w:r>
    </w:p>
    <w:p>
      <w:pPr>
        <w:spacing w:after="0" w:line="14" w:lineRule="exact"/>
        <w:rPr>
          <w:sz w:val="20"/>
          <w:szCs w:val="20"/>
          <w:color w:val="auto"/>
        </w:rPr>
      </w:pPr>
    </w:p>
    <w:p>
      <w:pPr>
        <w:ind w:right="420"/>
        <w:spacing w:after="0" w:line="239" w:lineRule="auto"/>
        <w:rPr>
          <w:sz w:val="20"/>
          <w:szCs w:val="20"/>
          <w:color w:val="auto"/>
        </w:rPr>
      </w:pPr>
      <w:r>
        <w:rPr>
          <w:rFonts w:ascii="Arial" w:cs="Arial" w:eastAsia="Arial" w:hAnsi="Arial"/>
          <w:sz w:val="17"/>
          <w:szCs w:val="17"/>
          <w:color w:val="auto"/>
        </w:rPr>
        <w:t>(losses) and administrative expenses. Allocations are based on participant earnings, account balances, or specific participant transactions, as defined.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5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Effective 2024, active participants in the Plan are eligible for one active loan at a time from the Plan. Interest rates on loans are based on the prime rate as received by Vanguard from Reuters. Reuters calculates their prime rate through a formula, which includes the average lending rates of the</w:t>
      </w:r>
    </w:p>
    <w:p>
      <w:pPr>
        <w:spacing w:after="0"/>
        <w:rPr>
          <w:sz w:val="20"/>
          <w:szCs w:val="20"/>
          <w:color w:val="auto"/>
        </w:rPr>
      </w:pPr>
      <w:r>
        <w:rPr>
          <w:rFonts w:ascii="Arial" w:cs="Arial" w:eastAsia="Arial" w:hAnsi="Arial"/>
          <w:sz w:val="17"/>
          <w:szCs w:val="17"/>
          <w:color w:val="auto"/>
        </w:rPr>
        <w:t>top 30 banks in the United States. General purpose loans have a maximum term of 5 years and principal residence loans have a maximum term of</w:t>
      </w:r>
    </w:p>
    <w:p>
      <w:pPr>
        <w:ind w:right="60"/>
        <w:spacing w:after="0" w:line="230" w:lineRule="auto"/>
        <w:rPr>
          <w:sz w:val="20"/>
          <w:szCs w:val="20"/>
          <w:color w:val="auto"/>
        </w:rPr>
      </w:pPr>
      <w:r>
        <w:rPr>
          <w:rFonts w:ascii="Arial" w:cs="Arial" w:eastAsia="Arial" w:hAnsi="Arial"/>
          <w:sz w:val="17"/>
          <w:szCs w:val="17"/>
          <w:color w:val="auto"/>
        </w:rPr>
        <w:t>10 years. A participant may borrow as much as 50% of his or her vested account balance, subject to certain minimum and maximum limitations as defined in the Plan. The minimum loan amount is $1,000 with a maximum of $50,000. Loan processing fees are paid by the participant. As a result</w:t>
      </w:r>
    </w:p>
    <w:p>
      <w:pPr>
        <w:ind w:right="180"/>
        <w:spacing w:after="0" w:line="239" w:lineRule="auto"/>
        <w:rPr>
          <w:sz w:val="20"/>
          <w:szCs w:val="20"/>
          <w:color w:val="auto"/>
        </w:rPr>
      </w:pPr>
      <w:r>
        <w:rPr>
          <w:rFonts w:ascii="Arial" w:cs="Arial" w:eastAsia="Arial" w:hAnsi="Arial"/>
          <w:sz w:val="17"/>
          <w:szCs w:val="17"/>
          <w:color w:val="auto"/>
        </w:rPr>
        <w:t>of a plan merger or rollovers received, there may be additional participant loans transferred to the Plan and administered in accordance with their terms.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Transfers (to) from other GHC plans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participant accounts are reviewed and transferred into the Company plan that the participant is currently participating in.</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Additionally, transfers may also occur between the Plan and other GHC plans that relate to new organizational positions, rehired employees by one of the employers with an existing balance in another GHC plan, or transferred employees to one of the employers with an existing balance in</w:t>
      </w:r>
    </w:p>
    <w:p>
      <w:pPr>
        <w:spacing w:after="0"/>
        <w:rPr>
          <w:sz w:val="20"/>
          <w:szCs w:val="20"/>
          <w:color w:val="auto"/>
        </w:rPr>
      </w:pPr>
      <w:r>
        <w:rPr>
          <w:rFonts w:ascii="Arial" w:cs="Arial" w:eastAsia="Arial" w:hAnsi="Arial"/>
          <w:sz w:val="17"/>
          <w:szCs w:val="17"/>
          <w:color w:val="auto"/>
        </w:rPr>
        <w:t>another GHC plan.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4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Certain costs of administering the Plan are generally paid by the Company and are therefore not reflected in the Plan’s financial statements. Any expenses that are not paid by the Company are paid by the Plan itself. The Plan charges certain expenses directly to each of the participants’</w:t>
      </w:r>
    </w:p>
    <w:p>
      <w:pPr>
        <w:spacing w:after="0" w:line="1" w:lineRule="exact"/>
        <w:rPr>
          <w:sz w:val="20"/>
          <w:szCs w:val="20"/>
          <w:color w:val="auto"/>
        </w:rPr>
      </w:pPr>
    </w:p>
    <w:p>
      <w:pPr>
        <w:ind w:right="760"/>
        <w:spacing w:after="0" w:line="239" w:lineRule="auto"/>
        <w:rPr>
          <w:sz w:val="20"/>
          <w:szCs w:val="20"/>
          <w:color w:val="auto"/>
        </w:rPr>
      </w:pPr>
      <w:r>
        <w:rPr>
          <w:rFonts w:ascii="Arial" w:cs="Arial" w:eastAsia="Arial" w:hAnsi="Arial"/>
          <w:sz w:val="17"/>
          <w:szCs w:val="17"/>
          <w:color w:val="auto"/>
        </w:rPr>
        <w:t>accounts such as recordkeeping and maintenance of the website and phone services to participants. Each of the investment funds incurs investment and administrative expenses that are paid by the fund itself, which reduce the net investment return to participants.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Participants may withdraw their vested account balance in accordance with the Plan document, which provides different rules for hardships, disability and withdrawals based on whether or not the participant has reached age 59 1/2. Upon termination of employment with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(including termination due to death, disability, or retirement), participants may receive a lump-sum payment of their entire account balance, net of</w:t>
      </w:r>
    </w:p>
    <w:p>
      <w:pPr>
        <w:spacing w:after="0" w:line="14" w:lineRule="exact"/>
        <w:rPr>
          <w:sz w:val="20"/>
          <w:szCs w:val="20"/>
          <w:color w:val="auto"/>
        </w:rPr>
      </w:pPr>
    </w:p>
    <w:p>
      <w:pPr>
        <w:jc w:val="both"/>
        <w:ind w:right="40"/>
        <w:spacing w:after="0" w:line="230" w:lineRule="auto"/>
        <w:rPr>
          <w:sz w:val="20"/>
          <w:szCs w:val="20"/>
          <w:color w:val="auto"/>
        </w:rPr>
      </w:pPr>
      <w:r>
        <w:rPr>
          <w:rFonts w:ascii="Arial" w:cs="Arial" w:eastAsia="Arial" w:hAnsi="Arial"/>
          <w:sz w:val="17"/>
          <w:szCs w:val="17"/>
          <w:color w:val="auto"/>
        </w:rPr>
        <w:t>any outstanding loan balances. Otherwise, distributions generally begin on a participant's required beginning date, which is set by Federal law, and not by the Company. Participants may roll over account balances to individual retirement accounts or another employer’s qualified retirement plan.</w:t>
      </w:r>
    </w:p>
    <w:p>
      <w:pPr>
        <w:spacing w:after="0"/>
        <w:rPr>
          <w:sz w:val="20"/>
          <w:szCs w:val="20"/>
          <w:color w:val="auto"/>
        </w:rPr>
      </w:pPr>
      <w:r>
        <w:rPr>
          <w:rFonts w:ascii="Arial" w:cs="Arial" w:eastAsia="Arial" w:hAnsi="Arial"/>
          <w:sz w:val="17"/>
          <w:szCs w:val="17"/>
          <w:color w:val="auto"/>
        </w:rPr>
        <w:t>If a terminated participant with an account balance dies prior to receiving the full value of the account, the account balance will be paid to the</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participant’s beneficiary or in the absence of an election pursuant to the Plan’s provisions. Account balances of $7,000 (in 2024) or less may not be deferred and are subject to automatic rollover/automatic cash out.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55"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full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their accounts from the Plan.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00"/>
          </w:cols>
          <w:pgMar w:left="320" w:top="846" w:right="37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accounting policies, which conform with generally accepted accounting principles in the United States of America (GAAP), have been used consistently in the preparation of the Plan’s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w:t>
      </w:r>
    </w:p>
    <w:p>
      <w:pPr>
        <w:spacing w:after="0" w:line="14"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reported amounts of assets and liabilities and changes therein and disclosure of contingent assets and liabilities. Actual results could differ from those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 to the Plan specifically in relation to the fair value of the assets assigned to the Plan. Fair value is the price that would be received to sell an asset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or paid to transfer a liability in an orderly transaction between market participants at the measurement date. The Committee determines the Master Trust’s valuation policies utilizing information provided by the trustee. See Note 6 for discussion of fair value measurements.</w:t>
      </w:r>
    </w:p>
    <w:p>
      <w:pPr>
        <w:spacing w:after="0" w:line="9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Purchases and sales of investments in the Master Trust are recorded on a trade-date basis. Interest income is accrued when earned. Dividend income is recorded on the ex-dividend date. Capital gain distributions are included in dividend income. The Master Trust’s net appreciation includes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Trust’s gains and losses on investments bought and sold as well as held during the year. See Note 5 for the Plan’s interest in the Master Trust, as well as the Master Trust’s investment income.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42" w:lineRule="exact"/>
        <w:rPr>
          <w:sz w:val="20"/>
          <w:szCs w:val="20"/>
          <w:color w:val="auto"/>
        </w:rPr>
      </w:pPr>
    </w:p>
    <w:p>
      <w:pPr>
        <w:ind w:right="460"/>
        <w:spacing w:after="0" w:line="275" w:lineRule="auto"/>
        <w:rPr>
          <w:sz w:val="20"/>
          <w:szCs w:val="20"/>
          <w:color w:val="auto"/>
        </w:rPr>
      </w:pPr>
      <w:r>
        <w:rPr>
          <w:rFonts w:ascii="Arial" w:cs="Arial" w:eastAsia="Arial" w:hAnsi="Arial"/>
          <w:sz w:val="17"/>
          <w:szCs w:val="17"/>
          <w:color w:val="auto"/>
        </w:rPr>
        <w:t>Contributions from Plan participants and the Company Matching Contributions, if applicable, are recorded in the year in which the employee’s contributions are withheld from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Benefit payments to participants are recorded upon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provides for various investment securities as investment options. Investment securities are exposed to various risks, such as interest, market, and credit risks. Market risks include global events which could impact the value of investment securities, such as a pandemic, international</w:t>
      </w:r>
    </w:p>
    <w:p>
      <w:pPr>
        <w:spacing w:after="0"/>
        <w:rPr>
          <w:sz w:val="20"/>
          <w:szCs w:val="20"/>
          <w:color w:val="auto"/>
        </w:rPr>
      </w:pPr>
      <w:r>
        <w:rPr>
          <w:rFonts w:ascii="Arial" w:cs="Arial" w:eastAsia="Arial" w:hAnsi="Arial"/>
          <w:sz w:val="17"/>
          <w:szCs w:val="17"/>
          <w:color w:val="auto"/>
        </w:rPr>
        <w:t>conflict, trade wars and tariffs. Due to the level of risk associated with certain investment securities, it is at least reasonably possible that changes in</w:t>
      </w:r>
    </w:p>
    <w:p>
      <w:pPr>
        <w:ind w:right="100"/>
        <w:spacing w:after="0" w:line="239" w:lineRule="auto"/>
        <w:rPr>
          <w:sz w:val="20"/>
          <w:szCs w:val="20"/>
          <w:color w:val="auto"/>
        </w:rPr>
      </w:pPr>
      <w:r>
        <w:rPr>
          <w:rFonts w:ascii="Arial" w:cs="Arial" w:eastAsia="Arial" w:hAnsi="Arial"/>
          <w:sz w:val="17"/>
          <w:szCs w:val="17"/>
          <w:color w:val="auto"/>
        </w:rPr>
        <w:t>the values of investment securities will occur in the near term and that such changes could materially affect participant’s account balances and the amounts reported in the Statements of Net Assets Available for Benefits.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All applicable pronouncements have been adopted by the Plan. There are no issued pronouncements that will require adoption in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Management of the Plan has evaluated subsequent events from December 31, 2024 through the date these financial statements were issued.</w:t>
      </w:r>
    </w:p>
    <w:p>
      <w:pPr>
        <w:spacing w:after="0" w:line="14" w:lineRule="exact"/>
        <w:rPr>
          <w:sz w:val="20"/>
          <w:szCs w:val="20"/>
          <w:color w:val="auto"/>
        </w:rPr>
      </w:pPr>
    </w:p>
    <w:p>
      <w:pPr>
        <w:ind w:right="360"/>
        <w:spacing w:after="0" w:line="239" w:lineRule="auto"/>
        <w:rPr>
          <w:sz w:val="20"/>
          <w:szCs w:val="20"/>
          <w:color w:val="auto"/>
        </w:rPr>
      </w:pPr>
      <w:r>
        <w:rPr>
          <w:rFonts w:ascii="Arial" w:cs="Arial" w:eastAsia="Arial" w:hAnsi="Arial"/>
          <w:sz w:val="17"/>
          <w:szCs w:val="17"/>
          <w:color w:val="auto"/>
        </w:rPr>
        <w:t>Other than described below, management of the Plan is not aware of any subsequent events that require recognition or additional disclosure in these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2025, the SPD was revised to reflect updated 2025 regulatory limits, changes to the Plan’s one eligibility year of service</w:t>
      </w:r>
    </w:p>
    <w:p>
      <w:pPr>
        <w:spacing w:after="0" w:line="14" w:lineRule="exact"/>
        <w:rPr>
          <w:sz w:val="20"/>
          <w:szCs w:val="20"/>
          <w:color w:val="auto"/>
        </w:rPr>
      </w:pPr>
    </w:p>
    <w:p>
      <w:pPr>
        <w:ind w:right="420"/>
        <w:spacing w:after="0" w:line="230" w:lineRule="auto"/>
        <w:rPr>
          <w:sz w:val="20"/>
          <w:szCs w:val="20"/>
          <w:color w:val="auto"/>
        </w:rPr>
      </w:pPr>
      <w:r>
        <w:rPr>
          <w:rFonts w:ascii="Arial" w:cs="Arial" w:eastAsia="Arial" w:hAnsi="Arial"/>
          <w:sz w:val="17"/>
          <w:szCs w:val="17"/>
          <w:color w:val="auto"/>
        </w:rPr>
        <w:t>affecting highly compensated employees, designating short-term disability pay as eligible compensation in certain situations, and how account balances between $1,000 and $7,000 and greater than $7,000 can be automatically distributed. The Plan now allows certain small account</w:t>
      </w:r>
    </w:p>
    <w:p>
      <w:pPr>
        <w:spacing w:after="0" w:line="238" w:lineRule="auto"/>
        <w:rPr>
          <w:sz w:val="20"/>
          <w:szCs w:val="20"/>
          <w:color w:val="auto"/>
        </w:rPr>
      </w:pPr>
      <w:r>
        <w:rPr>
          <w:rFonts w:ascii="Arial" w:cs="Arial" w:eastAsia="Arial" w:hAnsi="Arial"/>
          <w:sz w:val="17"/>
          <w:szCs w:val="17"/>
          <w:color w:val="auto"/>
        </w:rPr>
        <w:t>balances of terminated participants to be automatically rolled over into an IRA with a third-party vendor, Portability Services Network ("PSN").</w:t>
      </w:r>
    </w:p>
    <w:p>
      <w:pPr>
        <w:spacing w:after="0"/>
        <w:rPr>
          <w:sz w:val="20"/>
          <w:szCs w:val="20"/>
          <w:color w:val="auto"/>
        </w:rPr>
      </w:pPr>
      <w:r>
        <w:rPr>
          <w:rFonts w:ascii="Arial" w:cs="Arial" w:eastAsia="Arial" w:hAnsi="Arial"/>
          <w:sz w:val="17"/>
          <w:szCs w:val="17"/>
          <w:color w:val="auto"/>
        </w:rPr>
        <w:t>Participants have the option to opt out of this auto-portability service.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844"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3 – RELATED-PARTY AND PART-IN-INTEREST TRANSACTIONS</w:t>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w:t>
      </w:r>
    </w:p>
    <w:p>
      <w:pPr>
        <w:ind w:right="180"/>
        <w:spacing w:after="0" w:line="230" w:lineRule="auto"/>
        <w:rPr>
          <w:sz w:val="20"/>
          <w:szCs w:val="20"/>
          <w:color w:val="auto"/>
        </w:rPr>
      </w:pPr>
      <w:r>
        <w:rPr>
          <w:rFonts w:ascii="Arial" w:cs="Arial" w:eastAsia="Arial" w:hAnsi="Arial"/>
          <w:sz w:val="17"/>
          <w:szCs w:val="17"/>
          <w:color w:val="auto"/>
        </w:rPr>
        <w:t>prohibited transaction rules of ERISA pursuant to a class exemption issued by the U.S. Department of Labor. In addition, the fees associated with the management of these investments by The Vanguard Group, Inc. are included in the Master Trust’s net appreciation (depreciation) in fair value</w:t>
      </w:r>
    </w:p>
    <w:p>
      <w:pPr>
        <w:spacing w:after="0"/>
        <w:rPr>
          <w:sz w:val="20"/>
          <w:szCs w:val="20"/>
          <w:color w:val="auto"/>
        </w:rPr>
      </w:pPr>
      <w:r>
        <w:rPr>
          <w:rFonts w:ascii="Arial" w:cs="Arial" w:eastAsia="Arial" w:hAnsi="Arial"/>
          <w:sz w:val="17"/>
          <w:szCs w:val="17"/>
          <w:color w:val="auto"/>
        </w:rPr>
        <w:t>of investments.</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Plan invests in shares of the Company through the Graham Holdings Company Stock Fund in the Master Trust; therefore, these transactions qualify as party-in-interest transactions. Purchases and sales of Graham Holdings stock within the Graham Holdings Stock Fund in the Master Trust</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for the period ended December 31, 2024, were $157,057 and $969,619, respectively. Additionally, personnel and facilities of the Company have been used to perform administrative functions for the Plan at no cost to the Plan.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September 29, 2016, the Internal Revenue Service made a favorable determination that the Plan, as then designed, were qualified under IRC</w:t>
      </w:r>
    </w:p>
    <w:p>
      <w:pPr>
        <w:spacing w:after="0" w:line="14"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color w:val="auto"/>
        </w:rPr>
        <w:t>Section 401(a). Such determination letter did not involve a review of the effect on the Plan of certain amendments subsequently adopted. Plan management engaged the Plan’s ERISA counsel to examine the plan document and amendments, and ERISA counsel concluded that none of the</w:t>
      </w:r>
    </w:p>
    <w:p>
      <w:pPr>
        <w:spacing w:after="0"/>
        <w:rPr>
          <w:sz w:val="20"/>
          <w:szCs w:val="20"/>
          <w:color w:val="auto"/>
        </w:rPr>
      </w:pPr>
      <w:r>
        <w:rPr>
          <w:rFonts w:ascii="Arial" w:cs="Arial" w:eastAsia="Arial" w:hAnsi="Arial"/>
          <w:sz w:val="17"/>
          <w:szCs w:val="17"/>
          <w:color w:val="auto"/>
        </w:rPr>
        <w:t>amendments had an adverse effect on the tax-qualified status of the Plan under Section 401(a), including the 2016 and 2024 restatements.</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Master Trust, created in 2021 has not filed for a favorable determination since the Internal Revenue Service no longer supports determination letter filings. The Master Trust is designed to be tax-exempt under IRC Section 501(a).</w:t>
      </w:r>
    </w:p>
    <w:p>
      <w:pPr>
        <w:spacing w:after="0" w:line="10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Plan Administrator and the Plan’s ERISA counsel believe that the Plan and Master Trust are designed and operated in compliance with the applicable requirements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GAAP requires plan management to evaluate tax positions taken by the plan and recognize a tax liability (or asset) if the plan has taken an</w:t>
      </w:r>
    </w:p>
    <w:p>
      <w:pPr>
        <w:spacing w:after="0" w:line="14" w:lineRule="exact"/>
        <w:rPr>
          <w:sz w:val="20"/>
          <w:szCs w:val="20"/>
          <w:color w:val="auto"/>
        </w:rPr>
      </w:pPr>
    </w:p>
    <w:p>
      <w:pPr>
        <w:ind w:right="460"/>
        <w:spacing w:after="0" w:line="230" w:lineRule="auto"/>
        <w:rPr>
          <w:sz w:val="20"/>
          <w:szCs w:val="20"/>
          <w:color w:val="auto"/>
        </w:rPr>
      </w:pPr>
      <w:r>
        <w:rPr>
          <w:rFonts w:ascii="Arial" w:cs="Arial" w:eastAsia="Arial" w:hAnsi="Arial"/>
          <w:sz w:val="17"/>
          <w:szCs w:val="17"/>
          <w:color w:val="auto"/>
        </w:rPr>
        <w:t>uncertain position that more likely than not would not be sustained upon examination by federal, state and/or local taxing authorities. The plan administrator has analyzed the tax positions by the Plan, and has concluded that as of December 31, 2024 and 2023, there are no uncertain</w:t>
      </w:r>
    </w:p>
    <w:p>
      <w:pPr>
        <w:spacing w:after="0" w:line="238" w:lineRule="auto"/>
        <w:rPr>
          <w:sz w:val="20"/>
          <w:szCs w:val="20"/>
          <w:color w:val="auto"/>
        </w:rPr>
      </w:pPr>
      <w:r>
        <w:rPr>
          <w:rFonts w:ascii="Arial" w:cs="Arial" w:eastAsia="Arial" w:hAnsi="Arial"/>
          <w:sz w:val="17"/>
          <w:szCs w:val="17"/>
          <w:color w:val="auto"/>
        </w:rPr>
        <w:t>positions taken or expected to be taken that would require recognition of a liability (or asset) or disclosure in the financial statements. The Plan is</w:t>
      </w:r>
    </w:p>
    <w:p>
      <w:pPr>
        <w:ind w:right="560"/>
        <w:spacing w:after="0" w:line="239" w:lineRule="auto"/>
        <w:rPr>
          <w:sz w:val="20"/>
          <w:szCs w:val="20"/>
          <w:color w:val="auto"/>
        </w:rPr>
      </w:pPr>
      <w:r>
        <w:rPr>
          <w:rFonts w:ascii="Arial" w:cs="Arial" w:eastAsia="Arial" w:hAnsi="Arial"/>
          <w:sz w:val="17"/>
          <w:szCs w:val="17"/>
          <w:color w:val="auto"/>
        </w:rPr>
        <w:t>subject to routine audits by taxing jurisdictions; however, there are currently no audits for any tax periods in progress. The Plan administrator believes it is no longer subject to income tax examinations for the years prior to 2021.</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specific interest in the Master Trust is based on the account balances of the participants</w:t>
      </w:r>
    </w:p>
    <w:p>
      <w:pPr>
        <w:ind w:right="340"/>
        <w:spacing w:after="0" w:line="230" w:lineRule="auto"/>
        <w:rPr>
          <w:sz w:val="20"/>
          <w:szCs w:val="20"/>
          <w:color w:val="auto"/>
        </w:rPr>
      </w:pPr>
      <w:r>
        <w:rPr>
          <w:rFonts w:ascii="Arial" w:cs="Arial" w:eastAsia="Arial" w:hAnsi="Arial"/>
          <w:sz w:val="17"/>
          <w:szCs w:val="17"/>
          <w:color w:val="auto"/>
        </w:rPr>
        <w:t>and their elected investment options specific to each Plan. The Master Trust assets are allocated among the Participating Plans by assigning to each Participating Plan the entire amount of contributions received on behalf of each Participating Plan, benefit payments, or other expenses</w:t>
      </w:r>
    </w:p>
    <w:p>
      <w:pPr>
        <w:spacing w:after="0" w:line="238" w:lineRule="auto"/>
        <w:rPr>
          <w:sz w:val="20"/>
          <w:szCs w:val="20"/>
          <w:color w:val="auto"/>
        </w:rPr>
      </w:pPr>
      <w:r>
        <w:rPr>
          <w:rFonts w:ascii="Arial" w:cs="Arial" w:eastAsia="Arial" w:hAnsi="Arial"/>
          <w:sz w:val="17"/>
          <w:szCs w:val="17"/>
          <w:color w:val="auto"/>
        </w:rPr>
        <w:t>attributed solely to such Participating Plan, and every other transaction relating only to such Participating Plan and by allocating among all</w:t>
      </w:r>
    </w:p>
    <w:p>
      <w:pPr>
        <w:ind w:right="440"/>
        <w:spacing w:after="0" w:line="239" w:lineRule="auto"/>
        <w:rPr>
          <w:sz w:val="20"/>
          <w:szCs w:val="20"/>
          <w:color w:val="auto"/>
        </w:rPr>
      </w:pPr>
      <w:r>
        <w:rPr>
          <w:rFonts w:ascii="Arial" w:cs="Arial" w:eastAsia="Arial" w:hAnsi="Arial"/>
          <w:sz w:val="17"/>
          <w:szCs w:val="17"/>
          <w:color w:val="auto"/>
        </w:rPr>
        <w:t>Participating Plans, in proportion to the value of the assets assigned to each Participating Plan, income and expenses resulting from collective investment of the assets of the Master Trust.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44"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The following table presents the net assets of the Master Trust:</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4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2024</w:t>
            </w:r>
          </w:p>
        </w:tc>
        <w:tc>
          <w:tcPr>
            <w:tcW w:w="200" w:type="dxa"/>
            <w:vAlign w:val="bottom"/>
          </w:tcPr>
          <w:p>
            <w:pPr>
              <w:spacing w:after="0"/>
              <w:rPr>
                <w:sz w:val="21"/>
                <w:szCs w:val="21"/>
                <w:color w:val="auto"/>
              </w:rPr>
            </w:pPr>
          </w:p>
        </w:tc>
        <w:tc>
          <w:tcPr>
            <w:tcW w:w="2980" w:type="dxa"/>
            <w:vAlign w:val="bottom"/>
            <w:gridSpan w:val="4"/>
          </w:tcPr>
          <w:p>
            <w:pPr>
              <w:jc w:val="right"/>
              <w:ind w:right="51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center"/>
              <w:ind w:right="74"/>
              <w:spacing w:after="0" w:line="183"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4"/>
              <w:spacing w:after="0" w:line="183" w:lineRule="exact"/>
              <w:rPr>
                <w:sz w:val="20"/>
                <w:szCs w:val="20"/>
                <w:color w:val="auto"/>
              </w:rPr>
            </w:pPr>
            <w:r>
              <w:rPr>
                <w:rFonts w:ascii="Arial" w:cs="Arial" w:eastAsia="Arial" w:hAnsi="Arial"/>
                <w:sz w:val="17"/>
                <w:szCs w:val="17"/>
                <w:color w:val="auto"/>
              </w:rPr>
              <w:t>Plan Interest in</w:t>
            </w:r>
          </w:p>
        </w:tc>
        <w:tc>
          <w:tcPr>
            <w:tcW w:w="0" w:type="dxa"/>
            <w:vAlign w:val="bottom"/>
          </w:tcPr>
          <w:p>
            <w:pPr>
              <w:spacing w:after="0"/>
              <w:rPr>
                <w:sz w:val="1"/>
                <w:szCs w:val="1"/>
                <w:color w:val="auto"/>
              </w:rPr>
            </w:pPr>
          </w:p>
        </w:tc>
      </w:tr>
      <w:tr>
        <w:trPr>
          <w:trHeight w:val="226"/>
        </w:trPr>
        <w:tc>
          <w:tcPr>
            <w:tcW w:w="4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20" w:type="dxa"/>
            <w:vAlign w:val="bottom"/>
            <w:vMerge w:val="restart"/>
          </w:tcPr>
          <w:p>
            <w:pPr>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20" w:type="dxa"/>
            <w:vAlign w:val="bottom"/>
          </w:tcPr>
          <w:p>
            <w:pPr>
              <w:ind w:left="20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569,373,225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37,835,310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38,123,095</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35,403,793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38,441,951</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55,306,537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2,344,400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2,477,807</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4,321,924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122,597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124,050</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20" w:type="dxa"/>
            <w:vAlign w:val="bottom"/>
          </w:tcPr>
          <w:p>
            <w:pPr>
              <w:ind w:left="32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75,706,100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79,166,903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net appreciation in the fair value of investments and investment income for the Master Trust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2024:</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9580" w:type="dxa"/>
            <w:vAlign w:val="bottom"/>
          </w:tcPr>
          <w:p>
            <w:pPr>
              <w:spacing w:after="0"/>
              <w:rPr>
                <w:sz w:val="20"/>
                <w:szCs w:val="20"/>
                <w:color w:val="auto"/>
              </w:rPr>
            </w:pPr>
            <w:r>
              <w:rPr>
                <w:rFonts w:ascii="Arial" w:cs="Arial" w:eastAsia="Arial" w:hAnsi="Arial"/>
                <w:sz w:val="17"/>
                <w:szCs w:val="17"/>
                <w:color w:val="auto"/>
              </w:rPr>
              <w:t>Net appreciation in fair value of investments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113,332,031</w:t>
            </w:r>
          </w:p>
        </w:tc>
        <w:tc>
          <w:tcPr>
            <w:tcW w:w="0" w:type="dxa"/>
            <w:vAlign w:val="bottom"/>
          </w:tcPr>
          <w:p>
            <w:pPr>
              <w:spacing w:after="0"/>
              <w:rPr>
                <w:sz w:val="1"/>
                <w:szCs w:val="1"/>
                <w:color w:val="auto"/>
              </w:rPr>
            </w:pPr>
          </w:p>
        </w:tc>
      </w:tr>
      <w:tr>
        <w:trPr>
          <w:trHeight w:val="245"/>
        </w:trPr>
        <w:tc>
          <w:tcPr>
            <w:tcW w:w="9580" w:type="dxa"/>
            <w:vAlign w:val="bottom"/>
          </w:tcPr>
          <w:p>
            <w:pPr>
              <w:spacing w:after="0"/>
              <w:rPr>
                <w:sz w:val="20"/>
                <w:szCs w:val="20"/>
                <w:color w:val="auto"/>
              </w:rPr>
            </w:pPr>
            <w:r>
              <w:rPr>
                <w:rFonts w:ascii="Arial" w:cs="Arial" w:eastAsia="Arial" w:hAnsi="Arial"/>
                <w:sz w:val="17"/>
                <w:szCs w:val="17"/>
                <w:color w:val="auto"/>
              </w:rPr>
              <w:t>Interest and dividends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26,359,033</w:t>
            </w:r>
          </w:p>
        </w:tc>
        <w:tc>
          <w:tcPr>
            <w:tcW w:w="0" w:type="dxa"/>
            <w:vAlign w:val="bottom"/>
          </w:tcPr>
          <w:p>
            <w:pPr>
              <w:spacing w:after="0"/>
              <w:rPr>
                <w:sz w:val="1"/>
                <w:szCs w:val="1"/>
                <w:color w:val="auto"/>
              </w:rPr>
            </w:pPr>
          </w:p>
        </w:tc>
      </w:tr>
      <w:tr>
        <w:trPr>
          <w:trHeight w:val="24"/>
        </w:trPr>
        <w:tc>
          <w:tcPr>
            <w:tcW w:w="9580" w:type="dxa"/>
            <w:vAlign w:val="bottom"/>
            <w:vMerge w:val="restart"/>
          </w:tcPr>
          <w:p>
            <w:pPr>
              <w:ind w:left="100"/>
              <w:spacing w:after="0"/>
              <w:rPr>
                <w:sz w:val="20"/>
                <w:szCs w:val="20"/>
                <w:color w:val="auto"/>
              </w:rPr>
            </w:pPr>
            <w:r>
              <w:rPr>
                <w:rFonts w:ascii="Arial" w:cs="Arial" w:eastAsia="Arial" w:hAnsi="Arial"/>
                <w:sz w:val="17"/>
                <w:szCs w:val="17"/>
                <w:color w:val="auto"/>
              </w:rPr>
              <w:t>Total investment income</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58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139,691,064</w:t>
            </w:r>
          </w:p>
        </w:tc>
        <w:tc>
          <w:tcPr>
            <w:tcW w:w="0" w:type="dxa"/>
            <w:vAlign w:val="bottom"/>
          </w:tcPr>
          <w:p>
            <w:pPr>
              <w:spacing w:after="0"/>
              <w:rPr>
                <w:sz w:val="1"/>
                <w:szCs w:val="1"/>
                <w:color w:val="auto"/>
              </w:rPr>
            </w:pPr>
          </w:p>
        </w:tc>
      </w:tr>
      <w:tr>
        <w:trPr>
          <w:trHeight w:val="26"/>
        </w:trPr>
        <w:tc>
          <w:tcPr>
            <w:tcW w:w="9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Refer to Note 6 for a description of the valuation methodologies used.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w:t>
      </w:r>
    </w:p>
    <w:p>
      <w:pPr>
        <w:ind w:right="220"/>
        <w:spacing w:after="0" w:line="230" w:lineRule="auto"/>
        <w:rPr>
          <w:sz w:val="20"/>
          <w:szCs w:val="20"/>
          <w:color w:val="auto"/>
        </w:rPr>
      </w:pPr>
      <w:r>
        <w:rPr>
          <w:rFonts w:ascii="Arial" w:cs="Arial" w:eastAsia="Arial" w:hAnsi="Arial"/>
          <w:sz w:val="17"/>
          <w:szCs w:val="17"/>
          <w:color w:val="auto"/>
        </w:rPr>
        <w:t>unobservable inputs that require the Master Trust to use present value and other valuation techniques in the determination of fair value (Level 3). Financial assets and liabilities are classified in their entirety based on the lowest level of input that is significant to the fair value measure. The</w:t>
      </w:r>
    </w:p>
    <w:p>
      <w:pPr>
        <w:ind w:right="20"/>
        <w:spacing w:after="0" w:line="255"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values. The net asset values are typically determined by the fund at the close of regular trading. These funds are required to publish their daily net asset value (NAV) and to transact at that price. The mutual funds are considered actively traded.</w:t>
      </w:r>
    </w:p>
    <w:p>
      <w:pPr>
        <w:spacing w:after="0" w:line="12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Valued at the NAV of units of the collective trusts. The NAV, as provided by the trustee, is used as a practical</w:t>
      </w:r>
      <w:r>
        <w:rPr>
          <w:rFonts w:ascii="Arial" w:cs="Arial" w:eastAsia="Arial" w:hAnsi="Arial"/>
          <w:sz w:val="17"/>
          <w:szCs w:val="17"/>
          <w:b w:val="1"/>
          <w:bCs w:val="1"/>
          <w:color w:val="auto"/>
        </w:rPr>
        <w:t xml:space="preserve"> </w:t>
      </w:r>
      <w:r>
        <w:rPr>
          <w:rFonts w:ascii="Arial" w:cs="Arial" w:eastAsia="Arial" w:hAnsi="Arial"/>
          <w:sz w:val="17"/>
          <w:szCs w:val="17"/>
          <w:color w:val="auto"/>
        </w:rPr>
        <w:t>expedient to estimate fair value. This practical expedient is not used when it is determined to be probable that the fund will sell the investment for</w:t>
      </w:r>
    </w:p>
    <w:p>
      <w:pPr>
        <w:ind w:right="140"/>
        <w:spacing w:after="0" w:line="255" w:lineRule="auto"/>
        <w:rPr>
          <w:sz w:val="20"/>
          <w:szCs w:val="20"/>
          <w:color w:val="auto"/>
        </w:rPr>
      </w:pPr>
      <w:r>
        <w:rPr>
          <w:rFonts w:ascii="Arial" w:cs="Arial" w:eastAsia="Arial" w:hAnsi="Arial"/>
          <w:sz w:val="17"/>
          <w:szCs w:val="17"/>
          <w:color w:val="auto"/>
        </w:rPr>
        <w:t>an amount different than the reported NAV. Were the Plan to initiate a full redemption of the collective trusts, the investment adviser reserves the right to temporarily delay withdrawal from the trusts in order to ensure that securities liquidations will be carried out in an orderly business manner.</w:t>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Common Stock</w:t>
      </w:r>
      <w:r>
        <w:rPr>
          <w:rFonts w:ascii="Arial" w:cs="Arial" w:eastAsia="Arial" w:hAnsi="Arial"/>
          <w:sz w:val="17"/>
          <w:szCs w:val="17"/>
          <w:color w:val="auto"/>
        </w:rPr>
        <w:t>: The Graham Holdings Company common stock in the Graham Holdings Company Stock Fund and Berkshire Hathaway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in the Berkshire Hathaway Stock Fund are valued at their year-end market value closing price.</w:t>
      </w:r>
    </w:p>
    <w:p>
      <w:pPr>
        <w:spacing w:after="0" w:line="9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 methods described above may produce a fair value calculation that may not be indicative of net realizable value or reflective of future fair values. Furthermore, while the Plan Sponsor believes its valuation methods are appropriate and consistent with other market participants, the use</w:t>
      </w:r>
    </w:p>
    <w:p>
      <w:pPr>
        <w:spacing w:after="0" w:line="1" w:lineRule="exact"/>
        <w:rPr>
          <w:sz w:val="20"/>
          <w:szCs w:val="20"/>
          <w:color w:val="auto"/>
        </w:rPr>
      </w:pPr>
    </w:p>
    <w:p>
      <w:pPr>
        <w:ind w:right="960"/>
        <w:spacing w:after="0" w:line="255" w:lineRule="auto"/>
        <w:rPr>
          <w:sz w:val="20"/>
          <w:szCs w:val="20"/>
          <w:color w:val="auto"/>
        </w:rPr>
      </w:pPr>
      <w:r>
        <w:rPr>
          <w:rFonts w:ascii="Arial" w:cs="Arial" w:eastAsia="Arial" w:hAnsi="Arial"/>
          <w:sz w:val="17"/>
          <w:szCs w:val="17"/>
          <w:color w:val="auto"/>
        </w:rPr>
        <w:t>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4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2024</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2023</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34"/>
              <w:spacing w:after="0" w:line="161"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68"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68"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line="177"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ind w:right="34"/>
              <w:spacing w:after="0" w:line="177"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4"/>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569,520,506</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common stock</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55,163,111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common stock</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4,318,069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345,424,320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974,426,006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629,001,686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left="240" w:hanging="237"/>
        <w:spacing w:after="0" w:line="221" w:lineRule="auto"/>
        <w:tabs>
          <w:tab w:leader="none" w:pos="332"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 xml:space="preserve">In accordance with FASB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net asset value per share (or its equivalent) as a practical expedient have not been classified in the fair value hierarchy. As a result, collective investment trusts are classified as a reconciling item in the fair value hierarchy so that the total investments in the fair value hierarchy is consistent with the Plan investments, at fair value on the Statements of Net Assets Available for Benefits.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share/unit multiplied by the number of shares/units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2024</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2023</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338,587,009</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267,276,011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6,837,311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7,640,841</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345,424,320</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274,916,852</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RECONCILIATION OF FINANCIAL STATEMENTS TO FORM 5500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Form 5500:</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26"/>
        </w:trPr>
        <w:tc>
          <w:tcPr>
            <w:tcW w:w="8020" w:type="dxa"/>
            <w:vAlign w:val="bottom"/>
          </w:tcPr>
          <w:p>
            <w:pPr>
              <w:spacing w:after="0"/>
              <w:rPr>
                <w:sz w:val="20"/>
                <w:szCs w:val="20"/>
                <w:color w:val="auto"/>
              </w:rPr>
            </w:pPr>
            <w:r>
              <w:rPr>
                <w:rFonts w:ascii="Arial" w:cs="Arial" w:eastAsia="Arial" w:hAnsi="Arial"/>
                <w:sz w:val="17"/>
                <w:szCs w:val="17"/>
                <w:color w:val="auto"/>
              </w:rPr>
              <w:t>Net assets available for benefits, per the financial statements</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76,612,299</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79,264,704</w:t>
            </w:r>
          </w:p>
        </w:tc>
        <w:tc>
          <w:tcPr>
            <w:tcW w:w="0" w:type="dxa"/>
            <w:vAlign w:val="bottom"/>
          </w:tcPr>
          <w:p>
            <w:pPr>
              <w:spacing w:after="0"/>
              <w:rPr>
                <w:sz w:val="1"/>
                <w:szCs w:val="1"/>
                <w:color w:val="auto"/>
              </w:rPr>
            </w:pPr>
          </w:p>
        </w:tc>
      </w:tr>
      <w:tr>
        <w:trPr>
          <w:trHeight w:val="242"/>
        </w:trPr>
        <w:tc>
          <w:tcPr>
            <w:tcW w:w="8020" w:type="dxa"/>
            <w:vAlign w:val="bottom"/>
          </w:tcPr>
          <w:p>
            <w:pPr>
              <w:spacing w:after="0"/>
              <w:rPr>
                <w:sz w:val="20"/>
                <w:szCs w:val="20"/>
                <w:color w:val="auto"/>
              </w:rPr>
            </w:pPr>
            <w:r>
              <w:rPr>
                <w:rFonts w:ascii="Arial" w:cs="Arial" w:eastAsia="Arial" w:hAnsi="Arial"/>
                <w:sz w:val="17"/>
                <w:szCs w:val="17"/>
                <w:color w:val="auto"/>
              </w:rPr>
              <w:t>Participant loans reported as deemed distributions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(39,498)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(3,690)</w:t>
            </w:r>
          </w:p>
        </w:tc>
        <w:tc>
          <w:tcPr>
            <w:tcW w:w="0" w:type="dxa"/>
            <w:vAlign w:val="bottom"/>
          </w:tcPr>
          <w:p>
            <w:pPr>
              <w:spacing w:after="0"/>
              <w:rPr>
                <w:sz w:val="1"/>
                <w:szCs w:val="1"/>
                <w:color w:val="auto"/>
              </w:rPr>
            </w:pPr>
          </w:p>
        </w:tc>
      </w:tr>
      <w:tr>
        <w:trPr>
          <w:trHeight w:val="24"/>
        </w:trPr>
        <w:tc>
          <w:tcPr>
            <w:tcW w:w="8020" w:type="dxa"/>
            <w:vAlign w:val="bottom"/>
            <w:vMerge w:val="restart"/>
          </w:tcPr>
          <w:p>
            <w:pPr>
              <w:spacing w:after="0"/>
              <w:rPr>
                <w:sz w:val="20"/>
                <w:szCs w:val="20"/>
                <w:color w:val="auto"/>
              </w:rPr>
            </w:pPr>
            <w:r>
              <w:rPr>
                <w:rFonts w:ascii="Arial" w:cs="Arial" w:eastAsia="Arial" w:hAnsi="Arial"/>
                <w:sz w:val="17"/>
                <w:szCs w:val="17"/>
                <w:color w:val="auto"/>
              </w:rPr>
              <w:t>Net assets available for benefits, per Form 5500</w:t>
            </w: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vMerge w:val="continue"/>
          </w:tcPr>
          <w:p>
            <w:pPr>
              <w:spacing w:after="0"/>
              <w:rPr>
                <w:sz w:val="20"/>
                <w:szCs w:val="20"/>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76,572,801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79,261,014</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6"/>
        </w:trPr>
        <w:tc>
          <w:tcPr>
            <w:tcW w:w="9600" w:type="dxa"/>
            <w:vAlign w:val="bottom"/>
          </w:tcPr>
          <w:p>
            <w:pPr>
              <w:spacing w:after="0"/>
              <w:rPr>
                <w:sz w:val="20"/>
                <w:szCs w:val="20"/>
                <w:color w:val="auto"/>
              </w:rPr>
            </w:pPr>
            <w:r>
              <w:rPr>
                <w:rFonts w:ascii="Arial" w:cs="Arial" w:eastAsia="Arial" w:hAnsi="Arial"/>
                <w:sz w:val="17"/>
                <w:szCs w:val="17"/>
                <w:color w:val="auto"/>
              </w:rPr>
              <w:t>The following is a reconciliation of deemed distributions of participant loans per the financial statements to Form 5500:</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9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Year Ended</w:t>
            </w:r>
          </w:p>
        </w:tc>
        <w:tc>
          <w:tcPr>
            <w:tcW w:w="0" w:type="dxa"/>
            <w:vAlign w:val="bottom"/>
          </w:tcPr>
          <w:p>
            <w:pPr>
              <w:spacing w:after="0"/>
              <w:rPr>
                <w:sz w:val="1"/>
                <w:szCs w:val="1"/>
                <w:color w:val="auto"/>
              </w:rPr>
            </w:pPr>
          </w:p>
        </w:tc>
      </w:tr>
      <w:tr>
        <w:trPr>
          <w:trHeight w:val="231"/>
        </w:trPr>
        <w:tc>
          <w:tcPr>
            <w:tcW w:w="9600" w:type="dxa"/>
            <w:vAlign w:val="bottom"/>
          </w:tcPr>
          <w:p>
            <w:pPr>
              <w:spacing w:after="0"/>
              <w:rPr>
                <w:sz w:val="20"/>
                <w:szCs w:val="20"/>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December 31, 2024</w:t>
            </w:r>
          </w:p>
        </w:tc>
        <w:tc>
          <w:tcPr>
            <w:tcW w:w="0" w:type="dxa"/>
            <w:vAlign w:val="bottom"/>
          </w:tcPr>
          <w:p>
            <w:pPr>
              <w:spacing w:after="0"/>
              <w:rPr>
                <w:sz w:val="1"/>
                <w:szCs w:val="1"/>
                <w:color w:val="auto"/>
              </w:rPr>
            </w:pPr>
          </w:p>
        </w:tc>
      </w:tr>
      <w:tr>
        <w:trPr>
          <w:trHeight w:val="226"/>
        </w:trPr>
        <w:tc>
          <w:tcPr>
            <w:tcW w:w="9600" w:type="dxa"/>
            <w:vAlign w:val="bottom"/>
          </w:tcPr>
          <w:p>
            <w:pPr>
              <w:ind w:left="20"/>
              <w:spacing w:after="0"/>
              <w:rPr>
                <w:sz w:val="20"/>
                <w:szCs w:val="20"/>
                <w:color w:val="auto"/>
              </w:rPr>
            </w:pPr>
            <w:r>
              <w:rPr>
                <w:rFonts w:ascii="Arial" w:cs="Arial" w:eastAsia="Arial" w:hAnsi="Arial"/>
                <w:sz w:val="17"/>
                <w:szCs w:val="17"/>
                <w:color w:val="auto"/>
              </w:rPr>
              <w:t>Certain deemed distributions of participant loans per the financial statements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9600" w:type="dxa"/>
            <w:vAlign w:val="bottom"/>
          </w:tcPr>
          <w:p>
            <w:pPr>
              <w:ind w:left="20"/>
              <w:spacing w:after="0"/>
              <w:rPr>
                <w:sz w:val="20"/>
                <w:szCs w:val="20"/>
                <w:color w:val="auto"/>
              </w:rPr>
            </w:pPr>
            <w:r>
              <w:rPr>
                <w:rFonts w:ascii="Arial" w:cs="Arial" w:eastAsia="Arial" w:hAnsi="Arial"/>
                <w:sz w:val="17"/>
                <w:szCs w:val="17"/>
                <w:color w:val="auto"/>
              </w:rPr>
              <w:t>Add: Loans deemed distributed current year</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39,498</w:t>
            </w:r>
          </w:p>
        </w:tc>
        <w:tc>
          <w:tcPr>
            <w:tcW w:w="0" w:type="dxa"/>
            <w:vAlign w:val="bottom"/>
          </w:tcPr>
          <w:p>
            <w:pPr>
              <w:spacing w:after="0"/>
              <w:rPr>
                <w:sz w:val="1"/>
                <w:szCs w:val="1"/>
                <w:color w:val="auto"/>
              </w:rPr>
            </w:pPr>
          </w:p>
        </w:tc>
      </w:tr>
      <w:tr>
        <w:trPr>
          <w:trHeight w:val="245"/>
        </w:trPr>
        <w:tc>
          <w:tcPr>
            <w:tcW w:w="9600" w:type="dxa"/>
            <w:vAlign w:val="bottom"/>
          </w:tcPr>
          <w:p>
            <w:pPr>
              <w:ind w:left="20"/>
              <w:spacing w:after="0"/>
              <w:rPr>
                <w:sz w:val="20"/>
                <w:szCs w:val="20"/>
                <w:color w:val="auto"/>
              </w:rPr>
            </w:pPr>
            <w:r>
              <w:rPr>
                <w:rFonts w:ascii="Arial" w:cs="Arial" w:eastAsia="Arial" w:hAnsi="Arial"/>
                <w:sz w:val="17"/>
                <w:szCs w:val="17"/>
                <w:color w:val="auto"/>
              </w:rPr>
              <w:t>Deduct: Loans deemed distributed prior year</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(3,690)</w:t>
            </w:r>
          </w:p>
        </w:tc>
        <w:tc>
          <w:tcPr>
            <w:tcW w:w="0" w:type="dxa"/>
            <w:vAlign w:val="bottom"/>
          </w:tcPr>
          <w:p>
            <w:pPr>
              <w:spacing w:after="0"/>
              <w:rPr>
                <w:sz w:val="1"/>
                <w:szCs w:val="1"/>
                <w:color w:val="auto"/>
              </w:rPr>
            </w:pPr>
          </w:p>
        </w:tc>
      </w:tr>
      <w:tr>
        <w:trPr>
          <w:trHeight w:val="24"/>
        </w:trPr>
        <w:tc>
          <w:tcPr>
            <w:tcW w:w="9600" w:type="dxa"/>
            <w:vAlign w:val="bottom"/>
            <w:vMerge w:val="restart"/>
          </w:tcPr>
          <w:p>
            <w:pPr>
              <w:ind w:left="20"/>
              <w:spacing w:after="0"/>
              <w:rPr>
                <w:sz w:val="20"/>
                <w:szCs w:val="20"/>
                <w:color w:val="auto"/>
              </w:rPr>
            </w:pPr>
            <w:r>
              <w:rPr>
                <w:rFonts w:ascii="Arial" w:cs="Arial" w:eastAsia="Arial" w:hAnsi="Arial"/>
                <w:sz w:val="17"/>
                <w:szCs w:val="17"/>
                <w:color w:val="auto"/>
              </w:rPr>
              <w:t>Certain deemed distributions of participant loans per the Form 5500</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0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35,808</w:t>
            </w:r>
          </w:p>
        </w:tc>
        <w:tc>
          <w:tcPr>
            <w:tcW w:w="0" w:type="dxa"/>
            <w:vAlign w:val="bottom"/>
          </w:tcPr>
          <w:p>
            <w:pPr>
              <w:spacing w:after="0"/>
              <w:rPr>
                <w:sz w:val="1"/>
                <w:szCs w:val="1"/>
                <w:color w:val="auto"/>
              </w:rPr>
            </w:pPr>
          </w:p>
        </w:tc>
      </w:tr>
      <w:tr>
        <w:trPr>
          <w:trHeight w:val="26"/>
        </w:trPr>
        <w:tc>
          <w:tcPr>
            <w:tcW w:w="9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Amounts for certain deemed distributions of participant loans are recorded on the Form 5500 when the recordkeeper sends the participant a Form 1099. These amounts are not deducted from net assets available for benefits until such time as the participant has either paid off the loan or has been separated from service.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84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1"/>
          <w:szCs w:val="21"/>
          <w:b w:val="1"/>
          <w:bCs w:val="1"/>
          <w:color w:val="auto"/>
        </w:rPr>
        <w:t>THE 401(k) SAVINGS PLAN FOR GHC AFFILIATES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jc w:val="right"/>
              <w:ind w:right="1154"/>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center"/>
              <w:ind w:right="9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jc w:val="right"/>
              <w:ind w:right="1274"/>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jc w:val="right"/>
              <w:ind w:right="1474"/>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Interest in 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75,706,100</w:t>
            </w:r>
          </w:p>
        </w:tc>
        <w:tc>
          <w:tcPr>
            <w:tcW w:w="0" w:type="dxa"/>
            <w:vAlign w:val="bottom"/>
          </w:tcPr>
          <w:p>
            <w:pPr>
              <w:spacing w:after="0"/>
              <w:rPr>
                <w:sz w:val="1"/>
                <w:szCs w:val="1"/>
                <w:color w:val="auto"/>
              </w:rPr>
            </w:pPr>
          </w:p>
        </w:tc>
      </w:tr>
      <w:tr>
        <w:trPr>
          <w:trHeight w:val="424"/>
        </w:trPr>
        <w:tc>
          <w:tcPr>
            <w:tcW w:w="5040" w:type="dxa"/>
            <w:vAlign w:val="bottom"/>
          </w:tcPr>
          <w:p>
            <w:pPr>
              <w:jc w:val="right"/>
              <w:ind w:right="1974"/>
              <w:spacing w:after="0"/>
              <w:rPr>
                <w:sz w:val="20"/>
                <w:szCs w:val="20"/>
                <w:color w:val="auto"/>
              </w:rPr>
            </w:pPr>
            <w:r>
              <w:rPr>
                <w:rFonts w:ascii="Arial" w:cs="Arial" w:eastAsia="Arial" w:hAnsi="Arial"/>
                <w:sz w:val="17"/>
                <w:szCs w:val="17"/>
                <w:color w:val="auto"/>
              </w:rPr>
              <w:t>*  Notes receivable from Participants</w:t>
            </w:r>
          </w:p>
        </w:tc>
        <w:tc>
          <w:tcPr>
            <w:tcW w:w="3940" w:type="dxa"/>
            <w:vAlign w:val="bottom"/>
          </w:tcPr>
          <w:p>
            <w:pPr>
              <w:ind w:left="20"/>
              <w:spacing w:after="0"/>
              <w:rPr>
                <w:sz w:val="20"/>
                <w:szCs w:val="20"/>
                <w:color w:val="auto"/>
              </w:rPr>
            </w:pPr>
            <w:r>
              <w:rPr>
                <w:rFonts w:ascii="Arial" w:cs="Arial" w:eastAsia="Arial" w:hAnsi="Arial"/>
                <w:sz w:val="17"/>
                <w:szCs w:val="17"/>
                <w:color w:val="auto"/>
              </w:rPr>
              <w:t>Participant loans (4.25% - 9.5%)</w:t>
            </w:r>
          </w:p>
        </w:tc>
        <w:tc>
          <w:tcPr>
            <w:tcW w:w="6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722,227</w:t>
            </w:r>
          </w:p>
        </w:tc>
        <w:tc>
          <w:tcPr>
            <w:tcW w:w="0" w:type="dxa"/>
            <w:vAlign w:val="bottom"/>
          </w:tcPr>
          <w:p>
            <w:pPr>
              <w:spacing w:after="0"/>
              <w:rPr>
                <w:sz w:val="1"/>
                <w:szCs w:val="1"/>
                <w:color w:val="auto"/>
              </w:rPr>
            </w:pPr>
          </w:p>
        </w:tc>
      </w:tr>
      <w:tr>
        <w:trPr>
          <w:trHeight w:val="213"/>
        </w:trPr>
        <w:tc>
          <w:tcPr>
            <w:tcW w:w="5040" w:type="dxa"/>
            <w:vAlign w:val="bottom"/>
          </w:tcPr>
          <w:p>
            <w:pPr>
              <w:jc w:val="right"/>
              <w:ind w:right="1974"/>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76,428,327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83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center"/>
              <w:ind w:right="1400"/>
              <w:spacing w:after="0"/>
              <w:rPr>
                <w:sz w:val="20"/>
                <w:szCs w:val="20"/>
                <w:color w:val="auto"/>
              </w:rPr>
            </w:pPr>
            <w:r>
              <w:rPr>
                <w:rFonts w:ascii="Arial" w:cs="Arial" w:eastAsia="Arial" w:hAnsi="Arial"/>
                <w:sz w:val="21"/>
                <w:szCs w:val="21"/>
                <w:b w:val="1"/>
                <w:bCs w:val="1"/>
                <w:color w:val="auto"/>
                <w:w w:val="98"/>
              </w:rPr>
              <w:t>INDEX TO EXHIBITS</w:t>
            </w:r>
          </w:p>
        </w:tc>
      </w:tr>
      <w:tr>
        <w:trPr>
          <w:trHeight w:val="542"/>
        </w:trPr>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Number</w:t>
            </w:r>
          </w:p>
        </w:tc>
        <w:tc>
          <w:tcPr>
            <w:tcW w:w="982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63"/>
        </w:trPr>
        <w:tc>
          <w:tcPr>
            <w:tcW w:w="1300" w:type="dxa"/>
            <w:vAlign w:val="bottom"/>
            <w:tcBorders>
              <w:top w:val="single" w:sz="8" w:color="auto"/>
            </w:tcBorders>
          </w:tcPr>
          <w:p>
            <w:pPr>
              <w:ind w:left="20"/>
              <w:spacing w:after="0" w:line="163" w:lineRule="exact"/>
              <w:rPr>
                <w:sz w:val="20"/>
                <w:szCs w:val="20"/>
                <w:color w:val="auto"/>
              </w:rPr>
            </w:pPr>
            <w:r>
              <w:rPr>
                <w:rFonts w:ascii="Arial" w:cs="Arial" w:eastAsia="Arial" w:hAnsi="Arial"/>
                <w:sz w:val="16"/>
                <w:szCs w:val="16"/>
                <w:color w:val="auto"/>
              </w:rPr>
              <w:t>23.1</w:t>
            </w:r>
          </w:p>
        </w:tc>
        <w:tc>
          <w:tcPr>
            <w:tcW w:w="120" w:type="dxa"/>
            <w:vAlign w:val="bottom"/>
          </w:tcPr>
          <w:p>
            <w:pPr>
              <w:spacing w:after="0"/>
              <w:rPr>
                <w:sz w:val="14"/>
                <w:szCs w:val="14"/>
                <w:color w:val="auto"/>
              </w:rPr>
            </w:pPr>
          </w:p>
        </w:tc>
        <w:tc>
          <w:tcPr>
            <w:tcW w:w="4200" w:type="dxa"/>
            <w:vAlign w:val="bottom"/>
            <w:tcBorders>
              <w:top w:val="single" w:sz="8" w:color="auto"/>
              <w:bottom w:val="single" w:sz="8" w:color="0000FF"/>
            </w:tcBorders>
          </w:tcPr>
          <w:p>
            <w:pPr>
              <w:spacing w:after="0" w:line="163" w:lineRule="exact"/>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Borders>
              <w:top w:val="single" w:sz="8" w:color="auto"/>
            </w:tcBorders>
          </w:tcPr>
          <w:p>
            <w:pPr>
              <w:spacing w:after="0"/>
              <w:rPr>
                <w:sz w:val="14"/>
                <w:szCs w:val="14"/>
                <w:color w:val="auto"/>
              </w:rPr>
            </w:pPr>
          </w:p>
        </w:tc>
      </w:tr>
      <w:tr>
        <w:trPr>
          <w:trHeight w:val="200"/>
        </w:trPr>
        <w:tc>
          <w:tcPr>
            <w:tcW w:w="1300" w:type="dxa"/>
            <w:vAlign w:val="bottom"/>
          </w:tcPr>
          <w:p>
            <w:pPr>
              <w:ind w:left="20"/>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42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Consent of independent registered public accounting firm.</w:t>
            </w:r>
          </w:p>
        </w:tc>
        <w:tc>
          <w:tcPr>
            <w:tcW w:w="5620" w:type="dxa"/>
            <w:vAlign w:val="bottom"/>
          </w:tcPr>
          <w:p>
            <w:pPr>
              <w:spacing w:after="0"/>
              <w:rPr>
                <w:sz w:val="17"/>
                <w:szCs w:val="17"/>
                <w:color w:val="auto"/>
              </w:rPr>
            </w:pPr>
          </w:p>
        </w:tc>
      </w:tr>
      <w:tr>
        <w:trPr>
          <w:trHeight w:val="874"/>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gridSpan w:val="2"/>
          </w:tcPr>
          <w:p>
            <w:pPr>
              <w:jc w:val="right"/>
              <w:ind w:right="5520"/>
              <w:spacing w:after="0"/>
              <w:rPr>
                <w:sz w:val="20"/>
                <w:szCs w:val="20"/>
                <w:color w:val="auto"/>
              </w:rPr>
            </w:pPr>
            <w:r>
              <w:rPr>
                <w:rFonts w:ascii="Arial" w:cs="Arial" w:eastAsia="Arial" w:hAnsi="Arial"/>
                <w:sz w:val="17"/>
                <w:szCs w:val="17"/>
                <w:color w:val="auto"/>
              </w:rPr>
              <w:t>13</w:t>
            </w:r>
          </w:p>
        </w:tc>
      </w:tr>
    </w:tbl>
    <w:p>
      <w:pPr>
        <w:sectPr>
          <w:pgSz w:w="11900" w:h="16838" w:orient="portrait"/>
          <w:cols w:equalWidth="0" w:num="1">
            <w:col w:w="11240"/>
          </w:cols>
          <w:pgMar w:left="320" w:top="863" w:right="339" w:bottom="1440" w:gutter="0" w:footer="0" w:header="0"/>
        </w:sectPr>
      </w:pPr>
    </w:p>
    <w:bookmarkStart w:id="15" w:name="page16"/>
    <w:bookmarkEnd w:id="15"/>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80"/>
        <w:spacing w:after="0"/>
        <w:rPr>
          <w:sz w:val="20"/>
          <w:szCs w:val="20"/>
          <w:color w:val="auto"/>
        </w:rPr>
      </w:pPr>
      <w:r>
        <w:rPr>
          <w:rFonts w:ascii="Arial" w:cs="Arial" w:eastAsia="Arial" w:hAnsi="Arial"/>
          <w:sz w:val="17"/>
          <w:szCs w:val="17"/>
          <w:b w:val="1"/>
          <w:bCs w:val="1"/>
          <w:color w:val="auto"/>
        </w:rPr>
        <w:t>THE 401(k) SAVINGS PLAN FOR</w:t>
      </w:r>
    </w:p>
    <w:p>
      <w:pPr>
        <w:jc w:val="center"/>
        <w:ind w:left="7180"/>
        <w:spacing w:after="0"/>
        <w:rPr>
          <w:sz w:val="20"/>
          <w:szCs w:val="20"/>
          <w:color w:val="auto"/>
        </w:rPr>
      </w:pPr>
      <w:r>
        <w:rPr>
          <w:rFonts w:ascii="Arial" w:cs="Arial" w:eastAsia="Arial" w:hAnsi="Arial"/>
          <w:sz w:val="17"/>
          <w:szCs w:val="17"/>
          <w:b w:val="1"/>
          <w:bCs w:val="1"/>
          <w:color w:val="auto"/>
        </w:rPr>
        <w:t>GHC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June 27,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Wallace R. Cooney,</w:t>
      </w:r>
    </w:p>
    <w:p>
      <w:pPr>
        <w:jc w:val="center"/>
        <w:ind w:left="718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80"/>
          </w:cols>
          <w:pgMar w:left="320" w:top="1018" w:right="699" w:bottom="1440" w:gutter="0" w:footer="0" w:header="0"/>
        </w:sectPr>
      </w:pPr>
    </w:p>
    <w:bookmarkStart w:id="16" w:name="page17"/>
    <w:bookmarkEnd w:id="16"/>
    <w:p>
      <w:pPr>
        <w:jc w:val="right"/>
        <w:spacing w:after="0"/>
        <w:rPr>
          <w:sz w:val="20"/>
          <w:szCs w:val="20"/>
          <w:color w:val="auto"/>
        </w:rPr>
      </w:pPr>
      <w:r>
        <w:rPr>
          <w:rFonts w:ascii="Arial" w:cs="Arial" w:eastAsia="Arial" w:hAnsi="Arial"/>
          <w:sz w:val="17"/>
          <w:szCs w:val="17"/>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333-276044) of Graham Holdings Company of our report dated June 27, 2025 relating to the financial statements and supplemental schedules of The 401(k) Savings Plan for GHC Affiliates, which appears in this Form 11-K.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Miami, FL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p>
      <w:pPr>
        <w:sectPr>
          <w:pgSz w:w="11900" w:h="16838" w:orient="portrait"/>
          <w:cols w:equalWidth="0" w:num="1">
            <w:col w:w="11240"/>
          </w:cols>
          <w:pgMar w:left="320" w:top="85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7"/>
          <w:szCs w:val="17"/>
          <w:b w:val="1"/>
          <w:bCs w:val="1"/>
          <w:color w:val="auto"/>
        </w:rPr>
        <w:t>EXHIBIT 23.2</w:t>
      </w:r>
    </w:p>
    <w:p>
      <w:pPr>
        <w:spacing w:after="0" w:line="179"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401(k) Savings Plan for GHC Affiliates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w:t>
      </w:r>
    </w:p>
    <w:p>
      <w:pPr>
        <w:spacing w:after="0" w:line="14"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report dated October 4, 2024, relating to the financial statements of The 401(k) Savings Plan for GHC Affiliates as of December 31, 2023 appearing in this Annual Report on Form 11-K for the year ended December 31, 2024.</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June 27, 2025</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2025-06-27T11:55:55Z</dcterms:created>
  <dcterms:modified xsi:type="dcterms:W3CDTF">2025-06-27T11:55:55Z</dcterms:modified>
</cp:coreProperties>
</file>